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360" w:lineRule="auto"/>
      </w:pPr>
      <w:r>
        <w:rPr>
          <w:rFonts w:hint="eastAsia"/>
        </w:rPr>
        <w:t>目  录</w:t>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TOC \o "1-2" \h \z \u </w:instrText>
      </w:r>
      <w:r>
        <w:fldChar w:fldCharType="separate"/>
      </w:r>
      <w:r>
        <w:fldChar w:fldCharType="begin"/>
      </w:r>
      <w:r>
        <w:instrText xml:space="preserve"> HYPERLINK \l "_Toc116993046" </w:instrText>
      </w:r>
      <w:r>
        <w:fldChar w:fldCharType="separate"/>
      </w:r>
      <w:r>
        <w:rPr>
          <w:rStyle w:val="34"/>
        </w:rPr>
        <w:t>1</w:t>
      </w:r>
      <w:r>
        <w:rPr>
          <w:rStyle w:val="34"/>
          <w:rFonts w:hint="eastAsia"/>
        </w:rPr>
        <w:t xml:space="preserve">   概述</w:t>
      </w:r>
      <w:r>
        <w:tab/>
      </w:r>
      <w:r>
        <w:fldChar w:fldCharType="begin"/>
      </w:r>
      <w:r>
        <w:instrText xml:space="preserve"> PAGEREF _Toc116993046 \h </w:instrText>
      </w:r>
      <w:r>
        <w:fldChar w:fldCharType="separate"/>
      </w:r>
      <w:r>
        <w:t>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"_Toc116993047" </w:instrText>
      </w:r>
      <w:r>
        <w:fldChar w:fldCharType="separate"/>
      </w:r>
      <w:r>
        <w:rPr>
          <w:rStyle w:val="34"/>
        </w:rPr>
        <w:t>1.1</w:t>
      </w:r>
      <w:r>
        <w:rPr>
          <w:rFonts w:asciiTheme="minorHAnsi" w:hAnsiTheme="minorHAnsi" w:eastAsiaTheme="minorEastAsia" w:cstheme="minorBidi"/>
          <w:szCs w:val="22"/>
        </w:rPr>
        <w:tab/>
      </w:r>
      <w:r>
        <w:rPr>
          <w:rStyle w:val="34"/>
          <w:rFonts w:hint="eastAsia"/>
        </w:rPr>
        <w:t>项目由来</w:t>
      </w:r>
      <w:r>
        <w:tab/>
      </w:r>
      <w:r>
        <w:fldChar w:fldCharType="begin"/>
      </w:r>
      <w:r>
        <w:instrText xml:space="preserve"> PAGEREF _Toc116993047 \h </w:instrText>
      </w:r>
      <w:r>
        <w:fldChar w:fldCharType="separate"/>
      </w:r>
      <w:r>
        <w:t>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"_Toc116993048" </w:instrText>
      </w:r>
      <w:r>
        <w:fldChar w:fldCharType="separate"/>
      </w:r>
      <w:r>
        <w:rPr>
          <w:rStyle w:val="34"/>
        </w:rPr>
        <w:t>1.2</w:t>
      </w:r>
      <w:r>
        <w:rPr>
          <w:rFonts w:asciiTheme="minorHAnsi" w:hAnsiTheme="minorHAnsi" w:eastAsiaTheme="minorEastAsia" w:cstheme="minorBidi"/>
          <w:szCs w:val="22"/>
        </w:rPr>
        <w:tab/>
      </w:r>
      <w:r>
        <w:rPr>
          <w:rStyle w:val="34"/>
          <w:rFonts w:hint="eastAsia"/>
        </w:rPr>
        <w:t>项目的特点</w:t>
      </w:r>
      <w:r>
        <w:tab/>
      </w:r>
      <w:r>
        <w:fldChar w:fldCharType="begin"/>
      </w:r>
      <w:r>
        <w:instrText xml:space="preserve"> PAGEREF _Toc116993048 \h </w:instrText>
      </w:r>
      <w:r>
        <w:fldChar w:fldCharType="separate"/>
      </w:r>
      <w:r>
        <w:t>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"_Toc116993049" </w:instrText>
      </w:r>
      <w:r>
        <w:fldChar w:fldCharType="separate"/>
      </w:r>
      <w:r>
        <w:rPr>
          <w:rStyle w:val="34"/>
        </w:rPr>
        <w:t>1.3</w:t>
      </w:r>
      <w:r>
        <w:rPr>
          <w:rFonts w:asciiTheme="minorHAnsi" w:hAnsiTheme="minorHAnsi" w:eastAsiaTheme="minorEastAsia" w:cstheme="minorBidi"/>
          <w:szCs w:val="22"/>
        </w:rPr>
        <w:tab/>
      </w:r>
      <w:r>
        <w:rPr>
          <w:rStyle w:val="34"/>
          <w:rFonts w:hint="eastAsia"/>
        </w:rPr>
        <w:t>环境影响评价工作过程概述</w:t>
      </w:r>
      <w:r>
        <w:tab/>
      </w:r>
      <w:r>
        <w:fldChar w:fldCharType="begin"/>
      </w:r>
      <w:r>
        <w:instrText xml:space="preserve"> PAGEREF _Toc116993049 \h </w:instrText>
      </w:r>
      <w:r>
        <w:fldChar w:fldCharType="separate"/>
      </w:r>
      <w:r>
        <w:t>7</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"_Toc116993050" </w:instrText>
      </w:r>
      <w:r>
        <w:fldChar w:fldCharType="separate"/>
      </w:r>
      <w:r>
        <w:rPr>
          <w:rStyle w:val="34"/>
        </w:rPr>
        <w:t>1.4</w:t>
      </w:r>
      <w:r>
        <w:rPr>
          <w:rFonts w:asciiTheme="minorHAnsi" w:hAnsiTheme="minorHAnsi" w:eastAsiaTheme="minorEastAsia" w:cstheme="minorBidi"/>
          <w:szCs w:val="22"/>
        </w:rPr>
        <w:tab/>
      </w:r>
      <w:r>
        <w:rPr>
          <w:rStyle w:val="34"/>
          <w:rFonts w:hint="eastAsia"/>
        </w:rPr>
        <w:t>分析总体判断</w:t>
      </w:r>
      <w:r>
        <w:tab/>
      </w:r>
      <w:r>
        <w:fldChar w:fldCharType="begin"/>
      </w:r>
      <w:r>
        <w:instrText xml:space="preserve"> PAGEREF _Toc116993050 \h </w:instrText>
      </w:r>
      <w:r>
        <w:fldChar w:fldCharType="separate"/>
      </w:r>
      <w:r>
        <w:t>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"_Toc116993051" </w:instrText>
      </w:r>
      <w:r>
        <w:fldChar w:fldCharType="separate"/>
      </w:r>
      <w:r>
        <w:rPr>
          <w:rStyle w:val="34"/>
        </w:rPr>
        <w:t>1.5</w:t>
      </w:r>
      <w:r>
        <w:rPr>
          <w:rFonts w:asciiTheme="minorHAnsi" w:hAnsiTheme="minorHAnsi" w:eastAsiaTheme="minorEastAsia" w:cstheme="minorBidi"/>
          <w:szCs w:val="22"/>
        </w:rPr>
        <w:tab/>
      </w:r>
      <w:r>
        <w:rPr>
          <w:rStyle w:val="34"/>
          <w:rFonts w:hint="eastAsia"/>
        </w:rPr>
        <w:t>关注的主要环境问题</w:t>
      </w:r>
      <w:r>
        <w:tab/>
      </w:r>
      <w:r>
        <w:fldChar w:fldCharType="begin"/>
      </w:r>
      <w:r>
        <w:instrText xml:space="preserve"> PAGEREF _Toc116993051 \h </w:instrText>
      </w:r>
      <w:r>
        <w:fldChar w:fldCharType="separate"/>
      </w:r>
      <w:r>
        <w:t>18</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"_Toc116993052" </w:instrText>
      </w:r>
      <w:r>
        <w:fldChar w:fldCharType="separate"/>
      </w:r>
      <w:r>
        <w:rPr>
          <w:rStyle w:val="34"/>
        </w:rPr>
        <w:t>1.6</w:t>
      </w:r>
      <w:r>
        <w:rPr>
          <w:rFonts w:asciiTheme="minorHAnsi" w:hAnsiTheme="minorHAnsi" w:eastAsiaTheme="minorEastAsia" w:cstheme="minorBidi"/>
          <w:szCs w:val="22"/>
        </w:rPr>
        <w:tab/>
      </w:r>
      <w:r>
        <w:rPr>
          <w:rStyle w:val="34"/>
          <w:rFonts w:hint="eastAsia"/>
        </w:rPr>
        <w:t>报告书主要结论</w:t>
      </w:r>
      <w:r>
        <w:tab/>
      </w:r>
      <w:r>
        <w:fldChar w:fldCharType="begin"/>
      </w:r>
      <w:r>
        <w:instrText xml:space="preserve"> PAGEREF _Toc116993052 \h </w:instrText>
      </w:r>
      <w:r>
        <w:fldChar w:fldCharType="separate"/>
      </w:r>
      <w:r>
        <w:t>18</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"_Toc116993053" </w:instrText>
      </w:r>
      <w:r>
        <w:fldChar w:fldCharType="separate"/>
      </w:r>
      <w:r>
        <w:rPr>
          <w:rStyle w:val="34"/>
        </w:rPr>
        <w:t>2</w:t>
      </w:r>
      <w:r>
        <w:rPr>
          <w:rFonts w:asciiTheme="minorHAnsi" w:hAnsiTheme="minorHAnsi" w:eastAsiaTheme="minorEastAsia" w:cstheme="minorBidi"/>
          <w:szCs w:val="22"/>
        </w:rPr>
        <w:tab/>
      </w:r>
      <w:r>
        <w:rPr>
          <w:rStyle w:val="34"/>
          <w:rFonts w:hint="eastAsia"/>
        </w:rPr>
        <w:t>总则</w:t>
      </w:r>
      <w:r>
        <w:tab/>
      </w:r>
      <w:r>
        <w:fldChar w:fldCharType="begin"/>
      </w:r>
      <w:r>
        <w:instrText xml:space="preserve"> PAGEREF _Toc116993053 \h </w:instrText>
      </w:r>
      <w:r>
        <w:fldChar w:fldCharType="separate"/>
      </w:r>
      <w:r>
        <w:t>19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"_Toc116993054" </w:instrText>
      </w:r>
      <w:r>
        <w:fldChar w:fldCharType="separate"/>
      </w:r>
      <w:r>
        <w:rPr>
          <w:rStyle w:val="34"/>
        </w:rPr>
        <w:t>2.1</w:t>
      </w:r>
      <w:r>
        <w:rPr>
          <w:rFonts w:asciiTheme="minorHAnsi" w:hAnsiTheme="minorHAnsi" w:eastAsiaTheme="minorEastAsia" w:cstheme="minorBidi"/>
          <w:szCs w:val="22"/>
        </w:rPr>
        <w:tab/>
      </w:r>
      <w:r>
        <w:rPr>
          <w:rStyle w:val="34"/>
          <w:rFonts w:hint="eastAsia"/>
        </w:rPr>
        <w:t>编制依据</w:t>
      </w:r>
      <w:r>
        <w:tab/>
      </w:r>
      <w:r>
        <w:fldChar w:fldCharType="begin"/>
      </w:r>
      <w:r>
        <w:instrText xml:space="preserve"> PAGEREF _Toc116993054 \h </w:instrText>
      </w:r>
      <w:r>
        <w:fldChar w:fldCharType="separate"/>
      </w:r>
      <w:r>
        <w:t>19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"_Toc116993055" </w:instrText>
      </w:r>
      <w:r>
        <w:fldChar w:fldCharType="separate"/>
      </w:r>
      <w:r>
        <w:rPr>
          <w:rStyle w:val="34"/>
        </w:rPr>
        <w:t>2.2</w:t>
      </w:r>
      <w:r>
        <w:rPr>
          <w:rFonts w:asciiTheme="minorHAnsi" w:hAnsiTheme="minorHAnsi" w:eastAsiaTheme="minorEastAsia" w:cstheme="minorBidi"/>
          <w:szCs w:val="22"/>
        </w:rPr>
        <w:tab/>
      </w:r>
      <w:r>
        <w:rPr>
          <w:rStyle w:val="34"/>
          <w:rFonts w:hint="eastAsia"/>
        </w:rPr>
        <w:t>评价目的及评价原则</w:t>
      </w:r>
      <w:r>
        <w:tab/>
      </w:r>
      <w:r>
        <w:fldChar w:fldCharType="begin"/>
      </w:r>
      <w:r>
        <w:instrText xml:space="preserve"> PAGEREF _Toc116993055 \h </w:instrText>
      </w:r>
      <w:r>
        <w:fldChar w:fldCharType="separate"/>
      </w:r>
      <w:r>
        <w:t>24</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"_Toc116993056" </w:instrText>
      </w:r>
      <w:r>
        <w:fldChar w:fldCharType="separate"/>
      </w:r>
      <w:r>
        <w:rPr>
          <w:rStyle w:val="34"/>
        </w:rPr>
        <w:t>2.3</w:t>
      </w:r>
      <w:r>
        <w:rPr>
          <w:rFonts w:asciiTheme="minorHAnsi" w:hAnsiTheme="minorHAnsi" w:eastAsiaTheme="minorEastAsia" w:cstheme="minorBidi"/>
          <w:szCs w:val="22"/>
        </w:rPr>
        <w:tab/>
      </w:r>
      <w:r>
        <w:rPr>
          <w:rStyle w:val="34"/>
          <w:rFonts w:hint="eastAsia"/>
        </w:rPr>
        <w:t>评价时段和环境影响识别</w:t>
      </w:r>
      <w:r>
        <w:tab/>
      </w:r>
      <w:r>
        <w:fldChar w:fldCharType="begin"/>
      </w:r>
      <w:r>
        <w:instrText xml:space="preserve"> PAGEREF _Toc116993056 \h </w:instrText>
      </w:r>
      <w:r>
        <w:fldChar w:fldCharType="separate"/>
      </w:r>
      <w:r>
        <w:t>25</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"_Toc116993057" </w:instrText>
      </w:r>
      <w:r>
        <w:fldChar w:fldCharType="separate"/>
      </w:r>
      <w:r>
        <w:rPr>
          <w:rStyle w:val="34"/>
        </w:rPr>
        <w:t>2.4</w:t>
      </w:r>
      <w:r>
        <w:rPr>
          <w:rFonts w:asciiTheme="minorHAnsi" w:hAnsiTheme="minorHAnsi" w:eastAsiaTheme="minorEastAsia" w:cstheme="minorBidi"/>
          <w:szCs w:val="22"/>
        </w:rPr>
        <w:tab/>
      </w:r>
      <w:r>
        <w:rPr>
          <w:rStyle w:val="34"/>
          <w:rFonts w:hint="eastAsia"/>
        </w:rPr>
        <w:t>环境影响识别及评价因子筛选</w:t>
      </w:r>
      <w:r>
        <w:tab/>
      </w:r>
      <w:r>
        <w:fldChar w:fldCharType="begin"/>
      </w:r>
      <w:r>
        <w:instrText xml:space="preserve"> PAGEREF _Toc116993057 \h </w:instrText>
      </w:r>
      <w:r>
        <w:fldChar w:fldCharType="separate"/>
      </w:r>
      <w:r>
        <w:t>26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"_Toc116993058" </w:instrText>
      </w:r>
      <w:r>
        <w:fldChar w:fldCharType="separate"/>
      </w:r>
      <w:r>
        <w:rPr>
          <w:rStyle w:val="34"/>
        </w:rPr>
        <w:t>2.5</w:t>
      </w:r>
      <w:r>
        <w:rPr>
          <w:rFonts w:asciiTheme="minorHAnsi" w:hAnsiTheme="minorHAnsi" w:eastAsiaTheme="minorEastAsia" w:cstheme="minorBidi"/>
          <w:szCs w:val="22"/>
        </w:rPr>
        <w:tab/>
      </w:r>
      <w:r>
        <w:rPr>
          <w:rStyle w:val="34"/>
          <w:rFonts w:hint="eastAsia"/>
        </w:rPr>
        <w:t>环境功能区划及评价标准</w:t>
      </w:r>
      <w:r>
        <w:tab/>
      </w:r>
      <w:r>
        <w:fldChar w:fldCharType="begin"/>
      </w:r>
      <w:r>
        <w:instrText xml:space="preserve"> PAGEREF _Toc116993058 \h </w:instrText>
      </w:r>
      <w:r>
        <w:fldChar w:fldCharType="separate"/>
      </w:r>
      <w:r>
        <w:t>26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"_Toc116993059" </w:instrText>
      </w:r>
      <w:r>
        <w:fldChar w:fldCharType="separate"/>
      </w:r>
      <w:r>
        <w:rPr>
          <w:rStyle w:val="34"/>
        </w:rPr>
        <w:t>2.6</w:t>
      </w:r>
      <w:r>
        <w:rPr>
          <w:rFonts w:asciiTheme="minorHAnsi" w:hAnsiTheme="minorHAnsi" w:eastAsiaTheme="minorEastAsia" w:cstheme="minorBidi"/>
          <w:szCs w:val="22"/>
        </w:rPr>
        <w:tab/>
      </w:r>
      <w:r>
        <w:rPr>
          <w:rStyle w:val="34"/>
          <w:rFonts w:hint="eastAsia"/>
        </w:rPr>
        <w:t>评价工作等级及评价范围</w:t>
      </w:r>
      <w:r>
        <w:tab/>
      </w:r>
      <w:r>
        <w:fldChar w:fldCharType="begin"/>
      </w:r>
      <w:r>
        <w:instrText xml:space="preserve"> PAGEREF _Toc116993059 \h </w:instrText>
      </w:r>
      <w:r>
        <w:fldChar w:fldCharType="separate"/>
      </w:r>
      <w:r>
        <w:t>31</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"_Toc116993060" </w:instrText>
      </w:r>
      <w:r>
        <w:fldChar w:fldCharType="separate"/>
      </w:r>
      <w:r>
        <w:rPr>
          <w:rStyle w:val="34"/>
        </w:rPr>
        <w:t>2.7</w:t>
      </w:r>
      <w:r>
        <w:rPr>
          <w:rFonts w:asciiTheme="minorHAnsi" w:hAnsiTheme="minorHAnsi" w:eastAsiaTheme="minorEastAsia" w:cstheme="minorBidi"/>
          <w:szCs w:val="22"/>
        </w:rPr>
        <w:tab/>
      </w:r>
      <w:r>
        <w:rPr>
          <w:rStyle w:val="34"/>
          <w:rFonts w:hint="eastAsia"/>
        </w:rPr>
        <w:t>环境保护目标</w:t>
      </w:r>
      <w:r>
        <w:tab/>
      </w:r>
      <w:r>
        <w:fldChar w:fldCharType="begin"/>
      </w:r>
      <w:r>
        <w:instrText xml:space="preserve"> PAGEREF _Toc116993060 \h </w:instrText>
      </w:r>
      <w:r>
        <w:fldChar w:fldCharType="separate"/>
      </w:r>
      <w:r>
        <w:t>37</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"_Toc116993061" </w:instrText>
      </w:r>
      <w:r>
        <w:fldChar w:fldCharType="separate"/>
      </w:r>
      <w:r>
        <w:rPr>
          <w:rStyle w:val="34"/>
        </w:rPr>
        <w:t>3</w:t>
      </w:r>
      <w:r>
        <w:rPr>
          <w:rFonts w:asciiTheme="minorHAnsi" w:hAnsiTheme="minorHAnsi" w:eastAsiaTheme="minorEastAsia" w:cstheme="minorBidi"/>
          <w:szCs w:val="22"/>
        </w:rPr>
        <w:tab/>
      </w:r>
      <w:r>
        <w:rPr>
          <w:rStyle w:val="34"/>
          <w:rFonts w:hint="eastAsia"/>
        </w:rPr>
        <w:t>工程概况</w:t>
      </w:r>
      <w:r>
        <w:tab/>
      </w:r>
      <w:r>
        <w:fldChar w:fldCharType="begin"/>
      </w:r>
      <w:r>
        <w:instrText xml:space="preserve"> PAGEREF _Toc116993061 \h </w:instrText>
      </w:r>
      <w:r>
        <w:fldChar w:fldCharType="separate"/>
      </w:r>
      <w:r>
        <w:t>39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"_Toc116993062" </w:instrText>
      </w:r>
      <w:r>
        <w:fldChar w:fldCharType="separate"/>
      </w:r>
      <w:r>
        <w:rPr>
          <w:rStyle w:val="34"/>
        </w:rPr>
        <w:t>3.1</w:t>
      </w:r>
      <w:r>
        <w:rPr>
          <w:rFonts w:asciiTheme="minorHAnsi" w:hAnsiTheme="minorHAnsi" w:eastAsiaTheme="minorEastAsia" w:cstheme="minorBidi"/>
          <w:szCs w:val="22"/>
        </w:rPr>
        <w:tab/>
      </w:r>
      <w:r>
        <w:rPr>
          <w:rStyle w:val="34"/>
          <w:rFonts w:hint="eastAsia"/>
        </w:rPr>
        <w:t>现有工程概况</w:t>
      </w:r>
      <w:r>
        <w:tab/>
      </w:r>
      <w:r>
        <w:fldChar w:fldCharType="begin"/>
      </w:r>
      <w:r>
        <w:instrText xml:space="preserve"> PAGEREF _Toc116993062 \h </w:instrText>
      </w:r>
      <w:r>
        <w:fldChar w:fldCharType="separate"/>
      </w:r>
      <w:r>
        <w:t>39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"_Toc116993063" </w:instrText>
      </w:r>
      <w:r>
        <w:fldChar w:fldCharType="separate"/>
      </w:r>
      <w:r>
        <w:rPr>
          <w:rStyle w:val="34"/>
        </w:rPr>
        <w:t>3.2</w:t>
      </w:r>
      <w:r>
        <w:rPr>
          <w:rFonts w:asciiTheme="minorHAnsi" w:hAnsiTheme="minorHAnsi" w:eastAsiaTheme="minorEastAsia" w:cstheme="minorBidi"/>
          <w:szCs w:val="22"/>
        </w:rPr>
        <w:tab/>
      </w:r>
      <w:r>
        <w:rPr>
          <w:rStyle w:val="34"/>
          <w:rFonts w:hint="eastAsia"/>
        </w:rPr>
        <w:t>拟建工程概况</w:t>
      </w:r>
      <w:r>
        <w:tab/>
      </w:r>
      <w:r>
        <w:fldChar w:fldCharType="begin"/>
      </w:r>
      <w:r>
        <w:instrText xml:space="preserve"> PAGEREF _Toc116993063 \h </w:instrText>
      </w:r>
      <w:r>
        <w:fldChar w:fldCharType="separate"/>
      </w:r>
      <w:r>
        <w:t>46</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"_Toc116993064" </w:instrText>
      </w:r>
      <w:r>
        <w:fldChar w:fldCharType="separate"/>
      </w:r>
      <w:r>
        <w:rPr>
          <w:rStyle w:val="34"/>
        </w:rPr>
        <w:t>4</w:t>
      </w:r>
      <w:r>
        <w:rPr>
          <w:rFonts w:asciiTheme="minorHAnsi" w:hAnsiTheme="minorHAnsi" w:eastAsiaTheme="minorEastAsia" w:cstheme="minorBidi"/>
          <w:szCs w:val="22"/>
        </w:rPr>
        <w:tab/>
      </w:r>
      <w:r>
        <w:rPr>
          <w:rStyle w:val="34"/>
          <w:rFonts w:hint="eastAsia"/>
        </w:rPr>
        <w:t>工程分析</w:t>
      </w:r>
      <w:r>
        <w:tab/>
      </w:r>
      <w:r>
        <w:fldChar w:fldCharType="begin"/>
      </w:r>
      <w:r>
        <w:instrText xml:space="preserve"> PAGEREF _Toc116993064 \h </w:instrText>
      </w:r>
      <w:r>
        <w:fldChar w:fldCharType="separate"/>
      </w:r>
      <w:r>
        <w:t>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"_Toc116993065" </w:instrText>
      </w:r>
      <w:r>
        <w:fldChar w:fldCharType="separate"/>
      </w:r>
      <w:r>
        <w:rPr>
          <w:rStyle w:val="34"/>
        </w:rPr>
        <w:t>4.1</w:t>
      </w:r>
      <w:r>
        <w:rPr>
          <w:rFonts w:asciiTheme="minorHAnsi" w:hAnsiTheme="minorHAnsi" w:eastAsiaTheme="minorEastAsia" w:cstheme="minorBidi"/>
          <w:szCs w:val="22"/>
        </w:rPr>
        <w:tab/>
      </w:r>
      <w:r>
        <w:rPr>
          <w:rStyle w:val="34"/>
          <w:rFonts w:hint="eastAsia"/>
        </w:rPr>
        <w:t>施工期污染源强分析</w:t>
      </w:r>
      <w:r>
        <w:tab/>
      </w:r>
      <w:r>
        <w:fldChar w:fldCharType="begin"/>
      </w:r>
      <w:r>
        <w:instrText xml:space="preserve"> PAGEREF _Toc116993065 \h </w:instrText>
      </w:r>
      <w:r>
        <w:fldChar w:fldCharType="separate"/>
      </w:r>
      <w:r>
        <w:t>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"_Toc116993066" </w:instrText>
      </w:r>
      <w:r>
        <w:fldChar w:fldCharType="separate"/>
      </w:r>
      <w:r>
        <w:rPr>
          <w:rStyle w:val="34"/>
        </w:rPr>
        <w:t>4.2</w:t>
      </w:r>
      <w:r>
        <w:rPr>
          <w:rFonts w:asciiTheme="minorHAnsi" w:hAnsiTheme="minorHAnsi" w:eastAsiaTheme="minorEastAsia" w:cstheme="minorBidi"/>
          <w:szCs w:val="22"/>
        </w:rPr>
        <w:tab/>
      </w:r>
      <w:r>
        <w:rPr>
          <w:rStyle w:val="34"/>
          <w:rFonts w:hint="eastAsia"/>
        </w:rPr>
        <w:t>营运期污染源强分析</w:t>
      </w:r>
      <w:r>
        <w:tab/>
      </w:r>
      <w:r>
        <w:fldChar w:fldCharType="begin"/>
      </w:r>
      <w:r>
        <w:instrText xml:space="preserve"> PAGEREF _Toc116993066 \h </w:instrText>
      </w:r>
      <w:r>
        <w:fldChar w:fldCharType="separate"/>
      </w:r>
      <w:r>
        <w:t>59</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"_Toc116993067" </w:instrText>
      </w:r>
      <w:r>
        <w:fldChar w:fldCharType="separate"/>
      </w:r>
      <w:r>
        <w:rPr>
          <w:rStyle w:val="34"/>
        </w:rPr>
        <w:t>5</w:t>
      </w:r>
      <w:r>
        <w:rPr>
          <w:rFonts w:asciiTheme="minorHAnsi" w:hAnsiTheme="minorHAnsi" w:eastAsiaTheme="minorEastAsia" w:cstheme="minorBidi"/>
          <w:szCs w:val="22"/>
        </w:rPr>
        <w:tab/>
      </w:r>
      <w:r>
        <w:rPr>
          <w:rStyle w:val="34"/>
          <w:rFonts w:hint="eastAsia"/>
        </w:rPr>
        <w:t>环境现状调查与评价</w:t>
      </w:r>
      <w:r>
        <w:tab/>
      </w:r>
      <w:r>
        <w:fldChar w:fldCharType="begin"/>
      </w:r>
      <w:r>
        <w:instrText xml:space="preserve"> PAGEREF _Toc116993067 \h </w:instrText>
      </w:r>
      <w:r>
        <w:fldChar w:fldCharType="separate"/>
      </w:r>
      <w:r>
        <w:t>84</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"_Toc116993068" </w:instrText>
      </w:r>
      <w:r>
        <w:fldChar w:fldCharType="separate"/>
      </w:r>
      <w:r>
        <w:rPr>
          <w:rStyle w:val="34"/>
        </w:rPr>
        <w:t>5.1</w:t>
      </w:r>
      <w:r>
        <w:rPr>
          <w:rFonts w:asciiTheme="minorHAnsi" w:hAnsiTheme="minorHAnsi" w:eastAsiaTheme="minorEastAsia" w:cstheme="minorBidi"/>
          <w:szCs w:val="22"/>
        </w:rPr>
        <w:tab/>
      </w:r>
      <w:r>
        <w:rPr>
          <w:rStyle w:val="34"/>
          <w:rFonts w:hint="eastAsia"/>
        </w:rPr>
        <w:t>自然环境概况</w:t>
      </w:r>
      <w:r>
        <w:tab/>
      </w:r>
      <w:r>
        <w:fldChar w:fldCharType="begin"/>
      </w:r>
      <w:r>
        <w:instrText xml:space="preserve"> PAGEREF _Toc116993068 \h </w:instrText>
      </w:r>
      <w:r>
        <w:fldChar w:fldCharType="separate"/>
      </w:r>
      <w:r>
        <w:t>84</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"_Toc116993069" </w:instrText>
      </w:r>
      <w:r>
        <w:fldChar w:fldCharType="separate"/>
      </w:r>
      <w:r>
        <w:rPr>
          <w:rStyle w:val="34"/>
        </w:rPr>
        <w:t>5.2</w:t>
      </w:r>
      <w:r>
        <w:rPr>
          <w:rFonts w:asciiTheme="minorHAnsi" w:hAnsiTheme="minorHAnsi" w:eastAsiaTheme="minorEastAsia" w:cstheme="minorBidi"/>
          <w:szCs w:val="22"/>
        </w:rPr>
        <w:tab/>
      </w:r>
      <w:r>
        <w:rPr>
          <w:rStyle w:val="34"/>
          <w:rFonts w:hint="eastAsia"/>
        </w:rPr>
        <w:t>环境质量现状监测与评价</w:t>
      </w:r>
      <w:r>
        <w:tab/>
      </w:r>
      <w:r>
        <w:fldChar w:fldCharType="begin"/>
      </w:r>
      <w:r>
        <w:instrText xml:space="preserve"> PAGEREF _Toc116993069 \h </w:instrText>
      </w:r>
      <w:r>
        <w:fldChar w:fldCharType="separate"/>
      </w:r>
      <w:r>
        <w:t>86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"_Toc116993070" </w:instrText>
      </w:r>
      <w:r>
        <w:fldChar w:fldCharType="separate"/>
      </w:r>
      <w:r>
        <w:rPr>
          <w:rStyle w:val="34"/>
        </w:rPr>
        <w:t>5.3</w:t>
      </w:r>
      <w:r>
        <w:rPr>
          <w:rFonts w:asciiTheme="minorHAnsi" w:hAnsiTheme="minorHAnsi" w:eastAsiaTheme="minorEastAsia" w:cstheme="minorBidi"/>
          <w:szCs w:val="22"/>
        </w:rPr>
        <w:tab/>
      </w:r>
      <w:r>
        <w:rPr>
          <w:rStyle w:val="34"/>
          <w:rFonts w:hint="eastAsia"/>
        </w:rPr>
        <w:t>区域污染源调查</w:t>
      </w:r>
      <w:r>
        <w:tab/>
      </w:r>
      <w:r>
        <w:fldChar w:fldCharType="begin"/>
      </w:r>
      <w:r>
        <w:instrText xml:space="preserve"> PAGEREF _Toc116993070 \h </w:instrText>
      </w:r>
      <w:r>
        <w:fldChar w:fldCharType="separate"/>
      </w:r>
      <w:r>
        <w:t>91</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"_Toc116993071" </w:instrText>
      </w:r>
      <w:r>
        <w:fldChar w:fldCharType="separate"/>
      </w:r>
      <w:r>
        <w:rPr>
          <w:rStyle w:val="34"/>
        </w:rPr>
        <w:t>6</w:t>
      </w:r>
      <w:r>
        <w:rPr>
          <w:rFonts w:asciiTheme="minorHAnsi" w:hAnsiTheme="minorHAnsi" w:eastAsiaTheme="minorEastAsia" w:cstheme="minorBidi"/>
          <w:szCs w:val="22"/>
        </w:rPr>
        <w:tab/>
      </w:r>
      <w:r>
        <w:rPr>
          <w:rStyle w:val="34"/>
          <w:rFonts w:hint="eastAsia"/>
        </w:rPr>
        <w:t>环境影响预测与评价</w:t>
      </w:r>
      <w:r>
        <w:tab/>
      </w:r>
      <w:r>
        <w:fldChar w:fldCharType="begin"/>
      </w:r>
      <w:r>
        <w:instrText xml:space="preserve"> PAGEREF _Toc116993071 \h </w:instrText>
      </w:r>
      <w:r>
        <w:fldChar w:fldCharType="separate"/>
      </w:r>
      <w:r>
        <w:t>92</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"_Toc116993072" </w:instrText>
      </w:r>
      <w:r>
        <w:fldChar w:fldCharType="separate"/>
      </w:r>
      <w:r>
        <w:rPr>
          <w:rStyle w:val="34"/>
        </w:rPr>
        <w:t>6.1</w:t>
      </w:r>
      <w:r>
        <w:rPr>
          <w:rFonts w:asciiTheme="minorHAnsi" w:hAnsiTheme="minorHAnsi" w:eastAsiaTheme="minorEastAsia" w:cstheme="minorBidi"/>
          <w:szCs w:val="22"/>
        </w:rPr>
        <w:tab/>
      </w:r>
      <w:r>
        <w:rPr>
          <w:rStyle w:val="34"/>
          <w:rFonts w:hint="eastAsia"/>
        </w:rPr>
        <w:t>施工期环境影响预测与评价</w:t>
      </w:r>
      <w:r>
        <w:tab/>
      </w:r>
      <w:r>
        <w:fldChar w:fldCharType="begin"/>
      </w:r>
      <w:r>
        <w:instrText xml:space="preserve"> PAGEREF _Toc116993072 \h </w:instrText>
      </w:r>
      <w:r>
        <w:fldChar w:fldCharType="separate"/>
      </w:r>
      <w:r>
        <w:t>92</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"_Toc116993073" </w:instrText>
      </w:r>
      <w:r>
        <w:fldChar w:fldCharType="separate"/>
      </w:r>
      <w:r>
        <w:rPr>
          <w:rStyle w:val="34"/>
        </w:rPr>
        <w:t>6.2</w:t>
      </w:r>
      <w:r>
        <w:rPr>
          <w:rFonts w:asciiTheme="minorHAnsi" w:hAnsiTheme="minorHAnsi" w:eastAsiaTheme="minorEastAsia" w:cstheme="minorBidi"/>
          <w:szCs w:val="22"/>
        </w:rPr>
        <w:tab/>
      </w:r>
      <w:r>
        <w:rPr>
          <w:rStyle w:val="34"/>
          <w:rFonts w:hint="eastAsia"/>
        </w:rPr>
        <w:t>营运期环境影响预测与评价</w:t>
      </w:r>
      <w:r>
        <w:tab/>
      </w:r>
      <w:r>
        <w:fldChar w:fldCharType="begin"/>
      </w:r>
      <w:r>
        <w:instrText xml:space="preserve"> PAGEREF _Toc116993073 \h </w:instrText>
      </w:r>
      <w:r>
        <w:fldChar w:fldCharType="separate"/>
      </w:r>
      <w:r>
        <w:t>99</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"_Toc116993074" </w:instrText>
      </w:r>
      <w:r>
        <w:fldChar w:fldCharType="separate"/>
      </w:r>
      <w:r>
        <w:rPr>
          <w:rStyle w:val="34"/>
        </w:rPr>
        <w:t>7</w:t>
      </w:r>
      <w:r>
        <w:rPr>
          <w:rFonts w:asciiTheme="minorHAnsi" w:hAnsiTheme="minorHAnsi" w:eastAsiaTheme="minorEastAsia" w:cstheme="minorBidi"/>
          <w:szCs w:val="22"/>
        </w:rPr>
        <w:tab/>
      </w:r>
      <w:r>
        <w:rPr>
          <w:rStyle w:val="34"/>
          <w:rFonts w:hint="eastAsia"/>
        </w:rPr>
        <w:t>环境风险分析</w:t>
      </w:r>
      <w:r>
        <w:tab/>
      </w:r>
      <w:r>
        <w:fldChar w:fldCharType="begin"/>
      </w:r>
      <w:r>
        <w:instrText xml:space="preserve"> PAGEREF _Toc116993074 \h </w:instrText>
      </w:r>
      <w:r>
        <w:fldChar w:fldCharType="separate"/>
      </w:r>
      <w:r>
        <w:t>123</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"_Toc116993075" </w:instrText>
      </w:r>
      <w:r>
        <w:fldChar w:fldCharType="separate"/>
      </w:r>
      <w:r>
        <w:rPr>
          <w:rStyle w:val="34"/>
          <w:kern w:val="0"/>
        </w:rPr>
        <w:t>7.1</w:t>
      </w:r>
      <w:r>
        <w:rPr>
          <w:rFonts w:asciiTheme="minorHAnsi" w:hAnsiTheme="minorHAnsi" w:eastAsiaTheme="minorEastAsia" w:cstheme="minorBidi"/>
          <w:szCs w:val="22"/>
        </w:rPr>
        <w:tab/>
      </w:r>
      <w:r>
        <w:rPr>
          <w:rStyle w:val="34"/>
          <w:rFonts w:hint="eastAsia"/>
          <w:kern w:val="0"/>
        </w:rPr>
        <w:t>环境风险评价概述</w:t>
      </w:r>
      <w:r>
        <w:tab/>
      </w:r>
      <w:r>
        <w:fldChar w:fldCharType="begin"/>
      </w:r>
      <w:r>
        <w:instrText xml:space="preserve"> PAGEREF _Toc116993075 \h </w:instrText>
      </w:r>
      <w:r>
        <w:fldChar w:fldCharType="separate"/>
      </w:r>
      <w:r>
        <w:t>123</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"_Toc116993076" </w:instrText>
      </w:r>
      <w:r>
        <w:fldChar w:fldCharType="separate"/>
      </w:r>
      <w:r>
        <w:rPr>
          <w:rStyle w:val="34"/>
          <w:kern w:val="0"/>
        </w:rPr>
        <w:t>7.2</w:t>
      </w:r>
      <w:r>
        <w:rPr>
          <w:rFonts w:asciiTheme="minorHAnsi" w:hAnsiTheme="minorHAnsi" w:eastAsiaTheme="minorEastAsia" w:cstheme="minorBidi"/>
          <w:szCs w:val="22"/>
        </w:rPr>
        <w:tab/>
      </w:r>
      <w:r>
        <w:rPr>
          <w:rStyle w:val="34"/>
          <w:rFonts w:hint="eastAsia"/>
          <w:kern w:val="0"/>
        </w:rPr>
        <w:t>风险评价等级</w:t>
      </w:r>
      <w:r>
        <w:tab/>
      </w:r>
      <w:r>
        <w:fldChar w:fldCharType="begin"/>
      </w:r>
      <w:r>
        <w:instrText xml:space="preserve"> PAGEREF _Toc116993076 \h </w:instrText>
      </w:r>
      <w:r>
        <w:fldChar w:fldCharType="separate"/>
      </w:r>
      <w:r>
        <w:t>124</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"_Toc116993077" </w:instrText>
      </w:r>
      <w:r>
        <w:fldChar w:fldCharType="separate"/>
      </w:r>
      <w:r>
        <w:rPr>
          <w:rStyle w:val="34"/>
        </w:rPr>
        <w:t>7.3</w:t>
      </w:r>
      <w:r>
        <w:rPr>
          <w:rFonts w:asciiTheme="minorHAnsi" w:hAnsiTheme="minorHAnsi" w:eastAsiaTheme="minorEastAsia" w:cstheme="minorBidi"/>
          <w:szCs w:val="22"/>
        </w:rPr>
        <w:tab/>
      </w:r>
      <w:r>
        <w:rPr>
          <w:rStyle w:val="34"/>
          <w:rFonts w:hint="eastAsia"/>
        </w:rPr>
        <w:t>风险事故源分析</w:t>
      </w:r>
      <w:r>
        <w:tab/>
      </w:r>
      <w:r>
        <w:fldChar w:fldCharType="begin"/>
      </w:r>
      <w:r>
        <w:instrText xml:space="preserve"> PAGEREF _Toc116993077 \h </w:instrText>
      </w:r>
      <w:r>
        <w:fldChar w:fldCharType="separate"/>
      </w:r>
      <w:r>
        <w:t>126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"_Toc116993078" </w:instrText>
      </w:r>
      <w:r>
        <w:fldChar w:fldCharType="separate"/>
      </w:r>
      <w:r>
        <w:rPr>
          <w:rStyle w:val="34"/>
        </w:rPr>
        <w:t>7.4</w:t>
      </w:r>
      <w:r>
        <w:rPr>
          <w:rFonts w:asciiTheme="minorHAnsi" w:hAnsiTheme="minorHAnsi" w:eastAsiaTheme="minorEastAsia" w:cstheme="minorBidi"/>
          <w:szCs w:val="22"/>
        </w:rPr>
        <w:tab/>
      </w:r>
      <w:r>
        <w:rPr>
          <w:rStyle w:val="34"/>
          <w:rFonts w:hint="eastAsia"/>
        </w:rPr>
        <w:t>环境风险分析</w:t>
      </w:r>
      <w:r>
        <w:tab/>
      </w:r>
      <w:r>
        <w:fldChar w:fldCharType="begin"/>
      </w:r>
      <w:r>
        <w:instrText xml:space="preserve"> PAGEREF _Toc116993078 \h </w:instrText>
      </w:r>
      <w:r>
        <w:fldChar w:fldCharType="separate"/>
      </w:r>
      <w:r>
        <w:t>126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"_Toc116993079" </w:instrText>
      </w:r>
      <w:r>
        <w:fldChar w:fldCharType="separate"/>
      </w:r>
      <w:r>
        <w:rPr>
          <w:rStyle w:val="34"/>
        </w:rPr>
        <w:t>7.5</w:t>
      </w:r>
      <w:r>
        <w:rPr>
          <w:rFonts w:asciiTheme="minorHAnsi" w:hAnsiTheme="minorHAnsi" w:eastAsiaTheme="minorEastAsia" w:cstheme="minorBidi"/>
          <w:szCs w:val="22"/>
        </w:rPr>
        <w:tab/>
      </w:r>
      <w:r>
        <w:rPr>
          <w:rStyle w:val="34"/>
          <w:rFonts w:hint="eastAsia"/>
        </w:rPr>
        <w:t>环境风险防范措施及应急要求</w:t>
      </w:r>
      <w:r>
        <w:tab/>
      </w:r>
      <w:r>
        <w:fldChar w:fldCharType="begin"/>
      </w:r>
      <w:r>
        <w:instrText xml:space="preserve"> PAGEREF _Toc116993079 \h </w:instrText>
      </w:r>
      <w:r>
        <w:fldChar w:fldCharType="separate"/>
      </w:r>
      <w:r>
        <w:t>127</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"_Toc116993080" </w:instrText>
      </w:r>
      <w:r>
        <w:fldChar w:fldCharType="separate"/>
      </w:r>
      <w:r>
        <w:rPr>
          <w:rStyle w:val="34"/>
        </w:rPr>
        <w:t>7.6</w:t>
      </w:r>
      <w:r>
        <w:rPr>
          <w:rFonts w:asciiTheme="minorHAnsi" w:hAnsiTheme="minorHAnsi" w:eastAsiaTheme="minorEastAsia" w:cstheme="minorBidi"/>
          <w:szCs w:val="22"/>
        </w:rPr>
        <w:tab/>
      </w:r>
      <w:r>
        <w:rPr>
          <w:rStyle w:val="34"/>
          <w:rFonts w:hint="eastAsia"/>
        </w:rPr>
        <w:t>结论</w:t>
      </w:r>
      <w:r>
        <w:tab/>
      </w:r>
      <w:r>
        <w:fldChar w:fldCharType="begin"/>
      </w:r>
      <w:r>
        <w:instrText xml:space="preserve"> PAGEREF _Toc116993080 \h </w:instrText>
      </w:r>
      <w:r>
        <w:fldChar w:fldCharType="separate"/>
      </w:r>
      <w:r>
        <w:t>129</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"_Toc116993081" </w:instrText>
      </w:r>
      <w:r>
        <w:fldChar w:fldCharType="separate"/>
      </w:r>
      <w:r>
        <w:rPr>
          <w:rStyle w:val="34"/>
        </w:rPr>
        <w:t>8</w:t>
      </w:r>
      <w:r>
        <w:rPr>
          <w:rFonts w:asciiTheme="minorHAnsi" w:hAnsiTheme="minorHAnsi" w:eastAsiaTheme="minorEastAsia" w:cstheme="minorBidi"/>
          <w:szCs w:val="22"/>
        </w:rPr>
        <w:tab/>
      </w:r>
      <w:r>
        <w:rPr>
          <w:rStyle w:val="34"/>
          <w:rFonts w:hint="eastAsia"/>
        </w:rPr>
        <w:t>环保措施及其技术经济论证</w:t>
      </w:r>
      <w:r>
        <w:tab/>
      </w:r>
      <w:r>
        <w:fldChar w:fldCharType="begin"/>
      </w:r>
      <w:r>
        <w:instrText xml:space="preserve"> PAGEREF _Toc116993081 \h </w:instrText>
      </w:r>
      <w:r>
        <w:fldChar w:fldCharType="separate"/>
      </w:r>
      <w:r>
        <w:t>131</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"_Toc116993082" </w:instrText>
      </w:r>
      <w:r>
        <w:fldChar w:fldCharType="separate"/>
      </w:r>
      <w:r>
        <w:rPr>
          <w:rStyle w:val="34"/>
        </w:rPr>
        <w:t>8.1</w:t>
      </w:r>
      <w:r>
        <w:rPr>
          <w:rFonts w:asciiTheme="minorHAnsi" w:hAnsiTheme="minorHAnsi" w:eastAsiaTheme="minorEastAsia" w:cstheme="minorBidi"/>
          <w:szCs w:val="22"/>
        </w:rPr>
        <w:tab/>
      </w:r>
      <w:r>
        <w:rPr>
          <w:rStyle w:val="34"/>
          <w:rFonts w:hint="eastAsia"/>
        </w:rPr>
        <w:t>施工期污染防治措施</w:t>
      </w:r>
      <w:r>
        <w:tab/>
      </w:r>
      <w:r>
        <w:fldChar w:fldCharType="begin"/>
      </w:r>
      <w:r>
        <w:instrText xml:space="preserve"> PAGEREF _Toc116993082 \h </w:instrText>
      </w:r>
      <w:r>
        <w:fldChar w:fldCharType="separate"/>
      </w:r>
      <w:r>
        <w:t>131</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"_Toc116993083" </w:instrText>
      </w:r>
      <w:r>
        <w:fldChar w:fldCharType="separate"/>
      </w:r>
      <w:r>
        <w:rPr>
          <w:rStyle w:val="34"/>
        </w:rPr>
        <w:t>8.2</w:t>
      </w:r>
      <w:r>
        <w:rPr>
          <w:rFonts w:asciiTheme="minorHAnsi" w:hAnsiTheme="minorHAnsi" w:eastAsiaTheme="minorEastAsia" w:cstheme="minorBidi"/>
          <w:szCs w:val="22"/>
        </w:rPr>
        <w:tab/>
      </w:r>
      <w:r>
        <w:rPr>
          <w:rStyle w:val="34"/>
          <w:rFonts w:hint="eastAsia"/>
        </w:rPr>
        <w:t>营运期污染防治措施</w:t>
      </w:r>
      <w:r>
        <w:tab/>
      </w:r>
      <w:r>
        <w:fldChar w:fldCharType="begin"/>
      </w:r>
      <w:r>
        <w:instrText xml:space="preserve"> PAGEREF _Toc116993083 \h </w:instrText>
      </w:r>
      <w:r>
        <w:fldChar w:fldCharType="separate"/>
      </w:r>
      <w:r>
        <w:t>133</w:t>
      </w:r>
      <w:r>
        <w:fldChar w:fldCharType="end"/>
      </w:r>
      <w:r>
        <w:fldChar w:fldCharType="end"/>
      </w:r>
    </w:p>
    <w:p>
      <w:pPr>
        <w:pStyle w:val="23"/>
        <w:tabs>
          <w:tab w:val="left" w:pos="420"/>
          <w:tab w:val="right" w:leader="dot" w:pos="8947"/>
        </w:tabs>
        <w:rPr>
          <w:rFonts w:asciiTheme="minorHAnsi" w:hAnsiTheme="minorHAnsi" w:eastAsiaTheme="minorEastAsia" w:cstheme="minorBidi"/>
          <w:szCs w:val="22"/>
        </w:rPr>
      </w:pPr>
      <w:r>
        <w:fldChar w:fldCharType="begin"/>
      </w:r>
      <w:r>
        <w:instrText xml:space="preserve"> HYPERLINK \l "_Toc116993084" </w:instrText>
      </w:r>
      <w:r>
        <w:fldChar w:fldCharType="separate"/>
      </w:r>
      <w:r>
        <w:rPr>
          <w:rStyle w:val="34"/>
        </w:rPr>
        <w:t>9</w:t>
      </w:r>
      <w:r>
        <w:rPr>
          <w:rFonts w:asciiTheme="minorHAnsi" w:hAnsiTheme="minorHAnsi" w:eastAsiaTheme="minorEastAsia" w:cstheme="minorBidi"/>
          <w:szCs w:val="22"/>
        </w:rPr>
        <w:tab/>
      </w:r>
      <w:r>
        <w:rPr>
          <w:rStyle w:val="34"/>
          <w:rFonts w:hint="eastAsia"/>
        </w:rPr>
        <w:t>环境经济损益分析</w:t>
      </w:r>
      <w:r>
        <w:tab/>
      </w:r>
      <w:r>
        <w:fldChar w:fldCharType="begin"/>
      </w:r>
      <w:r>
        <w:instrText xml:space="preserve"> PAGEREF _Toc116993084 \h </w:instrText>
      </w:r>
      <w:r>
        <w:fldChar w:fldCharType="separate"/>
      </w:r>
      <w:r>
        <w:t>146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"_Toc116993085" </w:instrText>
      </w:r>
      <w:r>
        <w:fldChar w:fldCharType="separate"/>
      </w:r>
      <w:r>
        <w:rPr>
          <w:rStyle w:val="34"/>
        </w:rPr>
        <w:t>9.1</w:t>
      </w:r>
      <w:r>
        <w:rPr>
          <w:rFonts w:asciiTheme="minorHAnsi" w:hAnsiTheme="minorHAnsi" w:eastAsiaTheme="minorEastAsia" w:cstheme="minorBidi"/>
          <w:szCs w:val="22"/>
        </w:rPr>
        <w:tab/>
      </w:r>
      <w:r>
        <w:rPr>
          <w:rStyle w:val="34"/>
          <w:rFonts w:hint="eastAsia"/>
        </w:rPr>
        <w:t>环境保护估算</w:t>
      </w:r>
      <w:r>
        <w:tab/>
      </w:r>
      <w:r>
        <w:fldChar w:fldCharType="begin"/>
      </w:r>
      <w:r>
        <w:instrText xml:space="preserve"> PAGEREF _Toc116993085 \h </w:instrText>
      </w:r>
      <w:r>
        <w:fldChar w:fldCharType="separate"/>
      </w:r>
      <w:r>
        <w:t>146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"_Toc116993086" </w:instrText>
      </w:r>
      <w:r>
        <w:fldChar w:fldCharType="separate"/>
      </w:r>
      <w:r>
        <w:rPr>
          <w:rStyle w:val="34"/>
        </w:rPr>
        <w:t>9.2</w:t>
      </w:r>
      <w:r>
        <w:rPr>
          <w:rFonts w:asciiTheme="minorHAnsi" w:hAnsiTheme="minorHAnsi" w:eastAsiaTheme="minorEastAsia" w:cstheme="minorBidi"/>
          <w:szCs w:val="22"/>
        </w:rPr>
        <w:tab/>
      </w:r>
      <w:r>
        <w:rPr>
          <w:rStyle w:val="34"/>
          <w:rFonts w:hint="eastAsia"/>
        </w:rPr>
        <w:t>经济效益分析</w:t>
      </w:r>
      <w:r>
        <w:tab/>
      </w:r>
      <w:r>
        <w:fldChar w:fldCharType="begin"/>
      </w:r>
      <w:r>
        <w:instrText xml:space="preserve"> PAGEREF _Toc116993086 \h </w:instrText>
      </w:r>
      <w:r>
        <w:fldChar w:fldCharType="separate"/>
      </w:r>
      <w:r>
        <w:t>147</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"_Toc116993087" </w:instrText>
      </w:r>
      <w:r>
        <w:fldChar w:fldCharType="separate"/>
      </w:r>
      <w:r>
        <w:rPr>
          <w:rStyle w:val="34"/>
        </w:rPr>
        <w:t>9.3</w:t>
      </w:r>
      <w:r>
        <w:rPr>
          <w:rFonts w:asciiTheme="minorHAnsi" w:hAnsiTheme="minorHAnsi" w:eastAsiaTheme="minorEastAsia" w:cstheme="minorBidi"/>
          <w:szCs w:val="22"/>
        </w:rPr>
        <w:tab/>
      </w:r>
      <w:r>
        <w:rPr>
          <w:rStyle w:val="34"/>
          <w:rFonts w:hint="eastAsia"/>
        </w:rPr>
        <w:t>经济损益分析</w:t>
      </w:r>
      <w:r>
        <w:tab/>
      </w:r>
      <w:r>
        <w:fldChar w:fldCharType="begin"/>
      </w:r>
      <w:r>
        <w:instrText xml:space="preserve"> PAGEREF _Toc116993087 \h </w:instrText>
      </w:r>
      <w:r>
        <w:fldChar w:fldCharType="separate"/>
      </w:r>
      <w:r>
        <w:t>147</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"_Toc116993088" </w:instrText>
      </w:r>
      <w:r>
        <w:fldChar w:fldCharType="separate"/>
      </w:r>
      <w:r>
        <w:rPr>
          <w:rStyle w:val="34"/>
        </w:rPr>
        <w:t>9.4</w:t>
      </w:r>
      <w:r>
        <w:rPr>
          <w:rFonts w:asciiTheme="minorHAnsi" w:hAnsiTheme="minorHAnsi" w:eastAsiaTheme="minorEastAsia" w:cstheme="minorBidi"/>
          <w:szCs w:val="22"/>
        </w:rPr>
        <w:tab/>
      </w:r>
      <w:r>
        <w:rPr>
          <w:rStyle w:val="34"/>
          <w:rFonts w:hint="eastAsia"/>
        </w:rPr>
        <w:t>综合评价</w:t>
      </w:r>
      <w:r>
        <w:tab/>
      </w:r>
      <w:r>
        <w:fldChar w:fldCharType="begin"/>
      </w:r>
      <w:r>
        <w:instrText xml:space="preserve"> PAGEREF _Toc116993088 \h </w:instrText>
      </w:r>
      <w:r>
        <w:fldChar w:fldCharType="separate"/>
      </w:r>
      <w:r>
        <w:t>148</w:t>
      </w:r>
      <w:r>
        <w:fldChar w:fldCharType="end"/>
      </w:r>
      <w:r>
        <w:fldChar w:fldCharType="end"/>
      </w:r>
    </w:p>
    <w:p>
      <w:pPr>
        <w:pStyle w:val="23"/>
        <w:tabs>
          <w:tab w:val="left" w:pos="840"/>
          <w:tab w:val="right" w:leader="dot" w:pos="8947"/>
        </w:tabs>
        <w:rPr>
          <w:rFonts w:asciiTheme="minorHAnsi" w:hAnsiTheme="minorHAnsi" w:eastAsiaTheme="minorEastAsia" w:cstheme="minorBidi"/>
          <w:szCs w:val="22"/>
        </w:rPr>
      </w:pPr>
      <w:r>
        <w:fldChar w:fldCharType="begin"/>
      </w:r>
      <w:r>
        <w:instrText xml:space="preserve"> HYPERLINK \l "_Toc116993089" </w:instrText>
      </w:r>
      <w:r>
        <w:fldChar w:fldCharType="separate"/>
      </w:r>
      <w:r>
        <w:rPr>
          <w:rStyle w:val="34"/>
        </w:rPr>
        <w:t>10</w:t>
      </w:r>
      <w:r>
        <w:rPr>
          <w:rFonts w:asciiTheme="minorHAnsi" w:hAnsiTheme="minorHAnsi" w:eastAsiaTheme="minorEastAsia" w:cstheme="minorBidi"/>
          <w:szCs w:val="22"/>
        </w:rPr>
        <w:tab/>
      </w:r>
      <w:r>
        <w:rPr>
          <w:rStyle w:val="34"/>
          <w:rFonts w:hint="eastAsia"/>
        </w:rPr>
        <w:t>环境管理与环境监测</w:t>
      </w:r>
      <w:r>
        <w:tab/>
      </w:r>
      <w:r>
        <w:fldChar w:fldCharType="begin"/>
      </w:r>
      <w:r>
        <w:instrText xml:space="preserve"> PAGEREF _Toc116993089 \h </w:instrText>
      </w:r>
      <w:r>
        <w:fldChar w:fldCharType="separate"/>
      </w:r>
      <w:r>
        <w:t>149</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"_Toc116993090" </w:instrText>
      </w:r>
      <w:r>
        <w:fldChar w:fldCharType="separate"/>
      </w:r>
      <w:r>
        <w:rPr>
          <w:rStyle w:val="34"/>
        </w:rPr>
        <w:t>10.1</w:t>
      </w:r>
      <w:r>
        <w:rPr>
          <w:rFonts w:asciiTheme="minorHAnsi" w:hAnsiTheme="minorHAnsi" w:eastAsiaTheme="minorEastAsia" w:cstheme="minorBidi"/>
          <w:szCs w:val="22"/>
        </w:rPr>
        <w:tab/>
      </w:r>
      <w:r>
        <w:rPr>
          <w:rStyle w:val="34"/>
          <w:rFonts w:hint="eastAsia"/>
        </w:rPr>
        <w:t>环境管理</w:t>
      </w:r>
      <w:r>
        <w:tab/>
      </w:r>
      <w:r>
        <w:fldChar w:fldCharType="begin"/>
      </w:r>
      <w:r>
        <w:instrText xml:space="preserve"> PAGEREF _Toc116993090 \h </w:instrText>
      </w:r>
      <w:r>
        <w:fldChar w:fldCharType="separate"/>
      </w:r>
      <w:r>
        <w:t>149</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"_Toc116993091" </w:instrText>
      </w:r>
      <w:r>
        <w:fldChar w:fldCharType="separate"/>
      </w:r>
      <w:r>
        <w:rPr>
          <w:rStyle w:val="34"/>
        </w:rPr>
        <w:t>10.2</w:t>
      </w:r>
      <w:r>
        <w:rPr>
          <w:rFonts w:asciiTheme="minorHAnsi" w:hAnsiTheme="minorHAnsi" w:eastAsiaTheme="minorEastAsia" w:cstheme="minorBidi"/>
          <w:szCs w:val="22"/>
        </w:rPr>
        <w:tab/>
      </w:r>
      <w:r>
        <w:rPr>
          <w:rStyle w:val="34"/>
          <w:rFonts w:hint="eastAsia"/>
        </w:rPr>
        <w:t>环境监测计划</w:t>
      </w:r>
      <w:r>
        <w:tab/>
      </w:r>
      <w:r>
        <w:fldChar w:fldCharType="begin"/>
      </w:r>
      <w:r>
        <w:instrText xml:space="preserve"> PAGEREF _Toc116993091 \h </w:instrText>
      </w:r>
      <w:r>
        <w:fldChar w:fldCharType="separate"/>
      </w:r>
      <w:r>
        <w:t>150</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"_Toc116993092" </w:instrText>
      </w:r>
      <w:r>
        <w:fldChar w:fldCharType="separate"/>
      </w:r>
      <w:r>
        <w:rPr>
          <w:rStyle w:val="34"/>
        </w:rPr>
        <w:t>10.3</w:t>
      </w:r>
      <w:r>
        <w:rPr>
          <w:rFonts w:asciiTheme="minorHAnsi" w:hAnsiTheme="minorHAnsi" w:eastAsiaTheme="minorEastAsia" w:cstheme="minorBidi"/>
          <w:szCs w:val="22"/>
        </w:rPr>
        <w:tab/>
      </w:r>
      <w:r>
        <w:rPr>
          <w:rStyle w:val="34"/>
          <w:rFonts w:hint="eastAsia"/>
        </w:rPr>
        <w:t>排污口设置及规范化管理</w:t>
      </w:r>
      <w:r>
        <w:tab/>
      </w:r>
      <w:r>
        <w:fldChar w:fldCharType="begin"/>
      </w:r>
      <w:r>
        <w:instrText xml:space="preserve"> PAGEREF _Toc116993092 \h </w:instrText>
      </w:r>
      <w:r>
        <w:fldChar w:fldCharType="separate"/>
      </w:r>
      <w:r>
        <w:t>151</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"_Toc116993093" </w:instrText>
      </w:r>
      <w:r>
        <w:fldChar w:fldCharType="separate"/>
      </w:r>
      <w:r>
        <w:rPr>
          <w:rStyle w:val="34"/>
        </w:rPr>
        <w:t>10.4</w:t>
      </w:r>
      <w:r>
        <w:rPr>
          <w:rFonts w:asciiTheme="minorHAnsi" w:hAnsiTheme="minorHAnsi" w:eastAsiaTheme="minorEastAsia" w:cstheme="minorBidi"/>
          <w:szCs w:val="22"/>
        </w:rPr>
        <w:tab/>
      </w:r>
      <w:r>
        <w:rPr>
          <w:rStyle w:val="34"/>
          <w:rFonts w:hint="eastAsia"/>
        </w:rPr>
        <w:t>环保设施竣工验收</w:t>
      </w:r>
      <w:r>
        <w:tab/>
      </w:r>
      <w:r>
        <w:fldChar w:fldCharType="begin"/>
      </w:r>
      <w:r>
        <w:instrText xml:space="preserve"> PAGEREF _Toc116993093 \h </w:instrText>
      </w:r>
      <w:r>
        <w:fldChar w:fldCharType="separate"/>
      </w:r>
      <w:r>
        <w:t>153</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"_Toc116993094" </w:instrText>
      </w:r>
      <w:r>
        <w:fldChar w:fldCharType="separate"/>
      </w:r>
      <w:r>
        <w:rPr>
          <w:rStyle w:val="34"/>
        </w:rPr>
        <w:t>10.5</w:t>
      </w:r>
      <w:r>
        <w:rPr>
          <w:rFonts w:asciiTheme="minorHAnsi" w:hAnsiTheme="minorHAnsi" w:eastAsiaTheme="minorEastAsia" w:cstheme="minorBidi"/>
          <w:szCs w:val="22"/>
        </w:rPr>
        <w:tab/>
      </w:r>
      <w:r>
        <w:rPr>
          <w:rStyle w:val="34"/>
          <w:rFonts w:hint="eastAsia"/>
        </w:rPr>
        <w:t>与排污许可制度衔接</w:t>
      </w:r>
      <w:r>
        <w:tab/>
      </w:r>
      <w:r>
        <w:fldChar w:fldCharType="begin"/>
      </w:r>
      <w:r>
        <w:instrText xml:space="preserve"> PAGEREF _Toc116993094 \h </w:instrText>
      </w:r>
      <w:r>
        <w:fldChar w:fldCharType="separate"/>
      </w:r>
      <w:r>
        <w:t>155</w:t>
      </w:r>
      <w:r>
        <w:fldChar w:fldCharType="end"/>
      </w:r>
      <w:r>
        <w:fldChar w:fldCharType="end"/>
      </w:r>
    </w:p>
    <w:p>
      <w:pPr>
        <w:pStyle w:val="25"/>
        <w:tabs>
          <w:tab w:val="left" w:pos="1260"/>
          <w:tab w:val="right" w:leader="dot" w:pos="8947"/>
        </w:tabs>
        <w:rPr>
          <w:rFonts w:asciiTheme="minorHAnsi" w:hAnsiTheme="minorHAnsi" w:eastAsiaTheme="minorEastAsia" w:cstheme="minorBidi"/>
          <w:szCs w:val="22"/>
        </w:rPr>
      </w:pPr>
      <w:r>
        <w:fldChar w:fldCharType="begin"/>
      </w:r>
      <w:r>
        <w:instrText xml:space="preserve"> HYPERLINK \l "_Toc116993095" </w:instrText>
      </w:r>
      <w:r>
        <w:fldChar w:fldCharType="separate"/>
      </w:r>
      <w:r>
        <w:rPr>
          <w:rStyle w:val="34"/>
        </w:rPr>
        <w:t>10.6</w:t>
      </w:r>
      <w:r>
        <w:rPr>
          <w:rFonts w:asciiTheme="minorHAnsi" w:hAnsiTheme="minorHAnsi" w:eastAsiaTheme="minorEastAsia" w:cstheme="minorBidi"/>
          <w:szCs w:val="22"/>
        </w:rPr>
        <w:tab/>
      </w:r>
      <w:r>
        <w:rPr>
          <w:rStyle w:val="34"/>
          <w:rFonts w:hint="eastAsia"/>
        </w:rPr>
        <w:t>社会公开的信息和要求</w:t>
      </w:r>
      <w:r>
        <w:tab/>
      </w:r>
      <w:r>
        <w:fldChar w:fldCharType="begin"/>
      </w:r>
      <w:r>
        <w:instrText xml:space="preserve"> PAGEREF _Toc116993095 \h </w:instrText>
      </w:r>
      <w:r>
        <w:fldChar w:fldCharType="separate"/>
      </w:r>
      <w:r>
        <w:t>155</w:t>
      </w:r>
      <w:r>
        <w:fldChar w:fldCharType="end"/>
      </w:r>
      <w:r>
        <w:fldChar w:fldCharType="end"/>
      </w:r>
    </w:p>
    <w:p>
      <w:pPr>
        <w:pStyle w:val="23"/>
        <w:tabs>
          <w:tab w:val="left" w:pos="840"/>
          <w:tab w:val="right" w:leader="dot" w:pos="8947"/>
        </w:tabs>
        <w:rPr>
          <w:rFonts w:asciiTheme="minorHAnsi" w:hAnsiTheme="minorHAnsi" w:eastAsiaTheme="minorEastAsia" w:cstheme="minorBidi"/>
          <w:szCs w:val="22"/>
        </w:rPr>
      </w:pPr>
      <w:r>
        <w:fldChar w:fldCharType="begin"/>
      </w:r>
      <w:r>
        <w:instrText xml:space="preserve"> HYPERLINK \l "_Toc116993096" </w:instrText>
      </w:r>
      <w:r>
        <w:fldChar w:fldCharType="separate"/>
      </w:r>
      <w:r>
        <w:rPr>
          <w:rStyle w:val="34"/>
        </w:rPr>
        <w:t>11</w:t>
      </w:r>
      <w:r>
        <w:rPr>
          <w:rFonts w:asciiTheme="minorHAnsi" w:hAnsiTheme="minorHAnsi" w:eastAsiaTheme="minorEastAsia" w:cstheme="minorBidi"/>
          <w:szCs w:val="22"/>
        </w:rPr>
        <w:tab/>
      </w:r>
      <w:r>
        <w:rPr>
          <w:rStyle w:val="34"/>
          <w:rFonts w:hint="eastAsia"/>
        </w:rPr>
        <w:t>结论及建议</w:t>
      </w:r>
      <w:r>
        <w:tab/>
      </w:r>
      <w:r>
        <w:fldChar w:fldCharType="begin"/>
      </w:r>
      <w:r>
        <w:instrText xml:space="preserve"> PAGEREF _Toc116993096 \h </w:instrText>
      </w:r>
      <w:r>
        <w:fldChar w:fldCharType="separate"/>
      </w:r>
      <w:r>
        <w:t>156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"_Toc116993097" </w:instrText>
      </w:r>
      <w:r>
        <w:fldChar w:fldCharType="separate"/>
      </w:r>
      <w:r>
        <w:rPr>
          <w:rStyle w:val="34"/>
        </w:rPr>
        <w:t>11.1</w:t>
      </w:r>
      <w:r>
        <w:rPr>
          <w:rFonts w:asciiTheme="minorHAnsi" w:hAnsiTheme="minorHAnsi" w:eastAsiaTheme="minorEastAsia" w:cstheme="minorBidi"/>
          <w:szCs w:val="22"/>
        </w:rPr>
        <w:tab/>
      </w:r>
      <w:r>
        <w:rPr>
          <w:rStyle w:val="34"/>
          <w:rFonts w:hint="eastAsia"/>
        </w:rPr>
        <w:t>项目概况</w:t>
      </w:r>
      <w:r>
        <w:tab/>
      </w:r>
      <w:r>
        <w:fldChar w:fldCharType="begin"/>
      </w:r>
      <w:r>
        <w:instrText xml:space="preserve"> PAGEREF _Toc116993097 \h </w:instrText>
      </w:r>
      <w:r>
        <w:fldChar w:fldCharType="separate"/>
      </w:r>
      <w:r>
        <w:t>156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"_Toc116993098" </w:instrText>
      </w:r>
      <w:r>
        <w:fldChar w:fldCharType="separate"/>
      </w:r>
      <w:r>
        <w:rPr>
          <w:rStyle w:val="34"/>
        </w:rPr>
        <w:t>11.2</w:t>
      </w:r>
      <w:r>
        <w:rPr>
          <w:rFonts w:asciiTheme="minorHAnsi" w:hAnsiTheme="minorHAnsi" w:eastAsiaTheme="minorEastAsia" w:cstheme="minorBidi"/>
          <w:szCs w:val="22"/>
        </w:rPr>
        <w:tab/>
      </w:r>
      <w:r>
        <w:rPr>
          <w:rStyle w:val="34"/>
          <w:rFonts w:hint="eastAsia"/>
        </w:rPr>
        <w:t>环境质量现状</w:t>
      </w:r>
      <w:r>
        <w:tab/>
      </w:r>
      <w:r>
        <w:fldChar w:fldCharType="begin"/>
      </w:r>
      <w:r>
        <w:instrText xml:space="preserve"> PAGEREF _Toc116993098 \h </w:instrText>
      </w:r>
      <w:r>
        <w:fldChar w:fldCharType="separate"/>
      </w:r>
      <w:r>
        <w:t>156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"_Toc116993099" </w:instrText>
      </w:r>
      <w:r>
        <w:fldChar w:fldCharType="separate"/>
      </w:r>
      <w:r>
        <w:rPr>
          <w:rStyle w:val="34"/>
        </w:rPr>
        <w:t>11.3</w:t>
      </w:r>
      <w:r>
        <w:rPr>
          <w:rFonts w:asciiTheme="minorHAnsi" w:hAnsiTheme="minorHAnsi" w:eastAsiaTheme="minorEastAsia" w:cstheme="minorBidi"/>
          <w:szCs w:val="22"/>
        </w:rPr>
        <w:tab/>
      </w:r>
      <w:r>
        <w:rPr>
          <w:rStyle w:val="34"/>
          <w:rFonts w:hint="eastAsia"/>
        </w:rPr>
        <w:t>主要环境影响评价结论</w:t>
      </w:r>
      <w:r>
        <w:tab/>
      </w:r>
      <w:r>
        <w:fldChar w:fldCharType="begin"/>
      </w:r>
      <w:r>
        <w:instrText xml:space="preserve"> PAGEREF _Toc116993099 \h </w:instrText>
      </w:r>
      <w:r>
        <w:fldChar w:fldCharType="separate"/>
      </w:r>
      <w:r>
        <w:t>156</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"_Toc116993100" </w:instrText>
      </w:r>
      <w:r>
        <w:fldChar w:fldCharType="separate"/>
      </w:r>
      <w:r>
        <w:rPr>
          <w:rStyle w:val="34"/>
        </w:rPr>
        <w:t>11.4</w:t>
      </w:r>
      <w:r>
        <w:rPr>
          <w:rFonts w:asciiTheme="minorHAnsi" w:hAnsiTheme="minorHAnsi" w:eastAsiaTheme="minorEastAsia" w:cstheme="minorBidi"/>
          <w:szCs w:val="22"/>
        </w:rPr>
        <w:tab/>
      </w:r>
      <w:r>
        <w:rPr>
          <w:rStyle w:val="34"/>
          <w:rFonts w:hint="eastAsia"/>
        </w:rPr>
        <w:t>总量控制</w:t>
      </w:r>
      <w:r>
        <w:tab/>
      </w:r>
      <w:r>
        <w:fldChar w:fldCharType="begin"/>
      </w:r>
      <w:r>
        <w:instrText xml:space="preserve"> PAGEREF _Toc116993100 \h </w:instrText>
      </w:r>
      <w:r>
        <w:fldChar w:fldCharType="separate"/>
      </w:r>
      <w:r>
        <w:t>158</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"_Toc116993101" </w:instrText>
      </w:r>
      <w:r>
        <w:fldChar w:fldCharType="separate"/>
      </w:r>
      <w:r>
        <w:rPr>
          <w:rStyle w:val="34"/>
        </w:rPr>
        <w:t>11.5</w:t>
      </w:r>
      <w:r>
        <w:rPr>
          <w:rFonts w:asciiTheme="minorHAnsi" w:hAnsiTheme="minorHAnsi" w:eastAsiaTheme="minorEastAsia" w:cstheme="minorBidi"/>
          <w:szCs w:val="22"/>
        </w:rPr>
        <w:tab/>
      </w:r>
      <w:r>
        <w:rPr>
          <w:rStyle w:val="34"/>
          <w:rFonts w:hint="eastAsia"/>
        </w:rPr>
        <w:t>产业政策及选址符合性</w:t>
      </w:r>
      <w:r>
        <w:tab/>
      </w:r>
      <w:r>
        <w:fldChar w:fldCharType="begin"/>
      </w:r>
      <w:r>
        <w:instrText xml:space="preserve"> PAGEREF _Toc116993101 \h </w:instrText>
      </w:r>
      <w:r>
        <w:fldChar w:fldCharType="separate"/>
      </w:r>
      <w:r>
        <w:t>158</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"_Toc116993102" </w:instrText>
      </w:r>
      <w:r>
        <w:fldChar w:fldCharType="separate"/>
      </w:r>
      <w:r>
        <w:rPr>
          <w:rStyle w:val="34"/>
        </w:rPr>
        <w:t>11.6</w:t>
      </w:r>
      <w:r>
        <w:rPr>
          <w:rFonts w:asciiTheme="minorHAnsi" w:hAnsiTheme="minorHAnsi" w:eastAsiaTheme="minorEastAsia" w:cstheme="minorBidi"/>
          <w:szCs w:val="22"/>
        </w:rPr>
        <w:tab/>
      </w:r>
      <w:r>
        <w:rPr>
          <w:rStyle w:val="34"/>
          <w:rFonts w:hint="eastAsia"/>
        </w:rPr>
        <w:t>项目制约因素及解决办法</w:t>
      </w:r>
      <w:r>
        <w:tab/>
      </w:r>
      <w:r>
        <w:fldChar w:fldCharType="begin"/>
      </w:r>
      <w:r>
        <w:instrText xml:space="preserve"> PAGEREF _Toc116993102 \h </w:instrText>
      </w:r>
      <w:r>
        <w:fldChar w:fldCharType="separate"/>
      </w:r>
      <w:r>
        <w:t>158</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"_Toc116993103" </w:instrText>
      </w:r>
      <w:r>
        <w:fldChar w:fldCharType="separate"/>
      </w:r>
      <w:r>
        <w:rPr>
          <w:rStyle w:val="34"/>
        </w:rPr>
        <w:t>11.7</w:t>
      </w:r>
      <w:r>
        <w:rPr>
          <w:rFonts w:asciiTheme="minorHAnsi" w:hAnsiTheme="minorHAnsi" w:eastAsiaTheme="minorEastAsia" w:cstheme="minorBidi"/>
          <w:szCs w:val="22"/>
        </w:rPr>
        <w:tab/>
      </w:r>
      <w:r>
        <w:rPr>
          <w:rStyle w:val="34"/>
          <w:rFonts w:hint="eastAsia"/>
        </w:rPr>
        <w:t>公众参与结论</w:t>
      </w:r>
      <w:r>
        <w:tab/>
      </w:r>
      <w:r>
        <w:fldChar w:fldCharType="begin"/>
      </w:r>
      <w:r>
        <w:instrText xml:space="preserve"> PAGEREF _Toc116993103 \h </w:instrText>
      </w:r>
      <w:r>
        <w:fldChar w:fldCharType="separate"/>
      </w:r>
      <w:r>
        <w:t>159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"_Toc116993104" </w:instrText>
      </w:r>
      <w:r>
        <w:fldChar w:fldCharType="separate"/>
      </w:r>
      <w:r>
        <w:rPr>
          <w:rStyle w:val="34"/>
        </w:rPr>
        <w:t>11.8</w:t>
      </w:r>
      <w:r>
        <w:rPr>
          <w:rFonts w:asciiTheme="minorHAnsi" w:hAnsiTheme="minorHAnsi" w:eastAsiaTheme="minorEastAsia" w:cstheme="minorBidi"/>
          <w:szCs w:val="22"/>
        </w:rPr>
        <w:tab/>
      </w:r>
      <w:r>
        <w:rPr>
          <w:rStyle w:val="34"/>
          <w:rFonts w:hint="eastAsia"/>
        </w:rPr>
        <w:t>评价总体结论</w:t>
      </w:r>
      <w:r>
        <w:tab/>
      </w:r>
      <w:r>
        <w:fldChar w:fldCharType="begin"/>
      </w:r>
      <w:r>
        <w:instrText xml:space="preserve"> PAGEREF _Toc116993104 \h </w:instrText>
      </w:r>
      <w:r>
        <w:fldChar w:fldCharType="separate"/>
      </w:r>
      <w:r>
        <w:t>159</w:t>
      </w:r>
      <w:r>
        <w:fldChar w:fldCharType="end"/>
      </w:r>
      <w:r>
        <w:fldChar w:fldCharType="end"/>
      </w:r>
    </w:p>
    <w:p>
      <w:pPr>
        <w:pStyle w:val="25"/>
        <w:tabs>
          <w:tab w:val="left" w:pos="1050"/>
          <w:tab w:val="right" w:leader="dot" w:pos="8947"/>
        </w:tabs>
        <w:rPr>
          <w:rFonts w:asciiTheme="minorHAnsi" w:hAnsiTheme="minorHAnsi" w:eastAsiaTheme="minorEastAsia" w:cstheme="minorBidi"/>
          <w:szCs w:val="22"/>
        </w:rPr>
      </w:pPr>
      <w:r>
        <w:fldChar w:fldCharType="begin"/>
      </w:r>
      <w:r>
        <w:instrText xml:space="preserve"> HYPERLINK \l "_Toc116993105" </w:instrText>
      </w:r>
      <w:r>
        <w:fldChar w:fldCharType="separate"/>
      </w:r>
      <w:r>
        <w:rPr>
          <w:rStyle w:val="34"/>
        </w:rPr>
        <w:t>11.9</w:t>
      </w:r>
      <w:r>
        <w:rPr>
          <w:rFonts w:asciiTheme="minorHAnsi" w:hAnsiTheme="minorHAnsi" w:eastAsiaTheme="minorEastAsia" w:cstheme="minorBidi"/>
          <w:szCs w:val="22"/>
        </w:rPr>
        <w:tab/>
      </w:r>
      <w:r>
        <w:rPr>
          <w:rStyle w:val="34"/>
          <w:rFonts w:hint="eastAsia"/>
        </w:rPr>
        <w:t>建议</w:t>
      </w:r>
      <w:r>
        <w:tab/>
      </w:r>
      <w:r>
        <w:fldChar w:fldCharType="begin"/>
      </w:r>
      <w:r>
        <w:instrText xml:space="preserve"> PAGEREF _Toc116993105 \h </w:instrText>
      </w:r>
      <w:r>
        <w:fldChar w:fldCharType="separate"/>
      </w:r>
      <w:r>
        <w:t>159</w:t>
      </w:r>
      <w:r>
        <w:fldChar w:fldCharType="end"/>
      </w:r>
      <w:r>
        <w:fldChar w:fldCharType="end"/>
      </w:r>
    </w:p>
    <w:p>
      <w:pPr>
        <w:pStyle w:val="3"/>
        <w:ind w:firstLine="480"/>
        <w:sectPr>
          <w:headerReference r:id="rId5" w:type="default"/>
          <w:footerReference r:id="rId7" w:type="default"/>
          <w:headerReference r:id="rId6" w:type="even"/>
          <w:pgSz w:w="11906" w:h="16838"/>
          <w:pgMar w:top="1474" w:right="1361" w:bottom="1474" w:left="1588" w:header="851" w:footer="992" w:gutter="0"/>
          <w:cols w:space="425" w:num="1"/>
          <w:docGrid w:type="lines" w:linePitch="312" w:charSpace="0"/>
        </w:sectPr>
      </w:pPr>
      <w:r>
        <w:fldChar w:fldCharType="end"/>
      </w:r>
    </w:p>
    <w:p>
      <w:pPr>
        <w:pStyle w:val="3"/>
        <w:ind w:firstLine="0" w:firstLineChars="0"/>
        <w:rPr>
          <w:sz w:val="28"/>
          <w:szCs w:val="28"/>
        </w:rPr>
      </w:pPr>
      <w:r>
        <w:rPr>
          <w:rFonts w:hint="eastAsia"/>
          <w:sz w:val="28"/>
          <w:szCs w:val="28"/>
        </w:rPr>
        <w:t>附件：</w:t>
      </w:r>
    </w:p>
    <w:p>
      <w:pPr>
        <w:pStyle w:val="3"/>
        <w:ind w:firstLine="480"/>
        <w:rPr>
          <w:rFonts w:cs="Times New Roman"/>
        </w:rPr>
      </w:pPr>
      <w:r>
        <w:rPr>
          <w:rFonts w:cs="Times New Roman"/>
        </w:rPr>
        <w:t>附件1：评价委托书</w:t>
      </w:r>
    </w:p>
    <w:p>
      <w:pPr>
        <w:pStyle w:val="3"/>
        <w:ind w:firstLine="480"/>
        <w:rPr>
          <w:rFonts w:cs="Times New Roman"/>
        </w:rPr>
      </w:pPr>
      <w:r>
        <w:rPr>
          <w:rFonts w:cs="Times New Roman"/>
        </w:rPr>
        <w:t>附件2：营业执照</w:t>
      </w:r>
    </w:p>
    <w:p>
      <w:pPr>
        <w:pStyle w:val="3"/>
        <w:ind w:firstLine="480"/>
        <w:rPr>
          <w:rFonts w:cs="Times New Roman"/>
        </w:rPr>
      </w:pPr>
      <w:r>
        <w:rPr>
          <w:rFonts w:cs="Times New Roman"/>
        </w:rPr>
        <w:t>附件3：</w:t>
      </w:r>
      <w:r>
        <w:rPr>
          <w:rFonts w:hint="eastAsia" w:cs="Times New Roman"/>
        </w:rPr>
        <w:t>现有项目环评批复</w:t>
      </w:r>
    </w:p>
    <w:p>
      <w:pPr>
        <w:pStyle w:val="3"/>
        <w:ind w:firstLine="480"/>
        <w:rPr>
          <w:rFonts w:cs="Times New Roman"/>
        </w:rPr>
      </w:pPr>
      <w:r>
        <w:rPr>
          <w:rFonts w:cs="Times New Roman"/>
        </w:rPr>
        <w:t>附件4：</w:t>
      </w:r>
      <w:r>
        <w:rPr>
          <w:rFonts w:hint="eastAsia" w:cs="Times New Roman"/>
        </w:rPr>
        <w:t>关于申办集中屠宰的请示报告</w:t>
      </w:r>
    </w:p>
    <w:p>
      <w:pPr>
        <w:pStyle w:val="3"/>
        <w:ind w:firstLine="480"/>
        <w:rPr>
          <w:rFonts w:cs="Times New Roman"/>
        </w:rPr>
      </w:pPr>
      <w:r>
        <w:rPr>
          <w:rFonts w:hint="eastAsia" w:cs="Times New Roman"/>
        </w:rPr>
        <w:t>附件</w:t>
      </w:r>
      <w:r>
        <w:rPr>
          <w:rFonts w:cs="Times New Roman"/>
        </w:rPr>
        <w:t>5</w:t>
      </w:r>
      <w:r>
        <w:rPr>
          <w:rFonts w:hint="eastAsia" w:cs="Times New Roman"/>
        </w:rPr>
        <w:t>：关于同意衡阳县鸿福牛羊屠宰场屠宰资格备案登记批复</w:t>
      </w:r>
    </w:p>
    <w:p>
      <w:pPr>
        <w:pStyle w:val="3"/>
        <w:ind w:firstLine="480"/>
        <w:rPr>
          <w:rFonts w:cs="Times New Roman"/>
        </w:rPr>
      </w:pPr>
      <w:r>
        <w:rPr>
          <w:rFonts w:hint="eastAsia" w:cs="Times New Roman"/>
        </w:rPr>
        <w:t>附件6：经营权转让协议</w:t>
      </w:r>
    </w:p>
    <w:p>
      <w:pPr>
        <w:pStyle w:val="3"/>
        <w:ind w:firstLine="480"/>
        <w:rPr>
          <w:rFonts w:cs="Times New Roman"/>
          <w:lang w:bidi="ar"/>
        </w:rPr>
      </w:pPr>
      <w:r>
        <w:rPr>
          <w:rFonts w:hint="eastAsia" w:cs="Times New Roman"/>
          <w:lang w:bidi="ar"/>
        </w:rPr>
        <w:t>附件</w:t>
      </w:r>
      <w:r>
        <w:rPr>
          <w:rFonts w:cs="Times New Roman"/>
          <w:lang w:bidi="ar"/>
        </w:rPr>
        <w:t>7</w:t>
      </w:r>
      <w:r>
        <w:rPr>
          <w:rFonts w:hint="eastAsia" w:cs="Times New Roman"/>
          <w:lang w:bidi="ar"/>
        </w:rPr>
        <w:t>：个体工商户拟转型设立企业证明</w:t>
      </w:r>
    </w:p>
    <w:p>
      <w:pPr>
        <w:pStyle w:val="3"/>
        <w:ind w:firstLine="480"/>
        <w:rPr>
          <w:rFonts w:cs="Times New Roman"/>
          <w:lang w:bidi="ar"/>
        </w:rPr>
      </w:pPr>
      <w:r>
        <w:rPr>
          <w:rFonts w:hint="eastAsia" w:cs="Times New Roman"/>
          <w:lang w:bidi="ar"/>
        </w:rPr>
        <w:t>附件8：厂房租赁合同</w:t>
      </w:r>
    </w:p>
    <w:p>
      <w:pPr>
        <w:pStyle w:val="3"/>
        <w:ind w:firstLine="480"/>
        <w:rPr>
          <w:rFonts w:cs="Times New Roman"/>
          <w:lang w:bidi="ar"/>
        </w:rPr>
      </w:pPr>
      <w:r>
        <w:rPr>
          <w:rFonts w:hint="eastAsia" w:cs="Times New Roman"/>
          <w:lang w:bidi="ar"/>
        </w:rPr>
        <w:t>附件9：监测报告</w:t>
      </w:r>
    </w:p>
    <w:p>
      <w:pPr>
        <w:pStyle w:val="3"/>
        <w:ind w:firstLine="480"/>
        <w:rPr>
          <w:rFonts w:cs="Times New Roman"/>
          <w:lang w:bidi="ar"/>
        </w:rPr>
      </w:pPr>
      <w:r>
        <w:rPr>
          <w:rFonts w:hint="eastAsia" w:cs="Times New Roman"/>
          <w:lang w:bidi="ar"/>
        </w:rPr>
        <w:t>附件10：租赁协议</w:t>
      </w:r>
    </w:p>
    <w:p>
      <w:pPr>
        <w:pStyle w:val="3"/>
        <w:ind w:firstLine="480"/>
        <w:rPr>
          <w:rFonts w:cs="Times New Roman"/>
          <w:lang w:bidi="ar"/>
        </w:rPr>
      </w:pPr>
      <w:r>
        <w:rPr>
          <w:rFonts w:hint="eastAsia" w:cs="Times New Roman"/>
          <w:lang w:bidi="ar"/>
        </w:rPr>
        <w:t>附件11：执行标准的函</w:t>
      </w:r>
    </w:p>
    <w:p>
      <w:pPr>
        <w:pStyle w:val="3"/>
        <w:ind w:firstLine="480"/>
        <w:rPr>
          <w:rFonts w:cs="Times New Roman"/>
          <w:lang w:bidi="ar"/>
        </w:rPr>
      </w:pPr>
      <w:r>
        <w:rPr>
          <w:rFonts w:hint="eastAsia" w:cs="Times New Roman"/>
          <w:lang w:bidi="ar"/>
        </w:rPr>
        <w:t>附件12：粪污处理合作协议书</w:t>
      </w:r>
    </w:p>
    <w:p>
      <w:pPr>
        <w:pStyle w:val="3"/>
        <w:ind w:firstLine="480"/>
        <w:rPr>
          <w:rFonts w:cs="Times New Roman"/>
          <w:lang w:bidi="ar"/>
        </w:rPr>
      </w:pPr>
      <w:r>
        <w:rPr>
          <w:rFonts w:hint="eastAsia" w:cs="Times New Roman"/>
          <w:lang w:bidi="ar"/>
        </w:rPr>
        <w:t>附件13：衡阳县喜耕田有机肥厂粪污施用协议</w:t>
      </w:r>
    </w:p>
    <w:p>
      <w:pPr>
        <w:pStyle w:val="3"/>
        <w:ind w:firstLine="480"/>
        <w:rPr>
          <w:rFonts w:cs="Times New Roman"/>
          <w:lang w:bidi="ar"/>
        </w:rPr>
      </w:pPr>
      <w:r>
        <w:rPr>
          <w:rFonts w:hint="eastAsia" w:cs="Times New Roman"/>
          <w:lang w:bidi="ar"/>
        </w:rPr>
        <w:t>附件14：专家评审意见</w:t>
      </w:r>
    </w:p>
    <w:p>
      <w:pPr>
        <w:pStyle w:val="3"/>
        <w:ind w:firstLine="480"/>
        <w:rPr>
          <w:rFonts w:cs="Times New Roman"/>
          <w:lang w:bidi="ar"/>
        </w:rPr>
      </w:pPr>
      <w:r>
        <w:rPr>
          <w:rFonts w:hint="eastAsia" w:cs="Times New Roman"/>
          <w:lang w:bidi="ar"/>
        </w:rPr>
        <w:t>附件15：专家评审签到表</w:t>
      </w:r>
    </w:p>
    <w:p>
      <w:pPr>
        <w:pStyle w:val="3"/>
        <w:ind w:firstLine="480"/>
        <w:rPr>
          <w:rFonts w:cs="Times New Roman"/>
          <w:lang w:bidi="ar"/>
        </w:rPr>
      </w:pPr>
    </w:p>
    <w:p>
      <w:pPr>
        <w:pStyle w:val="3"/>
        <w:ind w:firstLine="0" w:firstLineChars="0"/>
        <w:rPr>
          <w:sz w:val="28"/>
          <w:szCs w:val="28"/>
        </w:rPr>
      </w:pPr>
      <w:r>
        <w:rPr>
          <w:rFonts w:hint="eastAsia"/>
          <w:sz w:val="28"/>
          <w:szCs w:val="28"/>
        </w:rPr>
        <w:t>附图：</w:t>
      </w:r>
    </w:p>
    <w:p>
      <w:pPr>
        <w:pStyle w:val="3"/>
        <w:ind w:firstLine="480"/>
        <w:rPr>
          <w:rFonts w:cs="Times New Roman"/>
        </w:rPr>
      </w:pPr>
      <w:r>
        <w:rPr>
          <w:rFonts w:cs="Times New Roman"/>
        </w:rPr>
        <w:t>附图1：</w:t>
      </w:r>
      <w:r>
        <w:rPr>
          <w:rFonts w:hint="eastAsia" w:cs="Times New Roman"/>
        </w:rPr>
        <w:t>项目</w:t>
      </w:r>
      <w:r>
        <w:rPr>
          <w:rFonts w:cs="Times New Roman"/>
        </w:rPr>
        <w:t>区域位置图</w:t>
      </w:r>
    </w:p>
    <w:p>
      <w:pPr>
        <w:pStyle w:val="3"/>
        <w:ind w:firstLine="480"/>
        <w:rPr>
          <w:rFonts w:cs="Times New Roman"/>
        </w:rPr>
      </w:pPr>
      <w:r>
        <w:rPr>
          <w:rFonts w:cs="Times New Roman"/>
        </w:rPr>
        <w:t>附图2：</w:t>
      </w:r>
      <w:r>
        <w:rPr>
          <w:rFonts w:hint="eastAsia" w:cs="Times New Roman"/>
        </w:rPr>
        <w:t>项目</w:t>
      </w:r>
      <w:r>
        <w:rPr>
          <w:rFonts w:cs="Times New Roman"/>
        </w:rPr>
        <w:t>总平面布置</w:t>
      </w:r>
      <w:r>
        <w:rPr>
          <w:rFonts w:hint="eastAsia" w:cs="Times New Roman"/>
        </w:rPr>
        <w:t>及雨污排放管网</w:t>
      </w:r>
      <w:r>
        <w:rPr>
          <w:rFonts w:cs="Times New Roman"/>
        </w:rPr>
        <w:t>图</w:t>
      </w:r>
    </w:p>
    <w:p>
      <w:pPr>
        <w:pStyle w:val="3"/>
        <w:ind w:firstLine="480"/>
        <w:rPr>
          <w:rFonts w:cs="Times New Roman"/>
        </w:rPr>
      </w:pPr>
      <w:r>
        <w:rPr>
          <w:rFonts w:cs="Times New Roman"/>
        </w:rPr>
        <w:t>附图</w:t>
      </w:r>
      <w:r>
        <w:rPr>
          <w:rFonts w:hint="eastAsia" w:cs="Times New Roman"/>
        </w:rPr>
        <w:t>3</w:t>
      </w:r>
      <w:r>
        <w:rPr>
          <w:rFonts w:cs="Times New Roman"/>
        </w:rPr>
        <w:t>：</w:t>
      </w:r>
      <w:r>
        <w:rPr>
          <w:rFonts w:hint="eastAsia" w:cs="Times New Roman"/>
        </w:rPr>
        <w:t>主要环境保护目标图</w:t>
      </w:r>
    </w:p>
    <w:p>
      <w:pPr>
        <w:pStyle w:val="3"/>
        <w:ind w:firstLine="480"/>
        <w:rPr>
          <w:rFonts w:cs="Times New Roman"/>
        </w:rPr>
      </w:pPr>
      <w:r>
        <w:rPr>
          <w:rFonts w:cs="Times New Roman"/>
        </w:rPr>
        <w:t>附图</w:t>
      </w:r>
      <w:r>
        <w:rPr>
          <w:rFonts w:hint="eastAsia" w:cs="Times New Roman"/>
        </w:rPr>
        <w:t>4</w:t>
      </w:r>
      <w:r>
        <w:rPr>
          <w:rFonts w:cs="Times New Roman"/>
        </w:rPr>
        <w:t>：</w:t>
      </w:r>
      <w:r>
        <w:rPr>
          <w:rFonts w:hint="eastAsia" w:cs="Times New Roman"/>
        </w:rPr>
        <w:t>项目区域地表水系图</w:t>
      </w:r>
    </w:p>
    <w:p>
      <w:pPr>
        <w:pStyle w:val="3"/>
        <w:ind w:firstLine="480"/>
        <w:rPr>
          <w:rFonts w:cs="Times New Roman"/>
        </w:rPr>
      </w:pPr>
      <w:r>
        <w:rPr>
          <w:rFonts w:cs="Times New Roman"/>
        </w:rPr>
        <w:t>附图</w:t>
      </w:r>
      <w:r>
        <w:rPr>
          <w:rFonts w:hint="eastAsia" w:cs="Times New Roman"/>
        </w:rPr>
        <w:t>5</w:t>
      </w:r>
      <w:r>
        <w:rPr>
          <w:rFonts w:cs="Times New Roman"/>
        </w:rPr>
        <w:t>：</w:t>
      </w:r>
      <w:r>
        <w:rPr>
          <w:rFonts w:hint="eastAsia" w:cs="Times New Roman"/>
        </w:rPr>
        <w:t>项目评价范围图</w:t>
      </w:r>
    </w:p>
    <w:p>
      <w:pPr>
        <w:pStyle w:val="3"/>
        <w:ind w:firstLine="480"/>
        <w:rPr>
          <w:rFonts w:cs="Times New Roman"/>
        </w:rPr>
      </w:pPr>
      <w:r>
        <w:rPr>
          <w:rFonts w:cs="Times New Roman"/>
        </w:rPr>
        <w:t>附图</w:t>
      </w:r>
      <w:r>
        <w:rPr>
          <w:rFonts w:hint="eastAsia" w:cs="Times New Roman"/>
        </w:rPr>
        <w:t>6</w:t>
      </w:r>
      <w:r>
        <w:rPr>
          <w:rFonts w:cs="Times New Roman"/>
        </w:rPr>
        <w:t>：</w:t>
      </w:r>
      <w:r>
        <w:rPr>
          <w:rFonts w:hint="eastAsia" w:cs="Times New Roman"/>
        </w:rPr>
        <w:t>项目</w:t>
      </w:r>
      <w:r>
        <w:rPr>
          <w:rFonts w:cs="Times New Roman"/>
          <w:kern w:val="0"/>
          <w:lang w:bidi="ar"/>
        </w:rPr>
        <w:t>卫生防护距离包络图</w:t>
      </w:r>
    </w:p>
    <w:p>
      <w:pPr>
        <w:pStyle w:val="3"/>
        <w:ind w:firstLine="480"/>
        <w:rPr>
          <w:rFonts w:cs="Times New Roman"/>
          <w:kern w:val="0"/>
          <w:lang w:bidi="ar"/>
        </w:rPr>
      </w:pPr>
      <w:r>
        <w:rPr>
          <w:rFonts w:cs="Times New Roman"/>
          <w:kern w:val="0"/>
          <w:lang w:bidi="ar"/>
        </w:rPr>
        <w:t>附图</w:t>
      </w:r>
      <w:r>
        <w:rPr>
          <w:rFonts w:hint="eastAsia" w:cs="Times New Roman"/>
          <w:kern w:val="0"/>
          <w:lang w:bidi="ar"/>
        </w:rPr>
        <w:t>7</w:t>
      </w:r>
      <w:r>
        <w:rPr>
          <w:rFonts w:cs="Times New Roman"/>
        </w:rPr>
        <w:t>：</w:t>
      </w:r>
      <w:r>
        <w:rPr>
          <w:rFonts w:hint="eastAsia" w:cs="Times New Roman"/>
        </w:rPr>
        <w:t>项目</w:t>
      </w:r>
      <w:r>
        <w:rPr>
          <w:rFonts w:cs="Times New Roman"/>
        </w:rPr>
        <w:t>环境质量现状监测布点图</w:t>
      </w:r>
    </w:p>
    <w:p>
      <w:pPr>
        <w:pStyle w:val="3"/>
        <w:ind w:firstLine="480"/>
        <w:rPr>
          <w:rFonts w:cs="Times New Roman"/>
          <w:kern w:val="0"/>
          <w:lang w:bidi="ar"/>
        </w:rPr>
      </w:pPr>
      <w:r>
        <w:rPr>
          <w:rFonts w:hint="eastAsia" w:cs="Times New Roman"/>
          <w:kern w:val="0"/>
          <w:lang w:bidi="ar"/>
        </w:rPr>
        <w:t>附图8：项目分区防渗图</w:t>
      </w:r>
    </w:p>
    <w:p>
      <w:pPr>
        <w:pStyle w:val="3"/>
        <w:ind w:firstLine="480"/>
        <w:rPr>
          <w:rFonts w:cs="Times New Roman"/>
          <w:kern w:val="0"/>
          <w:lang w:bidi="ar"/>
        </w:rPr>
        <w:sectPr>
          <w:footerReference r:id="rId8" w:type="default"/>
          <w:pgSz w:w="11906" w:h="16838"/>
          <w:pgMar w:top="1474" w:right="1361" w:bottom="1474" w:left="1588" w:header="851" w:footer="992" w:gutter="0"/>
          <w:pgNumType w:fmt="upperRoman"/>
          <w:cols w:space="425" w:num="1"/>
          <w:docGrid w:type="lines" w:linePitch="312" w:charSpace="0"/>
        </w:sectPr>
      </w:pPr>
      <w:r>
        <w:rPr>
          <w:rFonts w:hint="eastAsia" w:cs="Times New Roman"/>
          <w:kern w:val="0"/>
          <w:lang w:bidi="ar"/>
        </w:rPr>
        <w:t>附图9：</w:t>
      </w:r>
      <w:r>
        <w:rPr>
          <w:rFonts w:hint="eastAsia" w:cs="Times New Roman"/>
        </w:rPr>
        <w:t>项目</w:t>
      </w:r>
      <w:r>
        <w:rPr>
          <w:rFonts w:hint="eastAsia" w:cs="Times New Roman"/>
          <w:kern w:val="0"/>
          <w:lang w:bidi="ar"/>
        </w:rPr>
        <w:t>现场</w:t>
      </w:r>
      <w:r>
        <w:rPr>
          <w:rFonts w:cs="Times New Roman"/>
          <w:kern w:val="0"/>
          <w:lang w:bidi="ar"/>
        </w:rPr>
        <w:t>照片</w:t>
      </w:r>
    </w:p>
    <w:p>
      <w:pPr>
        <w:spacing w:line="360" w:lineRule="auto"/>
        <w:jc w:val="center"/>
        <w:rPr>
          <w:rFonts w:ascii="Times New Roman" w:hAnsi="Times New Roman"/>
          <w:color w:val="FF0000"/>
          <w:sz w:val="30"/>
          <w:szCs w:val="30"/>
          <w:u w:val="single"/>
        </w:rPr>
      </w:pPr>
      <w:r>
        <w:rPr>
          <w:rFonts w:hint="eastAsia" w:ascii="Times New Roman" w:hAnsi="Times New Roman"/>
          <w:color w:val="FF0000"/>
          <w:sz w:val="30"/>
          <w:szCs w:val="30"/>
          <w:u w:val="single"/>
        </w:rPr>
        <w:t>衡阳鸿福畜禽综合屠宰有限公司</w:t>
      </w:r>
    </w:p>
    <w:p>
      <w:pPr>
        <w:spacing w:line="360" w:lineRule="auto"/>
        <w:jc w:val="center"/>
        <w:rPr>
          <w:rFonts w:ascii="Times New Roman" w:hAnsi="Times New Roman"/>
          <w:color w:val="FF0000"/>
          <w:sz w:val="30"/>
          <w:szCs w:val="30"/>
          <w:u w:val="single"/>
        </w:rPr>
      </w:pPr>
      <w:r>
        <w:rPr>
          <w:rFonts w:hint="eastAsia" w:ascii="Times New Roman" w:hAnsi="Times New Roman"/>
          <w:color w:val="FF0000"/>
          <w:sz w:val="30"/>
          <w:szCs w:val="30"/>
          <w:u w:val="single"/>
        </w:rPr>
        <w:t>年屠宰肉牛1万头、家禽1000万只改扩建项目</w:t>
      </w:r>
    </w:p>
    <w:p>
      <w:pPr>
        <w:spacing w:line="360" w:lineRule="auto"/>
        <w:jc w:val="center"/>
        <w:rPr>
          <w:rFonts w:ascii="Times New Roman" w:hAnsi="Times New Roman"/>
          <w:color w:val="FF0000"/>
          <w:sz w:val="30"/>
          <w:szCs w:val="30"/>
        </w:rPr>
      </w:pPr>
      <w:r>
        <w:rPr>
          <w:rFonts w:hint="eastAsia" w:ascii="Times New Roman" w:hAnsi="Times New Roman"/>
          <w:color w:val="FF0000"/>
          <w:sz w:val="30"/>
          <w:szCs w:val="30"/>
          <w:u w:val="single"/>
        </w:rPr>
        <w:t>环境影响报告书</w:t>
      </w:r>
      <w:r>
        <w:rPr>
          <w:rFonts w:ascii="Times New Roman" w:hAnsi="Times New Roman"/>
          <w:color w:val="FF0000"/>
          <w:sz w:val="30"/>
          <w:szCs w:val="30"/>
        </w:rPr>
        <w:t>修改说明表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59"/>
        <w:gridCol w:w="3119"/>
        <w:gridCol w:w="3785"/>
        <w:gridCol w:w="1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Align w:val="center"/>
          </w:tcPr>
          <w:p>
            <w:pPr>
              <w:jc w:val="center"/>
              <w:rPr>
                <w:rFonts w:ascii="Times New Roman" w:hAnsi="Times New Roman"/>
                <w:color w:val="FF0000"/>
              </w:rPr>
            </w:pPr>
            <w:r>
              <w:rPr>
                <w:rFonts w:ascii="Times New Roman" w:hAnsi="Times New Roman"/>
                <w:color w:val="FF0000"/>
              </w:rPr>
              <w:t>序号</w:t>
            </w:r>
          </w:p>
        </w:tc>
        <w:tc>
          <w:tcPr>
            <w:tcW w:w="1737" w:type="pct"/>
            <w:vAlign w:val="center"/>
          </w:tcPr>
          <w:p>
            <w:pPr>
              <w:jc w:val="center"/>
              <w:rPr>
                <w:rFonts w:ascii="Times New Roman" w:hAnsi="Times New Roman"/>
                <w:color w:val="FF0000"/>
              </w:rPr>
            </w:pPr>
            <w:r>
              <w:rPr>
                <w:rFonts w:ascii="Times New Roman" w:hAnsi="Times New Roman"/>
                <w:color w:val="FF0000"/>
              </w:rPr>
              <w:t>评审意见</w:t>
            </w:r>
          </w:p>
        </w:tc>
        <w:tc>
          <w:tcPr>
            <w:tcW w:w="2108" w:type="pct"/>
            <w:vAlign w:val="center"/>
          </w:tcPr>
          <w:p>
            <w:pPr>
              <w:jc w:val="center"/>
              <w:rPr>
                <w:rFonts w:ascii="Times New Roman" w:hAnsi="Times New Roman"/>
                <w:color w:val="FF0000"/>
              </w:rPr>
            </w:pPr>
            <w:r>
              <w:rPr>
                <w:rFonts w:ascii="Times New Roman" w:hAnsi="Times New Roman"/>
                <w:color w:val="FF0000"/>
              </w:rPr>
              <w:t>说  明</w:t>
            </w:r>
          </w:p>
        </w:tc>
        <w:tc>
          <w:tcPr>
            <w:tcW w:w="732" w:type="pct"/>
            <w:vAlign w:val="center"/>
          </w:tcPr>
          <w:p>
            <w:pPr>
              <w:jc w:val="center"/>
              <w:rPr>
                <w:rFonts w:ascii="Times New Roman" w:hAnsi="Times New Roman"/>
                <w:color w:val="FF0000"/>
              </w:rPr>
            </w:pPr>
            <w:r>
              <w:rPr>
                <w:rFonts w:ascii="Times New Roman" w:hAnsi="Times New Roman"/>
                <w:color w:val="FF0000"/>
              </w:rPr>
              <w:t>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ascii="Times New Roman" w:hAnsi="Times New Roman"/>
                <w:color w:val="FF0000"/>
              </w:rPr>
              <w:t>1</w:t>
            </w:r>
          </w:p>
        </w:tc>
        <w:tc>
          <w:tcPr>
            <w:tcW w:w="1737" w:type="pct"/>
            <w:vAlign w:val="center"/>
          </w:tcPr>
          <w:p>
            <w:pPr>
              <w:jc w:val="center"/>
              <w:rPr>
                <w:rFonts w:ascii="Times New Roman" w:hAnsi="Times New Roman"/>
                <w:color w:val="FF0000"/>
              </w:rPr>
            </w:pPr>
            <w:r>
              <w:rPr>
                <w:rFonts w:hint="eastAsia" w:ascii="Times New Roman" w:hAnsi="Times New Roman"/>
                <w:color w:val="FF0000"/>
              </w:rPr>
              <w:t>明确项目制约因素（项目废水量较大且去向难以控制、周边近距离分布有居民），提出妥善解决方案；</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已明确项目制约因素，并提出了解决办法</w:t>
            </w:r>
          </w:p>
        </w:tc>
        <w:tc>
          <w:tcPr>
            <w:tcW w:w="732" w:type="pct"/>
            <w:vAlign w:val="center"/>
          </w:tcPr>
          <w:p>
            <w:pPr>
              <w:jc w:val="center"/>
              <w:rPr>
                <w:rFonts w:ascii="Times New Roman" w:hAnsi="Times New Roman"/>
                <w:color w:val="FF0000"/>
              </w:rPr>
            </w:pPr>
            <w:r>
              <w:rPr>
                <w:rFonts w:hint="eastAsia" w:ascii="Times New Roman" w:hAnsi="Times New Roman"/>
                <w:color w:val="FF0000"/>
              </w:rPr>
              <w:t>P163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完善项目选址合理性分析；</w:t>
            </w:r>
          </w:p>
        </w:tc>
        <w:tc>
          <w:tcPr>
            <w:tcW w:w="2108" w:type="pct"/>
            <w:vAlign w:val="center"/>
          </w:tcPr>
          <w:p>
            <w:pPr>
              <w:jc w:val="center"/>
              <w:rPr>
                <w:rFonts w:ascii="Times New Roman" w:hAnsi="Times New Roman"/>
                <w:color w:val="FF0000"/>
              </w:rPr>
            </w:pPr>
            <w:r>
              <w:rPr>
                <w:rFonts w:hint="eastAsia" w:ascii="Times New Roman" w:hAnsi="Times New Roman"/>
                <w:color w:val="FF0000"/>
              </w:rPr>
              <w:t>已完善项目选址合理性分析</w:t>
            </w:r>
          </w:p>
        </w:tc>
        <w:tc>
          <w:tcPr>
            <w:tcW w:w="732" w:type="pct"/>
            <w:vAlign w:val="center"/>
          </w:tcPr>
          <w:p>
            <w:pPr>
              <w:jc w:val="center"/>
              <w:rPr>
                <w:rFonts w:ascii="Times New Roman" w:hAnsi="Times New Roman"/>
                <w:color w:val="FF0000"/>
              </w:rPr>
            </w:pPr>
            <w:r>
              <w:rPr>
                <w:rFonts w:hint="eastAsia" w:ascii="Times New Roman" w:hAnsi="Times New Roman"/>
                <w:color w:val="FF0000"/>
              </w:rPr>
              <w:t>P8-9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ascii="Times New Roman" w:hAnsi="Times New Roman"/>
                <w:color w:val="FF0000"/>
              </w:rPr>
              <w:t>2</w:t>
            </w:r>
          </w:p>
        </w:tc>
        <w:tc>
          <w:tcPr>
            <w:tcW w:w="1737" w:type="pct"/>
            <w:vAlign w:val="center"/>
          </w:tcPr>
          <w:p>
            <w:pPr>
              <w:jc w:val="center"/>
              <w:rPr>
                <w:rFonts w:ascii="Times New Roman" w:hAnsi="Times New Roman"/>
                <w:color w:val="FF0000"/>
              </w:rPr>
            </w:pPr>
            <w:r>
              <w:rPr>
                <w:rFonts w:hint="eastAsia" w:ascii="Times New Roman" w:hAnsi="Times New Roman"/>
                <w:color w:val="FF0000"/>
              </w:rPr>
              <w:t>补充相关附件</w:t>
            </w:r>
          </w:p>
        </w:tc>
        <w:tc>
          <w:tcPr>
            <w:tcW w:w="2108" w:type="pct"/>
            <w:vAlign w:val="center"/>
          </w:tcPr>
          <w:p>
            <w:pPr>
              <w:jc w:val="center"/>
              <w:rPr>
                <w:rFonts w:ascii="Times New Roman" w:hAnsi="Times New Roman"/>
                <w:color w:val="FF0000"/>
              </w:rPr>
            </w:pPr>
            <w:r>
              <w:rPr>
                <w:rFonts w:hint="eastAsia" w:ascii="Times New Roman" w:hAnsi="Times New Roman"/>
                <w:color w:val="FF0000"/>
              </w:rPr>
              <w:t>已补充完善相关附件内容</w:t>
            </w:r>
          </w:p>
        </w:tc>
        <w:tc>
          <w:tcPr>
            <w:tcW w:w="732" w:type="pct"/>
            <w:vAlign w:val="center"/>
          </w:tcPr>
          <w:p>
            <w:pPr>
              <w:jc w:val="center"/>
              <w:rPr>
                <w:rFonts w:ascii="Times New Roman" w:hAnsi="Times New Roman"/>
                <w:color w:val="FF0000"/>
              </w:rPr>
            </w:pPr>
            <w:r>
              <w:rPr>
                <w:rFonts w:hint="eastAsia" w:ascii="Times New Roman" w:hAnsi="Times New Roman"/>
                <w:color w:val="FF0000"/>
              </w:rPr>
              <w:t>详见附件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完善介绍现有工程环保手续（环评、应急预案备案、排污许可申领、竣工环保验收）履行情况</w:t>
            </w:r>
          </w:p>
        </w:tc>
        <w:tc>
          <w:tcPr>
            <w:tcW w:w="2108" w:type="pct"/>
            <w:vAlign w:val="center"/>
          </w:tcPr>
          <w:p>
            <w:pPr>
              <w:jc w:val="center"/>
              <w:rPr>
                <w:rFonts w:ascii="Times New Roman" w:hAnsi="Times New Roman"/>
                <w:color w:val="FF0000"/>
              </w:rPr>
            </w:pPr>
            <w:r>
              <w:rPr>
                <w:rFonts w:hint="eastAsia" w:ascii="Times New Roman" w:hAnsi="Times New Roman"/>
                <w:color w:val="FF0000"/>
              </w:rPr>
              <w:t>已完善</w:t>
            </w:r>
          </w:p>
        </w:tc>
        <w:tc>
          <w:tcPr>
            <w:tcW w:w="732" w:type="pct"/>
            <w:vAlign w:val="center"/>
          </w:tcPr>
          <w:p>
            <w:pPr>
              <w:jc w:val="center"/>
              <w:rPr>
                <w:rFonts w:ascii="Times New Roman" w:hAnsi="Times New Roman"/>
                <w:color w:val="FF0000"/>
              </w:rPr>
            </w:pPr>
            <w:r>
              <w:rPr>
                <w:rFonts w:hint="eastAsia" w:ascii="Times New Roman" w:hAnsi="Times New Roman"/>
                <w:color w:val="FF0000"/>
              </w:rPr>
              <w:t>P37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说明现有工程是否存在环保投诉</w:t>
            </w:r>
          </w:p>
        </w:tc>
        <w:tc>
          <w:tcPr>
            <w:tcW w:w="2108" w:type="pct"/>
            <w:vAlign w:val="center"/>
          </w:tcPr>
          <w:p>
            <w:pPr>
              <w:jc w:val="center"/>
              <w:rPr>
                <w:rFonts w:ascii="Times New Roman" w:hAnsi="Times New Roman"/>
                <w:color w:val="FF0000"/>
              </w:rPr>
            </w:pPr>
            <w:r>
              <w:rPr>
                <w:rFonts w:hint="eastAsia" w:ascii="Times New Roman" w:hAnsi="Times New Roman"/>
                <w:color w:val="FF0000"/>
              </w:rPr>
              <w:t>已说明</w:t>
            </w:r>
          </w:p>
        </w:tc>
        <w:tc>
          <w:tcPr>
            <w:tcW w:w="732" w:type="pct"/>
            <w:vAlign w:val="center"/>
          </w:tcPr>
          <w:p>
            <w:pPr>
              <w:jc w:val="center"/>
              <w:rPr>
                <w:rFonts w:ascii="Times New Roman" w:hAnsi="Times New Roman"/>
                <w:color w:val="FF0000"/>
              </w:rPr>
            </w:pPr>
            <w:r>
              <w:rPr>
                <w:rFonts w:hint="eastAsia" w:ascii="Times New Roman" w:hAnsi="Times New Roman"/>
                <w:color w:val="FF0000"/>
              </w:rPr>
              <w:t>P45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细化现有工程在废水处理、恶臭控制、地下水污染防治、固废管控等方面存在的环境问题，完善“以新带老”整改措施要求；</w:t>
            </w:r>
          </w:p>
        </w:tc>
        <w:tc>
          <w:tcPr>
            <w:tcW w:w="2108" w:type="pct"/>
            <w:vAlign w:val="center"/>
          </w:tcPr>
          <w:p>
            <w:pPr>
              <w:jc w:val="center"/>
              <w:rPr>
                <w:rFonts w:ascii="Times New Roman" w:hAnsi="Times New Roman"/>
                <w:color w:val="FF0000"/>
              </w:rPr>
            </w:pPr>
            <w:r>
              <w:rPr>
                <w:rFonts w:hint="eastAsia" w:ascii="Times New Roman" w:hAnsi="Times New Roman"/>
                <w:color w:val="FF0000"/>
              </w:rPr>
              <w:t>已细化现有工程废水处理、恶臭控制、地下水污染防治、固废管控等方面存在的环境问题，完善了“以新带老”整改措施要求</w:t>
            </w:r>
          </w:p>
        </w:tc>
        <w:tc>
          <w:tcPr>
            <w:tcW w:w="732" w:type="pct"/>
            <w:vAlign w:val="center"/>
          </w:tcPr>
          <w:p>
            <w:pPr>
              <w:jc w:val="center"/>
              <w:rPr>
                <w:rFonts w:ascii="Times New Roman" w:hAnsi="Times New Roman"/>
                <w:color w:val="FF0000"/>
              </w:rPr>
            </w:pPr>
            <w:r>
              <w:rPr>
                <w:rFonts w:hint="eastAsia" w:ascii="Times New Roman" w:hAnsi="Times New Roman"/>
                <w:color w:val="FF0000"/>
              </w:rPr>
              <w:t>P45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ascii="Times New Roman" w:hAnsi="Times New Roman"/>
                <w:color w:val="FF0000"/>
              </w:rPr>
              <w:t>3</w:t>
            </w:r>
          </w:p>
        </w:tc>
        <w:tc>
          <w:tcPr>
            <w:tcW w:w="1737" w:type="pct"/>
            <w:vAlign w:val="center"/>
          </w:tcPr>
          <w:p>
            <w:pPr>
              <w:jc w:val="center"/>
              <w:rPr>
                <w:rFonts w:ascii="Times New Roman" w:hAnsi="Times New Roman"/>
                <w:color w:val="FF0000"/>
              </w:rPr>
            </w:pPr>
            <w:r>
              <w:rPr>
                <w:rFonts w:hint="eastAsia" w:ascii="Times New Roman" w:hAnsi="Times New Roman"/>
                <w:color w:val="FF0000"/>
              </w:rPr>
              <w:t>根据相关规范核实本项目厂房、屠宰肉牛设备全部依托现有工程可行性；</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已核实依托现有屠宰肉牛设备的可行性</w:t>
            </w:r>
          </w:p>
        </w:tc>
        <w:tc>
          <w:tcPr>
            <w:tcW w:w="732" w:type="pct"/>
            <w:vAlign w:val="center"/>
          </w:tcPr>
          <w:p>
            <w:pPr>
              <w:jc w:val="center"/>
              <w:rPr>
                <w:rFonts w:ascii="Times New Roman" w:hAnsi="Times New Roman"/>
                <w:color w:val="FF0000"/>
              </w:rPr>
            </w:pPr>
            <w:r>
              <w:rPr>
                <w:rFonts w:hint="eastAsia" w:ascii="Times New Roman" w:hAnsi="Times New Roman"/>
                <w:color w:val="FF0000"/>
              </w:rPr>
              <w:t>P49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补充有机肥加工工程内容；</w:t>
            </w:r>
          </w:p>
        </w:tc>
        <w:tc>
          <w:tcPr>
            <w:tcW w:w="2108" w:type="pct"/>
            <w:vAlign w:val="center"/>
          </w:tcPr>
          <w:p>
            <w:pPr>
              <w:jc w:val="center"/>
              <w:rPr>
                <w:rFonts w:ascii="Times New Roman" w:hAnsi="Times New Roman"/>
                <w:color w:val="FF0000"/>
              </w:rPr>
            </w:pPr>
            <w:r>
              <w:rPr>
                <w:rFonts w:hint="eastAsia" w:ascii="Times New Roman" w:hAnsi="Times New Roman"/>
                <w:color w:val="FF0000"/>
              </w:rPr>
              <w:t>本项目不进行有机肥加工，本项目待宰间粪便、粪污处理系统的粪渣、沼渣均交由衡阳县喜耕田有机肥厂回收处理，衡阳县喜耕田有机肥厂租赁本项目区空置厂房用于粪污简单发酵处理。</w:t>
            </w:r>
          </w:p>
        </w:tc>
        <w:tc>
          <w:tcPr>
            <w:tcW w:w="732" w:type="pct"/>
            <w:vAlign w:val="center"/>
          </w:tcPr>
          <w:p>
            <w:pPr>
              <w:jc w:val="center"/>
              <w:rPr>
                <w:rFonts w:ascii="Times New Roman" w:hAnsi="Times New Roman"/>
                <w:color w:val="FF0000"/>
              </w:rPr>
            </w:pPr>
            <w:r>
              <w:rPr>
                <w:rFonts w:hint="eastAsia" w:ascii="Times New Roman" w:hAnsi="Times New Roman"/>
                <w:color w:val="FF0000"/>
              </w:rPr>
              <w:t>P48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Align w:val="center"/>
          </w:tcPr>
          <w:p>
            <w:pPr>
              <w:jc w:val="center"/>
              <w:rPr>
                <w:rFonts w:ascii="Times New Roman" w:hAnsi="Times New Roman"/>
                <w:color w:val="FF0000"/>
              </w:rPr>
            </w:pPr>
            <w:r>
              <w:rPr>
                <w:rFonts w:hint="eastAsia" w:ascii="Times New Roman" w:hAnsi="Times New Roman"/>
                <w:color w:val="FF0000"/>
              </w:rPr>
              <w:t>4</w:t>
            </w:r>
          </w:p>
        </w:tc>
        <w:tc>
          <w:tcPr>
            <w:tcW w:w="1737" w:type="pct"/>
            <w:vAlign w:val="center"/>
          </w:tcPr>
          <w:p>
            <w:pPr>
              <w:jc w:val="center"/>
              <w:rPr>
                <w:rFonts w:ascii="Times New Roman" w:hAnsi="Times New Roman"/>
                <w:color w:val="FF0000"/>
              </w:rPr>
            </w:pPr>
            <w:r>
              <w:rPr>
                <w:rFonts w:hint="eastAsia" w:ascii="Times New Roman" w:hAnsi="Times New Roman"/>
                <w:color w:val="FF0000"/>
              </w:rPr>
              <w:t>根据评价范围完善调查环保目标分布情况，核实区域地表水环境质量现状监测与评价；</w:t>
            </w:r>
          </w:p>
        </w:tc>
        <w:tc>
          <w:tcPr>
            <w:tcW w:w="2108" w:type="pct"/>
            <w:vAlign w:val="center"/>
          </w:tcPr>
          <w:p>
            <w:pPr>
              <w:jc w:val="center"/>
              <w:rPr>
                <w:rFonts w:ascii="Times New Roman" w:hAnsi="Times New Roman"/>
                <w:color w:val="FF0000"/>
              </w:rPr>
            </w:pPr>
            <w:r>
              <w:rPr>
                <w:rFonts w:hint="eastAsia" w:ascii="Times New Roman" w:hAnsi="Times New Roman"/>
                <w:color w:val="FF0000"/>
              </w:rPr>
              <w:t>已完善环保目标分布情况</w:t>
            </w:r>
          </w:p>
        </w:tc>
        <w:tc>
          <w:tcPr>
            <w:tcW w:w="732" w:type="pct"/>
            <w:vAlign w:val="center"/>
          </w:tcPr>
          <w:p>
            <w:pPr>
              <w:jc w:val="center"/>
              <w:rPr>
                <w:rFonts w:ascii="Times New Roman" w:hAnsi="Times New Roman"/>
                <w:color w:val="FF0000"/>
              </w:rPr>
            </w:pPr>
            <w:r>
              <w:rPr>
                <w:rFonts w:hint="eastAsia" w:ascii="Times New Roman" w:hAnsi="Times New Roman"/>
                <w:color w:val="FF0000"/>
              </w:rPr>
              <w:t>P36-37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Align w:val="center"/>
          </w:tcPr>
          <w:p>
            <w:pPr>
              <w:jc w:val="center"/>
              <w:rPr>
                <w:rFonts w:ascii="Times New Roman" w:hAnsi="Times New Roman"/>
                <w:color w:val="FF0000"/>
              </w:rPr>
            </w:pPr>
            <w:r>
              <w:rPr>
                <w:rFonts w:hint="eastAsia" w:ascii="Times New Roman" w:hAnsi="Times New Roman"/>
                <w:color w:val="FF0000"/>
              </w:rPr>
              <w:t>5</w:t>
            </w:r>
          </w:p>
        </w:tc>
        <w:tc>
          <w:tcPr>
            <w:tcW w:w="1737" w:type="pct"/>
            <w:vAlign w:val="center"/>
          </w:tcPr>
          <w:p>
            <w:pPr>
              <w:jc w:val="center"/>
              <w:rPr>
                <w:rFonts w:ascii="Times New Roman" w:hAnsi="Times New Roman"/>
                <w:color w:val="FF0000"/>
              </w:rPr>
            </w:pPr>
            <w:r>
              <w:rPr>
                <w:rFonts w:hint="eastAsia" w:ascii="Times New Roman" w:hAnsi="Times New Roman"/>
                <w:color w:val="FF0000"/>
              </w:rPr>
              <w:t>核实生产工艺流程与产排污节点图；</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P57-63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hint="eastAsia" w:ascii="Times New Roman" w:hAnsi="Times New Roman"/>
                <w:color w:val="FF0000"/>
              </w:rPr>
              <w:t>6</w:t>
            </w:r>
          </w:p>
        </w:tc>
        <w:tc>
          <w:tcPr>
            <w:tcW w:w="1737" w:type="pct"/>
            <w:vAlign w:val="center"/>
          </w:tcPr>
          <w:p>
            <w:pPr>
              <w:jc w:val="center"/>
              <w:rPr>
                <w:rFonts w:ascii="Times New Roman" w:hAnsi="Times New Roman"/>
                <w:color w:val="FF0000"/>
              </w:rPr>
            </w:pPr>
            <w:r>
              <w:rPr>
                <w:rFonts w:hint="eastAsia" w:ascii="Times New Roman" w:hAnsi="Times New Roman"/>
                <w:color w:val="FF0000"/>
              </w:rPr>
              <w:t>核实废水各类污染物产排浓度；</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P68-69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在考虑降水补给、种植轮作、非施肥期废水暂存、施肥期N/P营养平衡、土地承载力的基础上核实消污能力测算，项目废水量大，谨慎采用全部外委综合利用处理方案；</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已核实完善考虑降水补给、种植轮作、非施肥期废水暂存、施肥期N/P营养平衡、土地承载力的基础上消污能力测算，完善了废水外委的可行性</w:t>
            </w:r>
          </w:p>
        </w:tc>
        <w:tc>
          <w:tcPr>
            <w:tcW w:w="732" w:type="pct"/>
            <w:vAlign w:val="center"/>
          </w:tcPr>
          <w:p>
            <w:pPr>
              <w:jc w:val="center"/>
              <w:rPr>
                <w:rFonts w:ascii="Times New Roman" w:hAnsi="Times New Roman"/>
                <w:color w:val="FF0000"/>
              </w:rPr>
            </w:pPr>
            <w:r>
              <w:rPr>
                <w:rFonts w:hint="eastAsia" w:ascii="Times New Roman" w:hAnsi="Times New Roman"/>
                <w:color w:val="FF0000"/>
              </w:rPr>
              <w:t>P98-100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 xml:space="preserve">补充废水处理工艺相关参数，论证废水处理目标可达性 </w:t>
            </w:r>
          </w:p>
        </w:tc>
        <w:tc>
          <w:tcPr>
            <w:tcW w:w="2108" w:type="pct"/>
            <w:vAlign w:val="center"/>
          </w:tcPr>
          <w:p>
            <w:pPr>
              <w:jc w:val="center"/>
              <w:rPr>
                <w:rFonts w:ascii="Times New Roman" w:hAnsi="Times New Roman"/>
                <w:color w:val="FF0000"/>
              </w:rPr>
            </w:pPr>
            <w:r>
              <w:rPr>
                <w:rFonts w:hint="eastAsia" w:ascii="Times New Roman" w:hAnsi="Times New Roman"/>
                <w:color w:val="FF0000"/>
              </w:rPr>
              <w:t>已补充</w:t>
            </w:r>
          </w:p>
        </w:tc>
        <w:tc>
          <w:tcPr>
            <w:tcW w:w="732" w:type="pct"/>
            <w:vAlign w:val="center"/>
          </w:tcPr>
          <w:p>
            <w:pPr>
              <w:jc w:val="center"/>
              <w:rPr>
                <w:rFonts w:ascii="Times New Roman" w:hAnsi="Times New Roman"/>
                <w:color w:val="FF0000"/>
              </w:rPr>
            </w:pPr>
            <w:r>
              <w:rPr>
                <w:rFonts w:hint="eastAsia" w:ascii="Times New Roman" w:hAnsi="Times New Roman"/>
                <w:color w:val="FF0000"/>
              </w:rPr>
              <w:t>P139-142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补充厂区雨污分流管网图；</w:t>
            </w:r>
          </w:p>
        </w:tc>
        <w:tc>
          <w:tcPr>
            <w:tcW w:w="2108" w:type="pct"/>
            <w:vAlign w:val="center"/>
          </w:tcPr>
          <w:p>
            <w:pPr>
              <w:jc w:val="center"/>
              <w:rPr>
                <w:rFonts w:ascii="Times New Roman" w:hAnsi="Times New Roman"/>
                <w:color w:val="FF0000"/>
              </w:rPr>
            </w:pPr>
            <w:r>
              <w:rPr>
                <w:rFonts w:hint="eastAsia" w:ascii="Times New Roman" w:hAnsi="Times New Roman"/>
                <w:color w:val="FF0000"/>
              </w:rPr>
              <w:t>已补充</w:t>
            </w:r>
          </w:p>
        </w:tc>
        <w:tc>
          <w:tcPr>
            <w:tcW w:w="732" w:type="pct"/>
            <w:vAlign w:val="center"/>
          </w:tcPr>
          <w:p>
            <w:pPr>
              <w:jc w:val="center"/>
              <w:rPr>
                <w:rFonts w:ascii="Times New Roman" w:hAnsi="Times New Roman"/>
                <w:color w:val="FF0000"/>
              </w:rPr>
            </w:pPr>
            <w:r>
              <w:rPr>
                <w:rFonts w:hint="eastAsia" w:ascii="Times New Roman" w:hAnsi="Times New Roman"/>
                <w:color w:val="FF0000"/>
              </w:rPr>
              <w:t>详见附图2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强化项目分区防渗措施，补充分区防渗图；</w:t>
            </w:r>
          </w:p>
        </w:tc>
        <w:tc>
          <w:tcPr>
            <w:tcW w:w="2108" w:type="pct"/>
            <w:vAlign w:val="center"/>
          </w:tcPr>
          <w:p>
            <w:pPr>
              <w:jc w:val="center"/>
              <w:rPr>
                <w:rFonts w:ascii="Times New Roman" w:hAnsi="Times New Roman"/>
                <w:color w:val="FF0000"/>
              </w:rPr>
            </w:pPr>
            <w:r>
              <w:rPr>
                <w:rFonts w:hint="eastAsia" w:ascii="Times New Roman" w:hAnsi="Times New Roman"/>
                <w:color w:val="FF0000"/>
              </w:rPr>
              <w:t>已补充</w:t>
            </w:r>
          </w:p>
        </w:tc>
        <w:tc>
          <w:tcPr>
            <w:tcW w:w="732" w:type="pct"/>
            <w:vAlign w:val="center"/>
          </w:tcPr>
          <w:p>
            <w:pPr>
              <w:jc w:val="center"/>
              <w:rPr>
                <w:rFonts w:ascii="Times New Roman" w:hAnsi="Times New Roman"/>
                <w:color w:val="FF0000"/>
              </w:rPr>
            </w:pPr>
            <w:r>
              <w:rPr>
                <w:rFonts w:hint="eastAsia" w:ascii="Times New Roman" w:hAnsi="Times New Roman"/>
                <w:color w:val="FF0000"/>
              </w:rPr>
              <w:t>详见附图8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hint="eastAsia" w:ascii="Times New Roman" w:hAnsi="Times New Roman"/>
                <w:color w:val="FF0000"/>
              </w:rPr>
              <w:t>7</w:t>
            </w:r>
          </w:p>
        </w:tc>
        <w:tc>
          <w:tcPr>
            <w:tcW w:w="1737" w:type="pct"/>
            <w:vAlign w:val="center"/>
          </w:tcPr>
          <w:p>
            <w:pPr>
              <w:jc w:val="center"/>
              <w:rPr>
                <w:rFonts w:ascii="Times New Roman" w:hAnsi="Times New Roman"/>
                <w:color w:val="FF0000"/>
              </w:rPr>
            </w:pPr>
            <w:r>
              <w:rPr>
                <w:rFonts w:hint="eastAsia" w:ascii="Times New Roman" w:hAnsi="Times New Roman"/>
                <w:color w:val="FF0000"/>
              </w:rPr>
              <w:t>分别核实屠宰车间、待宰区、污水处理站恶臭源强依据，核实大气面源评价等级参数，大气预测应考虑地形，核实大气评价工作等级（可能是一级评价）；</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P30-32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对卫生防护距离内的居民给出解决方案；</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已提出解决方案</w:t>
            </w:r>
          </w:p>
        </w:tc>
        <w:tc>
          <w:tcPr>
            <w:tcW w:w="732" w:type="pct"/>
            <w:vAlign w:val="center"/>
          </w:tcPr>
          <w:p>
            <w:pPr>
              <w:jc w:val="center"/>
              <w:rPr>
                <w:rFonts w:ascii="Times New Roman" w:hAnsi="Times New Roman"/>
                <w:color w:val="FF0000"/>
              </w:rPr>
            </w:pPr>
            <w:r>
              <w:rPr>
                <w:rFonts w:hint="eastAsia" w:ascii="Times New Roman" w:hAnsi="Times New Roman"/>
                <w:color w:val="FF0000"/>
              </w:rPr>
              <w:t>P109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核实生物质成型燃烧锅炉污染物产排源强，核实废气收集方式、除尘效率；</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P69-70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对车间提出喷洒生物除臭剂要求；</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已提出要求</w:t>
            </w:r>
          </w:p>
        </w:tc>
        <w:tc>
          <w:tcPr>
            <w:tcW w:w="732" w:type="pct"/>
            <w:vAlign w:val="center"/>
          </w:tcPr>
          <w:p>
            <w:pPr>
              <w:jc w:val="center"/>
              <w:rPr>
                <w:rFonts w:ascii="Times New Roman" w:hAnsi="Times New Roman"/>
                <w:color w:val="FF0000"/>
              </w:rPr>
            </w:pPr>
            <w:r>
              <w:rPr>
                <w:rFonts w:hint="eastAsia" w:ascii="Times New Roman" w:hAnsi="Times New Roman"/>
                <w:color w:val="FF0000"/>
              </w:rPr>
              <w:t>P149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Align w:val="center"/>
          </w:tcPr>
          <w:p>
            <w:pPr>
              <w:jc w:val="center"/>
              <w:rPr>
                <w:rFonts w:ascii="Times New Roman" w:hAnsi="Times New Roman"/>
                <w:color w:val="FF0000"/>
              </w:rPr>
            </w:pPr>
            <w:r>
              <w:rPr>
                <w:rFonts w:hint="eastAsia" w:ascii="Times New Roman" w:hAnsi="Times New Roman"/>
                <w:color w:val="FF0000"/>
              </w:rPr>
              <w:t>8</w:t>
            </w:r>
          </w:p>
        </w:tc>
        <w:tc>
          <w:tcPr>
            <w:tcW w:w="1737" w:type="pct"/>
            <w:vAlign w:val="center"/>
          </w:tcPr>
          <w:p>
            <w:pPr>
              <w:jc w:val="center"/>
              <w:rPr>
                <w:rFonts w:ascii="Times New Roman" w:hAnsi="Times New Roman"/>
                <w:color w:val="FF0000"/>
              </w:rPr>
            </w:pPr>
            <w:r>
              <w:rPr>
                <w:rFonts w:hint="eastAsia" w:ascii="Times New Roman" w:hAnsi="Times New Roman"/>
                <w:color w:val="FF0000"/>
              </w:rPr>
              <w:t>核实病死禽类（肉牛）、不合格胴体产生量，补充分析沼渣产生量、处置去向；</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76-78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restart"/>
            <w:vAlign w:val="center"/>
          </w:tcPr>
          <w:p>
            <w:pPr>
              <w:jc w:val="center"/>
              <w:rPr>
                <w:rFonts w:ascii="Times New Roman" w:hAnsi="Times New Roman"/>
                <w:color w:val="FF0000"/>
              </w:rPr>
            </w:pPr>
            <w:r>
              <w:rPr>
                <w:rFonts w:hint="eastAsia" w:ascii="Times New Roman" w:hAnsi="Times New Roman"/>
                <w:color w:val="FF0000"/>
              </w:rPr>
              <w:t>9</w:t>
            </w:r>
          </w:p>
        </w:tc>
        <w:tc>
          <w:tcPr>
            <w:tcW w:w="1737" w:type="pct"/>
            <w:vAlign w:val="center"/>
          </w:tcPr>
          <w:p>
            <w:pPr>
              <w:jc w:val="center"/>
              <w:rPr>
                <w:rFonts w:ascii="Times New Roman" w:hAnsi="Times New Roman"/>
                <w:color w:val="FF0000"/>
              </w:rPr>
            </w:pPr>
            <w:r>
              <w:rPr>
                <w:rFonts w:hint="eastAsia" w:ascii="Times New Roman" w:hAnsi="Times New Roman"/>
                <w:color w:val="FF0000"/>
              </w:rPr>
              <w:t xml:space="preserve">根据排污许可规范核实环境监测计划，核实环保投资，完善竣工环保验收内容； </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已核实</w:t>
            </w:r>
          </w:p>
        </w:tc>
        <w:tc>
          <w:tcPr>
            <w:tcW w:w="732" w:type="pct"/>
            <w:vAlign w:val="center"/>
          </w:tcPr>
          <w:p>
            <w:pPr>
              <w:jc w:val="center"/>
              <w:rPr>
                <w:rFonts w:ascii="Times New Roman" w:hAnsi="Times New Roman"/>
                <w:color w:val="FF0000"/>
              </w:rPr>
            </w:pPr>
            <w:r>
              <w:rPr>
                <w:rFonts w:hint="eastAsia" w:ascii="Times New Roman" w:hAnsi="Times New Roman"/>
                <w:color w:val="FF0000"/>
              </w:rPr>
              <w:t>P149-150</w:t>
            </w:r>
          </w:p>
          <w:p>
            <w:pPr>
              <w:jc w:val="center"/>
              <w:rPr>
                <w:rFonts w:ascii="Times New Roman" w:hAnsi="Times New Roman"/>
                <w:color w:val="FF0000"/>
              </w:rPr>
            </w:pPr>
            <w:r>
              <w:rPr>
                <w:rFonts w:hint="eastAsia" w:ascii="Times New Roman" w:hAnsi="Times New Roman"/>
                <w:color w:val="FF0000"/>
              </w:rPr>
              <w:t>P153-154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 w:type="pct"/>
            <w:vMerge w:val="continue"/>
            <w:vAlign w:val="center"/>
          </w:tcPr>
          <w:p>
            <w:pPr>
              <w:jc w:val="center"/>
              <w:rPr>
                <w:rFonts w:ascii="Times New Roman" w:hAnsi="Times New Roman"/>
                <w:color w:val="FF0000"/>
              </w:rPr>
            </w:pPr>
          </w:p>
        </w:tc>
        <w:tc>
          <w:tcPr>
            <w:tcW w:w="1737" w:type="pct"/>
            <w:vAlign w:val="center"/>
          </w:tcPr>
          <w:p>
            <w:pPr>
              <w:jc w:val="center"/>
              <w:rPr>
                <w:rFonts w:ascii="Times New Roman" w:hAnsi="Times New Roman"/>
                <w:color w:val="FF0000"/>
              </w:rPr>
            </w:pPr>
            <w:r>
              <w:rPr>
                <w:rFonts w:hint="eastAsia" w:ascii="Times New Roman" w:hAnsi="Times New Roman"/>
                <w:color w:val="FF0000"/>
              </w:rPr>
              <w:t>规范附图“三要素”（比例尺、风玫瑰、图例）。</w:t>
            </w:r>
          </w:p>
        </w:tc>
        <w:tc>
          <w:tcPr>
            <w:tcW w:w="2108" w:type="pct"/>
            <w:vAlign w:val="center"/>
          </w:tcPr>
          <w:p>
            <w:pPr>
              <w:jc w:val="center"/>
              <w:rPr>
                <w:rFonts w:ascii="Times New Roman" w:hAnsi="Times New Roman"/>
                <w:color w:val="FF0000"/>
              </w:rPr>
            </w:pPr>
            <w:r>
              <w:rPr>
                <w:rFonts w:hint="eastAsia" w:ascii="Times New Roman" w:hAnsi="Times New Roman"/>
                <w:color w:val="FF0000"/>
              </w:rPr>
              <w:t>已按要求规范附图</w:t>
            </w:r>
          </w:p>
        </w:tc>
        <w:tc>
          <w:tcPr>
            <w:tcW w:w="732" w:type="pct"/>
            <w:vAlign w:val="center"/>
          </w:tcPr>
          <w:p>
            <w:pPr>
              <w:jc w:val="center"/>
              <w:rPr>
                <w:rFonts w:ascii="Times New Roman" w:hAnsi="Times New Roman"/>
                <w:color w:val="FF0000"/>
              </w:rPr>
            </w:pPr>
            <w:r>
              <w:rPr>
                <w:rFonts w:hint="eastAsia" w:ascii="Times New Roman" w:hAnsi="Times New Roman"/>
                <w:color w:val="FF0000"/>
              </w:rPr>
              <w:t>详见附图</w:t>
            </w:r>
          </w:p>
        </w:tc>
      </w:tr>
    </w:tbl>
    <w:p>
      <w:pPr>
        <w:pStyle w:val="3"/>
        <w:ind w:firstLine="0" w:firstLineChars="0"/>
        <w:rPr>
          <w:sz w:val="28"/>
          <w:szCs w:val="28"/>
        </w:rPr>
      </w:pPr>
    </w:p>
    <w:p>
      <w:pPr>
        <w:pStyle w:val="3"/>
        <w:ind w:firstLine="0" w:firstLineChars="0"/>
        <w:rPr>
          <w:sz w:val="28"/>
          <w:szCs w:val="28"/>
        </w:rPr>
        <w:sectPr>
          <w:pgSz w:w="11906" w:h="16838"/>
          <w:pgMar w:top="1474" w:right="1361" w:bottom="1474" w:left="1588" w:header="851" w:footer="992" w:gutter="0"/>
          <w:cols w:space="425" w:num="1"/>
          <w:docGrid w:type="lines" w:linePitch="312" w:charSpace="0"/>
        </w:sectPr>
      </w:pPr>
    </w:p>
    <w:p>
      <w:pPr>
        <w:pStyle w:val="2"/>
        <w:ind w:left="0"/>
      </w:pPr>
      <w:bookmarkStart w:id="0" w:name="_Toc116993046"/>
      <w:r>
        <w:rPr>
          <w:rFonts w:hint="eastAsia"/>
        </w:rPr>
        <w:t>概述</w:t>
      </w:r>
      <w:bookmarkEnd w:id="0"/>
    </w:p>
    <w:p>
      <w:pPr>
        <w:pStyle w:val="5"/>
      </w:pPr>
      <w:bookmarkStart w:id="1" w:name="_Toc116993047"/>
      <w:r>
        <w:rPr>
          <w:rFonts w:hint="eastAsia"/>
        </w:rPr>
        <w:t>项目</w:t>
      </w:r>
      <w:r>
        <w:t>由来</w:t>
      </w:r>
      <w:bookmarkEnd w:id="1"/>
    </w:p>
    <w:p>
      <w:pPr>
        <w:pStyle w:val="3"/>
        <w:ind w:firstLine="480"/>
      </w:pPr>
      <w:r>
        <w:rPr>
          <w:rFonts w:hint="eastAsia"/>
        </w:rPr>
        <w:t>湖南喜耕田农业科技发展有限公司在衡阳市衡阳县集兵镇建设一条年屠宰牛2000头、羊1000头，牛羊屠宰生产线，于2017年8月委托长沙振华环境保护开发有限公司承担《湖南喜耕田农业科技发展有限公司建设项目》的环境影响评价工作，并于2017年8月26日取得衡阳县环境保护局对其环评批复文件，文号为：蒸环评函[2017]38号（详见附件）。</w:t>
      </w:r>
    </w:p>
    <w:p>
      <w:pPr>
        <w:pStyle w:val="3"/>
        <w:ind w:firstLine="468"/>
        <w:rPr>
          <w:color w:val="FF0000"/>
        </w:rPr>
      </w:pPr>
      <w:r>
        <w:rPr>
          <w:rFonts w:eastAsiaTheme="minorEastAsia"/>
          <w:spacing w:val="-3"/>
          <w:szCs w:val="24"/>
          <w:lang w:val="zh-CN" w:bidi="zh-CN"/>
        </w:rPr>
        <w:t>2018年11月1日，湖南喜耕田农业科技发展有限公司将屠宰经营权转交</w:t>
      </w:r>
      <w:r>
        <w:rPr>
          <w:rFonts w:hint="eastAsia" w:eastAsiaTheme="minorEastAsia"/>
          <w:spacing w:val="-3"/>
          <w:szCs w:val="24"/>
          <w:lang w:val="zh-CN" w:bidi="zh-CN"/>
        </w:rPr>
        <w:t>于</w:t>
      </w:r>
      <w:r>
        <w:rPr>
          <w:rFonts w:hint="eastAsia"/>
        </w:rPr>
        <w:t>衡阳县鸿福牛羊屠宰场（个人经营），衡阳县鸿福牛羊屠宰场（个人经营）于2017年6月27日注册成立，并于2018年9月5日取得相应屠宰厂屠宰资格，后根据湖南省推进个人工商户转型升级为企业的若干政策措施，于2020年12月7日转型为衡阳鸿福畜禽综合屠宰有限公司。</w:t>
      </w:r>
    </w:p>
    <w:p>
      <w:pPr>
        <w:pStyle w:val="3"/>
        <w:ind w:firstLine="468"/>
      </w:pPr>
      <w:r>
        <w:rPr>
          <w:rFonts w:eastAsiaTheme="minorEastAsia"/>
          <w:spacing w:val="-3"/>
          <w:szCs w:val="24"/>
          <w:lang w:val="zh-CN" w:bidi="zh-CN"/>
        </w:rPr>
        <w:t>本次项目在原有生产上，</w:t>
      </w:r>
      <w:r>
        <w:rPr>
          <w:rFonts w:hint="eastAsia" w:eastAsiaTheme="minorEastAsia"/>
          <w:spacing w:val="-3"/>
          <w:szCs w:val="24"/>
          <w:lang w:val="zh-CN" w:bidi="zh-CN"/>
        </w:rPr>
        <w:t>拟</w:t>
      </w:r>
      <w:r>
        <w:rPr>
          <w:rFonts w:eastAsiaTheme="minorEastAsia"/>
          <w:spacing w:val="-3"/>
          <w:szCs w:val="24"/>
          <w:lang w:val="zh-CN" w:bidi="zh-CN"/>
        </w:rPr>
        <w:t>投资1500万元扩建一条</w:t>
      </w:r>
      <w:r>
        <w:rPr>
          <w:rFonts w:eastAsiaTheme="minorEastAsia"/>
          <w:szCs w:val="24"/>
          <w:lang w:val="zh-CN" w:bidi="zh-CN"/>
        </w:rPr>
        <w:t>年屠宰</w:t>
      </w:r>
      <w:r>
        <w:rPr>
          <w:rFonts w:hint="eastAsia" w:eastAsiaTheme="minorEastAsia"/>
          <w:szCs w:val="24"/>
          <w:lang w:val="zh-CN" w:bidi="zh-CN"/>
        </w:rPr>
        <w:t>肉牛1万头屠宰线及一条家禽1000万只（其中</w:t>
      </w:r>
      <w:r>
        <w:rPr>
          <w:rFonts w:eastAsiaTheme="minorEastAsia"/>
          <w:szCs w:val="24"/>
          <w:lang w:val="zh-CN" w:bidi="zh-CN"/>
        </w:rPr>
        <w:t>鸭</w:t>
      </w:r>
      <w:r>
        <w:rPr>
          <w:rFonts w:hint="eastAsia" w:eastAsiaTheme="minorEastAsia"/>
          <w:lang w:val="zh-CN" w:bidi="zh-CN"/>
        </w:rPr>
        <w:t>5</w:t>
      </w:r>
      <w:r>
        <w:rPr>
          <w:rFonts w:eastAsiaTheme="minorEastAsia"/>
          <w:lang w:val="zh-CN" w:bidi="zh-CN"/>
        </w:rPr>
        <w:t>00</w:t>
      </w:r>
      <w:r>
        <w:rPr>
          <w:rFonts w:eastAsiaTheme="minorEastAsia"/>
          <w:szCs w:val="24"/>
          <w:lang w:val="zh-CN" w:bidi="zh-CN"/>
        </w:rPr>
        <w:t>万只、鸡</w:t>
      </w:r>
      <w:r>
        <w:rPr>
          <w:rFonts w:hint="eastAsia" w:eastAsiaTheme="minorEastAsia"/>
          <w:lang w:val="zh-CN" w:bidi="zh-CN"/>
        </w:rPr>
        <w:t>5</w:t>
      </w:r>
      <w:r>
        <w:rPr>
          <w:rFonts w:eastAsiaTheme="minorEastAsia"/>
          <w:lang w:val="zh-CN" w:bidi="zh-CN"/>
        </w:rPr>
        <w:t>00</w:t>
      </w:r>
      <w:r>
        <w:rPr>
          <w:rFonts w:eastAsiaTheme="minorEastAsia"/>
          <w:szCs w:val="24"/>
          <w:lang w:val="zh-CN" w:bidi="zh-CN"/>
        </w:rPr>
        <w:t>万只</w:t>
      </w:r>
      <w:r>
        <w:rPr>
          <w:rFonts w:hint="eastAsia" w:eastAsiaTheme="minorEastAsia"/>
          <w:szCs w:val="24"/>
          <w:lang w:val="zh-CN" w:bidi="zh-CN"/>
        </w:rPr>
        <w:t>）屠宰</w:t>
      </w:r>
      <w:r>
        <w:rPr>
          <w:rFonts w:eastAsiaTheme="minorEastAsia"/>
          <w:szCs w:val="24"/>
          <w:lang w:val="zh-CN" w:bidi="zh-CN"/>
        </w:rPr>
        <w:t>线。</w:t>
      </w:r>
    </w:p>
    <w:p>
      <w:pPr>
        <w:pStyle w:val="3"/>
        <w:ind w:firstLine="480"/>
      </w:pPr>
      <w:r>
        <w:rPr>
          <w:rFonts w:hint="eastAsia"/>
        </w:rPr>
        <w:t>根据《中华人民共和国环境影响评价法》和《建设项目环境保护管理条例》等法律法规的规定，该项目须进行环境影响评价。依据《建设项目环境影响评价分类管理名录》（2021版）：“十、农副食品加工业——屠宰及肉类加工——屠宰生猪10万头、肉牛1 万头、肉羊15万只、禽类1000 万只及以上的”，需编制环境影响报告书。</w:t>
      </w:r>
    </w:p>
    <w:p>
      <w:pPr>
        <w:pStyle w:val="3"/>
        <w:ind w:firstLine="480"/>
      </w:pPr>
      <w:r>
        <w:rPr>
          <w:rFonts w:hint="eastAsia"/>
        </w:rPr>
        <w:t>根据《中华人民共和国环境影响评价法》和《建设项目环境保护管理条例》，该项目应进行环境影响评价。为此，衡阳鸿福畜禽综合屠宰有限公司委托湖南百恒环保科技有限公司承担该项目环境影响报告书编制工作。接受委托后，环评单位即组织评价人员对项目拟建场址进行了实地勘查，在进行较充分的现场调查和资料收集的基础上，按照环评导则和技术规范有关要求，编制完成了本项目环境影响报告书。</w:t>
      </w:r>
    </w:p>
    <w:p>
      <w:pPr>
        <w:pStyle w:val="5"/>
      </w:pPr>
      <w:bookmarkStart w:id="2" w:name="_Toc116993048"/>
      <w:r>
        <w:t>项目</w:t>
      </w:r>
      <w:r>
        <w:rPr>
          <w:rFonts w:hint="eastAsia"/>
        </w:rPr>
        <w:t>的</w:t>
      </w:r>
      <w:r>
        <w:t>特点</w:t>
      </w:r>
      <w:bookmarkEnd w:id="2"/>
    </w:p>
    <w:p>
      <w:pPr>
        <w:pStyle w:val="3"/>
        <w:ind w:firstLine="480"/>
      </w:pPr>
      <w:r>
        <w:rPr>
          <w:rFonts w:hint="eastAsia"/>
        </w:rPr>
        <w:t>本项目为肉牛、家禽屠宰项目，行业类别属于C135</w:t>
      </w:r>
      <w:r>
        <w:t>屠宰及肉类加工</w:t>
      </w:r>
      <w:r>
        <w:rPr>
          <w:rFonts w:hint="eastAsia"/>
        </w:rPr>
        <w:t>中“</w:t>
      </w:r>
      <w:r>
        <w:t>牲畜屠宰</w:t>
      </w:r>
      <w:r>
        <w:rPr>
          <w:rFonts w:hint="eastAsia"/>
        </w:rPr>
        <w:t>、</w:t>
      </w:r>
      <w:r>
        <w:t>禽类屠宰</w:t>
      </w:r>
      <w:r>
        <w:rPr>
          <w:rFonts w:hint="eastAsia"/>
        </w:rPr>
        <w:t>”，对照《产业结构调整指导目录（2019年）》及其修改单（中华人民共和国国家发展和改革委员会令第49 号），家畜、禽类屠宰不属于鼓励类、限制（年屠宰生猪15万头及以下、肉牛1万头及以下、肉羊15万只及以下、活禽1000万只及以下的屠宰建设项目）或淘汰类（猪、牛、羊、禽手工屠宰工艺）名录内，因此本项目为允许类。本项目位于衡阳县集兵镇大利村祝老屋组，总占地面积8678m</w:t>
      </w:r>
      <w:r>
        <w:rPr>
          <w:rFonts w:hint="eastAsia"/>
          <w:vertAlign w:val="superscript"/>
        </w:rPr>
        <w:t>2</w:t>
      </w:r>
      <w:r>
        <w:rPr>
          <w:rFonts w:hint="eastAsia"/>
        </w:rPr>
        <w:t>，不新增用地，主要建设内容包括改扩建屠宰车间、待宰车间、冷冻库、锅炉房等，项目的实施适应了衡阳县经济发展的战略需要，促进了衡阳县的经济发展，增加了公司的收入。</w:t>
      </w:r>
    </w:p>
    <w:p>
      <w:pPr>
        <w:pStyle w:val="3"/>
        <w:ind w:firstLine="480"/>
      </w:pPr>
      <w:r>
        <w:rPr>
          <w:rFonts w:hint="eastAsia"/>
        </w:rPr>
        <w:t>本项目地块用地现状为湖南喜耕田农业科技发展有限公司原有的屠宰车间及配套设施用地，用地四场界均为林地；以项目场界为参照，离本项目最近的敏感点为东南75m（距离屠宰车间）处的大利村散户，项目用地距离西南方农灌沟渠直线距离为1.9km。</w:t>
      </w:r>
    </w:p>
    <w:p>
      <w:pPr>
        <w:pStyle w:val="3"/>
        <w:ind w:firstLine="480"/>
      </w:pPr>
      <w:r>
        <w:rPr>
          <w:rFonts w:hint="eastAsia"/>
        </w:rPr>
        <w:t>从环境保护角度，项目特点：</w:t>
      </w:r>
    </w:p>
    <w:p>
      <w:pPr>
        <w:pStyle w:val="3"/>
        <w:ind w:firstLine="480"/>
      </w:pPr>
      <w:r>
        <w:rPr>
          <w:rFonts w:hint="eastAsia"/>
        </w:rPr>
        <w:t>1、废水治理，主要为屠宰废水</w:t>
      </w:r>
    </w:p>
    <w:p>
      <w:pPr>
        <w:pStyle w:val="3"/>
        <w:ind w:firstLine="480"/>
      </w:pPr>
      <w:r>
        <w:rPr>
          <w:rFonts w:hint="eastAsia"/>
        </w:rPr>
        <w:t>2、恶臭治理，主要为屠宰车间产生的恶臭</w:t>
      </w:r>
    </w:p>
    <w:p>
      <w:pPr>
        <w:pStyle w:val="3"/>
        <w:ind w:firstLine="480"/>
      </w:pPr>
      <w:r>
        <w:rPr>
          <w:rFonts w:hint="eastAsia"/>
        </w:rPr>
        <w:t>3、屠宰产生的固废，主要为粪便、不可食用废弃物等</w:t>
      </w:r>
    </w:p>
    <w:p>
      <w:pPr>
        <w:pStyle w:val="3"/>
        <w:ind w:firstLine="480"/>
      </w:pPr>
      <w:r>
        <w:rPr>
          <w:rFonts w:hint="eastAsia"/>
        </w:rPr>
        <w:t>污染防治按照相关要求履行，对周边影响较小。</w:t>
      </w:r>
    </w:p>
    <w:p>
      <w:pPr>
        <w:pStyle w:val="5"/>
      </w:pPr>
      <w:bookmarkStart w:id="3" w:name="_Toc116993049"/>
      <w:r>
        <w:rPr>
          <w:rFonts w:hint="eastAsia"/>
        </w:rPr>
        <w:t>环境</w:t>
      </w:r>
      <w:r>
        <w:t>影响评价工作过程</w:t>
      </w:r>
      <w:r>
        <w:rPr>
          <w:rFonts w:hint="eastAsia"/>
        </w:rPr>
        <w:t>概述</w:t>
      </w:r>
      <w:bookmarkEnd w:id="3"/>
    </w:p>
    <w:p>
      <w:pPr>
        <w:pStyle w:val="3"/>
        <w:ind w:firstLine="480"/>
      </w:pPr>
      <w:r>
        <w:rPr>
          <w:rFonts w:hint="eastAsia"/>
        </w:rPr>
        <w:t>受永</w:t>
      </w:r>
      <w:r>
        <w:rPr>
          <w:szCs w:val="22"/>
          <w:lang w:val="zh-CN" w:bidi="zh-CN"/>
        </w:rPr>
        <w:t>衡阳鸿福畜禽综合屠宰有限公司</w:t>
      </w:r>
      <w:r>
        <w:rPr>
          <w:rFonts w:hint="eastAsia"/>
        </w:rPr>
        <w:t>的委托后，我单位即组织有关工程技术人员对拟建项目进行了调研、现场勘察和资料收集等工作，并委托具有检测资质单位对拟建项目周边大气、地表水、地下水、噪声环境现状进行监测。在此基础上，按照环境影响评价技术导则的要求，结合工程性质、污染特征和区域环境质量现状，分析预测工程产生的环境影响，编制了《衡阳鸿福畜禽综合屠宰有限公司年屠宰肉牛1万头、家禽1000万只改扩建项目环境影响报告书》，现提交生态环境行政主管部门审批。本评价工作分为三个阶段，即前期准备、调研和工作方案阶段，分析论证和预测评价阶段，环境影响评价文件编制阶段。</w:t>
      </w:r>
    </w:p>
    <w:p>
      <w:pPr>
        <w:pStyle w:val="3"/>
        <w:ind w:firstLine="480"/>
      </w:pPr>
      <w:r>
        <w:rPr>
          <w:rFonts w:hint="eastAsia"/>
        </w:rPr>
        <w:t>项目环境影响评价工作程序见图 1.3-1。</w:t>
      </w:r>
    </w:p>
    <w:p>
      <w:pPr>
        <w:pStyle w:val="3"/>
        <w:spacing w:line="240" w:lineRule="auto"/>
        <w:ind w:firstLine="0" w:firstLineChars="0"/>
        <w:jc w:val="center"/>
      </w:pPr>
      <w:r>
        <w:drawing>
          <wp:inline distT="0" distB="0" distL="0" distR="0">
            <wp:extent cx="5419725" cy="69342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19725" cy="6934200"/>
                    </a:xfrm>
                    <a:prstGeom prst="rect">
                      <a:avLst/>
                    </a:prstGeom>
                  </pic:spPr>
                </pic:pic>
              </a:graphicData>
            </a:graphic>
          </wp:inline>
        </w:drawing>
      </w:r>
    </w:p>
    <w:p>
      <w:pPr>
        <w:pStyle w:val="3"/>
        <w:spacing w:line="240" w:lineRule="auto"/>
        <w:ind w:firstLine="0" w:firstLineChars="0"/>
        <w:jc w:val="center"/>
        <w:rPr>
          <w:rFonts w:cs="Times New Roman" w:eastAsiaTheme="minorEastAsia"/>
          <w:b/>
        </w:rPr>
        <w:sectPr>
          <w:pgSz w:w="11906" w:h="16838"/>
          <w:pgMar w:top="1474" w:right="1361" w:bottom="1474" w:left="1588" w:header="851" w:footer="992" w:gutter="0"/>
          <w:cols w:space="425" w:num="1"/>
          <w:docGrid w:type="lines" w:linePitch="312" w:charSpace="0"/>
        </w:sectPr>
      </w:pPr>
      <w:r>
        <w:rPr>
          <w:rFonts w:cs="Times New Roman" w:eastAsiaTheme="minorEastAsia"/>
          <w:b/>
        </w:rPr>
        <w:t>图1.3-1 项目环境影响评价工作程序示意图</w:t>
      </w:r>
    </w:p>
    <w:p>
      <w:pPr>
        <w:pStyle w:val="5"/>
      </w:pPr>
      <w:bookmarkStart w:id="4" w:name="_Toc116993050"/>
      <w:r>
        <w:rPr>
          <w:rFonts w:hint="eastAsia"/>
        </w:rPr>
        <w:t>分析总体判断</w:t>
      </w:r>
      <w:bookmarkEnd w:id="4"/>
    </w:p>
    <w:p>
      <w:pPr>
        <w:pStyle w:val="3"/>
        <w:ind w:firstLine="0" w:firstLineChars="0"/>
        <w:outlineLvl w:val="2"/>
        <w:rPr>
          <w:rFonts w:eastAsia="黑体" w:cstheme="majorBidi"/>
          <w:bCs/>
          <w:szCs w:val="32"/>
        </w:rPr>
      </w:pPr>
      <w:r>
        <w:rPr>
          <w:rFonts w:hint="eastAsia" w:eastAsia="黑体" w:cstheme="majorBidi"/>
          <w:bCs/>
          <w:szCs w:val="32"/>
        </w:rPr>
        <w:t>1.4.1 产业政策符合性</w:t>
      </w:r>
    </w:p>
    <w:p>
      <w:pPr>
        <w:pStyle w:val="3"/>
        <w:ind w:firstLine="480"/>
      </w:pPr>
      <w:r>
        <w:rPr>
          <w:rFonts w:hint="eastAsia"/>
        </w:rPr>
        <w:t>本项目为畜禽类屠宰，对照《产业结构调整指导目录（2019年本）》，限制类中第十二项“轻工”中第24项“年屠宰生猪15万头及以下、肉牛1万头及以下、肉羊15万只及以下、活禽1000 万只及以下的屠宰建设项目（少数民族地区除外）”，淘汰类中第十二项“轻工”中第29项“猪、牛、羊、禽手工屠宰工艺”，本项目建成后年屠宰肉牛1万头、禽类1000万只，采用半自动化屠宰工艺，项目不属于目录规定的限制类，使用的设备不属于淘汰落后设备，符合国家现行的产业政策。</w:t>
      </w:r>
    </w:p>
    <w:p>
      <w:pPr>
        <w:pStyle w:val="3"/>
        <w:ind w:firstLine="480"/>
      </w:pPr>
      <w:r>
        <w:rPr>
          <w:rFonts w:hint="eastAsia"/>
        </w:rPr>
        <w:t>本项目满足《湖南省人民政府办公厅关于促进畜牧业高质量发展的实施意见》（湘政办发〔2021〕28号）的要求。项目于2018年9月5日已取得衡阳县人民政府颁发的屠宰场屠宰资格。</w:t>
      </w:r>
    </w:p>
    <w:p>
      <w:pPr>
        <w:pStyle w:val="3"/>
        <w:ind w:firstLine="480"/>
      </w:pPr>
      <w:r>
        <w:rPr>
          <w:rFonts w:hint="eastAsia"/>
        </w:rPr>
        <w:t>因此，本项目的建设符合国家和地方产业政策要求。</w:t>
      </w:r>
    </w:p>
    <w:p>
      <w:pPr>
        <w:pStyle w:val="3"/>
        <w:ind w:firstLine="480"/>
      </w:pPr>
      <w:r>
        <w:rPr>
          <w:rFonts w:hint="eastAsia"/>
        </w:rPr>
        <w:t>根据《市场准入负面清单（2020年版）》，本项目产品及生产工艺均不属于禁止准入和许可准入事项，可依法平等进入。</w:t>
      </w:r>
    </w:p>
    <w:p>
      <w:pPr>
        <w:pStyle w:val="3"/>
        <w:ind w:firstLine="0" w:firstLineChars="0"/>
        <w:outlineLvl w:val="2"/>
        <w:rPr>
          <w:rFonts w:eastAsia="黑体" w:cstheme="majorBidi"/>
          <w:bCs/>
          <w:szCs w:val="32"/>
        </w:rPr>
      </w:pPr>
      <w:r>
        <w:rPr>
          <w:rFonts w:hint="eastAsia" w:eastAsia="黑体" w:cstheme="majorBidi"/>
          <w:bCs/>
          <w:szCs w:val="32"/>
        </w:rPr>
        <w:t>1.4.2 选址可行性</w:t>
      </w:r>
    </w:p>
    <w:p>
      <w:pPr>
        <w:pStyle w:val="3"/>
        <w:ind w:firstLine="480"/>
      </w:pPr>
      <w:r>
        <w:rPr>
          <w:rFonts w:hint="eastAsia"/>
        </w:rPr>
        <w:t>本项目选址位于衡阳县集兵镇大利村祝老屋组，项目改扩建区域500m范围内无风景名胜区、自然保护区、水源保护区及文物保护单位等敏感区域。</w:t>
      </w:r>
    </w:p>
    <w:p>
      <w:pPr>
        <w:pStyle w:val="3"/>
        <w:ind w:firstLine="480"/>
      </w:pPr>
      <w:r>
        <w:rPr>
          <w:rFonts w:hint="eastAsia"/>
        </w:rPr>
        <w:t>根据《畜类屠宰加工通用技术条件》（</w:t>
      </w:r>
      <w:r>
        <w:t>GB/T17237-2008</w:t>
      </w:r>
      <w:r>
        <w:rPr>
          <w:rFonts w:hint="eastAsia"/>
        </w:rPr>
        <w:t>）的相关规定，畜禽类屠宰加工厂应选在当地常年主导风向的下风侧，远离水源保护区和饮用水取水口，避开居民住宅区、公共场所以及畜禽饲养场。项目改扩建区域各方向</w:t>
      </w:r>
      <w:r>
        <w:t>500m</w:t>
      </w:r>
      <w:r>
        <w:rPr>
          <w:rFonts w:hint="eastAsia"/>
        </w:rPr>
        <w:t>范围内无风景名胜区、自然保护区、文物保护单位，本项目改扩建区域不占耕地、基本农田，对周围生态环境的影响较小。</w:t>
      </w:r>
    </w:p>
    <w:p>
      <w:pPr>
        <w:pStyle w:val="3"/>
        <w:ind w:firstLine="480"/>
      </w:pPr>
      <w:r>
        <w:rPr>
          <w:rFonts w:hint="eastAsia"/>
        </w:rPr>
        <w:t>根据《动物防疫条件审查办法》（</w:t>
      </w:r>
      <w:r>
        <w:t xml:space="preserve">2010 </w:t>
      </w:r>
      <w:r>
        <w:rPr>
          <w:rFonts w:hint="eastAsia"/>
        </w:rPr>
        <w:t>年第</w:t>
      </w:r>
      <w:r>
        <w:t xml:space="preserve">7 </w:t>
      </w:r>
      <w:r>
        <w:rPr>
          <w:rFonts w:hint="eastAsia"/>
        </w:rPr>
        <w:t>号）第三章屠宰加工场所动物防疫条件，第十一条动物屠宰加工场所选址应当符合下列条件：</w:t>
      </w:r>
    </w:p>
    <w:p>
      <w:pPr>
        <w:pStyle w:val="3"/>
        <w:ind w:firstLine="480"/>
      </w:pPr>
      <w:r>
        <w:rPr>
          <w:rFonts w:hint="eastAsia"/>
        </w:rPr>
        <w:t>（一）距离生活饮用水源地、动物饲养场、养殖小区、动物集贸市场</w:t>
      </w:r>
      <w:r>
        <w:t xml:space="preserve">500 </w:t>
      </w:r>
      <w:r>
        <w:rPr>
          <w:rFonts w:hint="eastAsia"/>
        </w:rPr>
        <w:t>米以上；距离种畜禽场</w:t>
      </w:r>
      <w:r>
        <w:t xml:space="preserve">3000 </w:t>
      </w:r>
      <w:r>
        <w:rPr>
          <w:rFonts w:hint="eastAsia"/>
        </w:rPr>
        <w:t>米以上；距离动物诊疗场所</w:t>
      </w:r>
      <w:r>
        <w:t xml:space="preserve">200 </w:t>
      </w:r>
      <w:r>
        <w:rPr>
          <w:rFonts w:hint="eastAsia"/>
        </w:rPr>
        <w:t>米以上；</w:t>
      </w:r>
    </w:p>
    <w:p>
      <w:pPr>
        <w:pStyle w:val="3"/>
        <w:ind w:firstLine="480"/>
      </w:pPr>
      <w:r>
        <w:rPr>
          <w:rFonts w:hint="eastAsia"/>
        </w:rPr>
        <w:t>（二）距离动物隔离场所、无害化处理场所</w:t>
      </w:r>
      <w:r>
        <w:t xml:space="preserve">3000 </w:t>
      </w:r>
      <w:r>
        <w:rPr>
          <w:rFonts w:hint="eastAsia"/>
        </w:rPr>
        <w:t>米以上。本项目评价范围（包括大气、风险评价范围）无动物饲养场、养殖小区、种畜禽场、动物隔离场所、无害化处理场所。</w:t>
      </w:r>
    </w:p>
    <w:p>
      <w:pPr>
        <w:pStyle w:val="3"/>
        <w:ind w:firstLine="480"/>
        <w:rPr>
          <w:rFonts w:cs="Times New Roman"/>
          <w:kern w:val="0"/>
          <w:szCs w:val="24"/>
        </w:rPr>
      </w:pPr>
      <w:r>
        <w:rPr>
          <w:rFonts w:cs="Times New Roman"/>
          <w:kern w:val="0"/>
          <w:szCs w:val="24"/>
        </w:rPr>
        <w:t>本项目距离最近的</w:t>
      </w:r>
      <w:r>
        <w:rPr>
          <w:rFonts w:cs="Times New Roman"/>
        </w:rPr>
        <w:t>大利村散户</w:t>
      </w:r>
      <w:r>
        <w:rPr>
          <w:rFonts w:cs="Times New Roman"/>
          <w:kern w:val="0"/>
          <w:szCs w:val="24"/>
        </w:rPr>
        <w:t>约</w:t>
      </w:r>
      <w:r>
        <w:rPr>
          <w:rFonts w:cs="Times New Roman" w:eastAsiaTheme="minorEastAsia"/>
          <w:kern w:val="0"/>
          <w:szCs w:val="24"/>
        </w:rPr>
        <w:t>75</w:t>
      </w:r>
      <w:r>
        <w:rPr>
          <w:rFonts w:eastAsia="TimesNewRomanPSMT" w:cs="Times New Roman"/>
          <w:kern w:val="0"/>
          <w:szCs w:val="24"/>
        </w:rPr>
        <w:t>m</w:t>
      </w:r>
      <w:r>
        <w:rPr>
          <w:rFonts w:cs="Times New Roman"/>
          <w:kern w:val="0"/>
          <w:szCs w:val="24"/>
        </w:rPr>
        <w:t>（距离屠宰车间），其距离均满足第十</w:t>
      </w:r>
      <w:r>
        <w:rPr>
          <w:rFonts w:hint="eastAsia" w:cs="Times New Roman"/>
          <w:kern w:val="0"/>
          <w:szCs w:val="24"/>
        </w:rPr>
        <w:t>一条要求。</w:t>
      </w:r>
    </w:p>
    <w:p>
      <w:pPr>
        <w:pStyle w:val="3"/>
        <w:ind w:firstLine="480"/>
        <w:rPr>
          <w:rFonts w:cs="Times New Roman"/>
          <w:kern w:val="0"/>
          <w:szCs w:val="24"/>
        </w:rPr>
      </w:pPr>
      <w:r>
        <w:rPr>
          <w:rFonts w:hint="eastAsia" w:cs="Times New Roman"/>
          <w:kern w:val="0"/>
          <w:szCs w:val="24"/>
        </w:rPr>
        <w:t>根据卫生防护距离要求，在本项目卫生防护距离范围内，不得规划建设诸如机关、学校、医院、养老院等环境空气要求较高的项目；根据现场踏勘和测绘，目前周边100 米范围内无相关环境空气要求较高的项目。项目不属于《限制用地项目目录（2012 年本）》和《禁止用地项目目录（2012 年本）》中的项目。</w:t>
      </w:r>
    </w:p>
    <w:p>
      <w:pPr>
        <w:pStyle w:val="3"/>
        <w:ind w:firstLine="480"/>
        <w:rPr>
          <w:rFonts w:cs="Times New Roman"/>
          <w:color w:val="FF0000"/>
          <w:kern w:val="0"/>
          <w:szCs w:val="24"/>
        </w:rPr>
      </w:pPr>
      <w:r>
        <w:rPr>
          <w:rFonts w:hint="eastAsia" w:cs="Times New Roman"/>
          <w:color w:val="FF0000"/>
          <w:kern w:val="0"/>
          <w:szCs w:val="24"/>
        </w:rPr>
        <w:t>项目周边主要环境制约因素为项目环境防护距离100米范围内的几户大利村散户居民，与本项目厂界最近距离为55</w:t>
      </w:r>
      <w:r>
        <w:rPr>
          <w:rFonts w:cs="Times New Roman"/>
          <w:color w:val="FF0000"/>
          <w:kern w:val="0"/>
          <w:szCs w:val="24"/>
        </w:rPr>
        <w:t>m</w:t>
      </w:r>
      <w:r>
        <w:rPr>
          <w:rFonts w:hint="eastAsia" w:cs="Times New Roman"/>
          <w:color w:val="FF0000"/>
          <w:kern w:val="0"/>
          <w:szCs w:val="24"/>
        </w:rPr>
        <w:t>，距离最近的产臭点为待宰圈及屠宰车间，最近距离约55</w:t>
      </w:r>
      <w:r>
        <w:rPr>
          <w:rFonts w:cs="Times New Roman"/>
          <w:color w:val="FF0000"/>
          <w:kern w:val="0"/>
          <w:szCs w:val="24"/>
        </w:rPr>
        <w:t>m</w:t>
      </w:r>
      <w:r>
        <w:rPr>
          <w:rFonts w:hint="eastAsia" w:cs="Times New Roman"/>
          <w:color w:val="FF0000"/>
          <w:kern w:val="0"/>
          <w:szCs w:val="24"/>
        </w:rPr>
        <w:t>，根据调查可知本项目于2017年9月建设，当时周边100米范围内无居民点，现在附近几户居民住房均为后期建设，本项目建设至今未收到附近居民任何相关环保方面投诉，且本项目建设在原有的厂区进行改扩建，并不新增建设用地，且已将厂界周边范围内的3户居民点租赁下来用于作为员工休息区（租赁协议见附件10）。</w:t>
      </w:r>
    </w:p>
    <w:p>
      <w:pPr>
        <w:pStyle w:val="3"/>
        <w:ind w:firstLine="480"/>
        <w:rPr>
          <w:rFonts w:cs="Times New Roman"/>
          <w:color w:val="FF0000"/>
          <w:kern w:val="0"/>
          <w:szCs w:val="24"/>
        </w:rPr>
      </w:pPr>
      <w:r>
        <w:rPr>
          <w:rFonts w:hint="eastAsia" w:cs="Times New Roman"/>
          <w:color w:val="FF0000"/>
          <w:kern w:val="0"/>
          <w:szCs w:val="24"/>
        </w:rPr>
        <w:t>为了进一步减少本项目对周边居民的影响，本次环评建议建设单位加强对待宰圈、屠宰车间管理，减少恶臭的产生，加强东南、西侧绿化，喷洒除臭剂，减少恶臭对周边的影响。</w:t>
      </w:r>
    </w:p>
    <w:p>
      <w:pPr>
        <w:pStyle w:val="3"/>
        <w:ind w:firstLine="480"/>
        <w:rPr>
          <w:rFonts w:cs="Times New Roman"/>
          <w:color w:val="FF0000"/>
          <w:kern w:val="0"/>
          <w:szCs w:val="24"/>
        </w:rPr>
      </w:pPr>
      <w:r>
        <w:rPr>
          <w:rFonts w:hint="eastAsia" w:cs="Times New Roman"/>
          <w:color w:val="FF0000"/>
          <w:kern w:val="0"/>
          <w:szCs w:val="24"/>
        </w:rPr>
        <w:t>因此本项目选址符合相关法律法规及规范的要求，选址合理。</w:t>
      </w:r>
    </w:p>
    <w:p>
      <w:pPr>
        <w:pStyle w:val="3"/>
        <w:ind w:firstLine="0" w:firstLineChars="0"/>
        <w:outlineLvl w:val="2"/>
        <w:rPr>
          <w:rFonts w:eastAsia="黑体" w:cstheme="majorBidi"/>
          <w:bCs/>
          <w:szCs w:val="32"/>
        </w:rPr>
      </w:pPr>
      <w:r>
        <w:rPr>
          <w:rFonts w:hint="eastAsia" w:eastAsia="黑体" w:cstheme="majorBidi"/>
          <w:bCs/>
          <w:szCs w:val="32"/>
        </w:rPr>
        <w:t>1.4.3 平面布置合理性分析</w:t>
      </w:r>
    </w:p>
    <w:p>
      <w:pPr>
        <w:pStyle w:val="3"/>
        <w:ind w:firstLine="480"/>
        <w:rPr>
          <w:rFonts w:cs="Times New Roman"/>
          <w:kern w:val="0"/>
          <w:szCs w:val="24"/>
        </w:rPr>
      </w:pPr>
      <w:r>
        <w:rPr>
          <w:rFonts w:hint="eastAsia" w:cs="Times New Roman"/>
          <w:kern w:val="0"/>
          <w:szCs w:val="24"/>
        </w:rPr>
        <w:t>根据项目平面布置可知，本项目利用原有厂房，不新增用地，扩建一条牛屠宰生产线，新建一条禽类屠宰生产线。本次建设完成之后，主要由生活区及生产区组成，</w:t>
      </w:r>
      <w:r>
        <w:rPr>
          <w:rFonts w:cs="Times New Roman" w:eastAsiaTheme="minorEastAsia"/>
          <w:snapToGrid w:val="0"/>
        </w:rPr>
        <w:t>厂区按屠宰类别分为牛屠宰区和禽类屠宰区，中间采用生物隔离带隔离分区，每个屠宰区各设置有净道、污道，生产区和生活区采用生物隔离带分开</w:t>
      </w:r>
      <w:r>
        <w:rPr>
          <w:rFonts w:hint="eastAsia" w:cs="Times New Roman"/>
          <w:kern w:val="0"/>
          <w:szCs w:val="24"/>
        </w:rPr>
        <w:t>。交通运输方便快捷。</w:t>
      </w:r>
    </w:p>
    <w:p>
      <w:pPr>
        <w:pStyle w:val="3"/>
        <w:ind w:firstLine="480"/>
        <w:rPr>
          <w:rFonts w:cs="Times New Roman"/>
          <w:kern w:val="0"/>
          <w:szCs w:val="24"/>
        </w:rPr>
      </w:pPr>
      <w:r>
        <w:rPr>
          <w:rFonts w:hint="eastAsia" w:cs="Times New Roman"/>
          <w:kern w:val="0"/>
          <w:szCs w:val="24"/>
        </w:rPr>
        <w:t>综上分析，本项目总体布局和功能分区充分考虑了位置、朝向等各个因素，各类污染防治措施布置合理可行，保证了污染物的达标排放及合理处置。整个车间功能分区明确，人流物流通畅，总平面布置基本能够满足企业生产组织的需要及环保的要求，平面布局合理。</w:t>
      </w:r>
    </w:p>
    <w:p>
      <w:pPr>
        <w:pStyle w:val="3"/>
        <w:ind w:firstLine="0" w:firstLineChars="0"/>
        <w:outlineLvl w:val="2"/>
        <w:rPr>
          <w:rFonts w:eastAsia="黑体" w:cstheme="majorBidi"/>
          <w:bCs/>
          <w:szCs w:val="32"/>
        </w:rPr>
      </w:pPr>
      <w:r>
        <w:rPr>
          <w:rFonts w:hint="eastAsia" w:eastAsia="黑体" w:cstheme="majorBidi"/>
          <w:bCs/>
          <w:szCs w:val="32"/>
        </w:rPr>
        <w:t>1.4.4 与法律法规及相关技术规范的符合性分析</w:t>
      </w:r>
    </w:p>
    <w:p>
      <w:pPr>
        <w:pStyle w:val="3"/>
        <w:ind w:firstLine="480"/>
        <w:rPr>
          <w:rFonts w:cs="Times New Roman"/>
          <w:kern w:val="0"/>
          <w:szCs w:val="24"/>
        </w:rPr>
      </w:pPr>
      <w:r>
        <w:rPr>
          <w:rFonts w:hint="eastAsia" w:cs="Times New Roman"/>
          <w:kern w:val="0"/>
          <w:szCs w:val="24"/>
        </w:rPr>
        <w:t>1、与《畜禽屠宰加工通用技术条件》相符性分析</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-1</w:t>
      </w:r>
      <w:r>
        <w:rPr>
          <w:rFonts w:hint="eastAsia" w:cs="Times New Roman" w:eastAsiaTheme="minorEastAsia"/>
          <w:b/>
        </w:rPr>
        <w:t>与《畜禽屠宰加工通用技术条件》（GB/T17237-2008）符合性分析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741"/>
        <w:gridCol w:w="3601"/>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分类</w:t>
            </w:r>
          </w:p>
        </w:tc>
        <w:tc>
          <w:tcPr>
            <w:tcW w:w="203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相关条款及规定</w:t>
            </w:r>
          </w:p>
        </w:tc>
        <w:tc>
          <w:tcPr>
            <w:tcW w:w="1963"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本项目情况</w:t>
            </w:r>
          </w:p>
        </w:tc>
        <w:tc>
          <w:tcPr>
            <w:tcW w:w="537"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屠宰厂（场）选址</w:t>
            </w:r>
          </w:p>
        </w:tc>
        <w:tc>
          <w:tcPr>
            <w:tcW w:w="2039" w:type="pct"/>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畜禽屠宰厂（场）选址除应符合GB12694和GB50317的相关要求外，还应选在当地常年主导风向的下风侧，远离水源保护区和饮用水取水口，避开居民住宅区、公共场所及畜禽饲养场</w:t>
            </w:r>
          </w:p>
        </w:tc>
        <w:tc>
          <w:tcPr>
            <w:tcW w:w="1963"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本项目所在区域常年主导风向下风向，项目附近无水源保护区和饮用水取水口；最近居民住宅区为</w:t>
            </w:r>
            <w:r>
              <w:rPr>
                <w:rFonts w:ascii="Times New Roman" w:hAnsi="Times New Roman" w:cs="Times New Roman"/>
              </w:rPr>
              <w:t>大利村</w:t>
            </w:r>
            <w:r>
              <w:rPr>
                <w:rFonts w:ascii="Times New Roman" w:hAnsi="Times New Roman" w:cs="Times New Roman"/>
                <w:snapToGrid w:val="0"/>
              </w:rPr>
              <w:t>，无公共场所及畜禽饲养场。</w:t>
            </w:r>
          </w:p>
        </w:tc>
        <w:tc>
          <w:tcPr>
            <w:tcW w:w="537"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厂区布局</w:t>
            </w:r>
          </w:p>
        </w:tc>
        <w:tc>
          <w:tcPr>
            <w:tcW w:w="2039" w:type="pct"/>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厂（场）内应分置非清洁区、半清洁区。分设产品和人员出入口， 同时要求原料。产品各行其道，不应交叉污染。</w:t>
            </w:r>
          </w:p>
        </w:tc>
        <w:tc>
          <w:tcPr>
            <w:tcW w:w="1963"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厂区按屠宰类别分为牛屠宰区和禽类屠宰区，中间采用生物隔离带隔离分区，每个屠宰区各设置有净道、污道，生产区和生活区采用生物隔离带分开。</w:t>
            </w:r>
          </w:p>
        </w:tc>
        <w:tc>
          <w:tcPr>
            <w:tcW w:w="537"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污水处理和排放</w:t>
            </w:r>
          </w:p>
        </w:tc>
        <w:tc>
          <w:tcPr>
            <w:tcW w:w="203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屠宰厂（场）内应设置污水处理设施，污水排放符合GB13457 的规定。</w:t>
            </w:r>
          </w:p>
        </w:tc>
        <w:tc>
          <w:tcPr>
            <w:tcW w:w="1963"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本项目废水有粪污处理系统（设计处理能力600m</w:t>
            </w:r>
            <w:r>
              <w:rPr>
                <w:rFonts w:ascii="Times New Roman" w:hAnsi="Times New Roman" w:cs="Times New Roman"/>
                <w:snapToGrid w:val="0"/>
                <w:vertAlign w:val="superscript"/>
              </w:rPr>
              <w:t>3</w:t>
            </w:r>
            <w:r>
              <w:rPr>
                <w:rFonts w:ascii="Times New Roman" w:hAnsi="Times New Roman" w:cs="Times New Roman"/>
                <w:snapToGrid w:val="0"/>
              </w:rPr>
              <w:t>/d，</w:t>
            </w:r>
            <w:r>
              <w:rPr>
                <w:rFonts w:ascii="Times New Roman" w:hAnsi="Times New Roman" w:cs="Times New Roman"/>
              </w:rPr>
              <w:t>（处理工艺：隔栅→粪污调节池→固液分离→污水→沼气池→沼液→沉淀池→杀菌除臭）</w:t>
            </w:r>
            <w:r>
              <w:rPr>
                <w:rFonts w:ascii="Times New Roman" w:hAnsi="Times New Roman" w:cs="Times New Roman"/>
                <w:snapToGrid w:val="0"/>
              </w:rPr>
              <w:t>，出水水质可达到《农田灌溉水质标准》</w:t>
            </w:r>
          </w:p>
          <w:p>
            <w:pPr>
              <w:widowControl w:val="0"/>
              <w:jc w:val="center"/>
              <w:rPr>
                <w:rFonts w:ascii="Times New Roman" w:hAnsi="Times New Roman" w:cs="Times New Roman"/>
                <w:snapToGrid w:val="0"/>
              </w:rPr>
            </w:pPr>
            <w:r>
              <w:rPr>
                <w:rFonts w:ascii="Times New Roman" w:hAnsi="Times New Roman" w:cs="Times New Roman"/>
                <w:snapToGrid w:val="0"/>
              </w:rPr>
              <w:t>（GB5084-2021）表1中“旱作”标准</w:t>
            </w:r>
            <w:r>
              <w:rPr>
                <w:rFonts w:hint="eastAsia" w:ascii="Times New Roman" w:hAnsi="Times New Roman" w:cs="Times New Roman"/>
                <w:snapToGrid w:val="0"/>
              </w:rPr>
              <w:t>交由</w:t>
            </w:r>
            <w:r>
              <w:rPr>
                <w:rFonts w:hint="eastAsia"/>
                <w:kern w:val="0"/>
              </w:rPr>
              <w:t>衡阳县喜耕田有机肥厂回收处理</w:t>
            </w:r>
            <w:r>
              <w:rPr>
                <w:rFonts w:ascii="Times New Roman" w:hAnsi="Times New Roman" w:cs="Times New Roman"/>
                <w:snapToGrid w:val="0"/>
              </w:rPr>
              <w:t>。</w:t>
            </w:r>
          </w:p>
        </w:tc>
        <w:tc>
          <w:tcPr>
            <w:tcW w:w="537"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产品贮存</w:t>
            </w:r>
          </w:p>
        </w:tc>
        <w:tc>
          <w:tcPr>
            <w:tcW w:w="2039" w:type="pct"/>
            <w:vAlign w:val="center"/>
          </w:tcPr>
          <w:p>
            <w:pPr>
              <w:widowControl w:val="0"/>
              <w:autoSpaceDE w:val="0"/>
              <w:autoSpaceDN w:val="0"/>
              <w:snapToGrid/>
              <w:jc w:val="center"/>
              <w:rPr>
                <w:rFonts w:ascii="Times New Roman" w:hAnsi="Times New Roman" w:cs="Times New Roman"/>
                <w:kern w:val="0"/>
              </w:rPr>
            </w:pPr>
            <w:r>
              <w:rPr>
                <w:rFonts w:ascii="Times New Roman" w:hAnsi="Times New Roman" w:cs="Times New Roman"/>
                <w:kern w:val="0"/>
              </w:rPr>
              <w:t>冷却产品应贮存在环境温度0</w:t>
            </w:r>
            <w:r>
              <w:rPr>
                <w:rFonts w:hint="eastAsia" w:ascii="宋体" w:hAnsi="宋体" w:eastAsia="宋体" w:cs="宋体"/>
                <w:kern w:val="0"/>
              </w:rPr>
              <w:t>℃</w:t>
            </w:r>
            <w:r>
              <w:rPr>
                <w:rFonts w:ascii="Times New Roman" w:hAnsi="Times New Roman" w:cs="Times New Roman"/>
                <w:kern w:val="0"/>
              </w:rPr>
              <w:t>~4</w:t>
            </w:r>
            <w:r>
              <w:rPr>
                <w:rFonts w:hint="eastAsia" w:ascii="宋体" w:hAnsi="宋体" w:eastAsia="宋体" w:cs="宋体"/>
                <w:kern w:val="0"/>
              </w:rPr>
              <w:t>℃</w:t>
            </w:r>
            <w:r>
              <w:rPr>
                <w:rFonts w:ascii="Times New Roman" w:hAnsi="Times New Roman" w:cs="Times New Roman"/>
                <w:kern w:val="0"/>
              </w:rPr>
              <w:t>条件中；冻结产品应贮存在环境温度-18</w:t>
            </w:r>
            <w:r>
              <w:rPr>
                <w:rFonts w:hint="eastAsia" w:ascii="宋体" w:hAnsi="宋体" w:eastAsia="宋体" w:cs="宋体"/>
                <w:kern w:val="0"/>
              </w:rPr>
              <w:t>℃</w:t>
            </w:r>
            <w:r>
              <w:rPr>
                <w:rFonts w:ascii="Times New Roman" w:hAnsi="Times New Roman" w:cs="Times New Roman"/>
                <w:kern w:val="0"/>
              </w:rPr>
              <w:t>以下条件中，温度波动不超过±1</w:t>
            </w:r>
            <w:r>
              <w:rPr>
                <w:rFonts w:hint="eastAsia" w:ascii="宋体" w:hAnsi="宋体" w:eastAsia="宋体" w:cs="宋体"/>
                <w:kern w:val="0"/>
              </w:rPr>
              <w:t>℃</w:t>
            </w:r>
          </w:p>
        </w:tc>
        <w:tc>
          <w:tcPr>
            <w:tcW w:w="1963" w:type="pct"/>
            <w:vAlign w:val="center"/>
          </w:tcPr>
          <w:p>
            <w:pPr>
              <w:widowControl w:val="0"/>
              <w:autoSpaceDE w:val="0"/>
              <w:autoSpaceDN w:val="0"/>
              <w:snapToGrid/>
              <w:jc w:val="center"/>
              <w:rPr>
                <w:rFonts w:ascii="Times New Roman" w:hAnsi="Times New Roman" w:cs="Times New Roman"/>
                <w:kern w:val="0"/>
              </w:rPr>
            </w:pPr>
            <w:r>
              <w:rPr>
                <w:rFonts w:ascii="Times New Roman" w:hAnsi="Times New Roman" w:cs="Times New Roman"/>
                <w:kern w:val="0"/>
              </w:rPr>
              <w:t>冷库设置预冷间-2</w:t>
            </w:r>
            <w:r>
              <w:rPr>
                <w:rFonts w:hint="eastAsia" w:ascii="宋体" w:hAnsi="宋体" w:eastAsia="宋体" w:cs="宋体"/>
                <w:kern w:val="0"/>
              </w:rPr>
              <w:t>℃</w:t>
            </w:r>
            <w:r>
              <w:rPr>
                <w:rFonts w:ascii="Times New Roman" w:hAnsi="Times New Roman" w:cs="Times New Roman"/>
                <w:kern w:val="0"/>
              </w:rPr>
              <w:t>，冻结区-18</w:t>
            </w:r>
            <w:r>
              <w:rPr>
                <w:rFonts w:hint="eastAsia" w:ascii="宋体" w:hAnsi="宋体" w:eastAsia="宋体" w:cs="宋体"/>
                <w:kern w:val="0"/>
              </w:rPr>
              <w:t>℃</w:t>
            </w:r>
            <w:r>
              <w:rPr>
                <w:rFonts w:ascii="Times New Roman" w:hAnsi="Times New Roman" w:cs="Times New Roman"/>
                <w:kern w:val="0"/>
              </w:rPr>
              <w:t>， 保鲜区0~4</w:t>
            </w:r>
            <w:r>
              <w:rPr>
                <w:rFonts w:hint="eastAsia" w:ascii="宋体" w:hAnsi="宋体" w:eastAsia="宋体" w:cs="宋体"/>
                <w:kern w:val="0"/>
              </w:rPr>
              <w:t>℃</w:t>
            </w:r>
            <w:r>
              <w:rPr>
                <w:rFonts w:ascii="Times New Roman" w:hAnsi="Times New Roman" w:cs="Times New Roman"/>
                <w:kern w:val="0"/>
              </w:rPr>
              <w:t>，冷库内按照了温度自动记录仪。</w:t>
            </w:r>
          </w:p>
        </w:tc>
        <w:tc>
          <w:tcPr>
            <w:tcW w:w="537"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bl>
    <w:p>
      <w:pPr>
        <w:pStyle w:val="3"/>
        <w:ind w:firstLine="480"/>
        <w:rPr>
          <w:rFonts w:cs="Times New Roman"/>
          <w:kern w:val="0"/>
          <w:szCs w:val="24"/>
        </w:rPr>
      </w:pPr>
      <w:r>
        <w:rPr>
          <w:rFonts w:hint="eastAsia" w:cs="Times New Roman"/>
          <w:kern w:val="0"/>
          <w:szCs w:val="24"/>
        </w:rPr>
        <w:t>综上，本项目与《畜禽屠宰加工通用技术条件》（</w:t>
      </w:r>
      <w:r>
        <w:rPr>
          <w:rFonts w:cs="Times New Roman"/>
          <w:kern w:val="0"/>
          <w:szCs w:val="24"/>
        </w:rPr>
        <w:t>GB/T17237-2008</w:t>
      </w:r>
      <w:r>
        <w:rPr>
          <w:rFonts w:hint="eastAsia" w:cs="Times New Roman"/>
          <w:kern w:val="0"/>
          <w:szCs w:val="24"/>
        </w:rPr>
        <w:t>）中相关要求相符。</w:t>
      </w:r>
    </w:p>
    <w:p>
      <w:pPr>
        <w:pStyle w:val="3"/>
        <w:ind w:firstLine="480"/>
        <w:rPr>
          <w:rFonts w:cs="Times New Roman"/>
          <w:kern w:val="0"/>
          <w:szCs w:val="24"/>
        </w:rPr>
      </w:pPr>
      <w:r>
        <w:rPr>
          <w:rFonts w:hint="eastAsia" w:cs="Times New Roman"/>
          <w:kern w:val="0"/>
          <w:szCs w:val="24"/>
        </w:rPr>
        <w:t>2、与《动物防疫条件审查办法》（2010年第7号）相符性分析</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w:t>
      </w:r>
      <w:r>
        <w:rPr>
          <w:rFonts w:hint="eastAsia" w:cs="Times New Roman" w:eastAsiaTheme="minorEastAsia"/>
          <w:b/>
        </w:rPr>
        <w:t>2与动物防疫条件审查办法（农业部令2010年第7号）符合性分析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241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5" w:type="dxa"/>
            <w:vAlign w:val="center"/>
          </w:tcPr>
          <w:p>
            <w:pPr>
              <w:widowControl w:val="0"/>
              <w:jc w:val="center"/>
              <w:rPr>
                <w:rFonts w:cs="Times New Roman"/>
                <w:snapToGrid w:val="0"/>
              </w:rPr>
            </w:pPr>
            <w:r>
              <w:rPr>
                <w:rFonts w:cs="Times New Roman"/>
                <w:snapToGrid w:val="0"/>
              </w:rPr>
              <w:t>相关条款及规定</w:t>
            </w:r>
          </w:p>
        </w:tc>
        <w:tc>
          <w:tcPr>
            <w:tcW w:w="2410" w:type="dxa"/>
            <w:vAlign w:val="center"/>
          </w:tcPr>
          <w:p>
            <w:pPr>
              <w:widowControl w:val="0"/>
              <w:jc w:val="center"/>
              <w:rPr>
                <w:rFonts w:cs="Times New Roman"/>
                <w:snapToGrid w:val="0"/>
              </w:rPr>
            </w:pPr>
            <w:r>
              <w:rPr>
                <w:rFonts w:cs="Times New Roman"/>
                <w:snapToGrid w:val="0"/>
              </w:rPr>
              <w:t>本项目情况</w:t>
            </w:r>
          </w:p>
        </w:tc>
        <w:tc>
          <w:tcPr>
            <w:tcW w:w="1268" w:type="dxa"/>
            <w:vAlign w:val="center"/>
          </w:tcPr>
          <w:p>
            <w:pPr>
              <w:widowControl w:val="0"/>
              <w:jc w:val="center"/>
              <w:rPr>
                <w:rFonts w:cs="Times New Roman"/>
                <w:snapToGrid w:val="0"/>
              </w:rPr>
            </w:pPr>
            <w:r>
              <w:rPr>
                <w:rFonts w:cs="Times New Roman"/>
                <w:snapToGrid w:val="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5"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（一）距离生活饮用水源地、动物饲养场、养殖小区、动物集贸市场500 米以上；距离种畜禽场3000米以上；距离动物诊疗场所200 米以上；</w:t>
            </w:r>
          </w:p>
          <w:p>
            <w:pPr>
              <w:widowControl w:val="0"/>
              <w:jc w:val="center"/>
              <w:rPr>
                <w:rFonts w:ascii="Times New Roman" w:hAnsi="Times New Roman" w:cs="Times New Roman"/>
                <w:snapToGrid w:val="0"/>
              </w:rPr>
            </w:pPr>
            <w:r>
              <w:rPr>
                <w:rFonts w:ascii="Times New Roman" w:hAnsi="Times New Roman" w:cs="Times New Roman"/>
                <w:snapToGrid w:val="0"/>
              </w:rPr>
              <w:t>（二）距离动物隔离场所、无害化处理场所3000米以上。第十二条动物屠宰加工场所布局应当符合下列条件：</w:t>
            </w:r>
          </w:p>
          <w:p>
            <w:pPr>
              <w:widowControl w:val="0"/>
              <w:jc w:val="center"/>
              <w:rPr>
                <w:rFonts w:ascii="Times New Roman" w:hAnsi="Times New Roman" w:cs="Times New Roman"/>
                <w:snapToGrid w:val="0"/>
              </w:rPr>
            </w:pPr>
            <w:r>
              <w:rPr>
                <w:rFonts w:ascii="Times New Roman" w:hAnsi="Times New Roman" w:cs="Times New Roman"/>
                <w:snapToGrid w:val="0"/>
              </w:rPr>
              <w:t>（三）厂区周围建有围墙；</w:t>
            </w:r>
          </w:p>
          <w:p>
            <w:pPr>
              <w:widowControl w:val="0"/>
              <w:jc w:val="center"/>
              <w:rPr>
                <w:rFonts w:ascii="Times New Roman" w:hAnsi="Times New Roman" w:cs="Times New Roman"/>
                <w:snapToGrid w:val="0"/>
              </w:rPr>
            </w:pPr>
            <w:r>
              <w:rPr>
                <w:rFonts w:ascii="Times New Roman" w:hAnsi="Times New Roman" w:cs="Times New Roman"/>
                <w:snapToGrid w:val="0"/>
              </w:rPr>
              <w:t>（四）运输动物车辆出入口设置与门同宽，长4米、深0.3米以上的消毒池；</w:t>
            </w:r>
          </w:p>
          <w:p>
            <w:pPr>
              <w:widowControl w:val="0"/>
              <w:jc w:val="center"/>
              <w:rPr>
                <w:rFonts w:ascii="Times New Roman" w:hAnsi="Times New Roman" w:cs="Times New Roman"/>
                <w:snapToGrid w:val="0"/>
              </w:rPr>
            </w:pPr>
            <w:r>
              <w:rPr>
                <w:rFonts w:ascii="Times New Roman" w:hAnsi="Times New Roman" w:cs="Times New Roman"/>
                <w:snapToGrid w:val="0"/>
              </w:rPr>
              <w:t>（五）生产区与生活办公区分开，并有隔离设施；</w:t>
            </w:r>
          </w:p>
          <w:p>
            <w:pPr>
              <w:widowControl w:val="0"/>
              <w:jc w:val="center"/>
              <w:rPr>
                <w:rFonts w:ascii="Times New Roman" w:hAnsi="Times New Roman" w:cs="Times New Roman"/>
                <w:snapToGrid w:val="0"/>
              </w:rPr>
            </w:pPr>
            <w:r>
              <w:rPr>
                <w:rFonts w:ascii="Times New Roman" w:hAnsi="Times New Roman" w:cs="Times New Roman"/>
                <w:snapToGrid w:val="0"/>
              </w:rPr>
              <w:t>（六）入场动物卸载区域有固定的车辆消毒场地，并配有车辆清洗、消毒设备。</w:t>
            </w:r>
          </w:p>
          <w:p>
            <w:pPr>
              <w:widowControl w:val="0"/>
              <w:jc w:val="center"/>
              <w:rPr>
                <w:rFonts w:ascii="Times New Roman" w:hAnsi="Times New Roman" w:cs="Times New Roman"/>
                <w:snapToGrid w:val="0"/>
              </w:rPr>
            </w:pPr>
            <w:r>
              <w:rPr>
                <w:rFonts w:ascii="Times New Roman" w:hAnsi="Times New Roman" w:cs="Times New Roman"/>
                <w:snapToGrid w:val="0"/>
              </w:rPr>
              <w:t>（七）动物入场口和动物产品出场口应当分别设置；</w:t>
            </w:r>
          </w:p>
          <w:p>
            <w:pPr>
              <w:widowControl w:val="0"/>
              <w:jc w:val="center"/>
              <w:rPr>
                <w:rFonts w:ascii="Times New Roman" w:hAnsi="Times New Roman" w:cs="Times New Roman"/>
                <w:snapToGrid w:val="0"/>
              </w:rPr>
            </w:pPr>
            <w:r>
              <w:rPr>
                <w:rFonts w:ascii="Times New Roman" w:hAnsi="Times New Roman" w:cs="Times New Roman"/>
                <w:snapToGrid w:val="0"/>
              </w:rPr>
              <w:t>（八）屠宰加工间入口设置人员更衣消毒室；</w:t>
            </w:r>
          </w:p>
          <w:p>
            <w:pPr>
              <w:widowControl w:val="0"/>
              <w:jc w:val="center"/>
              <w:rPr>
                <w:rFonts w:cs="Times New Roman"/>
                <w:snapToGrid w:val="0"/>
              </w:rPr>
            </w:pPr>
            <w:r>
              <w:rPr>
                <w:rFonts w:ascii="Times New Roman" w:hAnsi="Times New Roman" w:cs="Times New Roman"/>
                <w:snapToGrid w:val="0"/>
              </w:rPr>
              <w:t>（九）有与屠宰规模相适应的独立检疫室、办公室和休息室；</w:t>
            </w:r>
          </w:p>
        </w:tc>
        <w:tc>
          <w:tcPr>
            <w:tcW w:w="2410" w:type="dxa"/>
            <w:vAlign w:val="center"/>
          </w:tcPr>
          <w:p>
            <w:pPr>
              <w:widowControl w:val="0"/>
              <w:jc w:val="center"/>
              <w:rPr>
                <w:rFonts w:cs="Times New Roman"/>
                <w:snapToGrid w:val="0"/>
              </w:rPr>
            </w:pPr>
            <w:r>
              <w:rPr>
                <w:rFonts w:hint="eastAsia" w:cs="Times New Roman"/>
                <w:snapToGrid w:val="0"/>
              </w:rPr>
              <w:t>（</w:t>
            </w:r>
            <w:r>
              <w:rPr>
                <w:rFonts w:cs="Times New Roman"/>
                <w:snapToGrid w:val="0"/>
              </w:rPr>
              <w:t>1</w:t>
            </w:r>
            <w:r>
              <w:rPr>
                <w:rFonts w:hint="eastAsia" w:cs="Times New Roman"/>
                <w:snapToGrid w:val="0"/>
              </w:rPr>
              <w:t>）项目区远离饮用水源地保护区；</w:t>
            </w:r>
          </w:p>
          <w:p>
            <w:pPr>
              <w:widowControl w:val="0"/>
              <w:jc w:val="center"/>
              <w:rPr>
                <w:rFonts w:cs="Times New Roman"/>
                <w:snapToGrid w:val="0"/>
              </w:rPr>
            </w:pPr>
            <w:r>
              <w:rPr>
                <w:rFonts w:hint="eastAsia" w:cs="Times New Roman"/>
                <w:snapToGrid w:val="0"/>
              </w:rPr>
              <w:t>（</w:t>
            </w:r>
            <w:r>
              <w:rPr>
                <w:rFonts w:cs="Times New Roman"/>
                <w:snapToGrid w:val="0"/>
              </w:rPr>
              <w:t>2</w:t>
            </w:r>
            <w:r>
              <w:rPr>
                <w:rFonts w:hint="eastAsia" w:cs="Times New Roman"/>
                <w:snapToGrid w:val="0"/>
              </w:rPr>
              <w:t>）附近未有种畜禽场、动物诊疗、动物隔离场所、无害化处理场所；</w:t>
            </w:r>
          </w:p>
          <w:p>
            <w:pPr>
              <w:widowControl w:val="0"/>
              <w:jc w:val="center"/>
              <w:rPr>
                <w:rFonts w:cs="Times New Roman"/>
                <w:snapToGrid w:val="0"/>
              </w:rPr>
            </w:pPr>
            <w:r>
              <w:rPr>
                <w:rFonts w:hint="eastAsia" w:cs="Times New Roman"/>
                <w:snapToGrid w:val="0"/>
              </w:rPr>
              <w:t>本项目布局设置均符合相关防疫要求。</w:t>
            </w:r>
          </w:p>
        </w:tc>
        <w:tc>
          <w:tcPr>
            <w:tcW w:w="1268" w:type="dxa"/>
            <w:vAlign w:val="center"/>
          </w:tcPr>
          <w:p>
            <w:pPr>
              <w:widowControl w:val="0"/>
              <w:jc w:val="center"/>
              <w:rPr>
                <w:rFonts w:cs="Times New Roman"/>
                <w:snapToGrid w:val="0"/>
              </w:rPr>
            </w:pPr>
            <w:r>
              <w:rPr>
                <w:rFonts w:cs="Times New Roman"/>
                <w:snapToGrid w:val="0"/>
              </w:rPr>
              <w:t>符合</w:t>
            </w:r>
          </w:p>
        </w:tc>
      </w:tr>
    </w:tbl>
    <w:p>
      <w:pPr>
        <w:pStyle w:val="3"/>
        <w:ind w:firstLine="480"/>
        <w:rPr>
          <w:rFonts w:cs="Times New Roman"/>
          <w:kern w:val="0"/>
          <w:szCs w:val="24"/>
        </w:rPr>
      </w:pPr>
      <w:r>
        <w:rPr>
          <w:rFonts w:hint="eastAsia" w:cs="Times New Roman"/>
          <w:kern w:val="0"/>
          <w:szCs w:val="24"/>
        </w:rPr>
        <w:t>综上，本项目与动物防疫条件审查办法（农业部令2010年第7号）中相关要求相符。</w:t>
      </w:r>
    </w:p>
    <w:p>
      <w:pPr>
        <w:pStyle w:val="3"/>
        <w:ind w:firstLine="480"/>
        <w:rPr>
          <w:rFonts w:cs="Times New Roman"/>
          <w:kern w:val="0"/>
          <w:szCs w:val="24"/>
        </w:rPr>
      </w:pPr>
      <w:r>
        <w:rPr>
          <w:rFonts w:hint="eastAsia" w:cs="Times New Roman"/>
          <w:kern w:val="0"/>
          <w:szCs w:val="24"/>
        </w:rPr>
        <w:t>3、与《畜禽屠宰加工卫生规范》（GB12694—2016）相符性分析</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w:t>
      </w:r>
      <w:r>
        <w:rPr>
          <w:rFonts w:hint="eastAsia" w:cs="Times New Roman" w:eastAsiaTheme="minorEastAsia"/>
          <w:b/>
        </w:rPr>
        <w:t>3与《畜禽屠宰加工卫生规范》（GB12694—2016）符合性分析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277"/>
        <w:gridCol w:w="278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28" w:type="dxa"/>
            <w:gridSpan w:val="2"/>
            <w:vAlign w:val="center"/>
          </w:tcPr>
          <w:p>
            <w:pPr>
              <w:widowControl w:val="0"/>
              <w:jc w:val="center"/>
              <w:rPr>
                <w:rFonts w:ascii="Times New Roman" w:hAnsi="Times New Roman" w:cs="Times New Roman"/>
                <w:snapToGrid w:val="0"/>
              </w:rPr>
            </w:pPr>
            <w:r>
              <w:rPr>
                <w:rFonts w:ascii="Times New Roman" w:hAnsi="Times New Roman" w:cs="Times New Roman"/>
                <w:snapToGrid w:val="0"/>
              </w:rPr>
              <w:t>总平面布置要求</w:t>
            </w:r>
          </w:p>
        </w:tc>
        <w:tc>
          <w:tcPr>
            <w:tcW w:w="3118"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本项目</w:t>
            </w:r>
          </w:p>
        </w:tc>
        <w:tc>
          <w:tcPr>
            <w:tcW w:w="1127"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3" w:type="dxa"/>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《畜禽屠宰加工卫生规范》（GB12694—2016）</w:t>
            </w:r>
          </w:p>
        </w:tc>
        <w:tc>
          <w:tcPr>
            <w:tcW w:w="3685"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厂区应划分生产区和非生产区。活畜禽、废弃物运送与成品出厂不得共用一个大门，场内不得共用一个通道。</w:t>
            </w:r>
          </w:p>
        </w:tc>
        <w:tc>
          <w:tcPr>
            <w:tcW w:w="3118" w:type="dxa"/>
            <w:vAlign w:val="center"/>
          </w:tcPr>
          <w:p>
            <w:pPr>
              <w:widowControl w:val="0"/>
              <w:jc w:val="center"/>
              <w:rPr>
                <w:rFonts w:ascii="Times New Roman" w:hAnsi="Times New Roman" w:cs="Times New Roman"/>
                <w:snapToGrid w:val="0"/>
              </w:rPr>
            </w:pPr>
            <w:r>
              <w:rPr>
                <w:rFonts w:ascii="Times New Roman" w:hAnsi="Times New Roman" w:cs="Times New Roman"/>
                <w:kern w:val="0"/>
              </w:rPr>
              <w:t>厂区划分了生产区及非生产区；牛屠宰和禽类屠宰以及生活区均用生物隔离带分区，屠宰区均设置有</w:t>
            </w:r>
            <w:r>
              <w:rPr>
                <w:rFonts w:ascii="Times New Roman" w:hAnsi="Times New Roman" w:cs="Times New Roman"/>
                <w:snapToGrid w:val="0"/>
              </w:rPr>
              <w:t>净道、污道。</w:t>
            </w:r>
          </w:p>
        </w:tc>
        <w:tc>
          <w:tcPr>
            <w:tcW w:w="1127"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3" w:type="dxa"/>
            <w:vMerge w:val="continue"/>
            <w:vAlign w:val="center"/>
          </w:tcPr>
          <w:p>
            <w:pPr>
              <w:widowControl w:val="0"/>
              <w:jc w:val="center"/>
              <w:rPr>
                <w:rFonts w:ascii="Times New Roman" w:hAnsi="Times New Roman" w:cs="Times New Roman"/>
                <w:snapToGrid w:val="0"/>
              </w:rPr>
            </w:pPr>
          </w:p>
        </w:tc>
        <w:tc>
          <w:tcPr>
            <w:tcW w:w="3685" w:type="dxa"/>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生产区各车间的布局与设施应满足生产工艺和卫生要求。车间清洁区与非清洁区应分隔。</w:t>
            </w:r>
          </w:p>
        </w:tc>
        <w:tc>
          <w:tcPr>
            <w:tcW w:w="3118"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生产区各车间的布局与设施满足了生产工艺流程和卫生要求。厂区布置区别开了清洁区(与非清洁区。</w:t>
            </w:r>
          </w:p>
        </w:tc>
        <w:tc>
          <w:tcPr>
            <w:tcW w:w="1127"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3" w:type="dxa"/>
            <w:vMerge w:val="continue"/>
            <w:vAlign w:val="center"/>
          </w:tcPr>
          <w:p>
            <w:pPr>
              <w:widowControl w:val="0"/>
              <w:jc w:val="center"/>
              <w:rPr>
                <w:rFonts w:ascii="Times New Roman" w:hAnsi="Times New Roman" w:cs="Times New Roman"/>
                <w:snapToGrid w:val="0"/>
              </w:rPr>
            </w:pPr>
          </w:p>
        </w:tc>
        <w:tc>
          <w:tcPr>
            <w:tcW w:w="3685" w:type="dxa"/>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屠宰车间、分割车间的建筑面积与建筑设施应与生产规模相适应。车间内各加工区应按生产工艺流程划分明确，人流、物流互不干扰，并符合工艺、卫生及检疫检验要求。</w:t>
            </w:r>
          </w:p>
        </w:tc>
        <w:tc>
          <w:tcPr>
            <w:tcW w:w="3118"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项目设置了足够大的屠宰车间按生产工艺流程明确划分相应加工区，人流、物流分开设置，符合工艺、卫生及检疫检验要求。</w:t>
            </w:r>
          </w:p>
        </w:tc>
        <w:tc>
          <w:tcPr>
            <w:tcW w:w="1127"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3" w:type="dxa"/>
            <w:vMerge w:val="continue"/>
            <w:vAlign w:val="center"/>
          </w:tcPr>
          <w:p>
            <w:pPr>
              <w:widowControl w:val="0"/>
              <w:jc w:val="center"/>
              <w:rPr>
                <w:rFonts w:ascii="Times New Roman" w:hAnsi="Times New Roman" w:cs="Times New Roman"/>
                <w:snapToGrid w:val="0"/>
              </w:rPr>
            </w:pPr>
          </w:p>
        </w:tc>
        <w:tc>
          <w:tcPr>
            <w:tcW w:w="3685" w:type="dxa"/>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kern w:val="0"/>
              </w:rPr>
              <w:t>屠宰企业应设有待宰圈(区)、隔离间、急宰间、实验(化验)室、官方兽医室、化学品存放间和无害化处理间。屠宰企业的厂应设有畜禽和产品运输车轮和工具清洗、消毒的专门区域。</w:t>
            </w:r>
          </w:p>
        </w:tc>
        <w:tc>
          <w:tcPr>
            <w:tcW w:w="3118"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项目设有待宰区、急宰区、原料储藏间和无害化处理间（冷库一般固废暂存间）。</w:t>
            </w:r>
          </w:p>
        </w:tc>
        <w:tc>
          <w:tcPr>
            <w:tcW w:w="1127" w:type="dxa"/>
            <w:vAlign w:val="center"/>
          </w:tcPr>
          <w:p>
            <w:pPr>
              <w:widowControl w:val="0"/>
              <w:jc w:val="center"/>
              <w:rPr>
                <w:rFonts w:ascii="Times New Roman" w:hAnsi="Times New Roman" w:cs="Times New Roman"/>
                <w:snapToGrid w:val="0"/>
              </w:rPr>
            </w:pPr>
            <w:r>
              <w:rPr>
                <w:rFonts w:ascii="Times New Roman" w:hAnsi="Times New Roman" w:cs="Times New Roman"/>
                <w:snapToGrid w:val="0"/>
              </w:rPr>
              <w:t>符合</w:t>
            </w:r>
          </w:p>
        </w:tc>
      </w:tr>
    </w:tbl>
    <w:p>
      <w:pPr>
        <w:pStyle w:val="3"/>
        <w:ind w:firstLine="480"/>
        <w:rPr>
          <w:rFonts w:cs="Times New Roman"/>
          <w:kern w:val="0"/>
          <w:szCs w:val="24"/>
        </w:rPr>
      </w:pPr>
      <w:r>
        <w:rPr>
          <w:rFonts w:hint="eastAsia" w:cs="Times New Roman"/>
          <w:kern w:val="0"/>
          <w:szCs w:val="24"/>
        </w:rPr>
        <w:t>综上，本项目与《畜禽屠宰加工卫生规范》（GB12694—2016）中相关要求相符。</w:t>
      </w:r>
    </w:p>
    <w:p>
      <w:pPr>
        <w:pStyle w:val="3"/>
        <w:ind w:firstLine="480"/>
        <w:rPr>
          <w:rFonts w:cs="Times New Roman"/>
          <w:kern w:val="0"/>
          <w:szCs w:val="24"/>
        </w:rPr>
      </w:pPr>
      <w:r>
        <w:rPr>
          <w:rFonts w:hint="eastAsia" w:cs="Times New Roman"/>
          <w:kern w:val="0"/>
          <w:szCs w:val="24"/>
        </w:rPr>
        <w:t>4、与《中华人民共和国动物防疫法》（主席令第二十四号）分析判定</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w:t>
      </w:r>
      <w:r>
        <w:rPr>
          <w:rFonts w:hint="eastAsia" w:cs="Times New Roman" w:eastAsiaTheme="minorEastAsia"/>
          <w:b/>
        </w:rPr>
        <w:t>4与《中华人民共和国动物防疫法》（主席令第二十四号）符合性分析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311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86" w:type="dxa"/>
            <w:vAlign w:val="center"/>
          </w:tcPr>
          <w:p>
            <w:pPr>
              <w:widowControl w:val="0"/>
              <w:jc w:val="center"/>
              <w:rPr>
                <w:rFonts w:cs="Times New Roman"/>
                <w:snapToGrid w:val="0"/>
              </w:rPr>
            </w:pPr>
            <w:r>
              <w:rPr>
                <w:rFonts w:cs="Times New Roman"/>
                <w:snapToGrid w:val="0"/>
              </w:rPr>
              <w:t>相关条款及规定</w:t>
            </w:r>
          </w:p>
        </w:tc>
        <w:tc>
          <w:tcPr>
            <w:tcW w:w="3119" w:type="dxa"/>
            <w:vAlign w:val="center"/>
          </w:tcPr>
          <w:p>
            <w:pPr>
              <w:widowControl w:val="0"/>
              <w:jc w:val="center"/>
              <w:rPr>
                <w:rFonts w:cs="Times New Roman"/>
                <w:snapToGrid w:val="0"/>
              </w:rPr>
            </w:pPr>
            <w:r>
              <w:rPr>
                <w:rFonts w:cs="Times New Roman"/>
                <w:snapToGrid w:val="0"/>
              </w:rPr>
              <w:t>本项目情况</w:t>
            </w:r>
          </w:p>
        </w:tc>
        <w:tc>
          <w:tcPr>
            <w:tcW w:w="1268" w:type="dxa"/>
            <w:vAlign w:val="center"/>
          </w:tcPr>
          <w:p>
            <w:pPr>
              <w:widowControl w:val="0"/>
              <w:jc w:val="center"/>
              <w:rPr>
                <w:rFonts w:cs="Times New Roman"/>
                <w:snapToGrid w:val="0"/>
              </w:rPr>
            </w:pPr>
            <w:r>
              <w:rPr>
                <w:rFonts w:cs="Times New Roman"/>
                <w:snapToGrid w:val="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86" w:type="dxa"/>
            <w:vAlign w:val="center"/>
          </w:tcPr>
          <w:p>
            <w:pPr>
              <w:widowControl w:val="0"/>
              <w:jc w:val="center"/>
              <w:rPr>
                <w:rFonts w:cs="Times New Roman"/>
                <w:snapToGrid w:val="0"/>
              </w:rPr>
            </w:pPr>
            <w:r>
              <w:rPr>
                <w:rFonts w:hint="eastAsia" w:cs="Times New Roman"/>
                <w:snapToGrid w:val="0"/>
              </w:rPr>
              <w:t>第十九条动物饲养场（养殖小区）和隔离场所，动</w:t>
            </w:r>
          </w:p>
          <w:p>
            <w:pPr>
              <w:widowControl w:val="0"/>
              <w:jc w:val="center"/>
              <w:rPr>
                <w:rFonts w:cs="Times New Roman"/>
                <w:snapToGrid w:val="0"/>
              </w:rPr>
            </w:pPr>
            <w:r>
              <w:rPr>
                <w:rFonts w:hint="eastAsia" w:cs="Times New Roman"/>
                <w:snapToGrid w:val="0"/>
              </w:rPr>
              <w:t>物屠宰加工场所，以及动物和动物产品无害化处理</w:t>
            </w:r>
          </w:p>
          <w:p>
            <w:pPr>
              <w:widowControl w:val="0"/>
              <w:jc w:val="center"/>
              <w:rPr>
                <w:rFonts w:cs="Times New Roman"/>
                <w:snapToGrid w:val="0"/>
              </w:rPr>
            </w:pPr>
            <w:r>
              <w:rPr>
                <w:rFonts w:hint="eastAsia" w:cs="Times New Roman"/>
                <w:snapToGrid w:val="0"/>
              </w:rPr>
              <w:t>场所，应当符合下列动物防疫条件：</w:t>
            </w:r>
          </w:p>
          <w:p>
            <w:pPr>
              <w:widowControl w:val="0"/>
              <w:jc w:val="center"/>
              <w:rPr>
                <w:rFonts w:cs="Times New Roman"/>
                <w:snapToGrid w:val="0"/>
              </w:rPr>
            </w:pPr>
            <w:r>
              <w:rPr>
                <w:rFonts w:hint="eastAsia" w:cs="Times New Roman"/>
                <w:snapToGrid w:val="0"/>
              </w:rPr>
              <w:t>（一）场所的位置与居民生活区、生活饮用水源地、学校、医院等公共场所的距离符合国务院兽医主管部门规定的标准；</w:t>
            </w:r>
          </w:p>
          <w:p>
            <w:pPr>
              <w:widowControl w:val="0"/>
              <w:jc w:val="center"/>
              <w:rPr>
                <w:rFonts w:cs="Times New Roman"/>
                <w:snapToGrid w:val="0"/>
              </w:rPr>
            </w:pPr>
            <w:r>
              <w:rPr>
                <w:rFonts w:hint="eastAsia" w:cs="Times New Roman"/>
                <w:snapToGrid w:val="0"/>
              </w:rPr>
              <w:t>（二）生产区封闭隔离，工程设计和工艺流程符合动物防疫要求；</w:t>
            </w:r>
          </w:p>
          <w:p>
            <w:pPr>
              <w:widowControl w:val="0"/>
              <w:jc w:val="center"/>
              <w:rPr>
                <w:rFonts w:cs="Times New Roman"/>
                <w:snapToGrid w:val="0"/>
              </w:rPr>
            </w:pPr>
            <w:r>
              <w:rPr>
                <w:rFonts w:hint="eastAsia" w:cs="Times New Roman"/>
                <w:snapToGrid w:val="0"/>
              </w:rPr>
              <w:t>（三）有相应的污水、污物、病死动物、染疫动物产品的无害化处理设施设备和清洗消毒设施设备；</w:t>
            </w:r>
          </w:p>
          <w:p>
            <w:pPr>
              <w:widowControl w:val="0"/>
              <w:jc w:val="center"/>
              <w:rPr>
                <w:rFonts w:cs="Times New Roman"/>
                <w:snapToGrid w:val="0"/>
              </w:rPr>
            </w:pPr>
            <w:r>
              <w:rPr>
                <w:rFonts w:hint="eastAsia" w:cs="Times New Roman"/>
                <w:snapToGrid w:val="0"/>
              </w:rPr>
              <w:t>（四）有为其服务的动物防疫技术人员；</w:t>
            </w:r>
          </w:p>
          <w:p>
            <w:pPr>
              <w:widowControl w:val="0"/>
              <w:jc w:val="center"/>
              <w:rPr>
                <w:rFonts w:cs="Times New Roman"/>
                <w:snapToGrid w:val="0"/>
              </w:rPr>
            </w:pPr>
            <w:r>
              <w:rPr>
                <w:rFonts w:hint="eastAsia" w:cs="Times New Roman"/>
                <w:snapToGrid w:val="0"/>
              </w:rPr>
              <w:t>（五）有完善的动物防疫制度；</w:t>
            </w:r>
          </w:p>
          <w:p>
            <w:pPr>
              <w:widowControl w:val="0"/>
              <w:jc w:val="center"/>
              <w:rPr>
                <w:rFonts w:cs="Times New Roman"/>
                <w:snapToGrid w:val="0"/>
              </w:rPr>
            </w:pPr>
            <w:r>
              <w:rPr>
                <w:rFonts w:hint="eastAsia" w:cs="Times New Roman"/>
                <w:snapToGrid w:val="0"/>
              </w:rPr>
              <w:t>（六）具备国务院兽医主管部门规定的其他动物防</w:t>
            </w:r>
          </w:p>
          <w:p>
            <w:pPr>
              <w:widowControl w:val="0"/>
              <w:jc w:val="center"/>
              <w:rPr>
                <w:rFonts w:cs="Times New Roman"/>
                <w:snapToGrid w:val="0"/>
              </w:rPr>
            </w:pPr>
            <w:r>
              <w:rPr>
                <w:rFonts w:hint="eastAsia" w:cs="Times New Roman"/>
                <w:snapToGrid w:val="0"/>
              </w:rPr>
              <w:t>疫条件。</w:t>
            </w:r>
          </w:p>
        </w:tc>
        <w:tc>
          <w:tcPr>
            <w:tcW w:w="3119" w:type="dxa"/>
            <w:vAlign w:val="center"/>
          </w:tcPr>
          <w:p>
            <w:pPr>
              <w:widowControl w:val="0"/>
              <w:jc w:val="center"/>
              <w:rPr>
                <w:rFonts w:cs="Times New Roman"/>
                <w:snapToGrid w:val="0"/>
              </w:rPr>
            </w:pPr>
            <w:r>
              <w:rPr>
                <w:rFonts w:hint="eastAsia" w:cs="Times New Roman"/>
                <w:snapToGrid w:val="0"/>
              </w:rPr>
              <w:t>（</w:t>
            </w:r>
            <w:r>
              <w:rPr>
                <w:rFonts w:cs="Times New Roman"/>
                <w:snapToGrid w:val="0"/>
              </w:rPr>
              <w:t>1</w:t>
            </w:r>
            <w:r>
              <w:rPr>
                <w:rFonts w:hint="eastAsia" w:cs="Times New Roman"/>
                <w:snapToGrid w:val="0"/>
              </w:rPr>
              <w:t>）本项目远离居民饮用水源</w:t>
            </w:r>
          </w:p>
          <w:p>
            <w:pPr>
              <w:widowControl w:val="0"/>
              <w:jc w:val="center"/>
              <w:rPr>
                <w:rFonts w:cs="Times New Roman"/>
                <w:snapToGrid w:val="0"/>
              </w:rPr>
            </w:pPr>
            <w:r>
              <w:rPr>
                <w:rFonts w:hint="eastAsia" w:cs="Times New Roman"/>
                <w:snapToGrid w:val="0"/>
              </w:rPr>
              <w:t>地；</w:t>
            </w:r>
          </w:p>
          <w:p>
            <w:pPr>
              <w:widowControl w:val="0"/>
              <w:jc w:val="center"/>
              <w:rPr>
                <w:rFonts w:cs="Times New Roman"/>
                <w:snapToGrid w:val="0"/>
              </w:rPr>
            </w:pPr>
            <w:r>
              <w:rPr>
                <w:rFonts w:hint="eastAsia" w:cs="Times New Roman"/>
                <w:snapToGrid w:val="0"/>
              </w:rPr>
              <w:t>（</w:t>
            </w:r>
            <w:r>
              <w:rPr>
                <w:rFonts w:cs="Times New Roman"/>
                <w:snapToGrid w:val="0"/>
              </w:rPr>
              <w:t>2</w:t>
            </w:r>
            <w:r>
              <w:rPr>
                <w:rFonts w:hint="eastAsia" w:cs="Times New Roman"/>
                <w:snapToGrid w:val="0"/>
              </w:rPr>
              <w:t>）相关生产区涉及和工艺流</w:t>
            </w:r>
          </w:p>
          <w:p>
            <w:pPr>
              <w:widowControl w:val="0"/>
              <w:jc w:val="center"/>
              <w:rPr>
                <w:rFonts w:cs="Times New Roman"/>
                <w:snapToGrid w:val="0"/>
              </w:rPr>
            </w:pPr>
            <w:r>
              <w:rPr>
                <w:rFonts w:hint="eastAsia" w:cs="Times New Roman"/>
                <w:snapToGrid w:val="0"/>
              </w:rPr>
              <w:t>程符合动物防疫相关要求；</w:t>
            </w:r>
          </w:p>
          <w:p>
            <w:pPr>
              <w:widowControl w:val="0"/>
              <w:jc w:val="center"/>
              <w:rPr>
                <w:rFonts w:cs="Times New Roman"/>
                <w:snapToGrid w:val="0"/>
              </w:rPr>
            </w:pPr>
            <w:r>
              <w:rPr>
                <w:rFonts w:hint="eastAsia" w:cs="Times New Roman"/>
                <w:snapToGrid w:val="0"/>
              </w:rPr>
              <w:t>（</w:t>
            </w:r>
            <w:r>
              <w:rPr>
                <w:rFonts w:cs="Times New Roman"/>
                <w:snapToGrid w:val="0"/>
              </w:rPr>
              <w:t>3</w:t>
            </w:r>
            <w:r>
              <w:rPr>
                <w:rFonts w:hint="eastAsia" w:cs="Times New Roman"/>
                <w:snapToGrid w:val="0"/>
              </w:rPr>
              <w:t>）配备了相应污水、固废、废气的环保设施，各污染物均可达标排放；</w:t>
            </w:r>
          </w:p>
          <w:p>
            <w:pPr>
              <w:widowControl w:val="0"/>
              <w:jc w:val="center"/>
              <w:rPr>
                <w:rFonts w:cs="Times New Roman"/>
                <w:snapToGrid w:val="0"/>
              </w:rPr>
            </w:pPr>
            <w:r>
              <w:rPr>
                <w:rFonts w:hint="eastAsia" w:cs="Times New Roman"/>
                <w:snapToGrid w:val="0"/>
              </w:rPr>
              <w:t>（</w:t>
            </w:r>
            <w:r>
              <w:rPr>
                <w:rFonts w:cs="Times New Roman"/>
                <w:snapToGrid w:val="0"/>
              </w:rPr>
              <w:t>4</w:t>
            </w:r>
            <w:r>
              <w:rPr>
                <w:rFonts w:hint="eastAsia" w:cs="Times New Roman"/>
                <w:snapToGrid w:val="0"/>
              </w:rPr>
              <w:t>）建设单位配备有经考核合格的肉品品质检验人员；依法取得健康证明的屠宰技术人员；制定了完善的动物防疫制度，具备国务院兽医主管部门规定的其他动物防疫条件。</w:t>
            </w:r>
          </w:p>
        </w:tc>
        <w:tc>
          <w:tcPr>
            <w:tcW w:w="1268" w:type="dxa"/>
            <w:vAlign w:val="center"/>
          </w:tcPr>
          <w:p>
            <w:pPr>
              <w:widowControl w:val="0"/>
              <w:jc w:val="center"/>
              <w:rPr>
                <w:rFonts w:cs="Times New Roman"/>
                <w:snapToGrid w:val="0"/>
              </w:rPr>
            </w:pPr>
            <w:r>
              <w:rPr>
                <w:rFonts w:hint="eastAsia" w:cs="Times New Roman"/>
                <w:snapToGrid w:val="0"/>
              </w:rPr>
              <w:t>符合</w:t>
            </w:r>
          </w:p>
        </w:tc>
      </w:tr>
    </w:tbl>
    <w:p>
      <w:pPr>
        <w:pStyle w:val="3"/>
        <w:ind w:firstLine="480"/>
        <w:rPr>
          <w:rFonts w:cs="Times New Roman"/>
          <w:kern w:val="0"/>
          <w:szCs w:val="24"/>
        </w:rPr>
      </w:pPr>
      <w:r>
        <w:rPr>
          <w:rFonts w:hint="eastAsia" w:cs="Times New Roman"/>
          <w:kern w:val="0"/>
          <w:szCs w:val="24"/>
        </w:rPr>
        <w:t>综上，本项目与《中华人民共和国动物防疫法》（主席令第二十四号）中相关要求相符。</w:t>
      </w:r>
    </w:p>
    <w:p>
      <w:pPr>
        <w:pStyle w:val="3"/>
        <w:ind w:firstLine="480"/>
        <w:rPr>
          <w:rFonts w:ascii="宋体" w:cs="宋体"/>
          <w:kern w:val="0"/>
          <w:szCs w:val="24"/>
        </w:rPr>
      </w:pPr>
      <w:r>
        <w:rPr>
          <w:rFonts w:hint="eastAsia" w:cs="Times New Roman"/>
          <w:kern w:val="0"/>
          <w:szCs w:val="24"/>
        </w:rPr>
        <w:t>5、</w:t>
      </w:r>
      <w:r>
        <w:rPr>
          <w:rFonts w:hint="eastAsia" w:ascii="宋体" w:cs="宋体"/>
          <w:kern w:val="0"/>
          <w:szCs w:val="24"/>
        </w:rPr>
        <w:t>与两高、双高项目符合性分析</w:t>
      </w:r>
    </w:p>
    <w:p>
      <w:pPr>
        <w:pStyle w:val="3"/>
        <w:ind w:firstLine="480"/>
        <w:rPr>
          <w:rFonts w:cs="Times New Roman"/>
          <w:kern w:val="0"/>
          <w:szCs w:val="24"/>
        </w:rPr>
      </w:pPr>
      <w:r>
        <w:rPr>
          <w:rFonts w:hint="eastAsia" w:cs="Times New Roman"/>
          <w:kern w:val="0"/>
          <w:szCs w:val="24"/>
        </w:rPr>
        <w:t>（1）与《关于加强高耗能、高排放建设项目生态环境源头防控的指导意见》符合性分析</w:t>
      </w:r>
    </w:p>
    <w:p>
      <w:pPr>
        <w:pStyle w:val="3"/>
        <w:ind w:firstLine="480"/>
        <w:rPr>
          <w:rFonts w:cs="Times New Roman"/>
          <w:kern w:val="0"/>
          <w:szCs w:val="24"/>
        </w:rPr>
      </w:pPr>
      <w:r>
        <w:rPr>
          <w:rFonts w:hint="eastAsia" w:cs="Times New Roman"/>
          <w:kern w:val="0"/>
          <w:szCs w:val="24"/>
        </w:rPr>
        <w:t>根据（环环评【</w:t>
      </w:r>
      <w:r>
        <w:rPr>
          <w:rFonts w:cs="Times New Roman"/>
          <w:kern w:val="0"/>
          <w:szCs w:val="24"/>
        </w:rPr>
        <w:t>2021</w:t>
      </w:r>
      <w:r>
        <w:rPr>
          <w:rFonts w:hint="eastAsia" w:cs="Times New Roman"/>
          <w:kern w:val="0"/>
          <w:szCs w:val="24"/>
        </w:rPr>
        <w:t>】</w:t>
      </w:r>
      <w:r>
        <w:rPr>
          <w:rFonts w:cs="Times New Roman"/>
          <w:kern w:val="0"/>
          <w:szCs w:val="24"/>
        </w:rPr>
        <w:t xml:space="preserve">45 </w:t>
      </w:r>
      <w:r>
        <w:rPr>
          <w:rFonts w:hint="eastAsia" w:cs="Times New Roman"/>
          <w:kern w:val="0"/>
          <w:szCs w:val="24"/>
        </w:rPr>
        <w:t>号）《关于加强高耗能、高排放建设项目生态环境源头防控的指导意见》，明确“两高”项目暂按煤电、石化、化工、钢铁、有色金属冶炼、建材等六个行业类别，后续对“两高”范围国家如有明确规定的，从其规定。六个行业类别涉及：炼油、乙烯、钢铁、焦化、煤化工、燃煤发电、电解铝、水泥熟料、平板玻璃、铜铅锌硅冶炼。</w:t>
      </w:r>
    </w:p>
    <w:p>
      <w:pPr>
        <w:pStyle w:val="3"/>
        <w:ind w:firstLine="480"/>
        <w:rPr>
          <w:rFonts w:cs="Times New Roman"/>
          <w:kern w:val="0"/>
          <w:szCs w:val="24"/>
        </w:rPr>
      </w:pPr>
      <w:r>
        <w:rPr>
          <w:rFonts w:hint="eastAsia" w:cs="Times New Roman"/>
          <w:kern w:val="0"/>
          <w:szCs w:val="24"/>
        </w:rPr>
        <w:t>本项目为屠宰鸭项目，不属于“两高”项目。</w:t>
      </w:r>
    </w:p>
    <w:p>
      <w:pPr>
        <w:pStyle w:val="3"/>
        <w:ind w:firstLine="480"/>
        <w:rPr>
          <w:rFonts w:cs="Times New Roman"/>
          <w:kern w:val="0"/>
          <w:szCs w:val="24"/>
        </w:rPr>
      </w:pPr>
      <w:r>
        <w:rPr>
          <w:rFonts w:hint="eastAsia" w:cs="Times New Roman"/>
          <w:kern w:val="0"/>
          <w:szCs w:val="24"/>
        </w:rPr>
        <w:t>（2）与《环境保护综合名录（</w:t>
      </w:r>
      <w:r>
        <w:rPr>
          <w:rFonts w:cs="Times New Roman"/>
          <w:kern w:val="0"/>
          <w:szCs w:val="24"/>
        </w:rPr>
        <w:t xml:space="preserve">2021 </w:t>
      </w:r>
      <w:r>
        <w:rPr>
          <w:rFonts w:hint="eastAsia" w:cs="Times New Roman"/>
          <w:kern w:val="0"/>
          <w:szCs w:val="24"/>
        </w:rPr>
        <w:t>年版）》符合性分析</w:t>
      </w:r>
    </w:p>
    <w:p>
      <w:pPr>
        <w:pStyle w:val="3"/>
        <w:ind w:firstLine="480"/>
        <w:rPr>
          <w:rFonts w:cs="Times New Roman"/>
          <w:kern w:val="0"/>
          <w:szCs w:val="24"/>
        </w:rPr>
      </w:pPr>
      <w:r>
        <w:rPr>
          <w:rFonts w:hint="eastAsia" w:cs="Times New Roman"/>
          <w:kern w:val="0"/>
          <w:szCs w:val="24"/>
        </w:rPr>
        <w:t>根据《环境保护综合名录（</w:t>
      </w:r>
      <w:r>
        <w:rPr>
          <w:rFonts w:cs="Times New Roman"/>
          <w:kern w:val="0"/>
          <w:szCs w:val="24"/>
        </w:rPr>
        <w:t xml:space="preserve">2021 </w:t>
      </w:r>
      <w:r>
        <w:rPr>
          <w:rFonts w:hint="eastAsia" w:cs="Times New Roman"/>
          <w:kern w:val="0"/>
          <w:szCs w:val="24"/>
        </w:rPr>
        <w:t>年版）》，本项目屠宰鸭项目，不属于所列高污染、高环境风险（双高）项目。</w:t>
      </w:r>
    </w:p>
    <w:p>
      <w:pPr>
        <w:pStyle w:val="3"/>
        <w:ind w:firstLine="480"/>
        <w:rPr>
          <w:rFonts w:cs="Times New Roman"/>
          <w:kern w:val="0"/>
          <w:szCs w:val="24"/>
        </w:rPr>
      </w:pPr>
      <w:r>
        <w:rPr>
          <w:rFonts w:hint="eastAsia" w:cs="Times New Roman"/>
          <w:kern w:val="0"/>
          <w:szCs w:val="24"/>
        </w:rPr>
        <w:t>6、与《湖南省人民代表大会常务委员会关于修改</w:t>
      </w:r>
      <w:r>
        <w:rPr>
          <w:rFonts w:cs="Times New Roman"/>
          <w:kern w:val="0"/>
          <w:szCs w:val="24"/>
        </w:rPr>
        <w:t>&lt;</w:t>
      </w:r>
      <w:r>
        <w:rPr>
          <w:rFonts w:hint="eastAsia" w:cs="Times New Roman"/>
          <w:kern w:val="0"/>
          <w:szCs w:val="24"/>
        </w:rPr>
        <w:t>湖南省湘江保护条例</w:t>
      </w:r>
      <w:r>
        <w:rPr>
          <w:rFonts w:cs="Times New Roman"/>
          <w:kern w:val="0"/>
          <w:szCs w:val="24"/>
        </w:rPr>
        <w:t>&gt;</w:t>
      </w:r>
      <w:r>
        <w:rPr>
          <w:rFonts w:hint="eastAsia" w:cs="Times New Roman"/>
          <w:kern w:val="0"/>
          <w:szCs w:val="24"/>
        </w:rPr>
        <w:t>的决定》（</w:t>
      </w:r>
      <w:r>
        <w:rPr>
          <w:rFonts w:cs="Times New Roman"/>
          <w:kern w:val="0"/>
          <w:szCs w:val="24"/>
        </w:rPr>
        <w:t>2018</w:t>
      </w:r>
      <w:r>
        <w:rPr>
          <w:rFonts w:hint="eastAsia" w:cs="Times New Roman"/>
          <w:kern w:val="0"/>
          <w:szCs w:val="24"/>
        </w:rPr>
        <w:t>年</w:t>
      </w:r>
      <w:r>
        <w:rPr>
          <w:rFonts w:cs="Times New Roman"/>
          <w:kern w:val="0"/>
          <w:szCs w:val="24"/>
        </w:rPr>
        <w:t>11</w:t>
      </w:r>
      <w:r>
        <w:rPr>
          <w:rFonts w:hint="eastAsia" w:cs="Times New Roman"/>
          <w:kern w:val="0"/>
          <w:szCs w:val="24"/>
        </w:rPr>
        <w:t>月</w:t>
      </w:r>
      <w:r>
        <w:rPr>
          <w:rFonts w:cs="Times New Roman"/>
          <w:kern w:val="0"/>
          <w:szCs w:val="24"/>
        </w:rPr>
        <w:t>30</w:t>
      </w:r>
      <w:r>
        <w:rPr>
          <w:rFonts w:hint="eastAsia" w:cs="Times New Roman"/>
          <w:kern w:val="0"/>
          <w:szCs w:val="24"/>
        </w:rPr>
        <w:t>日湖南省第十三届人民代表大会常务委员会第八次会议通过）符合性分析</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w:t>
      </w:r>
      <w:r>
        <w:rPr>
          <w:rFonts w:hint="eastAsia" w:cs="Times New Roman" w:eastAsiaTheme="minorEastAsia"/>
          <w:b/>
        </w:rPr>
        <w:t>5与《湖南省湘江保护条例》符合性分析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741"/>
        <w:gridCol w:w="3601"/>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jc w:val="center"/>
              <w:rPr>
                <w:rFonts w:cs="Times New Roman"/>
                <w:snapToGrid w:val="0"/>
              </w:rPr>
            </w:pPr>
            <w:r>
              <w:rPr>
                <w:rFonts w:cs="Times New Roman"/>
                <w:snapToGrid w:val="0"/>
              </w:rPr>
              <w:t>分类</w:t>
            </w:r>
          </w:p>
        </w:tc>
        <w:tc>
          <w:tcPr>
            <w:tcW w:w="2039" w:type="pct"/>
            <w:vAlign w:val="center"/>
          </w:tcPr>
          <w:p>
            <w:pPr>
              <w:widowControl w:val="0"/>
              <w:jc w:val="center"/>
              <w:rPr>
                <w:rFonts w:cs="Times New Roman"/>
                <w:snapToGrid w:val="0"/>
              </w:rPr>
            </w:pPr>
            <w:r>
              <w:rPr>
                <w:rFonts w:hint="eastAsia" w:cs="Times New Roman"/>
                <w:snapToGrid w:val="0"/>
              </w:rPr>
              <w:t>文件要求</w:t>
            </w:r>
          </w:p>
        </w:tc>
        <w:tc>
          <w:tcPr>
            <w:tcW w:w="1963" w:type="pct"/>
            <w:vAlign w:val="center"/>
          </w:tcPr>
          <w:p>
            <w:pPr>
              <w:widowControl w:val="0"/>
              <w:jc w:val="center"/>
              <w:rPr>
                <w:rFonts w:cs="Times New Roman"/>
                <w:snapToGrid w:val="0"/>
              </w:rPr>
            </w:pPr>
            <w:r>
              <w:rPr>
                <w:rFonts w:cs="Times New Roman"/>
                <w:snapToGrid w:val="0"/>
              </w:rPr>
              <w:t>本项目情况</w:t>
            </w:r>
          </w:p>
        </w:tc>
        <w:tc>
          <w:tcPr>
            <w:tcW w:w="537" w:type="pct"/>
            <w:vAlign w:val="center"/>
          </w:tcPr>
          <w:p>
            <w:pPr>
              <w:widowControl w:val="0"/>
              <w:jc w:val="center"/>
              <w:rPr>
                <w:rFonts w:cs="Times New Roman"/>
                <w:snapToGrid w:val="0"/>
              </w:rPr>
            </w:pPr>
            <w:r>
              <w:rPr>
                <w:rFonts w:cs="Times New Roman"/>
                <w:snapToGrid w:val="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autoSpaceDE w:val="0"/>
              <w:autoSpaceDN w:val="0"/>
              <w:snapToGrid/>
              <w:jc w:val="center"/>
              <w:rPr>
                <w:rFonts w:cs="Times New Roman"/>
                <w:snapToGrid w:val="0"/>
              </w:rPr>
            </w:pPr>
            <w:r>
              <w:rPr>
                <w:rFonts w:hint="eastAsia" w:ascii="宋体" w:eastAsia="宋体" w:cs="宋体"/>
                <w:kern w:val="0"/>
              </w:rPr>
              <w:t>第十四条</w:t>
            </w:r>
          </w:p>
        </w:tc>
        <w:tc>
          <w:tcPr>
            <w:tcW w:w="2039" w:type="pct"/>
            <w:vAlign w:val="center"/>
          </w:tcPr>
          <w:p>
            <w:pPr>
              <w:widowControl w:val="0"/>
              <w:jc w:val="center"/>
              <w:rPr>
                <w:rFonts w:cs="Times New Roman"/>
                <w:snapToGrid w:val="0"/>
              </w:rPr>
            </w:pPr>
            <w:r>
              <w:rPr>
                <w:rFonts w:hint="eastAsia" w:cs="Times New Roman"/>
                <w:snapToGrid w:val="0"/>
              </w:rPr>
              <w:t>湘江流域新建、改建、扩建建设项目需要直接取用水资源的，建设单位应当编制建设项目水资源论证报告，并依法办理取水许可手续。</w:t>
            </w:r>
          </w:p>
        </w:tc>
        <w:tc>
          <w:tcPr>
            <w:tcW w:w="1963" w:type="pct"/>
            <w:vAlign w:val="center"/>
          </w:tcPr>
          <w:p>
            <w:pPr>
              <w:widowControl w:val="0"/>
              <w:jc w:val="center"/>
              <w:rPr>
                <w:rFonts w:cs="Times New Roman"/>
                <w:snapToGrid w:val="0"/>
              </w:rPr>
            </w:pPr>
            <w:r>
              <w:rPr>
                <w:rFonts w:hint="eastAsia" w:cs="Times New Roman"/>
                <w:snapToGrid w:val="0"/>
              </w:rPr>
              <w:t>本项目属于湘江流域改扩建项目，项目用水来自打水井，不直接取用湘江流域水资源，无需编制水资源论证报告及办理取水许可手续。</w:t>
            </w:r>
          </w:p>
        </w:tc>
        <w:tc>
          <w:tcPr>
            <w:tcW w:w="537" w:type="pct"/>
            <w:vAlign w:val="center"/>
          </w:tcPr>
          <w:p>
            <w:pPr>
              <w:widowControl w:val="0"/>
              <w:jc w:val="center"/>
              <w:rPr>
                <w:rFonts w:cs="Times New Roman"/>
                <w:snapToGrid w:val="0"/>
              </w:rPr>
            </w:pPr>
            <w:r>
              <w:rPr>
                <w:rFonts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autoSpaceDE w:val="0"/>
              <w:autoSpaceDN w:val="0"/>
              <w:snapToGrid/>
              <w:jc w:val="center"/>
              <w:rPr>
                <w:rFonts w:cs="Times New Roman"/>
                <w:snapToGrid w:val="0"/>
              </w:rPr>
            </w:pPr>
            <w:r>
              <w:rPr>
                <w:rFonts w:hint="eastAsia" w:ascii="宋体" w:eastAsia="宋体" w:cs="宋体"/>
                <w:kern w:val="0"/>
              </w:rPr>
              <w:t>第三十二条</w:t>
            </w:r>
          </w:p>
        </w:tc>
        <w:tc>
          <w:tcPr>
            <w:tcW w:w="2039" w:type="pct"/>
            <w:vAlign w:val="center"/>
          </w:tcPr>
          <w:p>
            <w:pPr>
              <w:widowControl w:val="0"/>
              <w:jc w:val="center"/>
              <w:rPr>
                <w:rFonts w:cs="Times New Roman"/>
                <w:snapToGrid w:val="0"/>
              </w:rPr>
            </w:pPr>
            <w:r>
              <w:rPr>
                <w:rFonts w:hint="eastAsia" w:cs="Times New Roman"/>
                <w:snapToGrid w:val="0"/>
              </w:rPr>
              <w:t>对湘江流域内化学需氧量、氨氮、石油类、汞、镉、铅、砷、铬、锑等重点水污染物排放实行总量控制。</w:t>
            </w:r>
          </w:p>
        </w:tc>
        <w:tc>
          <w:tcPr>
            <w:tcW w:w="1963" w:type="pct"/>
            <w:vAlign w:val="center"/>
          </w:tcPr>
          <w:p>
            <w:pPr>
              <w:widowControl w:val="0"/>
              <w:jc w:val="center"/>
              <w:rPr>
                <w:rFonts w:cs="Times New Roman"/>
                <w:snapToGrid w:val="0"/>
              </w:rPr>
            </w:pPr>
            <w:r>
              <w:rPr>
                <w:rFonts w:hint="eastAsia" w:cs="Times New Roman"/>
                <w:snapToGrid w:val="0"/>
              </w:rPr>
              <w:t>项目废水中不含重金属，废水经厂区粪污处理系统处理后回用于林地灌溉。</w:t>
            </w:r>
          </w:p>
        </w:tc>
        <w:tc>
          <w:tcPr>
            <w:tcW w:w="537" w:type="pct"/>
            <w:vAlign w:val="center"/>
          </w:tcPr>
          <w:p>
            <w:pPr>
              <w:widowControl w:val="0"/>
              <w:jc w:val="center"/>
              <w:rPr>
                <w:rFonts w:cs="Times New Roman"/>
                <w:snapToGrid w:val="0"/>
              </w:rPr>
            </w:pPr>
            <w:r>
              <w:rPr>
                <w:rFonts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autoSpaceDE w:val="0"/>
              <w:autoSpaceDN w:val="0"/>
              <w:snapToGrid/>
              <w:jc w:val="center"/>
              <w:rPr>
                <w:rFonts w:cs="Times New Roman"/>
                <w:snapToGrid w:val="0"/>
              </w:rPr>
            </w:pPr>
            <w:r>
              <w:rPr>
                <w:rFonts w:hint="eastAsia" w:ascii="宋体" w:eastAsia="宋体" w:cs="宋体"/>
                <w:kern w:val="0"/>
              </w:rPr>
              <w:t>第三十三条</w:t>
            </w:r>
          </w:p>
        </w:tc>
        <w:tc>
          <w:tcPr>
            <w:tcW w:w="2039" w:type="pct"/>
            <w:vAlign w:val="center"/>
          </w:tcPr>
          <w:p>
            <w:pPr>
              <w:widowControl w:val="0"/>
              <w:jc w:val="center"/>
              <w:rPr>
                <w:rFonts w:cs="Times New Roman"/>
                <w:snapToGrid w:val="0"/>
              </w:rPr>
            </w:pPr>
            <w:r>
              <w:rPr>
                <w:rFonts w:hint="eastAsia" w:cs="Times New Roman"/>
                <w:snapToGrid w:val="0"/>
              </w:rPr>
              <w:t>第一款：禁止向水体排放、倾倒工业废</w:t>
            </w:r>
          </w:p>
          <w:p>
            <w:pPr>
              <w:widowControl w:val="0"/>
              <w:jc w:val="center"/>
              <w:rPr>
                <w:rFonts w:cs="Times New Roman"/>
                <w:snapToGrid w:val="0"/>
              </w:rPr>
            </w:pPr>
            <w:r>
              <w:rPr>
                <w:rFonts w:hint="eastAsia" w:cs="Times New Roman"/>
                <w:snapToGrid w:val="0"/>
              </w:rPr>
              <w:t>渣、城镇垃圾和其他废弃物。禁止将含</w:t>
            </w:r>
          </w:p>
          <w:p>
            <w:pPr>
              <w:widowControl w:val="0"/>
              <w:jc w:val="center"/>
              <w:rPr>
                <w:rFonts w:cs="Times New Roman"/>
                <w:snapToGrid w:val="0"/>
              </w:rPr>
            </w:pPr>
            <w:r>
              <w:rPr>
                <w:rFonts w:hint="eastAsia" w:cs="Times New Roman"/>
                <w:snapToGrid w:val="0"/>
              </w:rPr>
              <w:t>有汞、镉、砷、铬、铅、氰化物、黄磷</w:t>
            </w:r>
          </w:p>
          <w:p>
            <w:pPr>
              <w:widowControl w:val="0"/>
              <w:jc w:val="center"/>
              <w:rPr>
                <w:rFonts w:cs="Times New Roman"/>
                <w:snapToGrid w:val="0"/>
              </w:rPr>
            </w:pPr>
            <w:r>
              <w:rPr>
                <w:rFonts w:hint="eastAsia" w:cs="Times New Roman"/>
                <w:snapToGrid w:val="0"/>
              </w:rPr>
              <w:t>等的可溶性剧毒废渣向水体排放、倾倒。</w:t>
            </w:r>
          </w:p>
        </w:tc>
        <w:tc>
          <w:tcPr>
            <w:tcW w:w="1963" w:type="pct"/>
            <w:vAlign w:val="center"/>
          </w:tcPr>
          <w:p>
            <w:pPr>
              <w:widowControl w:val="0"/>
              <w:jc w:val="center"/>
              <w:rPr>
                <w:rFonts w:cs="Times New Roman"/>
                <w:snapToGrid w:val="0"/>
              </w:rPr>
            </w:pPr>
            <w:r>
              <w:rPr>
                <w:rFonts w:hint="eastAsia" w:cs="Times New Roman"/>
                <w:snapToGrid w:val="0"/>
              </w:rPr>
              <w:t>本项目生产过程中无含有汞、镉、砷、铬、铅、氰化物、黄磷等的可溶性剧毒废渣产生，项目产生的废渣及生活垃圾全部收集后分类处置，不外排。</w:t>
            </w:r>
          </w:p>
        </w:tc>
        <w:tc>
          <w:tcPr>
            <w:tcW w:w="537" w:type="pct"/>
            <w:vAlign w:val="center"/>
          </w:tcPr>
          <w:p>
            <w:pPr>
              <w:widowControl w:val="0"/>
              <w:jc w:val="center"/>
              <w:rPr>
                <w:rFonts w:cs="Times New Roman"/>
                <w:snapToGrid w:val="0"/>
              </w:rPr>
            </w:pPr>
            <w:r>
              <w:rPr>
                <w:rFonts w:cs="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Align w:val="center"/>
          </w:tcPr>
          <w:p>
            <w:pPr>
              <w:widowControl w:val="0"/>
              <w:autoSpaceDE w:val="0"/>
              <w:autoSpaceDN w:val="0"/>
              <w:snapToGrid/>
              <w:jc w:val="center"/>
              <w:rPr>
                <w:rFonts w:cs="Times New Roman"/>
                <w:snapToGrid w:val="0"/>
              </w:rPr>
            </w:pPr>
            <w:r>
              <w:rPr>
                <w:rFonts w:hint="eastAsia" w:ascii="宋体" w:eastAsia="宋体" w:cs="宋体"/>
                <w:kern w:val="0"/>
              </w:rPr>
              <w:t>第三十四条</w:t>
            </w:r>
          </w:p>
        </w:tc>
        <w:tc>
          <w:tcPr>
            <w:tcW w:w="2039" w:type="pct"/>
            <w:vAlign w:val="center"/>
          </w:tcPr>
          <w:p>
            <w:pPr>
              <w:widowControl w:val="0"/>
              <w:jc w:val="center"/>
              <w:rPr>
                <w:rFonts w:cs="Times New Roman"/>
                <w:snapToGrid w:val="0"/>
              </w:rPr>
            </w:pPr>
            <w:r>
              <w:rPr>
                <w:rFonts w:hint="eastAsia" w:cs="Times New Roman"/>
                <w:snapToGrid w:val="0"/>
              </w:rPr>
              <w:t>新建、改建、扩建建设项目，建设单位应当组织进行建设项目环境影响评价，并根据建设项目对环境的影响程度，分别编制环境影响评价报告书、环境影响评价报告表或者填报环境影响登记表。环境影响评价报告书、报告表应当依法报生态环境主管部门审批，环境影响登记表应当依法报生态环境主管部门备案。</w:t>
            </w:r>
          </w:p>
        </w:tc>
        <w:tc>
          <w:tcPr>
            <w:tcW w:w="1963" w:type="pct"/>
            <w:vAlign w:val="center"/>
          </w:tcPr>
          <w:p>
            <w:pPr>
              <w:widowControl w:val="0"/>
              <w:jc w:val="center"/>
              <w:rPr>
                <w:rFonts w:cs="Times New Roman"/>
                <w:snapToGrid w:val="0"/>
              </w:rPr>
            </w:pPr>
            <w:r>
              <w:rPr>
                <w:rFonts w:hint="eastAsia" w:cs="Times New Roman"/>
                <w:snapToGrid w:val="0"/>
              </w:rPr>
              <w:t>本项目属于改扩建项目，已委托我单位进行建设项目环境影响评价，编制环境影响报告书，呈衡阳市生态环境局衡阳县分局审批。</w:t>
            </w:r>
          </w:p>
        </w:tc>
        <w:tc>
          <w:tcPr>
            <w:tcW w:w="537" w:type="pct"/>
            <w:vAlign w:val="center"/>
          </w:tcPr>
          <w:p>
            <w:pPr>
              <w:widowControl w:val="0"/>
              <w:jc w:val="center"/>
              <w:rPr>
                <w:rFonts w:cs="Times New Roman"/>
                <w:snapToGrid w:val="0"/>
              </w:rPr>
            </w:pPr>
            <w:r>
              <w:rPr>
                <w:rFonts w:cs="Times New Roman"/>
                <w:snapToGrid w:val="0"/>
              </w:rPr>
              <w:t>符合</w:t>
            </w:r>
          </w:p>
        </w:tc>
      </w:tr>
    </w:tbl>
    <w:p>
      <w:pPr>
        <w:pStyle w:val="3"/>
        <w:ind w:firstLine="480"/>
        <w:rPr>
          <w:rFonts w:cs="Times New Roman"/>
          <w:kern w:val="0"/>
          <w:szCs w:val="24"/>
        </w:rPr>
      </w:pPr>
      <w:r>
        <w:rPr>
          <w:rFonts w:hint="eastAsia" w:ascii="宋体" w:cs="宋体"/>
          <w:kern w:val="0"/>
          <w:szCs w:val="24"/>
        </w:rPr>
        <w:t>综上，本项目建设符合《湖南省湘江保护条例》。</w:t>
      </w:r>
    </w:p>
    <w:p>
      <w:pPr>
        <w:pStyle w:val="3"/>
        <w:ind w:firstLine="0" w:firstLineChars="0"/>
        <w:outlineLvl w:val="2"/>
        <w:rPr>
          <w:rFonts w:eastAsia="黑体" w:cstheme="majorBidi"/>
          <w:bCs/>
          <w:szCs w:val="32"/>
        </w:rPr>
      </w:pPr>
      <w:r>
        <w:rPr>
          <w:rFonts w:hint="eastAsia" w:eastAsia="黑体" w:cstheme="majorBidi"/>
          <w:bCs/>
          <w:szCs w:val="32"/>
        </w:rPr>
        <w:t>1.4.5 “三线一单”控制要求符合性分析</w:t>
      </w:r>
    </w:p>
    <w:p>
      <w:pPr>
        <w:pStyle w:val="3"/>
        <w:ind w:firstLine="480"/>
        <w:rPr>
          <w:kern w:val="0"/>
        </w:rPr>
      </w:pPr>
      <w:r>
        <w:rPr>
          <w:kern w:val="0"/>
        </w:rPr>
        <w:t>根据环保部发布的《关于以改善环境质量为核心加强环境影响评价管理的通知》(以下简称《通知》)，《通知》要求切实加强环境影响评价管理，落实</w:t>
      </w:r>
      <w:r>
        <w:rPr>
          <w:rFonts w:hint="eastAsia"/>
          <w:kern w:val="0"/>
        </w:rPr>
        <w:t>“</w:t>
      </w:r>
      <w:r>
        <w:rPr>
          <w:kern w:val="0"/>
        </w:rPr>
        <w:t>生态保护红线、环境质量底线、资源利用上线和环境准入负面清单</w:t>
      </w:r>
      <w:r>
        <w:rPr>
          <w:rFonts w:hint="eastAsia"/>
          <w:kern w:val="0"/>
        </w:rPr>
        <w:t>”</w:t>
      </w:r>
      <w:r>
        <w:rPr>
          <w:kern w:val="0"/>
        </w:rPr>
        <w:t>约束，建立项目环评审批与规划环评、现有项目环境管理、区域环境质量联动机制，更好地发挥环评制度从源头防范环境污染和生态破坏的作用，加快推进改善环境质量。</w:t>
      </w:r>
    </w:p>
    <w:p>
      <w:pPr>
        <w:pStyle w:val="69"/>
        <w:spacing w:line="360" w:lineRule="auto"/>
        <w:ind w:firstLine="480"/>
        <w:rPr>
          <w:kern w:val="0"/>
        </w:rPr>
      </w:pPr>
      <w:r>
        <w:rPr>
          <w:kern w:val="0"/>
        </w:rPr>
        <w:t>（1）生态红线</w:t>
      </w:r>
    </w:p>
    <w:p>
      <w:pPr>
        <w:pStyle w:val="69"/>
        <w:spacing w:line="360" w:lineRule="auto"/>
        <w:ind w:firstLine="480"/>
        <w:rPr>
          <w:kern w:val="0"/>
        </w:rPr>
      </w:pPr>
      <w:r>
        <w:rPr>
          <w:rFonts w:hint="eastAsia"/>
          <w:kern w:val="0"/>
        </w:rPr>
        <w:t>“</w:t>
      </w:r>
      <w:r>
        <w:rPr>
          <w:kern w:val="0"/>
        </w:rPr>
        <w:t>生态保护红线</w:t>
      </w:r>
      <w:r>
        <w:rPr>
          <w:rFonts w:hint="eastAsia"/>
          <w:kern w:val="0"/>
        </w:rPr>
        <w:t>”</w:t>
      </w:r>
      <w:r>
        <w:rPr>
          <w:kern w:val="0"/>
        </w:rPr>
        <w:t>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69"/>
        <w:spacing w:line="360" w:lineRule="auto"/>
        <w:ind w:firstLine="480"/>
        <w:rPr>
          <w:kern w:val="0"/>
        </w:rPr>
      </w:pPr>
      <w:r>
        <w:rPr>
          <w:kern w:val="0"/>
        </w:rPr>
        <w:t>本项目位于</w:t>
      </w:r>
      <w:r>
        <w:t>衡阳县集兵镇大利村祝老屋组</w:t>
      </w:r>
      <w:r>
        <w:rPr>
          <w:kern w:val="0"/>
        </w:rPr>
        <w:t>，项目选址不在</w:t>
      </w:r>
      <w:r>
        <w:t>衡阳县</w:t>
      </w:r>
      <w:r>
        <w:rPr>
          <w:kern w:val="0"/>
        </w:rPr>
        <w:t>生态红线范围内，因此，项目建设符合生态红线保护要求。</w:t>
      </w:r>
    </w:p>
    <w:p>
      <w:pPr>
        <w:pStyle w:val="69"/>
        <w:spacing w:line="360" w:lineRule="auto"/>
        <w:ind w:firstLine="480"/>
        <w:rPr>
          <w:kern w:val="0"/>
        </w:rPr>
      </w:pPr>
      <w:r>
        <w:rPr>
          <w:kern w:val="0"/>
        </w:rPr>
        <w:t>（2）资源利用上线</w:t>
      </w:r>
    </w:p>
    <w:p>
      <w:pPr>
        <w:pStyle w:val="69"/>
        <w:spacing w:line="360" w:lineRule="auto"/>
        <w:ind w:firstLine="480"/>
        <w:rPr>
          <w:kern w:val="0"/>
        </w:rPr>
      </w:pPr>
      <w:r>
        <w:rPr>
          <w:kern w:val="0"/>
        </w:rPr>
        <w:t>资源是环境的载体，</w:t>
      </w:r>
      <w:r>
        <w:rPr>
          <w:rFonts w:hint="eastAsia"/>
          <w:kern w:val="0"/>
        </w:rPr>
        <w:t>“</w:t>
      </w:r>
      <w:r>
        <w:rPr>
          <w:kern w:val="0"/>
        </w:rPr>
        <w:t>资源利用上线</w:t>
      </w:r>
      <w:r>
        <w:rPr>
          <w:rFonts w:hint="eastAsia"/>
          <w:kern w:val="0"/>
        </w:rPr>
        <w:t>”</w:t>
      </w:r>
      <w:r>
        <w:rPr>
          <w:kern w:val="0"/>
        </w:rPr>
        <w:t>地区能源、水、土地等资源消耗不得突破的</w:t>
      </w:r>
      <w:r>
        <w:rPr>
          <w:rFonts w:hint="eastAsia"/>
          <w:kern w:val="0"/>
        </w:rPr>
        <w:t>“</w:t>
      </w:r>
      <w:r>
        <w:rPr>
          <w:kern w:val="0"/>
        </w:rPr>
        <w:t>天花板</w:t>
      </w:r>
      <w:r>
        <w:rPr>
          <w:rFonts w:hint="eastAsia"/>
          <w:kern w:val="0"/>
        </w:rPr>
        <w:t>”</w:t>
      </w:r>
      <w:r>
        <w:rPr>
          <w:kern w:val="0"/>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pStyle w:val="69"/>
        <w:spacing w:line="360" w:lineRule="auto"/>
        <w:ind w:firstLine="480"/>
        <w:rPr>
          <w:kern w:val="0"/>
        </w:rPr>
      </w:pPr>
      <w:r>
        <w:rPr>
          <w:kern w:val="0"/>
        </w:rPr>
        <w:t>本项目建设主要是对外购的</w:t>
      </w:r>
      <w:r>
        <w:rPr>
          <w:rFonts w:hint="eastAsia"/>
          <w:kern w:val="0"/>
        </w:rPr>
        <w:t>牛、</w:t>
      </w:r>
      <w:r>
        <w:rPr>
          <w:kern w:val="0"/>
        </w:rPr>
        <w:t>鸡、鸭进行一步宰杀外售，项目营运涉及到的各原辅材料均为外购。生产与生活用水均使用</w:t>
      </w:r>
      <w:r>
        <w:rPr>
          <w:rFonts w:hint="eastAsia"/>
          <w:kern w:val="0"/>
        </w:rPr>
        <w:t>井</w:t>
      </w:r>
      <w:r>
        <w:rPr>
          <w:kern w:val="0"/>
        </w:rPr>
        <w:t>水；能源主要使用电能，由国家电网供应。项目建设土地不涉及基本农田，土地资源符合要求。</w:t>
      </w:r>
    </w:p>
    <w:p>
      <w:pPr>
        <w:pStyle w:val="69"/>
        <w:spacing w:line="360" w:lineRule="auto"/>
        <w:ind w:firstLine="480"/>
        <w:rPr>
          <w:kern w:val="0"/>
        </w:rPr>
      </w:pPr>
      <w:r>
        <w:rPr>
          <w:kern w:val="0"/>
        </w:rPr>
        <w:t>因此，项目建设不存在资源过度使用的情况。</w:t>
      </w:r>
    </w:p>
    <w:p>
      <w:pPr>
        <w:pStyle w:val="69"/>
        <w:spacing w:line="360" w:lineRule="auto"/>
        <w:ind w:firstLine="480"/>
        <w:rPr>
          <w:kern w:val="0"/>
        </w:rPr>
      </w:pPr>
      <w:r>
        <w:rPr>
          <w:kern w:val="0"/>
        </w:rPr>
        <w:t>（3）环境质量底线</w:t>
      </w:r>
    </w:p>
    <w:p>
      <w:pPr>
        <w:pStyle w:val="69"/>
        <w:spacing w:line="360" w:lineRule="auto"/>
        <w:ind w:firstLine="480"/>
        <w:rPr>
          <w:kern w:val="0"/>
        </w:rPr>
      </w:pPr>
      <w:r>
        <w:rPr>
          <w:rFonts w:hint="eastAsia"/>
          <w:kern w:val="0"/>
        </w:rPr>
        <w:t>“</w:t>
      </w:r>
      <w:r>
        <w:rPr>
          <w:kern w:val="0"/>
        </w:rPr>
        <w:t>环境质量底线</w:t>
      </w:r>
      <w:r>
        <w:rPr>
          <w:rFonts w:hint="eastAsia"/>
          <w:kern w:val="0"/>
        </w:rPr>
        <w:t>”</w:t>
      </w:r>
      <w:r>
        <w:rPr>
          <w:kern w:val="0"/>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69"/>
        <w:spacing w:line="360" w:lineRule="auto"/>
        <w:ind w:firstLine="560"/>
        <w:rPr>
          <w:kern w:val="0"/>
        </w:rPr>
      </w:pPr>
      <w:r>
        <w:rPr>
          <w:kern w:val="0"/>
        </w:rPr>
        <w:t>本项目拟建地位于</w:t>
      </w:r>
      <w:r>
        <w:t>衡阳县集兵镇大利村祝老屋组</w:t>
      </w:r>
      <w:r>
        <w:rPr>
          <w:kern w:val="0"/>
        </w:rPr>
        <w:t>，根据环境空气质量现状监测、地表水环境质量现状监测以及声环境质量现状监测数据，项目区域大气环境、地表水环境以及噪声环境均能够满足相应的标准要求，且项目营运期各污染物均能实现达标排放，不会改变项目所在区域环境功能。</w:t>
      </w:r>
    </w:p>
    <w:p>
      <w:pPr>
        <w:pStyle w:val="3"/>
        <w:ind w:firstLine="480"/>
        <w:rPr>
          <w:kern w:val="0"/>
        </w:rPr>
      </w:pPr>
      <w:r>
        <w:rPr>
          <w:kern w:val="0"/>
        </w:rPr>
        <w:t>因此，项目建设符合环境质量底线要求。</w:t>
      </w:r>
    </w:p>
    <w:p>
      <w:pPr>
        <w:pStyle w:val="3"/>
        <w:ind w:firstLine="480"/>
        <w:rPr>
          <w:kern w:val="0"/>
        </w:rPr>
      </w:pPr>
      <w:r>
        <w:rPr>
          <w:rFonts w:hint="eastAsia"/>
          <w:kern w:val="0"/>
        </w:rPr>
        <w:t>（4）</w:t>
      </w:r>
      <w:r>
        <w:rPr>
          <w:kern w:val="0"/>
        </w:rPr>
        <w:t>环境准入负面清单</w:t>
      </w:r>
    </w:p>
    <w:p>
      <w:pPr>
        <w:pStyle w:val="3"/>
        <w:ind w:firstLine="480"/>
        <w:rPr>
          <w:kern w:val="0"/>
        </w:rPr>
      </w:pPr>
      <w:r>
        <w:rPr>
          <w:kern w:val="0"/>
        </w:rPr>
        <w:t>目前项目选址区域暂无明确的环境准入负面清单，本项目属于屠宰项目，不属于高污染、高能耗和资源型的产业类型。因此本项目应为环境准入允许类别。</w:t>
      </w:r>
    </w:p>
    <w:p>
      <w:pPr>
        <w:pStyle w:val="3"/>
        <w:ind w:firstLine="0" w:firstLineChars="0"/>
        <w:outlineLvl w:val="2"/>
        <w:rPr>
          <w:rFonts w:eastAsia="黑体" w:cstheme="majorBidi"/>
          <w:bCs/>
          <w:szCs w:val="32"/>
        </w:rPr>
      </w:pPr>
      <w:r>
        <w:rPr>
          <w:rFonts w:hint="eastAsia" w:eastAsia="黑体" w:cstheme="majorBidi"/>
          <w:bCs/>
          <w:szCs w:val="32"/>
        </w:rPr>
        <w:t>1.4.6 与衡阳市“三线一单”生态环境分区管控方案相符性分析</w:t>
      </w:r>
    </w:p>
    <w:p>
      <w:pPr>
        <w:pStyle w:val="3"/>
        <w:ind w:firstLine="480"/>
        <w:rPr>
          <w:kern w:val="0"/>
        </w:rPr>
        <w:sectPr>
          <w:pgSz w:w="11906" w:h="16838"/>
          <w:pgMar w:top="1474" w:right="1361" w:bottom="1474" w:left="1588" w:header="851" w:footer="992" w:gutter="0"/>
          <w:cols w:space="425" w:num="1"/>
          <w:docGrid w:type="lines" w:linePitch="312" w:charSpace="0"/>
        </w:sectPr>
      </w:pPr>
      <w:r>
        <w:rPr>
          <w:rFonts w:hint="eastAsia"/>
          <w:kern w:val="0"/>
        </w:rPr>
        <w:t>对照《衡阳市“三线一单”分区管控单元生态环境准入清单》，本项目属于集兵镇，为</w:t>
      </w:r>
      <w:r>
        <w:rPr>
          <w:rFonts w:eastAsiaTheme="minorEastAsia"/>
          <w:kern w:val="0"/>
        </w:rPr>
        <w:t>一般管控单元</w:t>
      </w:r>
      <w:r>
        <w:rPr>
          <w:rFonts w:hint="eastAsia"/>
          <w:kern w:val="0"/>
        </w:rPr>
        <w:t>（环境管控单元编码：</w:t>
      </w:r>
      <w:r>
        <w:rPr>
          <w:kern w:val="0"/>
        </w:rPr>
        <w:t>ZH43042130002</w:t>
      </w:r>
      <w:r>
        <w:rPr>
          <w:rFonts w:hint="eastAsia"/>
          <w:kern w:val="0"/>
        </w:rPr>
        <w:t>），本项目与其相符性分析详见表1.4-6。</w:t>
      </w:r>
    </w:p>
    <w:p>
      <w:pPr>
        <w:pStyle w:val="3"/>
        <w:spacing w:line="240" w:lineRule="auto"/>
        <w:ind w:firstLine="0" w:firstLineChars="0"/>
        <w:jc w:val="center"/>
        <w:rPr>
          <w:rFonts w:cs="Times New Roman" w:eastAsiaTheme="minorEastAsia"/>
          <w:b/>
        </w:rPr>
      </w:pPr>
      <w:r>
        <w:rPr>
          <w:rFonts w:hint="eastAsia" w:cs="Times New Roman" w:eastAsiaTheme="minorEastAsia"/>
          <w:b/>
        </w:rPr>
        <w:t>表</w:t>
      </w:r>
      <w:r>
        <w:rPr>
          <w:rFonts w:cs="Times New Roman" w:eastAsiaTheme="minorEastAsia"/>
          <w:b/>
        </w:rPr>
        <w:t>1.</w:t>
      </w:r>
      <w:r>
        <w:rPr>
          <w:rFonts w:hint="eastAsia" w:cs="Times New Roman" w:eastAsiaTheme="minorEastAsia"/>
          <w:b/>
        </w:rPr>
        <w:t>4</w:t>
      </w:r>
      <w:r>
        <w:rPr>
          <w:rFonts w:cs="Times New Roman" w:eastAsiaTheme="minorEastAsia"/>
          <w:b/>
        </w:rPr>
        <w:t>-</w:t>
      </w:r>
      <w:r>
        <w:rPr>
          <w:rFonts w:hint="eastAsia" w:cs="Times New Roman" w:eastAsiaTheme="minorEastAsia"/>
          <w:b/>
        </w:rPr>
        <w:t>5 衡阳市“三线一单”分区管控单元生态环境准入清单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6"/>
        <w:gridCol w:w="1134"/>
        <w:gridCol w:w="1419"/>
        <w:gridCol w:w="1416"/>
        <w:gridCol w:w="5081"/>
        <w:gridCol w:w="127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环境管控单元编码</w:t>
            </w:r>
          </w:p>
        </w:tc>
        <w:tc>
          <w:tcPr>
            <w:tcW w:w="502"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范围</w:t>
            </w:r>
          </w:p>
        </w:tc>
        <w:tc>
          <w:tcPr>
            <w:tcW w:w="402"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管控单元分类</w:t>
            </w:r>
          </w:p>
        </w:tc>
        <w:tc>
          <w:tcPr>
            <w:tcW w:w="503"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单元特征</w:t>
            </w:r>
          </w:p>
        </w:tc>
        <w:tc>
          <w:tcPr>
            <w:tcW w:w="502"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管控</w:t>
            </w: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要求</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相符性分析</w:t>
            </w:r>
          </w:p>
        </w:tc>
        <w:tc>
          <w:tcPr>
            <w:tcW w:w="449" w:type="pct"/>
            <w:vAlign w:val="center"/>
          </w:tcPr>
          <w:p>
            <w:pPr>
              <w:widowControl w:val="0"/>
              <w:autoSpaceDE w:val="0"/>
              <w:autoSpaceDN w:val="0"/>
              <w:snapToGrid/>
              <w:jc w:val="center"/>
              <w:rPr>
                <w:rFonts w:ascii="Times New Roman" w:hAnsi="Times New Roman" w:cs="Times New Roman"/>
                <w:snapToGrid w:val="0"/>
              </w:rPr>
            </w:pPr>
            <w:r>
              <w:rPr>
                <w:rFonts w:ascii="Times New Roman" w:hAnsi="Times New Roman" w:cs="Times New Roman"/>
                <w:snapToGrid w:val="0"/>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ZH43042130002</w:t>
            </w:r>
          </w:p>
        </w:tc>
        <w:tc>
          <w:tcPr>
            <w:tcW w:w="502"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岣嵝乡集兵镇界牌镇杉桥镇石市镇台源镇渣江镇</w:t>
            </w:r>
          </w:p>
        </w:tc>
        <w:tc>
          <w:tcPr>
            <w:tcW w:w="402"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一般管控单元</w:t>
            </w:r>
          </w:p>
        </w:tc>
        <w:tc>
          <w:tcPr>
            <w:tcW w:w="503"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国家层面农产品主产区、乡镇生活污水处理厂未建成，养殖废水处理不能稳定达标</w:t>
            </w:r>
          </w:p>
        </w:tc>
        <w:tc>
          <w:tcPr>
            <w:tcW w:w="502"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空间布局约束</w:t>
            </w: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新建涉VOCs排放的工业企业要入园区；</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rPr>
              <w:t>养殖业按划定的禁养区、限养区、适养区实施分类管理。</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污染物排放管控</w:t>
            </w: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rPr>
              <w:t>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rPr>
              <w:t>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1801" w:type="pct"/>
            <w:vAlign w:val="center"/>
          </w:tcPr>
          <w:p>
            <w:pPr>
              <w:widowControl w:val="0"/>
              <w:jc w:val="center"/>
              <w:rPr>
                <w:rFonts w:ascii="Times New Roman" w:hAnsi="Times New Roman" w:cs="Times New Roman"/>
              </w:rPr>
            </w:pPr>
            <w:r>
              <w:rPr>
                <w:rFonts w:ascii="Times New Roman" w:hAnsi="Times New Roman" w:cs="Times New Roman"/>
              </w:rPr>
              <w:t>积极推进垃圾收运体系建设，建设覆盖城乡的垃圾收运系统；严格监督分类垃圾分类收集、分类处理。推进农村环境综合整治全县域覆盖；畜禽规模养殖场（小区）配套建设废弃物处理设施的比例达到85%以上。</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restart"/>
            <w:vAlign w:val="center"/>
          </w:tcPr>
          <w:p>
            <w:pPr>
              <w:widowControl w:val="0"/>
              <w:jc w:val="center"/>
              <w:rPr>
                <w:rFonts w:ascii="Times New Roman" w:hAnsi="Times New Roman" w:cs="Times New Roman"/>
                <w:snapToGrid w:val="0"/>
              </w:rPr>
            </w:pPr>
            <w:r>
              <w:rPr>
                <w:rFonts w:ascii="Times New Roman" w:hAnsi="Times New Roman" w:cs="Times New Roman"/>
                <w:snapToGrid w:val="0"/>
              </w:rPr>
              <w:t>环境风险防控</w:t>
            </w: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rPr>
              <w:t>加强环境风险防控和应急管理，制定和完善突发环境事件和饮用水水源地突发环境事件应急预案，加强风险防控和突发环境事件应急处理处置能力</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1801" w:type="pct"/>
            <w:vAlign w:val="center"/>
          </w:tcPr>
          <w:p>
            <w:pPr>
              <w:widowControl w:val="0"/>
              <w:jc w:val="center"/>
              <w:rPr>
                <w:rFonts w:ascii="Times New Roman" w:hAnsi="Times New Roman" w:cs="Times New Roman"/>
                <w:snapToGrid w:val="0"/>
              </w:rPr>
            </w:pPr>
            <w:r>
              <w:rPr>
                <w:rFonts w:ascii="Times New Roman" w:hAnsi="Times New Roman" w:cs="Times New Roman"/>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Pr>
                <w:rFonts w:ascii="Times New Roman" w:hAnsi="Times New Roman" w:cs="Times New Roman"/>
                <w:kern w:val="0"/>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390" w:type="pct"/>
            <w:vMerge w:val="continue"/>
            <w:vAlign w:val="center"/>
          </w:tcPr>
          <w:p>
            <w:pPr>
              <w:widowControl w:val="0"/>
              <w:jc w:val="center"/>
              <w:rPr>
                <w:rFonts w:ascii="Times New Roman" w:hAnsi="Times New Roman" w:cs="Times New Roman"/>
                <w:snapToGrid w:val="0"/>
              </w:rPr>
            </w:pPr>
          </w:p>
        </w:tc>
        <w:tc>
          <w:tcPr>
            <w:tcW w:w="502" w:type="pct"/>
            <w:vMerge w:val="continue"/>
            <w:vAlign w:val="center"/>
          </w:tcPr>
          <w:p>
            <w:pPr>
              <w:widowControl w:val="0"/>
              <w:jc w:val="center"/>
              <w:rPr>
                <w:rFonts w:ascii="Times New Roman" w:hAnsi="Times New Roman" w:cs="Times New Roman"/>
                <w:snapToGrid w:val="0"/>
              </w:rPr>
            </w:pPr>
          </w:p>
        </w:tc>
        <w:tc>
          <w:tcPr>
            <w:tcW w:w="402" w:type="pct"/>
            <w:vMerge w:val="continue"/>
            <w:vAlign w:val="center"/>
          </w:tcPr>
          <w:p>
            <w:pPr>
              <w:widowControl w:val="0"/>
              <w:jc w:val="center"/>
              <w:rPr>
                <w:rFonts w:ascii="Times New Roman" w:hAnsi="Times New Roman" w:cs="Times New Roman"/>
                <w:snapToGrid w:val="0"/>
              </w:rPr>
            </w:pPr>
          </w:p>
        </w:tc>
        <w:tc>
          <w:tcPr>
            <w:tcW w:w="503" w:type="pct"/>
            <w:vMerge w:val="continue"/>
            <w:vAlign w:val="center"/>
          </w:tcPr>
          <w:p>
            <w:pPr>
              <w:widowControl w:val="0"/>
              <w:jc w:val="center"/>
              <w:rPr>
                <w:rFonts w:ascii="Times New Roman" w:hAnsi="Times New Roman" w:cs="Times New Roman"/>
                <w:snapToGrid w:val="0"/>
              </w:rPr>
            </w:pPr>
          </w:p>
        </w:tc>
        <w:tc>
          <w:tcPr>
            <w:tcW w:w="502"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资源开发效率要求</w:t>
            </w:r>
          </w:p>
        </w:tc>
        <w:tc>
          <w:tcPr>
            <w:tcW w:w="1801" w:type="pct"/>
            <w:vAlign w:val="center"/>
          </w:tcPr>
          <w:p>
            <w:pPr>
              <w:widowControl w:val="0"/>
              <w:jc w:val="center"/>
              <w:rPr>
                <w:rFonts w:ascii="Times New Roman" w:hAnsi="Times New Roman" w:cs="Times New Roman"/>
              </w:rPr>
            </w:pPr>
            <w:r>
              <w:rPr>
                <w:rFonts w:ascii="Times New Roman" w:hAnsi="Times New Roman" w:cs="Times New Roman"/>
                <w:kern w:val="0"/>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tc>
        <w:tc>
          <w:tcPr>
            <w:tcW w:w="451"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不涉及</w:t>
            </w:r>
          </w:p>
        </w:tc>
        <w:tc>
          <w:tcPr>
            <w:tcW w:w="449" w:type="pct"/>
            <w:vAlign w:val="center"/>
          </w:tcPr>
          <w:p>
            <w:pPr>
              <w:widowControl w:val="0"/>
              <w:jc w:val="center"/>
              <w:rPr>
                <w:rFonts w:ascii="Times New Roman" w:hAnsi="Times New Roman" w:cs="Times New Roman"/>
                <w:snapToGrid w:val="0"/>
              </w:rPr>
            </w:pPr>
            <w:r>
              <w:rPr>
                <w:rFonts w:ascii="Times New Roman" w:hAnsi="Times New Roman" w:cs="Times New Roman"/>
                <w:snapToGrid w:val="0"/>
              </w:rPr>
              <w:t>相符</w:t>
            </w:r>
          </w:p>
        </w:tc>
      </w:tr>
    </w:tbl>
    <w:p>
      <w:pPr>
        <w:pStyle w:val="3"/>
        <w:ind w:firstLine="480"/>
        <w:rPr>
          <w:kern w:val="0"/>
        </w:rPr>
        <w:sectPr>
          <w:pgSz w:w="16838" w:h="11906" w:orient="landscape"/>
          <w:pgMar w:top="1588" w:right="1474" w:bottom="1361" w:left="1474" w:header="851" w:footer="992" w:gutter="0"/>
          <w:cols w:space="425" w:num="1"/>
          <w:docGrid w:type="lines" w:linePitch="312" w:charSpace="0"/>
        </w:sectPr>
      </w:pPr>
    </w:p>
    <w:p>
      <w:pPr>
        <w:pStyle w:val="5"/>
      </w:pPr>
      <w:bookmarkStart w:id="5" w:name="_Toc116993051"/>
      <w:r>
        <w:rPr>
          <w:rFonts w:hint="eastAsia"/>
        </w:rPr>
        <w:t>关注的主要环境问题</w:t>
      </w:r>
      <w:bookmarkEnd w:id="5"/>
    </w:p>
    <w:p>
      <w:pPr>
        <w:pStyle w:val="3"/>
        <w:ind w:firstLine="480"/>
        <w:rPr>
          <w:rFonts w:cs="Times New Roman"/>
          <w:kern w:val="0"/>
          <w:szCs w:val="24"/>
        </w:rPr>
      </w:pPr>
      <w:r>
        <w:rPr>
          <w:rFonts w:hint="eastAsia" w:cs="Times New Roman"/>
          <w:kern w:val="0"/>
          <w:szCs w:val="24"/>
        </w:rPr>
        <w:t>本项目关注的主要环境问题是项目运营期产生的不利影响，大气污染物主要为恶臭；水污染物主要为生产废水，水量较大；固体废物主要为畜禽粪便、屠宰废物和污水处理站产生的废物等，环境风险主要为废水事故排放。</w:t>
      </w:r>
    </w:p>
    <w:p>
      <w:pPr>
        <w:pStyle w:val="5"/>
      </w:pPr>
      <w:bookmarkStart w:id="6" w:name="_Toc116993052"/>
      <w:r>
        <w:rPr>
          <w:rFonts w:hint="eastAsia"/>
        </w:rPr>
        <w:t>报告书</w:t>
      </w:r>
      <w:r>
        <w:t>主要结论</w:t>
      </w:r>
      <w:bookmarkEnd w:id="6"/>
    </w:p>
    <w:p>
      <w:pPr>
        <w:pStyle w:val="3"/>
        <w:ind w:firstLine="480"/>
      </w:pPr>
      <w:r>
        <w:rPr>
          <w:rFonts w:hint="eastAsia"/>
        </w:rPr>
        <w:t>本项目符合国家相关产业政策，符合当地总体规划的要求。建设单位在认真落实各项环境保护措施后，污染物可以达标排放；预测表明项目建成后对周围环境的影响是可以接受的，不会对项目所在区当前的大气、水、声环境质量造成明显影响，环境风险可接受。在落实本报告书提出的各项环保措施，严格执行环保“三同时”、项目取得周边公众理解和支持的前提下，从环保角度分析，本项目建设具有环境可行性。</w:t>
      </w:r>
    </w:p>
    <w:p>
      <w:pPr>
        <w:pStyle w:val="3"/>
        <w:ind w:firstLine="480"/>
        <w:sectPr>
          <w:pgSz w:w="11906" w:h="16838"/>
          <w:pgMar w:top="1474" w:right="1361" w:bottom="1474" w:left="1588" w:header="851" w:footer="992" w:gutter="0"/>
          <w:cols w:space="425" w:num="1"/>
          <w:docGrid w:type="lines" w:linePitch="312" w:charSpace="0"/>
        </w:sectPr>
      </w:pPr>
      <w:r>
        <w:rPr>
          <w:rFonts w:hint="eastAsia"/>
        </w:rPr>
        <w:t>同时生产工艺满足清洁生产的要求，各类污染物经本评价提出的污染防治措施治理后均可达标排放，对环境影响较小，环境风险在可控和可接受程度内，污染防治措施技术、经济可行。因此，在落实各项污染防治、生态保护措施及风险防范措施和应急预案后，从环境保护角度分析，本项目建设是可行的。</w:t>
      </w:r>
    </w:p>
    <w:p>
      <w:pPr>
        <w:pStyle w:val="2"/>
        <w:ind w:left="0"/>
      </w:pPr>
      <w:bookmarkStart w:id="7" w:name="_Toc116993053"/>
      <w:r>
        <w:rPr>
          <w:rFonts w:hint="eastAsia"/>
        </w:rPr>
        <w:t>总则</w:t>
      </w:r>
      <w:bookmarkEnd w:id="7"/>
    </w:p>
    <w:p>
      <w:pPr>
        <w:pStyle w:val="5"/>
      </w:pPr>
      <w:bookmarkStart w:id="8" w:name="_Toc116993054"/>
      <w:r>
        <w:rPr>
          <w:rFonts w:hint="eastAsia"/>
        </w:rPr>
        <w:t>编制</w:t>
      </w:r>
      <w:r>
        <w:t>依据</w:t>
      </w:r>
      <w:bookmarkEnd w:id="8"/>
    </w:p>
    <w:p>
      <w:pPr>
        <w:pStyle w:val="3"/>
        <w:ind w:firstLine="0" w:firstLineChars="0"/>
        <w:outlineLvl w:val="2"/>
        <w:rPr>
          <w:rFonts w:eastAsia="黑体" w:cstheme="majorBidi"/>
          <w:bCs/>
          <w:szCs w:val="32"/>
        </w:rPr>
      </w:pPr>
      <w:r>
        <w:rPr>
          <w:rFonts w:hint="eastAsia" w:eastAsia="黑体" w:cstheme="majorBidi"/>
          <w:bCs/>
          <w:szCs w:val="32"/>
        </w:rPr>
        <w:t>2.1.1  国家法律法规</w:t>
      </w:r>
    </w:p>
    <w:p>
      <w:pPr>
        <w:pStyle w:val="3"/>
        <w:numPr>
          <w:ilvl w:val="1"/>
          <w:numId w:val="2"/>
        </w:numPr>
        <w:ind w:firstLineChars="0"/>
      </w:pPr>
      <w:r>
        <w:rPr>
          <w:rFonts w:hint="eastAsia"/>
        </w:rPr>
        <w:t>《中华人民共和国环境保护法》（2014年4月24日修订，2015年1月1日施行）；</w:t>
      </w:r>
    </w:p>
    <w:p>
      <w:pPr>
        <w:pStyle w:val="3"/>
        <w:numPr>
          <w:ilvl w:val="1"/>
          <w:numId w:val="2"/>
        </w:numPr>
        <w:ind w:firstLineChars="0"/>
      </w:pPr>
      <w:r>
        <w:rPr>
          <w:rFonts w:hint="eastAsia"/>
        </w:rPr>
        <w:t>《中华人民共和国环境影响评价法》（2018年12月29日修正并施行）；</w:t>
      </w:r>
    </w:p>
    <w:p>
      <w:pPr>
        <w:pStyle w:val="3"/>
        <w:numPr>
          <w:ilvl w:val="1"/>
          <w:numId w:val="2"/>
        </w:numPr>
        <w:ind w:firstLineChars="0"/>
      </w:pPr>
      <w:r>
        <w:rPr>
          <w:rFonts w:hint="eastAsia"/>
        </w:rPr>
        <w:t>《中华人民共和国大气污染防治法》（2018年10月26日修正并施行）；</w:t>
      </w:r>
    </w:p>
    <w:p>
      <w:pPr>
        <w:pStyle w:val="3"/>
        <w:numPr>
          <w:ilvl w:val="1"/>
          <w:numId w:val="2"/>
        </w:numPr>
        <w:ind w:firstLineChars="0"/>
      </w:pPr>
      <w:r>
        <w:rPr>
          <w:rFonts w:hint="eastAsia"/>
        </w:rPr>
        <w:t>《中华人民共和国水污染防治法》（2017 年6 月27日修正，2018年1月1日施行）；</w:t>
      </w:r>
    </w:p>
    <w:p>
      <w:pPr>
        <w:pStyle w:val="3"/>
        <w:numPr>
          <w:ilvl w:val="1"/>
          <w:numId w:val="2"/>
        </w:numPr>
        <w:ind w:firstLineChars="0"/>
      </w:pPr>
      <w:r>
        <w:rPr>
          <w:rFonts w:hint="eastAsia"/>
        </w:rPr>
        <w:t>《中华人民共和国土壤污染防治法》（2018年8月31日公布，2019年1月1日施行）；</w:t>
      </w:r>
    </w:p>
    <w:p>
      <w:pPr>
        <w:pStyle w:val="3"/>
        <w:numPr>
          <w:ilvl w:val="1"/>
          <w:numId w:val="2"/>
        </w:numPr>
        <w:ind w:firstLineChars="0"/>
      </w:pPr>
      <w:r>
        <w:rPr>
          <w:rFonts w:hint="eastAsia"/>
        </w:rPr>
        <w:t>《中华人民共和国固体废物污染环境防治法》（2020年4月29日修订，2020年9月1日施行）；</w:t>
      </w:r>
    </w:p>
    <w:p>
      <w:pPr>
        <w:pStyle w:val="3"/>
        <w:numPr>
          <w:ilvl w:val="1"/>
          <w:numId w:val="2"/>
        </w:numPr>
        <w:ind w:firstLineChars="0"/>
      </w:pPr>
      <w:r>
        <w:rPr>
          <w:rFonts w:hint="eastAsia"/>
        </w:rPr>
        <w:t>《中华人民共和国噪声污染防治法》（2021年12月24日公布，2022年6月5日起施行）；</w:t>
      </w:r>
    </w:p>
    <w:p>
      <w:pPr>
        <w:pStyle w:val="3"/>
        <w:numPr>
          <w:ilvl w:val="1"/>
          <w:numId w:val="2"/>
        </w:numPr>
        <w:ind w:firstLineChars="0"/>
      </w:pPr>
      <w:r>
        <w:rPr>
          <w:rFonts w:hint="eastAsia"/>
        </w:rPr>
        <w:t>《中华人民共和国清洁生产促进法》（2012年2月29日修改，2012年7月1日起施行）；</w:t>
      </w:r>
    </w:p>
    <w:p>
      <w:pPr>
        <w:pStyle w:val="3"/>
        <w:numPr>
          <w:ilvl w:val="1"/>
          <w:numId w:val="2"/>
        </w:numPr>
        <w:ind w:firstLineChars="0"/>
      </w:pPr>
      <w:r>
        <w:rPr>
          <w:rFonts w:hint="eastAsia"/>
        </w:rPr>
        <w:t>《中华人民共和国安全生产法》（2021年6月10日修改，2021年9月1日施行）；</w:t>
      </w:r>
    </w:p>
    <w:p>
      <w:pPr>
        <w:pStyle w:val="3"/>
        <w:numPr>
          <w:ilvl w:val="1"/>
          <w:numId w:val="2"/>
        </w:numPr>
        <w:ind w:firstLineChars="0"/>
      </w:pPr>
      <w:r>
        <w:rPr>
          <w:rFonts w:hint="eastAsia"/>
        </w:rPr>
        <w:t>《中华人民共和国动物防疫法》（2021年1月22日修订，2021年5月1日施行）；</w:t>
      </w:r>
    </w:p>
    <w:p>
      <w:pPr>
        <w:pStyle w:val="3"/>
        <w:numPr>
          <w:ilvl w:val="1"/>
          <w:numId w:val="2"/>
        </w:numPr>
        <w:ind w:firstLineChars="0"/>
      </w:pPr>
      <w:r>
        <w:rPr>
          <w:rFonts w:hint="eastAsia"/>
        </w:rPr>
        <w:t>《中华人民共和国传染病防治法》（2013年6月29日第三次修正）；</w:t>
      </w:r>
    </w:p>
    <w:p>
      <w:pPr>
        <w:pStyle w:val="3"/>
        <w:numPr>
          <w:ilvl w:val="1"/>
          <w:numId w:val="2"/>
        </w:numPr>
        <w:ind w:firstLineChars="0"/>
      </w:pPr>
      <w:r>
        <w:rPr>
          <w:rFonts w:hint="eastAsia"/>
        </w:rPr>
        <w:t>《传染病防治法》修订征求意见稿（2020年10月2日）；</w:t>
      </w:r>
    </w:p>
    <w:p>
      <w:pPr>
        <w:pStyle w:val="3"/>
        <w:numPr>
          <w:ilvl w:val="1"/>
          <w:numId w:val="2"/>
        </w:numPr>
        <w:ind w:firstLineChars="0"/>
      </w:pPr>
      <w:r>
        <w:rPr>
          <w:rFonts w:hint="eastAsia"/>
        </w:rPr>
        <w:t>《中华人民共和国水土保持法》（2010年12月25修订2011年3月1日起施行）；</w:t>
      </w:r>
    </w:p>
    <w:p>
      <w:pPr>
        <w:pStyle w:val="3"/>
        <w:numPr>
          <w:ilvl w:val="1"/>
          <w:numId w:val="2"/>
        </w:numPr>
        <w:ind w:firstLineChars="0"/>
      </w:pPr>
      <w:r>
        <w:rPr>
          <w:rFonts w:hint="eastAsia"/>
        </w:rPr>
        <w:t>《建设项目环境保护管理条例》（2017年7月16日修改，2017年10月1日施行）；</w:t>
      </w:r>
    </w:p>
    <w:p>
      <w:pPr>
        <w:pStyle w:val="3"/>
        <w:numPr>
          <w:ilvl w:val="1"/>
          <w:numId w:val="2"/>
        </w:numPr>
        <w:ind w:firstLineChars="0"/>
      </w:pPr>
      <w:r>
        <w:rPr>
          <w:rFonts w:hint="eastAsia"/>
        </w:rPr>
        <w:t>《中华人民共和国水土保持法实施条例》（2011年1月8日修订并施行）；</w:t>
      </w:r>
    </w:p>
    <w:p>
      <w:pPr>
        <w:pStyle w:val="3"/>
        <w:numPr>
          <w:ilvl w:val="1"/>
          <w:numId w:val="2"/>
        </w:numPr>
        <w:ind w:firstLineChars="0"/>
      </w:pPr>
      <w:r>
        <w:rPr>
          <w:rFonts w:hint="eastAsia"/>
        </w:rPr>
        <w:t>《地下水管理条例》（2021年12月1日起施行）；</w:t>
      </w:r>
    </w:p>
    <w:p>
      <w:pPr>
        <w:pStyle w:val="3"/>
        <w:numPr>
          <w:ilvl w:val="1"/>
          <w:numId w:val="2"/>
        </w:numPr>
        <w:ind w:firstLineChars="0"/>
      </w:pPr>
      <w:r>
        <w:rPr>
          <w:rFonts w:hint="eastAsia"/>
        </w:rPr>
        <w:t>《排污许可管理条例》（国令第736 号，2021年3月1日施行）；</w:t>
      </w:r>
    </w:p>
    <w:p>
      <w:pPr>
        <w:pStyle w:val="3"/>
        <w:numPr>
          <w:ilvl w:val="1"/>
          <w:numId w:val="2"/>
        </w:numPr>
        <w:ind w:firstLineChars="0"/>
      </w:pPr>
      <w:r>
        <w:rPr>
          <w:rFonts w:hint="eastAsia"/>
        </w:rPr>
        <w:t>《动物防疫条件审查办法》（2010 年1月4日通过，2010年5月1日施行）；</w:t>
      </w:r>
    </w:p>
    <w:p>
      <w:pPr>
        <w:pStyle w:val="3"/>
        <w:numPr>
          <w:ilvl w:val="1"/>
          <w:numId w:val="2"/>
        </w:numPr>
        <w:ind w:firstLineChars="0"/>
      </w:pPr>
      <w:r>
        <w:rPr>
          <w:rFonts w:hint="eastAsia"/>
        </w:rPr>
        <w:t>《病死畜禽和病害畜禽产品无害化处理管理办法》（2022年7月1日起施行）；</w:t>
      </w:r>
    </w:p>
    <w:p>
      <w:pPr>
        <w:pStyle w:val="3"/>
        <w:numPr>
          <w:ilvl w:val="1"/>
          <w:numId w:val="2"/>
        </w:numPr>
        <w:ind w:firstLineChars="0"/>
      </w:pPr>
      <w:r>
        <w:rPr>
          <w:rFonts w:hint="eastAsia"/>
        </w:rPr>
        <w:t>《环境影响评价公众参与办法》（生态环境部令第4号，2019年1月1日施行）；</w:t>
      </w:r>
    </w:p>
    <w:p>
      <w:pPr>
        <w:pStyle w:val="3"/>
        <w:numPr>
          <w:ilvl w:val="1"/>
          <w:numId w:val="2"/>
        </w:numPr>
        <w:ind w:firstLineChars="0"/>
      </w:pPr>
      <w:r>
        <w:rPr>
          <w:rFonts w:hint="eastAsia"/>
        </w:rPr>
        <w:t>《建设项目竣工环境保护验收暂行办法》（国环规环评〔2017〕4号，2017年11月22日印发）；</w:t>
      </w:r>
    </w:p>
    <w:p>
      <w:pPr>
        <w:pStyle w:val="3"/>
        <w:numPr>
          <w:ilvl w:val="1"/>
          <w:numId w:val="2"/>
        </w:numPr>
        <w:ind w:firstLineChars="0"/>
      </w:pPr>
      <w:r>
        <w:rPr>
          <w:rFonts w:hint="eastAsia"/>
        </w:rPr>
        <w:t>《排污许可管理办法（试行）》（生态环境部部令第7号，2019年8月22日修改并施行）；</w:t>
      </w:r>
    </w:p>
    <w:p>
      <w:pPr>
        <w:pStyle w:val="3"/>
        <w:numPr>
          <w:ilvl w:val="1"/>
          <w:numId w:val="2"/>
        </w:numPr>
        <w:ind w:firstLineChars="0"/>
      </w:pPr>
      <w:r>
        <w:rPr>
          <w:rFonts w:hint="eastAsia"/>
        </w:rPr>
        <w:t>《突发环境事件应急管理办法》（环境保护部令第34号，2015年6月5日施行）；</w:t>
      </w:r>
    </w:p>
    <w:p>
      <w:pPr>
        <w:pStyle w:val="3"/>
        <w:numPr>
          <w:ilvl w:val="1"/>
          <w:numId w:val="2"/>
        </w:numPr>
        <w:ind w:firstLineChars="0"/>
      </w:pPr>
      <w:r>
        <w:rPr>
          <w:rFonts w:hint="eastAsia"/>
        </w:rPr>
        <w:t>《企业事业单位突发环境事件应急预案备案管理办法（试行）》（环发[2015]4号，2015年1月9日施行）；</w:t>
      </w:r>
    </w:p>
    <w:p>
      <w:pPr>
        <w:pStyle w:val="3"/>
        <w:numPr>
          <w:ilvl w:val="1"/>
          <w:numId w:val="2"/>
        </w:numPr>
        <w:ind w:firstLineChars="0"/>
      </w:pPr>
      <w:r>
        <w:rPr>
          <w:rFonts w:hint="eastAsia"/>
        </w:rPr>
        <w:t>《关于印发&lt;建设项目主要污染物排放总量指标审核及管理暂行办法&gt;的通知》（环发[2014]197号，2014年12月31日）；</w:t>
      </w:r>
    </w:p>
    <w:p>
      <w:pPr>
        <w:pStyle w:val="3"/>
        <w:numPr>
          <w:ilvl w:val="1"/>
          <w:numId w:val="2"/>
        </w:numPr>
        <w:ind w:firstLineChars="0"/>
      </w:pPr>
      <w:r>
        <w:rPr>
          <w:rFonts w:hint="eastAsia"/>
        </w:rPr>
        <w:t>《企业环境信息依法披露管理办法》（2022年2月8日起施行）；</w:t>
      </w:r>
    </w:p>
    <w:p>
      <w:pPr>
        <w:pStyle w:val="3"/>
        <w:numPr>
          <w:ilvl w:val="1"/>
          <w:numId w:val="2"/>
        </w:numPr>
        <w:ind w:firstLineChars="0"/>
      </w:pPr>
      <w:r>
        <w:rPr>
          <w:rFonts w:hint="eastAsia"/>
        </w:rPr>
        <w:t>《关于发布&lt;环境影响评价公众参与办法&gt;配套文件的公告》（生态环境部公告2018年第48号，2019年1月1日施行）；</w:t>
      </w:r>
    </w:p>
    <w:p>
      <w:pPr>
        <w:pStyle w:val="3"/>
        <w:numPr>
          <w:ilvl w:val="1"/>
          <w:numId w:val="2"/>
        </w:numPr>
        <w:ind w:firstLineChars="0"/>
      </w:pPr>
      <w:r>
        <w:rPr>
          <w:rFonts w:hint="eastAsia"/>
        </w:rPr>
        <w:t>《产业结构调整指导目录（2019年本）》（国家发展和改革委员会令第29 号，2020年1月1日起施行）；</w:t>
      </w:r>
    </w:p>
    <w:p>
      <w:pPr>
        <w:pStyle w:val="3"/>
        <w:numPr>
          <w:ilvl w:val="1"/>
          <w:numId w:val="2"/>
        </w:numPr>
        <w:ind w:firstLineChars="0"/>
      </w:pPr>
      <w:r>
        <w:rPr>
          <w:rFonts w:hint="eastAsia"/>
        </w:rPr>
        <w:t>《市场准入负面清单（2022年版）》(发改体改规〔2022〕397号，2022年3月12日实施）；</w:t>
      </w:r>
    </w:p>
    <w:p>
      <w:pPr>
        <w:pStyle w:val="3"/>
        <w:numPr>
          <w:ilvl w:val="1"/>
          <w:numId w:val="2"/>
        </w:numPr>
        <w:ind w:firstLineChars="0"/>
      </w:pPr>
      <w:r>
        <w:rPr>
          <w:rFonts w:hint="eastAsia"/>
        </w:rPr>
        <w:t>《固定污染源排污许可分类管理名录（2019年版）》（部令第11号，2019年12月20日施行）；</w:t>
      </w:r>
    </w:p>
    <w:p>
      <w:pPr>
        <w:pStyle w:val="3"/>
        <w:numPr>
          <w:ilvl w:val="1"/>
          <w:numId w:val="2"/>
        </w:numPr>
        <w:ind w:firstLineChars="0"/>
      </w:pPr>
      <w:r>
        <w:rPr>
          <w:rFonts w:hint="eastAsia"/>
        </w:rPr>
        <w:t>《国家危险废物名录（2021年版）》（生态环境部令第15号，2021年1月1日起施行）；</w:t>
      </w:r>
    </w:p>
    <w:p>
      <w:pPr>
        <w:pStyle w:val="3"/>
        <w:numPr>
          <w:ilvl w:val="1"/>
          <w:numId w:val="2"/>
        </w:numPr>
        <w:ind w:firstLineChars="0"/>
      </w:pPr>
      <w:r>
        <w:rPr>
          <w:rFonts w:hint="eastAsia"/>
        </w:rPr>
        <w:t>《“十四五”土壤、地下水和农村生态环境保护规划》（环土壤〔2021〕120 号，2021年12月29日）；</w:t>
      </w:r>
    </w:p>
    <w:p>
      <w:pPr>
        <w:pStyle w:val="3"/>
        <w:numPr>
          <w:ilvl w:val="1"/>
          <w:numId w:val="2"/>
        </w:numPr>
        <w:ind w:firstLineChars="0"/>
      </w:pPr>
      <w:r>
        <w:rPr>
          <w:rFonts w:hint="eastAsia"/>
        </w:rPr>
        <w:t>《国务院关于印发水污染防治行动计划的通知》（国发[2015]17号，2015 年4月2日）；</w:t>
      </w:r>
    </w:p>
    <w:p>
      <w:pPr>
        <w:pStyle w:val="3"/>
        <w:numPr>
          <w:ilvl w:val="1"/>
          <w:numId w:val="2"/>
        </w:numPr>
        <w:ind w:firstLineChars="0"/>
      </w:pPr>
      <w:r>
        <w:rPr>
          <w:rFonts w:hint="eastAsia"/>
        </w:rPr>
        <w:t>《关于落实&lt;水污染防治行动计划&gt;实施区域差别化环境准入的指导意见》（环环评[2016]190号，2016年12月28日）；</w:t>
      </w:r>
    </w:p>
    <w:p>
      <w:pPr>
        <w:pStyle w:val="3"/>
        <w:numPr>
          <w:ilvl w:val="1"/>
          <w:numId w:val="2"/>
        </w:numPr>
        <w:ind w:firstLineChars="0"/>
      </w:pPr>
      <w:r>
        <w:rPr>
          <w:rFonts w:hint="eastAsia"/>
        </w:rPr>
        <w:t>《国务院关于印发大气污染防治行动计划的通知》（国发[2013]37号，2013 年9月10日）；</w:t>
      </w:r>
    </w:p>
    <w:p>
      <w:pPr>
        <w:pStyle w:val="3"/>
        <w:numPr>
          <w:ilvl w:val="1"/>
          <w:numId w:val="2"/>
        </w:numPr>
        <w:ind w:firstLineChars="0"/>
      </w:pPr>
      <w:r>
        <w:rPr>
          <w:rFonts w:hint="eastAsia"/>
        </w:rPr>
        <w:t>《国务院关于印发土壤污染防治行动计划的通知》（国发[2016]31号，2016 年5月28日）；</w:t>
      </w:r>
    </w:p>
    <w:p>
      <w:pPr>
        <w:pStyle w:val="3"/>
        <w:numPr>
          <w:ilvl w:val="1"/>
          <w:numId w:val="2"/>
        </w:numPr>
        <w:ind w:firstLineChars="0"/>
      </w:pPr>
      <w:r>
        <w:rPr>
          <w:rFonts w:hint="eastAsia"/>
        </w:rPr>
        <w:t>《关于印发土壤污染防治实施方案的通知》（2019年3月28日）；</w:t>
      </w:r>
    </w:p>
    <w:p>
      <w:pPr>
        <w:pStyle w:val="3"/>
        <w:numPr>
          <w:ilvl w:val="1"/>
          <w:numId w:val="2"/>
        </w:numPr>
        <w:ind w:firstLineChars="0"/>
      </w:pPr>
      <w:r>
        <w:rPr>
          <w:rFonts w:hint="eastAsia"/>
        </w:rPr>
        <w:t>《关于实施“三线一单”生态环境分区管控的指导意见（试行）》（环环评〔2021〕108号，2021年11月19日）；</w:t>
      </w:r>
    </w:p>
    <w:p>
      <w:pPr>
        <w:pStyle w:val="3"/>
        <w:numPr>
          <w:ilvl w:val="1"/>
          <w:numId w:val="2"/>
        </w:numPr>
        <w:ind w:firstLineChars="0"/>
      </w:pPr>
      <w:r>
        <w:rPr>
          <w:rFonts w:hint="eastAsia"/>
        </w:rPr>
        <w:t>《关于进一步加强环境影响评价管理防范环境风险的通知》（环发[2012]77 号，2012年7月3日施行）；</w:t>
      </w:r>
    </w:p>
    <w:p>
      <w:pPr>
        <w:pStyle w:val="3"/>
        <w:numPr>
          <w:ilvl w:val="1"/>
          <w:numId w:val="2"/>
        </w:numPr>
        <w:ind w:firstLineChars="0"/>
      </w:pPr>
      <w:r>
        <w:rPr>
          <w:rFonts w:hint="eastAsia"/>
        </w:rPr>
        <w:t>《农业农村部办公厅关于印发畜禽养殖废弃物资源化利用2019年工作要点的通知》（农办牧[2019]33号2019年3月25日）；</w:t>
      </w:r>
    </w:p>
    <w:p>
      <w:pPr>
        <w:pStyle w:val="3"/>
        <w:numPr>
          <w:ilvl w:val="1"/>
          <w:numId w:val="2"/>
        </w:numPr>
        <w:ind w:firstLineChars="0"/>
      </w:pPr>
      <w:r>
        <w:rPr>
          <w:rFonts w:hint="eastAsia"/>
        </w:rPr>
        <w:t>《农业农村部关于调整动物防疫条件审查有关规定的通知》(农牧发〔2019〕42号，2019年12月18日)；</w:t>
      </w:r>
    </w:p>
    <w:p>
      <w:pPr>
        <w:pStyle w:val="3"/>
        <w:numPr>
          <w:ilvl w:val="1"/>
          <w:numId w:val="2"/>
        </w:numPr>
        <w:ind w:firstLineChars="0"/>
      </w:pPr>
      <w:r>
        <w:rPr>
          <w:rFonts w:hint="eastAsia"/>
        </w:rPr>
        <w:t>《国家突发环境事件应急预案》（国办函[2014]119号，2014年12月29日施行）；</w:t>
      </w:r>
    </w:p>
    <w:p>
      <w:pPr>
        <w:pStyle w:val="3"/>
        <w:numPr>
          <w:ilvl w:val="1"/>
          <w:numId w:val="2"/>
        </w:numPr>
        <w:ind w:firstLineChars="0"/>
      </w:pPr>
      <w:r>
        <w:rPr>
          <w:rFonts w:hint="eastAsia"/>
        </w:rPr>
        <w:t>《关于印发&lt;企业突发环境事件风险评估指南（试行）&gt;的通知》（环办[2014]34号，2014年4月3日施行）；</w:t>
      </w:r>
    </w:p>
    <w:p>
      <w:pPr>
        <w:pStyle w:val="3"/>
        <w:numPr>
          <w:ilvl w:val="1"/>
          <w:numId w:val="2"/>
        </w:numPr>
        <w:ind w:firstLineChars="0"/>
        <w:sectPr>
          <w:pgSz w:w="11906" w:h="16838"/>
          <w:pgMar w:top="1474" w:right="1361" w:bottom="1474" w:left="1588" w:header="851" w:footer="992" w:gutter="0"/>
          <w:cols w:space="425" w:num="1"/>
          <w:docGrid w:type="lines" w:linePitch="312" w:charSpace="0"/>
        </w:sectPr>
      </w:pPr>
      <w:r>
        <w:rPr>
          <w:rFonts w:hint="eastAsia"/>
        </w:rPr>
        <w:t>《国家突发重大动物疫情应急预案》（2006年2 月27 日）。</w:t>
      </w:r>
    </w:p>
    <w:p>
      <w:pPr>
        <w:pStyle w:val="3"/>
        <w:ind w:firstLine="0" w:firstLineChars="0"/>
        <w:outlineLvl w:val="2"/>
        <w:rPr>
          <w:rFonts w:eastAsia="黑体" w:cstheme="majorBidi"/>
          <w:bCs/>
          <w:szCs w:val="32"/>
        </w:rPr>
      </w:pPr>
      <w:r>
        <w:rPr>
          <w:rFonts w:hint="eastAsia" w:eastAsia="黑体" w:cstheme="majorBidi"/>
          <w:bCs/>
          <w:szCs w:val="32"/>
        </w:rPr>
        <w:t>2.1.2  地方法规</w:t>
      </w:r>
    </w:p>
    <w:p>
      <w:pPr>
        <w:pStyle w:val="3"/>
        <w:numPr>
          <w:ilvl w:val="0"/>
          <w:numId w:val="3"/>
        </w:numPr>
        <w:ind w:firstLineChars="0"/>
      </w:pPr>
      <w:r>
        <w:rPr>
          <w:rFonts w:hint="eastAsia"/>
        </w:rPr>
        <w:t>《湖南省环境保护条例（修正案）》，2020年1月1日起实施；</w:t>
      </w:r>
    </w:p>
    <w:p>
      <w:pPr>
        <w:pStyle w:val="3"/>
        <w:numPr>
          <w:ilvl w:val="0"/>
          <w:numId w:val="3"/>
        </w:numPr>
        <w:ind w:firstLineChars="0"/>
      </w:pPr>
      <w:r>
        <w:rPr>
          <w:rFonts w:hint="eastAsia"/>
        </w:rPr>
        <w:t>《湖南省主体功能区规划》（湘政发【2012】39号）；</w:t>
      </w:r>
    </w:p>
    <w:p>
      <w:pPr>
        <w:pStyle w:val="3"/>
        <w:numPr>
          <w:ilvl w:val="0"/>
          <w:numId w:val="3"/>
        </w:numPr>
        <w:ind w:firstLineChars="0"/>
      </w:pPr>
      <w:r>
        <w:rPr>
          <w:rFonts w:hint="eastAsia"/>
        </w:rPr>
        <w:t>《湖南省土地管理实施办法》；</w:t>
      </w:r>
    </w:p>
    <w:p>
      <w:pPr>
        <w:pStyle w:val="3"/>
        <w:numPr>
          <w:ilvl w:val="0"/>
          <w:numId w:val="3"/>
        </w:numPr>
        <w:ind w:firstLineChars="0"/>
      </w:pPr>
      <w:r>
        <w:rPr>
          <w:rFonts w:hint="eastAsia"/>
        </w:rPr>
        <w:t>《湖南省主要地表水系水环境功能区划》（DB43/023-2005）；</w:t>
      </w:r>
    </w:p>
    <w:p>
      <w:pPr>
        <w:pStyle w:val="3"/>
        <w:numPr>
          <w:ilvl w:val="0"/>
          <w:numId w:val="3"/>
        </w:numPr>
        <w:ind w:firstLineChars="0"/>
      </w:pPr>
      <w:r>
        <w:rPr>
          <w:rFonts w:hint="eastAsia"/>
        </w:rPr>
        <w:t>《湖南省大气污染防治条例》（2017第60号）；</w:t>
      </w:r>
    </w:p>
    <w:p>
      <w:pPr>
        <w:pStyle w:val="3"/>
        <w:numPr>
          <w:ilvl w:val="0"/>
          <w:numId w:val="3"/>
        </w:numPr>
        <w:ind w:firstLineChars="0"/>
      </w:pPr>
      <w:r>
        <w:rPr>
          <w:rFonts w:hint="eastAsia"/>
        </w:rPr>
        <w:t>湖南省人民政府关于印发《湖南省贯彻落实〈水污染防治行动计划〉实施方案（2016-2020年）》的通知（湘政发[2015]53 号），2015年12月31日；</w:t>
      </w:r>
    </w:p>
    <w:p>
      <w:pPr>
        <w:pStyle w:val="3"/>
        <w:numPr>
          <w:ilvl w:val="0"/>
          <w:numId w:val="3"/>
        </w:numPr>
        <w:ind w:firstLineChars="0"/>
      </w:pPr>
      <w:r>
        <w:rPr>
          <w:rFonts w:hint="eastAsia"/>
        </w:rPr>
        <w:t>《湖南省环境保护厅关于进一步加强环境影响评价监督管理工作的通知》湘发环[2014]43号；</w:t>
      </w:r>
    </w:p>
    <w:p>
      <w:pPr>
        <w:pStyle w:val="3"/>
        <w:numPr>
          <w:ilvl w:val="0"/>
          <w:numId w:val="3"/>
        </w:numPr>
        <w:ind w:firstLineChars="0"/>
      </w:pPr>
      <w:r>
        <w:rPr>
          <w:rFonts w:hint="eastAsia"/>
        </w:rPr>
        <w:t>（10）《湖南省环境保护厅关于印发〈湖南省环境保护主管部门审批环境影响评价</w:t>
      </w:r>
    </w:p>
    <w:p>
      <w:pPr>
        <w:pStyle w:val="3"/>
        <w:numPr>
          <w:ilvl w:val="0"/>
          <w:numId w:val="3"/>
        </w:numPr>
        <w:ind w:firstLineChars="0"/>
      </w:pPr>
      <w:r>
        <w:rPr>
          <w:rFonts w:hint="eastAsia"/>
        </w:rPr>
        <w:t>文件的建设项目目录（2017 年本）〉的通知》，湘环发〔2017〕19 号；</w:t>
      </w:r>
    </w:p>
    <w:p>
      <w:pPr>
        <w:pStyle w:val="3"/>
        <w:numPr>
          <w:ilvl w:val="0"/>
          <w:numId w:val="3"/>
        </w:numPr>
        <w:ind w:firstLineChars="0"/>
      </w:pPr>
      <w:r>
        <w:rPr>
          <w:rFonts w:hint="eastAsia"/>
        </w:rPr>
        <w:t>《关于印发&lt;湖南省生态保护红线&gt;的通知》（湘政发〔2018〕20号），2018年7月25日发布；</w:t>
      </w:r>
    </w:p>
    <w:p>
      <w:pPr>
        <w:pStyle w:val="3"/>
        <w:numPr>
          <w:ilvl w:val="0"/>
          <w:numId w:val="3"/>
        </w:numPr>
        <w:ind w:firstLineChars="0"/>
      </w:pPr>
      <w:r>
        <w:rPr>
          <w:rFonts w:hint="eastAsia"/>
        </w:rPr>
        <w:t>《湖南省县级以上地表水集中式饮用水水源保护区划定方案》（湘政函[2016]176号）；</w:t>
      </w:r>
    </w:p>
    <w:p>
      <w:pPr>
        <w:pStyle w:val="3"/>
        <w:numPr>
          <w:ilvl w:val="0"/>
          <w:numId w:val="3"/>
        </w:numPr>
        <w:ind w:firstLineChars="0"/>
      </w:pPr>
      <w:r>
        <w:rPr>
          <w:rFonts w:hint="eastAsia"/>
        </w:rPr>
        <w:t>《湖南省人民政府关于印发&lt;湖南省土壤污染治理工作方案&gt;的通知》（湘政发[2017]4号）；</w:t>
      </w:r>
    </w:p>
    <w:p>
      <w:pPr>
        <w:pStyle w:val="3"/>
        <w:numPr>
          <w:ilvl w:val="0"/>
          <w:numId w:val="3"/>
        </w:numPr>
        <w:ind w:firstLineChars="0"/>
      </w:pPr>
      <w:r>
        <w:rPr>
          <w:rFonts w:hint="eastAsia"/>
        </w:rPr>
        <w:t>《湖南省土壤污染防治项目管理规范（试行）》（湘环发[2017]28号）；</w:t>
      </w:r>
    </w:p>
    <w:p>
      <w:pPr>
        <w:pStyle w:val="3"/>
        <w:numPr>
          <w:ilvl w:val="0"/>
          <w:numId w:val="3"/>
        </w:numPr>
        <w:ind w:firstLineChars="0"/>
      </w:pPr>
      <w:r>
        <w:rPr>
          <w:rFonts w:hint="eastAsia"/>
        </w:rPr>
        <w:t>《湖南省环境保护厅关于印发&lt;湖南省重点固体废物环境管理“十三五”规划&gt;的通知》（湘环发[2017]27号），湖南省环境保护厅，2017年11月28日；</w:t>
      </w:r>
    </w:p>
    <w:p>
      <w:pPr>
        <w:pStyle w:val="3"/>
        <w:numPr>
          <w:ilvl w:val="0"/>
          <w:numId w:val="3"/>
        </w:numPr>
        <w:ind w:firstLineChars="0"/>
      </w:pPr>
      <w:r>
        <w:rPr>
          <w:rFonts w:hint="eastAsia"/>
        </w:rPr>
        <w:t>湖南省地方标准《用水定额》（DB43/T388-2020），2020年5月27日。</w:t>
      </w:r>
    </w:p>
    <w:p>
      <w:pPr>
        <w:pStyle w:val="3"/>
        <w:ind w:firstLine="0" w:firstLineChars="0"/>
        <w:outlineLvl w:val="2"/>
        <w:rPr>
          <w:rFonts w:eastAsia="黑体" w:cstheme="majorBidi"/>
          <w:bCs/>
          <w:szCs w:val="32"/>
        </w:rPr>
      </w:pPr>
      <w:r>
        <w:rPr>
          <w:rFonts w:hint="eastAsia" w:eastAsia="黑体" w:cstheme="majorBidi"/>
          <w:bCs/>
          <w:szCs w:val="32"/>
        </w:rPr>
        <w:t>2.1.3  技术标准及规范</w:t>
      </w:r>
    </w:p>
    <w:p>
      <w:pPr>
        <w:pStyle w:val="3"/>
        <w:numPr>
          <w:ilvl w:val="1"/>
          <w:numId w:val="4"/>
        </w:numPr>
        <w:ind w:firstLineChars="0"/>
      </w:pPr>
      <w:r>
        <w:rPr>
          <w:rFonts w:hint="eastAsia"/>
        </w:rPr>
        <w:t>《环境影响评价技术导则 总纲》（HJ2.1-2016）；</w:t>
      </w:r>
    </w:p>
    <w:p>
      <w:pPr>
        <w:pStyle w:val="3"/>
        <w:numPr>
          <w:ilvl w:val="1"/>
          <w:numId w:val="4"/>
        </w:numPr>
        <w:ind w:firstLineChars="0"/>
      </w:pPr>
      <w:r>
        <w:rPr>
          <w:rFonts w:hint="eastAsia"/>
        </w:rPr>
        <w:t>《环境影响评价技术导则 大气环境》（HJ2.2-2018）；</w:t>
      </w:r>
    </w:p>
    <w:p>
      <w:pPr>
        <w:pStyle w:val="3"/>
        <w:numPr>
          <w:ilvl w:val="1"/>
          <w:numId w:val="4"/>
        </w:numPr>
        <w:ind w:firstLineChars="0"/>
      </w:pPr>
      <w:r>
        <w:rPr>
          <w:rFonts w:hint="eastAsia"/>
        </w:rPr>
        <w:t>《环境影响评价技术导则 地表水环境》（HJ2.3-2018）；</w:t>
      </w:r>
    </w:p>
    <w:p>
      <w:pPr>
        <w:pStyle w:val="3"/>
        <w:numPr>
          <w:ilvl w:val="1"/>
          <w:numId w:val="4"/>
        </w:numPr>
        <w:ind w:firstLineChars="0"/>
      </w:pPr>
      <w:r>
        <w:rPr>
          <w:rFonts w:hint="eastAsia"/>
        </w:rPr>
        <w:t>《环境影响评价技术导则 声环境》（HJ2.4-2021）；</w:t>
      </w:r>
    </w:p>
    <w:p>
      <w:pPr>
        <w:pStyle w:val="3"/>
        <w:numPr>
          <w:ilvl w:val="1"/>
          <w:numId w:val="4"/>
        </w:numPr>
        <w:ind w:firstLineChars="0"/>
      </w:pPr>
      <w:r>
        <w:rPr>
          <w:rFonts w:hint="eastAsia"/>
        </w:rPr>
        <w:t>《环境影响评价技术导则 生态影响》（HJ19-2022）；</w:t>
      </w:r>
    </w:p>
    <w:p>
      <w:pPr>
        <w:pStyle w:val="3"/>
        <w:numPr>
          <w:ilvl w:val="1"/>
          <w:numId w:val="4"/>
        </w:numPr>
        <w:ind w:firstLineChars="0"/>
      </w:pPr>
      <w:r>
        <w:rPr>
          <w:rFonts w:hint="eastAsia"/>
        </w:rPr>
        <w:t>《环境影响评价技术导则 地下水环境》（HJ610-2016）；</w:t>
      </w:r>
    </w:p>
    <w:p>
      <w:pPr>
        <w:pStyle w:val="3"/>
        <w:numPr>
          <w:ilvl w:val="1"/>
          <w:numId w:val="4"/>
        </w:numPr>
        <w:ind w:firstLineChars="0"/>
      </w:pPr>
      <w:r>
        <w:rPr>
          <w:rFonts w:hint="eastAsia"/>
        </w:rPr>
        <w:t>《环境影响评价技术导则 土壤环境（试行）》（HJ 964-2018）；</w:t>
      </w:r>
    </w:p>
    <w:p>
      <w:pPr>
        <w:pStyle w:val="3"/>
        <w:numPr>
          <w:ilvl w:val="1"/>
          <w:numId w:val="4"/>
        </w:numPr>
        <w:ind w:firstLineChars="0"/>
      </w:pPr>
      <w:r>
        <w:rPr>
          <w:rFonts w:hint="eastAsia"/>
        </w:rPr>
        <w:t>《建设项目环境风险评价技术导则》（HJ 169-2018）；</w:t>
      </w:r>
    </w:p>
    <w:p>
      <w:pPr>
        <w:pStyle w:val="3"/>
        <w:numPr>
          <w:ilvl w:val="1"/>
          <w:numId w:val="4"/>
        </w:numPr>
        <w:ind w:firstLineChars="0"/>
      </w:pPr>
      <w:r>
        <w:rPr>
          <w:rFonts w:hint="eastAsia"/>
        </w:rPr>
        <w:t>《危险化学品重大危险源辨识》（GB18218-2018）；</w:t>
      </w:r>
    </w:p>
    <w:p>
      <w:pPr>
        <w:pStyle w:val="3"/>
        <w:numPr>
          <w:ilvl w:val="1"/>
          <w:numId w:val="4"/>
        </w:numPr>
        <w:ind w:firstLineChars="0"/>
      </w:pPr>
      <w:r>
        <w:rPr>
          <w:rFonts w:hint="eastAsia"/>
        </w:rPr>
        <w:t>《危险废物收集、贮存、运输技术规范》（HJ 2025-2012）；</w:t>
      </w:r>
    </w:p>
    <w:p>
      <w:pPr>
        <w:pStyle w:val="3"/>
        <w:numPr>
          <w:ilvl w:val="1"/>
          <w:numId w:val="4"/>
        </w:numPr>
        <w:ind w:firstLineChars="0"/>
      </w:pPr>
      <w:r>
        <w:rPr>
          <w:rFonts w:hint="eastAsia"/>
        </w:rPr>
        <w:t>《危险废物贮存污染控制标准》（GB18597-2001）及其修改单（2013 年）；</w:t>
      </w:r>
    </w:p>
    <w:p>
      <w:pPr>
        <w:pStyle w:val="3"/>
        <w:numPr>
          <w:ilvl w:val="1"/>
          <w:numId w:val="4"/>
        </w:numPr>
        <w:ind w:firstLineChars="0"/>
      </w:pPr>
      <w:r>
        <w:rPr>
          <w:rFonts w:hint="eastAsia"/>
        </w:rPr>
        <w:t>《大气有害物质无组织排放卫生防护距离推导技术导则》（GB/T39499-2020）；</w:t>
      </w:r>
    </w:p>
    <w:p>
      <w:pPr>
        <w:pStyle w:val="3"/>
        <w:numPr>
          <w:ilvl w:val="1"/>
          <w:numId w:val="4"/>
        </w:numPr>
        <w:ind w:firstLineChars="0"/>
      </w:pPr>
      <w:r>
        <w:rPr>
          <w:rFonts w:hint="eastAsia"/>
        </w:rPr>
        <w:t>《农副食品加工业卫生防护距离第1部分：屠宰及肉类加工业》（GB/T18078.1-2012）；</w:t>
      </w:r>
    </w:p>
    <w:p>
      <w:pPr>
        <w:pStyle w:val="3"/>
        <w:numPr>
          <w:ilvl w:val="1"/>
          <w:numId w:val="4"/>
        </w:numPr>
        <w:ind w:firstLineChars="0"/>
      </w:pPr>
      <w:r>
        <w:rPr>
          <w:rFonts w:hint="eastAsia"/>
        </w:rPr>
        <w:t>《屠宰与肉类加工废水治理工程技术规范》（HJ 2004-2010）；</w:t>
      </w:r>
    </w:p>
    <w:p>
      <w:pPr>
        <w:pStyle w:val="3"/>
        <w:numPr>
          <w:ilvl w:val="1"/>
          <w:numId w:val="4"/>
        </w:numPr>
        <w:ind w:firstLineChars="0"/>
      </w:pPr>
      <w:r>
        <w:rPr>
          <w:rFonts w:hint="eastAsia"/>
        </w:rPr>
        <w:t>《畜禽粪便还田技术规范》（GB/T25246-2010）；</w:t>
      </w:r>
    </w:p>
    <w:p>
      <w:pPr>
        <w:pStyle w:val="3"/>
        <w:numPr>
          <w:ilvl w:val="1"/>
          <w:numId w:val="4"/>
        </w:numPr>
        <w:ind w:firstLineChars="0"/>
      </w:pPr>
      <w:r>
        <w:rPr>
          <w:rFonts w:hint="eastAsia"/>
        </w:rPr>
        <w:t>《畜禽粪便农田利用环境影响评价准则》（GB/T26622-2011）；</w:t>
      </w:r>
    </w:p>
    <w:p>
      <w:pPr>
        <w:pStyle w:val="3"/>
        <w:numPr>
          <w:ilvl w:val="1"/>
          <w:numId w:val="4"/>
        </w:numPr>
        <w:ind w:firstLineChars="0"/>
      </w:pPr>
      <w:r>
        <w:rPr>
          <w:rFonts w:hint="eastAsia"/>
        </w:rPr>
        <w:t>《畜禽粪便无害化处理技术规范》（GB/T36195—2018）；</w:t>
      </w:r>
    </w:p>
    <w:p>
      <w:pPr>
        <w:pStyle w:val="3"/>
        <w:numPr>
          <w:ilvl w:val="1"/>
          <w:numId w:val="4"/>
        </w:numPr>
        <w:ind w:firstLineChars="0"/>
      </w:pPr>
      <w:r>
        <w:rPr>
          <w:rFonts w:hint="eastAsia"/>
        </w:rPr>
        <w:t>《病死及病害动物无害化处理技术规范》（农医发[2017]25 号）；</w:t>
      </w:r>
    </w:p>
    <w:p>
      <w:pPr>
        <w:pStyle w:val="3"/>
        <w:numPr>
          <w:ilvl w:val="1"/>
          <w:numId w:val="4"/>
        </w:numPr>
        <w:ind w:firstLineChars="0"/>
      </w:pPr>
      <w:r>
        <w:rPr>
          <w:rFonts w:hint="eastAsia"/>
        </w:rPr>
        <w:t>《病害动物和病害动物产品生物安全处理规程》（GB16548-2006）等)。</w:t>
      </w:r>
    </w:p>
    <w:p>
      <w:pPr>
        <w:pStyle w:val="3"/>
        <w:numPr>
          <w:ilvl w:val="1"/>
          <w:numId w:val="4"/>
        </w:numPr>
        <w:ind w:firstLineChars="0"/>
      </w:pPr>
      <w:r>
        <w:rPr>
          <w:rFonts w:hint="eastAsia"/>
        </w:rPr>
        <w:t>《一般工业固体废物贮存、处置场污染控制标准》（GB18599-2001）及其修改单（2013年）；</w:t>
      </w:r>
    </w:p>
    <w:p>
      <w:pPr>
        <w:pStyle w:val="3"/>
        <w:numPr>
          <w:ilvl w:val="1"/>
          <w:numId w:val="4"/>
        </w:numPr>
        <w:ind w:firstLineChars="0"/>
      </w:pPr>
      <w:r>
        <w:rPr>
          <w:rFonts w:hint="eastAsia"/>
        </w:rPr>
        <w:t>《排污许可证申请与核发技术规范农副食品加工工业—屠宰及肉类加工工业》（HJ860.3-2018）；</w:t>
      </w:r>
    </w:p>
    <w:p>
      <w:pPr>
        <w:pStyle w:val="3"/>
        <w:numPr>
          <w:ilvl w:val="1"/>
          <w:numId w:val="4"/>
        </w:numPr>
        <w:ind w:firstLineChars="0"/>
      </w:pPr>
      <w:r>
        <w:rPr>
          <w:rFonts w:hint="eastAsia"/>
        </w:rPr>
        <w:t>《排污单位执行监测技术指南农副食品加工业》（HJ986-2018）；</w:t>
      </w:r>
    </w:p>
    <w:p>
      <w:pPr>
        <w:pStyle w:val="3"/>
        <w:numPr>
          <w:ilvl w:val="1"/>
          <w:numId w:val="4"/>
        </w:numPr>
        <w:ind w:firstLineChars="0"/>
      </w:pPr>
      <w:r>
        <w:rPr>
          <w:rFonts w:hint="eastAsia"/>
        </w:rPr>
        <w:t>《排污单位自行监测技术指南总则》（HJ819-2017）；</w:t>
      </w:r>
    </w:p>
    <w:p>
      <w:pPr>
        <w:pStyle w:val="3"/>
        <w:numPr>
          <w:ilvl w:val="1"/>
          <w:numId w:val="4"/>
        </w:numPr>
        <w:ind w:firstLineChars="0"/>
      </w:pPr>
      <w:r>
        <w:rPr>
          <w:rFonts w:hint="eastAsia"/>
        </w:rPr>
        <w:t>《排污许可证申请与核发技术规范总则》（HJ942-2018）；</w:t>
      </w:r>
    </w:p>
    <w:p>
      <w:pPr>
        <w:pStyle w:val="3"/>
        <w:numPr>
          <w:ilvl w:val="1"/>
          <w:numId w:val="4"/>
        </w:numPr>
        <w:ind w:firstLineChars="0"/>
      </w:pPr>
      <w:r>
        <w:rPr>
          <w:rFonts w:hint="eastAsia"/>
        </w:rPr>
        <w:t>《农业固体废物污染控制技术导则》（HJ588-2010）。</w:t>
      </w:r>
    </w:p>
    <w:p>
      <w:pPr>
        <w:pStyle w:val="3"/>
        <w:ind w:firstLine="0" w:firstLineChars="0"/>
        <w:outlineLvl w:val="2"/>
        <w:rPr>
          <w:rFonts w:eastAsia="黑体" w:cstheme="majorBidi"/>
          <w:bCs/>
          <w:szCs w:val="32"/>
        </w:rPr>
      </w:pPr>
      <w:r>
        <w:rPr>
          <w:rFonts w:hint="eastAsia" w:eastAsia="黑体" w:cstheme="majorBidi"/>
          <w:bCs/>
          <w:szCs w:val="32"/>
        </w:rPr>
        <w:t>2.1.4  主要技术文件及资料</w:t>
      </w:r>
    </w:p>
    <w:p>
      <w:pPr>
        <w:pStyle w:val="3"/>
        <w:numPr>
          <w:ilvl w:val="0"/>
          <w:numId w:val="5"/>
        </w:numPr>
        <w:ind w:firstLineChars="0"/>
      </w:pPr>
      <w:r>
        <w:rPr>
          <w:rFonts w:hint="eastAsia"/>
        </w:rPr>
        <w:t>《湖南喜耕田农业科技发展有限公司建设项目环境影响报告表》（长沙振华环境保护开发有限公司2017.8）；</w:t>
      </w:r>
    </w:p>
    <w:p>
      <w:pPr>
        <w:pStyle w:val="3"/>
        <w:numPr>
          <w:ilvl w:val="0"/>
          <w:numId w:val="5"/>
        </w:numPr>
        <w:ind w:firstLineChars="0"/>
      </w:pPr>
      <w:r>
        <w:rPr>
          <w:rFonts w:hint="eastAsia"/>
        </w:rPr>
        <w:t>《关于湖南喜耕田农业科技发展有限公司建设项目环境影响报告表的批复》蒸环评函【2017】38号；</w:t>
      </w:r>
    </w:p>
    <w:p>
      <w:pPr>
        <w:pStyle w:val="3"/>
        <w:numPr>
          <w:ilvl w:val="0"/>
          <w:numId w:val="5"/>
        </w:numPr>
        <w:ind w:firstLineChars="0"/>
      </w:pPr>
      <w:r>
        <w:rPr>
          <w:rFonts w:hint="eastAsia"/>
        </w:rPr>
        <w:t>其他与该建设项目有关的资料。</w:t>
      </w:r>
    </w:p>
    <w:p>
      <w:pPr>
        <w:pStyle w:val="5"/>
      </w:pPr>
      <w:bookmarkStart w:id="9" w:name="_Toc116993055"/>
      <w:r>
        <w:rPr>
          <w:rFonts w:hint="eastAsia"/>
        </w:rPr>
        <w:t>评价</w:t>
      </w:r>
      <w:r>
        <w:t>目的及评价原则</w:t>
      </w:r>
      <w:bookmarkEnd w:id="9"/>
    </w:p>
    <w:p>
      <w:pPr>
        <w:pStyle w:val="3"/>
        <w:ind w:firstLine="0" w:firstLineChars="0"/>
        <w:outlineLvl w:val="2"/>
      </w:pPr>
      <w:r>
        <w:rPr>
          <w:rFonts w:hint="eastAsia"/>
        </w:rPr>
        <w:t xml:space="preserve">2.2.1  </w:t>
      </w:r>
      <w:r>
        <w:rPr>
          <w:rFonts w:hint="eastAsia" w:eastAsia="黑体" w:cstheme="majorBidi"/>
          <w:bCs/>
          <w:szCs w:val="32"/>
        </w:rPr>
        <w:t>评价</w:t>
      </w:r>
      <w:r>
        <w:rPr>
          <w:rFonts w:eastAsia="黑体" w:cstheme="majorBidi"/>
          <w:bCs/>
          <w:szCs w:val="32"/>
        </w:rPr>
        <w:t>目的</w:t>
      </w:r>
    </w:p>
    <w:p>
      <w:pPr>
        <w:pStyle w:val="3"/>
        <w:ind w:firstLine="480"/>
      </w:pPr>
      <w:r>
        <w:rPr>
          <w:rFonts w:hint="eastAsia"/>
        </w:rPr>
        <w:t>（1）通过资料收集、现场踏勘及对项目建设地空气等周围环境的调查，掌握建设地常规环境质量现状，确定主要保护目标。</w:t>
      </w:r>
    </w:p>
    <w:p>
      <w:pPr>
        <w:pStyle w:val="3"/>
        <w:ind w:firstLine="480"/>
      </w:pPr>
      <w:r>
        <w:rPr>
          <w:rFonts w:hint="eastAsia"/>
        </w:rPr>
        <w:t>（2）通过对本项目的主要建设内容进行相应的工程分析，确定项目可能产生的污染源、污染物种类、排放特征及污染物变化情况，计算项目废水、废气、噪声及固废等污染物产生、排放情况，并预测分析项目对周围环境的影响。</w:t>
      </w:r>
    </w:p>
    <w:p>
      <w:pPr>
        <w:pStyle w:val="3"/>
        <w:ind w:firstLine="480"/>
      </w:pPr>
      <w:r>
        <w:rPr>
          <w:rFonts w:hint="eastAsia"/>
        </w:rPr>
        <w:t>（3）根据工程分析和影响预测评价的结果，对建设单位选用的污染治理措施作出评价，提出有关的三废及风险治理措施及建议，为管理部门及建设单位的环境管理提供参考。</w:t>
      </w:r>
    </w:p>
    <w:p>
      <w:pPr>
        <w:pStyle w:val="3"/>
        <w:ind w:firstLine="480"/>
      </w:pPr>
      <w:r>
        <w:rPr>
          <w:rFonts w:hint="eastAsia"/>
        </w:rPr>
        <w:t>（4）给出污染物排放清单、总量，提出环境管理和环境监测制度建议。</w:t>
      </w:r>
    </w:p>
    <w:p>
      <w:pPr>
        <w:pStyle w:val="3"/>
        <w:ind w:firstLine="480"/>
      </w:pPr>
      <w:r>
        <w:rPr>
          <w:rFonts w:hint="eastAsia"/>
        </w:rPr>
        <w:t>（5）从环境保护的角度，明确给出项目建设的可行性结论。</w:t>
      </w:r>
    </w:p>
    <w:p>
      <w:pPr>
        <w:pStyle w:val="3"/>
        <w:ind w:firstLine="0" w:firstLineChars="0"/>
        <w:outlineLvl w:val="2"/>
      </w:pPr>
      <w:r>
        <w:rPr>
          <w:rFonts w:hint="eastAsia"/>
        </w:rPr>
        <w:t xml:space="preserve">2.2.2  </w:t>
      </w:r>
      <w:r>
        <w:rPr>
          <w:rFonts w:hint="eastAsia" w:eastAsia="黑体" w:cstheme="majorBidi"/>
          <w:bCs/>
          <w:szCs w:val="32"/>
        </w:rPr>
        <w:t>评价原则</w:t>
      </w:r>
    </w:p>
    <w:p>
      <w:pPr>
        <w:pStyle w:val="3"/>
        <w:ind w:firstLine="480"/>
      </w:pPr>
      <w:r>
        <w:rPr>
          <w:rFonts w:hint="eastAsia"/>
        </w:rPr>
        <w:t>按照以人为本、建设资源节约型、环境友好型社会和科学发展的要求，突出环境影响评价的源头预防作用，坚持保护和改善环境质量。遵循以下原则开展环境影响评价工作：</w:t>
      </w:r>
    </w:p>
    <w:p>
      <w:pPr>
        <w:pStyle w:val="3"/>
        <w:ind w:firstLine="480"/>
      </w:pPr>
      <w:r>
        <w:rPr>
          <w:rFonts w:hint="eastAsia"/>
        </w:rPr>
        <w:t>（1）依法评价原则</w:t>
      </w:r>
    </w:p>
    <w:p>
      <w:pPr>
        <w:pStyle w:val="3"/>
        <w:ind w:firstLine="480"/>
      </w:pPr>
      <w:r>
        <w:rPr>
          <w:rFonts w:hint="eastAsia"/>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pPr>
        <w:pStyle w:val="3"/>
        <w:ind w:firstLine="480"/>
      </w:pPr>
      <w:r>
        <w:rPr>
          <w:rFonts w:hint="eastAsia"/>
        </w:rPr>
        <w:t>（2）科学评价原则</w:t>
      </w:r>
    </w:p>
    <w:p>
      <w:pPr>
        <w:pStyle w:val="3"/>
        <w:ind w:firstLine="480"/>
      </w:pPr>
      <w:r>
        <w:rPr>
          <w:rFonts w:hint="eastAsia"/>
        </w:rPr>
        <w:t>规范环境影响评价方法，科学分析项目建设对环境质量的影响。</w:t>
      </w:r>
    </w:p>
    <w:p>
      <w:pPr>
        <w:pStyle w:val="3"/>
        <w:ind w:firstLine="480"/>
      </w:pPr>
      <w:r>
        <w:rPr>
          <w:rFonts w:hint="eastAsia"/>
        </w:rPr>
        <w:t>（3）突出重点</w:t>
      </w:r>
    </w:p>
    <w:p>
      <w:pPr>
        <w:pStyle w:val="3"/>
        <w:ind w:firstLine="480"/>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ind w:firstLine="0" w:firstLineChars="0"/>
        <w:outlineLvl w:val="2"/>
      </w:pPr>
      <w:r>
        <w:rPr>
          <w:rFonts w:hint="eastAsia"/>
        </w:rPr>
        <w:t xml:space="preserve">2.2.3  </w:t>
      </w:r>
      <w:r>
        <w:rPr>
          <w:rFonts w:hint="eastAsia" w:eastAsia="黑体" w:cstheme="majorBidi"/>
          <w:bCs/>
          <w:szCs w:val="32"/>
        </w:rPr>
        <w:t>评价重点</w:t>
      </w:r>
    </w:p>
    <w:p>
      <w:pPr>
        <w:pStyle w:val="3"/>
        <w:ind w:firstLine="480"/>
      </w:pPr>
      <w:r>
        <w:rPr>
          <w:rFonts w:hint="eastAsia"/>
        </w:rPr>
        <w:t>根据本项目特点，以工程分析为基础，将环境影响预测与评价、污染防治措施可行性分析和环境风险评价作为评价重点。</w:t>
      </w:r>
    </w:p>
    <w:p>
      <w:pPr>
        <w:pStyle w:val="5"/>
      </w:pPr>
      <w:bookmarkStart w:id="10" w:name="_Toc116993056"/>
      <w:r>
        <w:rPr>
          <w:rFonts w:hint="eastAsia"/>
        </w:rPr>
        <w:t>评价时段和环境影响识别</w:t>
      </w:r>
      <w:bookmarkEnd w:id="10"/>
    </w:p>
    <w:p>
      <w:pPr>
        <w:pStyle w:val="3"/>
        <w:ind w:firstLine="0" w:firstLineChars="0"/>
        <w:outlineLvl w:val="2"/>
        <w:rPr>
          <w:rFonts w:eastAsia="黑体" w:cstheme="majorBidi"/>
          <w:bCs/>
          <w:szCs w:val="32"/>
        </w:rPr>
      </w:pPr>
      <w:r>
        <w:rPr>
          <w:rFonts w:hint="eastAsia"/>
        </w:rPr>
        <w:t xml:space="preserve">2.3.1  </w:t>
      </w:r>
      <w:r>
        <w:rPr>
          <w:rFonts w:hint="eastAsia" w:eastAsia="黑体" w:cstheme="majorBidi"/>
          <w:bCs/>
          <w:szCs w:val="32"/>
        </w:rPr>
        <w:t>评价时段</w:t>
      </w:r>
    </w:p>
    <w:p>
      <w:pPr>
        <w:pStyle w:val="3"/>
        <w:ind w:firstLine="480"/>
      </w:pPr>
      <w:r>
        <w:rPr>
          <w:rFonts w:hint="eastAsia"/>
        </w:rPr>
        <w:t>本次评价主要关注运行期的环境影响属长期、局部和不可逆性影响，并随着排污量的增加对环境影响也将进一步加深，从环保管理控制上，应满足污染物达标排放和总量控制，确保区域环境质量的功能要求。</w:t>
      </w:r>
    </w:p>
    <w:p>
      <w:pPr>
        <w:pStyle w:val="3"/>
        <w:ind w:firstLine="480"/>
      </w:pPr>
      <w:r>
        <w:rPr>
          <w:rFonts w:hint="eastAsia"/>
        </w:rPr>
        <w:t>因此，评价重点关注运行期的环境影响，对建设期仅做简要分析。</w:t>
      </w:r>
    </w:p>
    <w:p>
      <w:pPr>
        <w:pStyle w:val="3"/>
        <w:ind w:firstLine="0" w:firstLineChars="0"/>
        <w:outlineLvl w:val="2"/>
        <w:rPr>
          <w:rFonts w:eastAsia="黑体" w:cstheme="majorBidi"/>
          <w:bCs/>
          <w:szCs w:val="32"/>
        </w:rPr>
      </w:pPr>
      <w:r>
        <w:rPr>
          <w:rFonts w:hint="eastAsia"/>
        </w:rPr>
        <w:t xml:space="preserve">2.3.2  </w:t>
      </w:r>
      <w:r>
        <w:rPr>
          <w:rFonts w:hint="eastAsia" w:eastAsia="黑体" w:cstheme="majorBidi"/>
          <w:bCs/>
          <w:szCs w:val="32"/>
        </w:rPr>
        <w:t>环境影响识别</w:t>
      </w:r>
    </w:p>
    <w:p>
      <w:pPr>
        <w:pStyle w:val="3"/>
        <w:ind w:firstLine="480"/>
      </w:pPr>
      <w:r>
        <w:rPr>
          <w:rFonts w:hint="eastAsia"/>
        </w:rPr>
        <w:t>依据项目建设特性，该项目在建设期和运营期均会对环境产生一定影响，根据项目工程特点与周围环境特征，环境影响因素矩阵识别和环境要素性质识别见下表2.3-1。</w:t>
      </w:r>
    </w:p>
    <w:p>
      <w:pPr>
        <w:pStyle w:val="14"/>
        <w:rPr>
          <w:rFonts w:cs="Times New Roman" w:eastAsiaTheme="minorEastAsia"/>
          <w:b/>
        </w:rPr>
      </w:pPr>
      <w:r>
        <w:rPr>
          <w:rFonts w:cs="Times New Roman" w:eastAsiaTheme="minorEastAsia"/>
          <w:b/>
        </w:rPr>
        <w:t>表2.</w:t>
      </w:r>
      <w:r>
        <w:rPr>
          <w:rFonts w:hint="eastAsia" w:cs="Times New Roman" w:eastAsiaTheme="minorEastAsia"/>
          <w:b/>
        </w:rPr>
        <w:t>3</w:t>
      </w:r>
      <w:r>
        <w:rPr>
          <w:rFonts w:cs="Times New Roman" w:eastAsiaTheme="minorEastAsia"/>
          <w:b/>
        </w:rPr>
        <w:t xml:space="preserve">-1   </w:t>
      </w:r>
      <w:r>
        <w:rPr>
          <w:rFonts w:hint="eastAsia" w:cs="Times New Roman" w:eastAsiaTheme="minorEastAsia"/>
          <w:b/>
        </w:rPr>
        <w:t>环境影响识别表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0"/>
        <w:gridCol w:w="2376"/>
        <w:gridCol w:w="1699"/>
        <w:gridCol w:w="1699"/>
        <w:gridCol w:w="16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222" w:type="pct"/>
            <w:gridSpan w:val="2"/>
            <w:tcBorders>
              <w:top w:val="single" w:color="auto" w:sz="4" w:space="0"/>
              <w:left w:val="single" w:color="auto" w:sz="4" w:space="0"/>
              <w:bottom w:val="single" w:color="auto" w:sz="4" w:space="0"/>
              <w:right w:val="single" w:color="auto" w:sz="4" w:space="0"/>
              <w:tl2br w:val="single" w:color="auto" w:sz="6" w:space="0"/>
            </w:tcBorders>
            <w:vAlign w:val="center"/>
          </w:tcPr>
          <w:p>
            <w:pPr>
              <w:pStyle w:val="49"/>
              <w:jc w:val="right"/>
              <w:rPr>
                <w:rFonts w:cs="Times New Roman"/>
              </w:rPr>
            </w:pPr>
            <w:r>
              <w:rPr>
                <w:rFonts w:cs="Times New Roman"/>
              </w:rPr>
              <w:t>影响分析</w:t>
            </w:r>
          </w:p>
          <w:p>
            <w:pPr>
              <w:pStyle w:val="49"/>
              <w:jc w:val="left"/>
              <w:rPr>
                <w:rFonts w:cs="Times New Roman"/>
              </w:rPr>
            </w:pPr>
            <w:r>
              <w:rPr>
                <w:rFonts w:cs="Times New Roman"/>
              </w:rPr>
              <w:t>环境要素</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有利影响</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不利影响</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综合影响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自然环境</w:t>
            </w: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地表水水文</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地下水水文</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地形、地貌</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生态环境</w:t>
            </w: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植被</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土地利用</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水土流失</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环境质量</w:t>
            </w: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地表水水质</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-L</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地下水水质</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-L</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大气环境质量</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声环境质量</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社会环境</w:t>
            </w: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人民生活质量</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1295"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就业</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p>
        </w:tc>
        <w:tc>
          <w:tcPr>
            <w:tcW w:w="926" w:type="pct"/>
            <w:tcBorders>
              <w:top w:val="single" w:color="auto" w:sz="4" w:space="0"/>
              <w:left w:val="single" w:color="auto" w:sz="4" w:space="0"/>
              <w:bottom w:val="single" w:color="auto" w:sz="4" w:space="0"/>
              <w:right w:val="single" w:color="auto" w:sz="4" w:space="0"/>
            </w:tcBorders>
            <w:vAlign w:val="center"/>
          </w:tcPr>
          <w:p>
            <w:pPr>
              <w:widowControl w:val="0"/>
              <w:jc w:val="center"/>
              <w:rPr>
                <w:snapToGrid w:val="0"/>
              </w:rPr>
            </w:pPr>
            <w:r>
              <w:rPr>
                <w:snapToGrid w:val="0"/>
              </w:rPr>
              <w:t>+M</w:t>
            </w:r>
          </w:p>
        </w:tc>
      </w:tr>
    </w:tbl>
    <w:p>
      <w:pPr>
        <w:pStyle w:val="3"/>
        <w:ind w:firstLine="420"/>
        <w:rPr>
          <w:sz w:val="21"/>
        </w:rPr>
      </w:pPr>
      <w:r>
        <w:rPr>
          <w:rFonts w:hint="eastAsia"/>
          <w:sz w:val="21"/>
        </w:rPr>
        <w:t>注：表中“+”、“-”分别表示有利影响和不利影响，“L、M、S”分别表示影响程度，大、中、小。</w:t>
      </w:r>
    </w:p>
    <w:p>
      <w:pPr>
        <w:pStyle w:val="3"/>
        <w:ind w:firstLine="480"/>
      </w:pPr>
      <w:r>
        <w:rPr>
          <w:rFonts w:hint="eastAsia"/>
        </w:rPr>
        <w:t>由表2.3-1可见，工程建设对环境产生不利影响环境要素主要有：地表水、地下水、环境空气、声环境、固体废物，根据工程运行期产生的不利环境影响，评价将进行详细预测分析，提出有效的污染防治措施，将不利影响降至最低程度，使工程建设实现经济、社会和环境效益统一。</w:t>
      </w:r>
    </w:p>
    <w:p>
      <w:pPr>
        <w:pStyle w:val="5"/>
      </w:pPr>
      <w:bookmarkStart w:id="11" w:name="_Toc116993057"/>
      <w:r>
        <w:rPr>
          <w:rFonts w:hint="eastAsia"/>
        </w:rPr>
        <w:t>环境</w:t>
      </w:r>
      <w:r>
        <w:t>影响识别及评价</w:t>
      </w:r>
      <w:r>
        <w:rPr>
          <w:rFonts w:hint="eastAsia"/>
        </w:rPr>
        <w:t>因子</w:t>
      </w:r>
      <w:r>
        <w:t>筛选</w:t>
      </w:r>
      <w:bookmarkEnd w:id="11"/>
    </w:p>
    <w:p>
      <w:pPr>
        <w:pStyle w:val="3"/>
        <w:ind w:firstLine="480"/>
      </w:pPr>
      <w:r>
        <w:rPr>
          <w:rFonts w:hint="eastAsia"/>
        </w:rPr>
        <w:t>根据工程区域环境影响因素的识别，结合本工程特点及项目区域环境特征，评价因子筛选结果见表2.4-1。</w:t>
      </w:r>
    </w:p>
    <w:p>
      <w:pPr>
        <w:pStyle w:val="14"/>
        <w:rPr>
          <w:rFonts w:cs="Times New Roman" w:eastAsiaTheme="minorEastAsia"/>
          <w:b/>
        </w:rPr>
      </w:pPr>
      <w:r>
        <w:rPr>
          <w:rFonts w:cs="Times New Roman" w:eastAsiaTheme="minorEastAsia"/>
          <w:b/>
        </w:rPr>
        <w:t>表2.4-1   环境影响评价因子筛选表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374"/>
        <w:gridCol w:w="2648"/>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序号</w:t>
            </w: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rPr>
            </w:pPr>
            <w:r>
              <w:rPr>
                <w:rFonts w:ascii="Times New Roman" w:hAnsi="Times New Roman" w:cs="Times New Roman"/>
                <w:snapToGrid w:val="0"/>
              </w:rPr>
              <w:t>环境</w:t>
            </w:r>
          </w:p>
          <w:p>
            <w:pPr>
              <w:widowControl w:val="0"/>
              <w:jc w:val="center"/>
              <w:rPr>
                <w:rFonts w:ascii="Times New Roman" w:hAnsi="Times New Roman" w:cs="Times New Roman"/>
                <w:snapToGrid w:val="0"/>
              </w:rPr>
            </w:pPr>
            <w:r>
              <w:rPr>
                <w:rFonts w:ascii="Times New Roman" w:hAnsi="Times New Roman" w:cs="Times New Roman"/>
                <w:snapToGrid w:val="0"/>
              </w:rPr>
              <w:t>要素</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现状评价因子</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1</w:t>
            </w:r>
          </w:p>
        </w:tc>
        <w:tc>
          <w:tcPr>
            <w:tcW w:w="749"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地表水环境</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snapToGrid w:val="0"/>
              </w:rPr>
              <w:t>pH、BOD</w:t>
            </w:r>
            <w:r>
              <w:rPr>
                <w:rFonts w:ascii="Times New Roman" w:hAnsi="Times New Roman" w:cs="Times New Roman"/>
                <w:snapToGrid w:val="0"/>
                <w:vertAlign w:val="subscript"/>
              </w:rPr>
              <w:t>5</w:t>
            </w:r>
            <w:r>
              <w:rPr>
                <w:rFonts w:ascii="Times New Roman" w:hAnsi="Times New Roman" w:cs="Times New Roman"/>
                <w:snapToGrid w:val="0"/>
              </w:rPr>
              <w:t>、CODcr、SS、氨氮、总磷、总氮、石油类、粪大肠菌群、磷酸盐、动植物油等</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CODcr、氨氮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2</w:t>
            </w: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rPr>
            </w:pPr>
            <w:r>
              <w:rPr>
                <w:rFonts w:ascii="Times New Roman" w:hAnsi="Times New Roman" w:cs="Times New Roman"/>
                <w:snapToGrid w:val="0"/>
              </w:rPr>
              <w:t>大气</w:t>
            </w:r>
          </w:p>
          <w:p>
            <w:pPr>
              <w:widowControl w:val="0"/>
              <w:jc w:val="center"/>
              <w:rPr>
                <w:rFonts w:ascii="Times New Roman" w:hAnsi="Times New Roman" w:cs="Times New Roman"/>
                <w:snapToGrid w:val="0"/>
              </w:rPr>
            </w:pPr>
            <w:r>
              <w:rPr>
                <w:rFonts w:ascii="Times New Roman" w:hAnsi="Times New Roman" w:cs="Times New Roman"/>
                <w:snapToGrid w:val="0"/>
              </w:rPr>
              <w:t>环境</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常规因子：SO</w:t>
            </w:r>
            <w:r>
              <w:rPr>
                <w:rFonts w:ascii="Times New Roman" w:hAnsi="Times New Roman" w:cs="Times New Roman"/>
                <w:snapToGrid w:val="0"/>
                <w:vertAlign w:val="subscript"/>
              </w:rPr>
              <w:t>2</w:t>
            </w:r>
            <w:r>
              <w:rPr>
                <w:rFonts w:ascii="Times New Roman" w:hAnsi="Times New Roman" w:cs="Times New Roman"/>
                <w:snapToGrid w:val="0"/>
              </w:rPr>
              <w:t>、NO</w:t>
            </w:r>
            <w:r>
              <w:rPr>
                <w:rFonts w:ascii="Times New Roman" w:hAnsi="Times New Roman" w:cs="Times New Roman"/>
                <w:snapToGrid w:val="0"/>
                <w:vertAlign w:val="subscript"/>
              </w:rPr>
              <w:t>2</w:t>
            </w:r>
            <w:r>
              <w:rPr>
                <w:rFonts w:ascii="Times New Roman" w:hAnsi="Times New Roman" w:cs="Times New Roman"/>
                <w:snapToGrid w:val="0"/>
              </w:rPr>
              <w:t>、PM</w:t>
            </w:r>
            <w:r>
              <w:rPr>
                <w:rFonts w:ascii="Times New Roman" w:hAnsi="Times New Roman" w:cs="Times New Roman"/>
                <w:snapToGrid w:val="0"/>
                <w:vertAlign w:val="subscript"/>
              </w:rPr>
              <w:t>10</w:t>
            </w:r>
            <w:r>
              <w:rPr>
                <w:rFonts w:ascii="Times New Roman" w:hAnsi="Times New Roman" w:cs="Times New Roman"/>
                <w:snapToGrid w:val="0"/>
              </w:rPr>
              <w:t>、PM</w:t>
            </w:r>
            <w:r>
              <w:rPr>
                <w:rFonts w:ascii="Times New Roman" w:hAnsi="Times New Roman" w:cs="Times New Roman"/>
                <w:snapToGrid w:val="0"/>
                <w:vertAlign w:val="subscript"/>
              </w:rPr>
              <w:t>2.5</w:t>
            </w:r>
            <w:r>
              <w:rPr>
                <w:rFonts w:ascii="Times New Roman" w:hAnsi="Times New Roman" w:cs="Times New Roman"/>
                <w:snapToGrid w:val="0"/>
              </w:rPr>
              <w:t>、CO、O</w:t>
            </w:r>
            <w:r>
              <w:rPr>
                <w:rFonts w:ascii="Times New Roman" w:hAnsi="Times New Roman" w:cs="Times New Roman"/>
                <w:snapToGrid w:val="0"/>
                <w:vertAlign w:val="subscript"/>
              </w:rPr>
              <w:t>3</w:t>
            </w:r>
          </w:p>
          <w:p>
            <w:pPr>
              <w:widowControl w:val="0"/>
              <w:jc w:val="center"/>
              <w:rPr>
                <w:rFonts w:ascii="Times New Roman" w:hAnsi="Times New Roman" w:cs="Times New Roman"/>
                <w:snapToGrid w:val="0"/>
              </w:rPr>
            </w:pPr>
            <w:r>
              <w:rPr>
                <w:rFonts w:ascii="Times New Roman" w:hAnsi="Times New Roman" w:cs="Times New Roman"/>
                <w:snapToGrid w:val="0"/>
              </w:rPr>
              <w:t>特征因子：NH</w:t>
            </w:r>
            <w:r>
              <w:rPr>
                <w:rFonts w:ascii="Times New Roman" w:hAnsi="Times New Roman" w:cs="Times New Roman"/>
                <w:snapToGrid w:val="0"/>
                <w:vertAlign w:val="subscript"/>
              </w:rPr>
              <w:t>3</w:t>
            </w:r>
            <w:r>
              <w:rPr>
                <w:rFonts w:ascii="Times New Roman" w:hAnsi="Times New Roman" w:cs="Times New Roman"/>
                <w:snapToGrid w:val="0"/>
              </w:rPr>
              <w:t>、H</w:t>
            </w:r>
            <w:r>
              <w:rPr>
                <w:rFonts w:ascii="Times New Roman" w:hAnsi="Times New Roman" w:cs="Times New Roman"/>
                <w:snapToGrid w:val="0"/>
                <w:vertAlign w:val="subscript"/>
              </w:rPr>
              <w:t>2</w:t>
            </w:r>
            <w:r>
              <w:rPr>
                <w:rFonts w:ascii="Times New Roman" w:hAnsi="Times New Roman" w:cs="Times New Roman"/>
                <w:snapToGrid w:val="0"/>
              </w:rPr>
              <w:t>S</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hint="eastAsia" w:ascii="Times New Roman" w:hAnsi="Times New Roman" w:cs="Times New Roman"/>
                <w:bCs/>
              </w:rPr>
              <w:t>SO</w:t>
            </w:r>
            <w:r>
              <w:rPr>
                <w:rFonts w:hint="eastAsia" w:ascii="Times New Roman" w:hAnsi="Times New Roman" w:cs="Times New Roman"/>
                <w:bCs/>
                <w:vertAlign w:val="subscript"/>
              </w:rPr>
              <w:t>2</w:t>
            </w:r>
            <w:r>
              <w:rPr>
                <w:rFonts w:hint="eastAsia" w:ascii="Times New Roman" w:hAnsi="Times New Roman" w:cs="Times New Roman"/>
                <w:bCs/>
              </w:rPr>
              <w:t>、NO</w:t>
            </w:r>
            <w:r>
              <w:rPr>
                <w:rFonts w:hint="eastAsia" w:ascii="Times New Roman" w:hAnsi="Times New Roman" w:cs="Times New Roman"/>
                <w:bCs/>
                <w:vertAlign w:val="subscript"/>
              </w:rPr>
              <w:t>X</w:t>
            </w:r>
            <w:r>
              <w:rPr>
                <w:rFonts w:hint="eastAsia" w:ascii="Times New Roman" w:hAnsi="Times New Roman" w:cs="Times New Roman"/>
                <w:bCs/>
              </w:rPr>
              <w:t>、PM</w:t>
            </w:r>
            <w:r>
              <w:rPr>
                <w:rFonts w:hint="eastAsia" w:ascii="Times New Roman" w:hAnsi="Times New Roman" w:cs="Times New Roman"/>
                <w:bCs/>
                <w:vertAlign w:val="subscript"/>
              </w:rPr>
              <w:t>10</w:t>
            </w:r>
            <w:r>
              <w:rPr>
                <w:rFonts w:hint="eastAsia" w:ascii="Times New Roman" w:hAnsi="Times New Roman" w:cs="Times New Roman"/>
                <w:bCs/>
              </w:rPr>
              <w:t>、</w:t>
            </w:r>
            <w:r>
              <w:rPr>
                <w:rFonts w:ascii="Times New Roman" w:hAnsi="Times New Roman" w:cs="Times New Roman"/>
                <w:bCs/>
              </w:rPr>
              <w:t>H</w:t>
            </w:r>
            <w:r>
              <w:rPr>
                <w:rFonts w:ascii="Times New Roman" w:hAnsi="Times New Roman" w:cs="Times New Roman"/>
                <w:bCs/>
                <w:vertAlign w:val="subscript"/>
              </w:rPr>
              <w:t>2</w:t>
            </w:r>
            <w:r>
              <w:rPr>
                <w:rFonts w:ascii="Times New Roman" w:hAnsi="Times New Roman" w:cs="Times New Roman"/>
                <w:bCs/>
              </w:rPr>
              <w:t>S、NH</w:t>
            </w:r>
            <w:r>
              <w:rPr>
                <w:rFonts w:ascii="Times New Roman" w:hAnsi="Times New Roman" w:cs="Times New Roman"/>
                <w:bCs/>
                <w:vertAlign w:val="subscript"/>
              </w:rPr>
              <w:t>3</w:t>
            </w:r>
            <w:r>
              <w:rPr>
                <w:rFonts w:ascii="Times New Roman" w:hAnsi="Times New Roman" w:cs="Times New Roman"/>
                <w:bCs/>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3</w:t>
            </w:r>
          </w:p>
        </w:tc>
        <w:tc>
          <w:tcPr>
            <w:tcW w:w="749"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声环境</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等效连续A 声级Leq（A）</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等效连续A 声级Leq（A）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4</w:t>
            </w:r>
          </w:p>
        </w:tc>
        <w:tc>
          <w:tcPr>
            <w:tcW w:w="749"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固体废物</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一般固体废物、生活垃圾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5</w:t>
            </w:r>
          </w:p>
        </w:tc>
        <w:tc>
          <w:tcPr>
            <w:tcW w:w="749"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napToGrid w:val="0"/>
              </w:rPr>
            </w:pPr>
            <w:r>
              <w:rPr>
                <w:rFonts w:ascii="Times New Roman" w:hAnsi="Times New Roman" w:cs="Times New Roman"/>
                <w:snapToGrid w:val="0"/>
              </w:rPr>
              <w:t>地下水</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水化学离子：K</w:t>
            </w:r>
            <w:r>
              <w:rPr>
                <w:rFonts w:ascii="Times New Roman" w:hAnsi="Times New Roman" w:cs="Times New Roman"/>
                <w:vertAlign w:val="superscript"/>
              </w:rPr>
              <w:t>+</w:t>
            </w: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vertAlign w:val="superscript"/>
              </w:rPr>
              <w:t>2-</w:t>
            </w:r>
            <w:r>
              <w:rPr>
                <w:rFonts w:ascii="Times New Roman" w:hAnsi="Times New Roman" w:cs="Times New Roman"/>
              </w:rPr>
              <w:t>、HCO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水质因子：pH、总硬度、溶解性总固体、耗氧量、氨氮、硝酸盐氮、亚硝酸盐氮、铜、锌、镉、</w:t>
            </w:r>
          </w:p>
          <w:p>
            <w:pPr>
              <w:widowControl w:val="0"/>
              <w:jc w:val="center"/>
              <w:rPr>
                <w:rFonts w:ascii="Times New Roman" w:hAnsi="Times New Roman" w:cs="Times New Roman"/>
              </w:rPr>
            </w:pPr>
            <w:r>
              <w:rPr>
                <w:rFonts w:ascii="Times New Roman" w:hAnsi="Times New Roman" w:cs="Times New Roman"/>
              </w:rPr>
              <w:t>锰、总大肠菌群等</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kern w:val="40"/>
              </w:rPr>
            </w:pPr>
            <w:r>
              <w:rPr>
                <w:rFonts w:ascii="Times New Roman" w:hAnsi="Times New Roman" w:cs="Times New Roman"/>
                <w:kern w:val="40"/>
              </w:rPr>
              <w:t>COD</w:t>
            </w:r>
            <w:r>
              <w:rPr>
                <w:rFonts w:ascii="Times New Roman" w:hAnsi="Times New Roman" w:cs="Times New Roman"/>
                <w:kern w:val="40"/>
                <w:vertAlign w:val="subscript"/>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480"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6</w:t>
            </w: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rPr>
            </w:pPr>
            <w:r>
              <w:rPr>
                <w:rFonts w:ascii="Times New Roman" w:hAnsi="Times New Roman" w:cs="Times New Roman"/>
                <w:snapToGrid w:val="0"/>
              </w:rPr>
              <w:t>土壤</w:t>
            </w:r>
          </w:p>
        </w:tc>
        <w:tc>
          <w:tcPr>
            <w:tcW w:w="14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不开展评价</w:t>
            </w:r>
          </w:p>
        </w:tc>
        <w:tc>
          <w:tcPr>
            <w:tcW w:w="23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不开展评价</w:t>
            </w:r>
          </w:p>
        </w:tc>
      </w:tr>
    </w:tbl>
    <w:p>
      <w:pPr>
        <w:pStyle w:val="3"/>
        <w:ind w:firstLine="480"/>
      </w:pPr>
    </w:p>
    <w:p>
      <w:pPr>
        <w:pStyle w:val="5"/>
      </w:pPr>
      <w:bookmarkStart w:id="12" w:name="_Toc116993058"/>
      <w:r>
        <w:rPr>
          <w:rFonts w:hint="eastAsia"/>
        </w:rPr>
        <w:t>环境</w:t>
      </w:r>
      <w:r>
        <w:t>功能区划及评价标准</w:t>
      </w:r>
      <w:bookmarkEnd w:id="12"/>
    </w:p>
    <w:p>
      <w:pPr>
        <w:pStyle w:val="3"/>
        <w:ind w:firstLine="0" w:firstLineChars="0"/>
        <w:outlineLvl w:val="2"/>
        <w:rPr>
          <w:rFonts w:eastAsia="黑体" w:cstheme="majorBidi"/>
          <w:bCs/>
          <w:szCs w:val="32"/>
        </w:rPr>
      </w:pPr>
      <w:r>
        <w:rPr>
          <w:rFonts w:hint="eastAsia"/>
        </w:rPr>
        <w:t xml:space="preserve">2.5.1  </w:t>
      </w:r>
      <w:r>
        <w:rPr>
          <w:rFonts w:hint="eastAsia" w:eastAsia="黑体" w:cstheme="majorBidi"/>
          <w:bCs/>
          <w:szCs w:val="32"/>
        </w:rPr>
        <w:t>环境空气功能区划</w:t>
      </w:r>
    </w:p>
    <w:p>
      <w:pPr>
        <w:pStyle w:val="3"/>
        <w:ind w:firstLine="480"/>
      </w:pPr>
      <w:r>
        <w:rPr>
          <w:rFonts w:hint="eastAsia"/>
        </w:rPr>
        <w:t>（1）环境空气功能区划</w:t>
      </w:r>
    </w:p>
    <w:p>
      <w:pPr>
        <w:pStyle w:val="3"/>
        <w:ind w:firstLine="480"/>
      </w:pPr>
      <w:r>
        <w:rPr>
          <w:rFonts w:hint="eastAsia"/>
        </w:rPr>
        <w:t>项目所在区域为乡村，执行《环境空气质量标准》（GB3095-2012）二类环境空气功能区。</w:t>
      </w:r>
    </w:p>
    <w:p>
      <w:pPr>
        <w:pStyle w:val="3"/>
        <w:ind w:firstLine="480"/>
      </w:pPr>
      <w:r>
        <w:rPr>
          <w:rFonts w:hint="eastAsia"/>
        </w:rPr>
        <w:t>（2）地表水环境功能区划</w:t>
      </w:r>
    </w:p>
    <w:p>
      <w:pPr>
        <w:pStyle w:val="3"/>
        <w:ind w:firstLine="480"/>
      </w:pPr>
      <w:r>
        <w:rPr>
          <w:rFonts w:hint="eastAsia"/>
        </w:rPr>
        <w:t>本项目区域周边无干渠河流，主要水环境为附近农灌水塘，主要功能为农田灌溉，执行《农田灌溉水质标准》（GB5084-2021）旱作类标准。</w:t>
      </w:r>
    </w:p>
    <w:p>
      <w:pPr>
        <w:pStyle w:val="3"/>
        <w:ind w:firstLine="480"/>
      </w:pPr>
      <w:r>
        <w:rPr>
          <w:rFonts w:hint="eastAsia"/>
        </w:rPr>
        <w:t>（3）地下水环境功能区划</w:t>
      </w:r>
    </w:p>
    <w:p>
      <w:pPr>
        <w:pStyle w:val="3"/>
        <w:ind w:firstLine="480"/>
      </w:pPr>
      <w:r>
        <w:rPr>
          <w:rFonts w:hint="eastAsia"/>
        </w:rPr>
        <w:t>考虑到项目选址位于农村地区，本项目地下水环境质量执行《地下水质量标准》（GB/T14848-2017）中III 类标准。</w:t>
      </w:r>
    </w:p>
    <w:p>
      <w:pPr>
        <w:pStyle w:val="3"/>
        <w:ind w:firstLine="480"/>
      </w:pPr>
      <w:r>
        <w:rPr>
          <w:rFonts w:hint="eastAsia"/>
        </w:rPr>
        <w:t>（4）声环境功能区划</w:t>
      </w:r>
    </w:p>
    <w:p>
      <w:pPr>
        <w:pStyle w:val="3"/>
        <w:ind w:firstLine="480"/>
      </w:pPr>
      <w:r>
        <w:rPr>
          <w:rFonts w:hint="eastAsia"/>
        </w:rPr>
        <w:t>本项目选址位于衡阳县集兵镇大利村祝老屋组，属于乡村区域，声环境质量执行《声环境质量标准》(GB3096-2008)中2类标准。</w:t>
      </w:r>
    </w:p>
    <w:p>
      <w:pPr>
        <w:pStyle w:val="3"/>
        <w:ind w:firstLine="480"/>
      </w:pPr>
      <w:r>
        <w:rPr>
          <w:rFonts w:hint="eastAsia"/>
        </w:rPr>
        <w:t>（5）项目所在区域环境功能属性汇总</w:t>
      </w:r>
    </w:p>
    <w:p>
      <w:pPr>
        <w:pStyle w:val="3"/>
        <w:ind w:firstLine="480"/>
        <w:rPr>
          <w:rFonts w:cs="Times New Roman"/>
        </w:rPr>
      </w:pPr>
      <w:r>
        <w:rPr>
          <w:rFonts w:cs="Times New Roman"/>
        </w:rPr>
        <w:t>本项目所在地区域功能属性见表2.</w:t>
      </w:r>
      <w:r>
        <w:rPr>
          <w:rFonts w:hint="eastAsia" w:cs="Times New Roman"/>
        </w:rPr>
        <w:t>5</w:t>
      </w:r>
      <w:r>
        <w:rPr>
          <w:rFonts w:cs="Times New Roman"/>
        </w:rPr>
        <w:t>-1。</w:t>
      </w:r>
    </w:p>
    <w:p>
      <w:pPr>
        <w:pStyle w:val="14"/>
        <w:rPr>
          <w:rFonts w:cs="Times New Roman" w:eastAsiaTheme="minorEastAsia"/>
          <w:b/>
        </w:rPr>
      </w:pPr>
      <w:r>
        <w:rPr>
          <w:rFonts w:cs="Times New Roman" w:eastAsiaTheme="minorEastAsia"/>
          <w:b/>
        </w:rPr>
        <w:t>表2.</w:t>
      </w:r>
      <w:r>
        <w:rPr>
          <w:rFonts w:hint="eastAsia" w:cs="Times New Roman" w:eastAsiaTheme="minorEastAsia"/>
          <w:b/>
        </w:rPr>
        <w:t>5</w:t>
      </w:r>
      <w:r>
        <w:rPr>
          <w:rFonts w:cs="Times New Roman" w:eastAsiaTheme="minorEastAsia"/>
          <w:b/>
        </w:rPr>
        <w:t>-1  项目所在地环境功能属性</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970"/>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编号</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项目</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1</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水环境功能区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执行</w:t>
            </w:r>
            <w:r>
              <w:rPr>
                <w:rFonts w:hint="eastAsia" w:ascii="Times New Roman" w:hAnsi="Times New Roman" w:cs="Times New Roman"/>
              </w:rPr>
              <w:t>《农田灌溉水质标准》（GB5084-2021）旱作类标准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2</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环境空气质量功能区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二类区，环境空气质量执行《环境空气质量标准》</w:t>
            </w:r>
          </w:p>
          <w:p>
            <w:pPr>
              <w:widowControl w:val="0"/>
              <w:jc w:val="center"/>
              <w:rPr>
                <w:rFonts w:ascii="Times New Roman" w:hAnsi="Times New Roman" w:cs="Times New Roman"/>
              </w:rPr>
            </w:pPr>
            <w:r>
              <w:rPr>
                <w:rFonts w:ascii="Times New Roman" w:hAnsi="Times New Roman" w:cs="Times New Roman"/>
              </w:rPr>
              <w:t>（GB3095-2012）中二级标准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3</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声环境功能区</w:t>
            </w:r>
          </w:p>
        </w:tc>
        <w:tc>
          <w:tcPr>
            <w:tcW w:w="2972" w:type="pct"/>
            <w:vAlign w:val="center"/>
          </w:tcPr>
          <w:p>
            <w:pPr>
              <w:widowControl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类声环境功能区，执行《声环境质量标准》</w:t>
            </w:r>
          </w:p>
          <w:p>
            <w:pPr>
              <w:widowControl w:val="0"/>
              <w:jc w:val="center"/>
              <w:rPr>
                <w:rFonts w:ascii="Times New Roman" w:hAnsi="Times New Roman" w:cs="Times New Roman"/>
              </w:rPr>
            </w:pPr>
            <w:r>
              <w:rPr>
                <w:rFonts w:ascii="Times New Roman" w:hAnsi="Times New Roman" w:cs="Times New Roman"/>
              </w:rPr>
              <w:t>（GB3096-2008）</w:t>
            </w:r>
            <w:r>
              <w:rPr>
                <w:rFonts w:hint="eastAsia" w:ascii="Times New Roman" w:hAnsi="Times New Roman" w:cs="Times New Roman"/>
              </w:rPr>
              <w:t>2</w:t>
            </w:r>
            <w:r>
              <w:rPr>
                <w:rFonts w:ascii="Times New Roman" w:hAnsi="Times New Roman" w:cs="Times New Roman"/>
              </w:rPr>
              <w:t>类环境噪声限值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4</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是否基本农田保护区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5</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是否森林公园</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6</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是否生态功能保护区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7</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是否水土流失重点防治区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8</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是否人口密集区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9</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是否重点文物保护单位</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10</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是否三河、三湖、两控区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11</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是否污水处理厂集水范围</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widowControl w:val="0"/>
              <w:jc w:val="center"/>
              <w:rPr>
                <w:rFonts w:ascii="Times New Roman" w:hAnsi="Times New Roman" w:cs="Times New Roman"/>
              </w:rPr>
            </w:pPr>
            <w:r>
              <w:rPr>
                <w:rFonts w:ascii="Times New Roman" w:hAnsi="Times New Roman" w:cs="Times New Roman"/>
              </w:rPr>
              <w:t>12</w:t>
            </w:r>
          </w:p>
        </w:tc>
        <w:tc>
          <w:tcPr>
            <w:tcW w:w="1619" w:type="pct"/>
            <w:vAlign w:val="center"/>
          </w:tcPr>
          <w:p>
            <w:pPr>
              <w:widowControl w:val="0"/>
              <w:jc w:val="center"/>
              <w:rPr>
                <w:rFonts w:ascii="Times New Roman" w:hAnsi="Times New Roman" w:cs="Times New Roman"/>
              </w:rPr>
            </w:pPr>
            <w:r>
              <w:rPr>
                <w:rFonts w:ascii="Times New Roman" w:hAnsi="Times New Roman" w:cs="Times New Roman"/>
              </w:rPr>
              <w:t>是否属于生态敏感与脆弱区</w:t>
            </w:r>
          </w:p>
        </w:tc>
        <w:tc>
          <w:tcPr>
            <w:tcW w:w="2972" w:type="pct"/>
            <w:vAlign w:val="center"/>
          </w:tcPr>
          <w:p>
            <w:pPr>
              <w:widowControl w:val="0"/>
              <w:jc w:val="center"/>
              <w:rPr>
                <w:rFonts w:ascii="Times New Roman" w:hAnsi="Times New Roman" w:cs="Times New Roman"/>
              </w:rPr>
            </w:pPr>
            <w:r>
              <w:rPr>
                <w:rFonts w:ascii="Times New Roman" w:hAnsi="Times New Roman" w:cs="Times New Roman"/>
              </w:rPr>
              <w:t>否</w:t>
            </w:r>
          </w:p>
        </w:tc>
      </w:tr>
    </w:tbl>
    <w:p>
      <w:pPr>
        <w:pStyle w:val="3"/>
        <w:ind w:firstLine="480"/>
      </w:pPr>
    </w:p>
    <w:p>
      <w:pPr>
        <w:pStyle w:val="3"/>
        <w:ind w:firstLine="0" w:firstLineChars="0"/>
        <w:outlineLvl w:val="2"/>
        <w:rPr>
          <w:rFonts w:eastAsia="黑体" w:cstheme="majorBidi"/>
          <w:bCs/>
          <w:szCs w:val="32"/>
        </w:rPr>
      </w:pPr>
      <w:r>
        <w:rPr>
          <w:rFonts w:hint="eastAsia"/>
        </w:rPr>
        <w:t xml:space="preserve">2.5.2  </w:t>
      </w:r>
      <w:r>
        <w:rPr>
          <w:rFonts w:hint="eastAsia" w:eastAsia="黑体" w:cstheme="majorBidi"/>
          <w:bCs/>
          <w:szCs w:val="32"/>
        </w:rPr>
        <w:t>环境质量标准</w:t>
      </w:r>
    </w:p>
    <w:p>
      <w:pPr>
        <w:pStyle w:val="3"/>
        <w:ind w:firstLine="480"/>
      </w:pPr>
      <w:r>
        <w:rPr>
          <w:rFonts w:hint="eastAsia"/>
        </w:rPr>
        <w:t>（1）环境空气质量标准</w:t>
      </w:r>
    </w:p>
    <w:p>
      <w:pPr>
        <w:pStyle w:val="3"/>
        <w:ind w:firstLine="480"/>
      </w:pPr>
      <w:r>
        <w:rPr>
          <w:rFonts w:hint="eastAsia"/>
        </w:rPr>
        <w:t>本项目所在区域环境空气质量执行《环境空气质量标准》（GB3095-2012）中的二级标准，NH</w:t>
      </w:r>
      <w:r>
        <w:rPr>
          <w:rFonts w:hint="eastAsia"/>
          <w:vertAlign w:val="subscript"/>
        </w:rPr>
        <w:t>3</w:t>
      </w:r>
      <w:r>
        <w:rPr>
          <w:rFonts w:hint="eastAsia"/>
        </w:rPr>
        <w:t>、H</w:t>
      </w:r>
      <w:r>
        <w:rPr>
          <w:rFonts w:hint="eastAsia"/>
          <w:vertAlign w:val="subscript"/>
        </w:rPr>
        <w:t>2</w:t>
      </w:r>
      <w:r>
        <w:rPr>
          <w:rFonts w:hint="eastAsia"/>
        </w:rPr>
        <w:t>S 参照执行HJ2.2-2018 附录D 参考浓度限值，各因子质标准值详见表2.5-2。</w:t>
      </w:r>
    </w:p>
    <w:p>
      <w:pPr>
        <w:pStyle w:val="14"/>
        <w:rPr>
          <w:rFonts w:cs="Times New Roman" w:eastAsiaTheme="minorEastAsia"/>
          <w:b/>
        </w:rP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2</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环境空气质量标准    单位：</w:t>
      </w:r>
      <w:r>
        <w:rPr>
          <w:rFonts w:hint="eastAsia"/>
          <w:b/>
        </w:rPr>
        <w:t>mg</w:t>
      </w:r>
      <w:r>
        <w:rPr>
          <w:rFonts w:hint="eastAsia" w:cs="Times New Roman" w:eastAsiaTheme="minorEastAsia"/>
          <w:b/>
        </w:rPr>
        <w:t>/m</w:t>
      </w:r>
      <w:r>
        <w:rPr>
          <w:rFonts w:hint="eastAsia" w:cs="Times New Roman" w:eastAsiaTheme="minorEastAsia"/>
          <w:b/>
          <w:vertAlign w:val="superscript"/>
        </w:rPr>
        <w:t>3</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95"/>
        <w:gridCol w:w="1195"/>
        <w:gridCol w:w="1196"/>
        <w:gridCol w:w="1196"/>
        <w:gridCol w:w="1204"/>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restart"/>
            <w:vAlign w:val="center"/>
          </w:tcPr>
          <w:p>
            <w:pPr>
              <w:widowControl w:val="0"/>
              <w:jc w:val="center"/>
              <w:rPr>
                <w:rFonts w:ascii="Times New Roman" w:hAnsi="Times New Roman" w:cs="Times New Roman"/>
              </w:rPr>
            </w:pPr>
            <w:r>
              <w:rPr>
                <w:rFonts w:ascii="Times New Roman" w:hAnsi="Times New Roman" w:cs="Times New Roman"/>
              </w:rPr>
              <w:t>标准号</w:t>
            </w:r>
          </w:p>
        </w:tc>
        <w:tc>
          <w:tcPr>
            <w:tcW w:w="651" w:type="pct"/>
            <w:vMerge w:val="restart"/>
            <w:vAlign w:val="center"/>
          </w:tcPr>
          <w:p>
            <w:pPr>
              <w:widowControl w:val="0"/>
              <w:jc w:val="center"/>
              <w:rPr>
                <w:rFonts w:ascii="Times New Roman" w:hAnsi="Times New Roman" w:cs="Times New Roman"/>
              </w:rPr>
            </w:pPr>
            <w:r>
              <w:rPr>
                <w:rFonts w:ascii="Times New Roman" w:hAnsi="Times New Roman" w:cs="Times New Roman"/>
              </w:rPr>
              <w:t>标准因子</w:t>
            </w:r>
          </w:p>
        </w:tc>
        <w:tc>
          <w:tcPr>
            <w:tcW w:w="651" w:type="pct"/>
            <w:vMerge w:val="restart"/>
            <w:vAlign w:val="center"/>
          </w:tcPr>
          <w:p>
            <w:pPr>
              <w:widowControl w:val="0"/>
              <w:jc w:val="center"/>
              <w:rPr>
                <w:rFonts w:ascii="Times New Roman" w:hAnsi="Times New Roman" w:cs="Times New Roman"/>
              </w:rPr>
            </w:pPr>
            <w:r>
              <w:rPr>
                <w:rFonts w:ascii="Times New Roman" w:hAnsi="Times New Roman" w:cs="Times New Roman"/>
              </w:rPr>
              <w:t>评价因子</w:t>
            </w:r>
          </w:p>
        </w:tc>
        <w:tc>
          <w:tcPr>
            <w:tcW w:w="1960" w:type="pct"/>
            <w:gridSpan w:val="3"/>
            <w:vAlign w:val="center"/>
          </w:tcPr>
          <w:p>
            <w:pPr>
              <w:widowControl w:val="0"/>
              <w:jc w:val="center"/>
              <w:rPr>
                <w:rFonts w:ascii="Times New Roman" w:hAnsi="Times New Roman" w:cs="Times New Roman"/>
              </w:rPr>
            </w:pPr>
            <w:r>
              <w:rPr>
                <w:rFonts w:ascii="Times New Roman" w:hAnsi="Times New Roman" w:cs="Times New Roman"/>
              </w:rPr>
              <w:t>浓度限值</w:t>
            </w:r>
          </w:p>
        </w:tc>
        <w:tc>
          <w:tcPr>
            <w:tcW w:w="964"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widowControl w:val="0"/>
              <w:jc w:val="center"/>
              <w:rPr>
                <w:rFonts w:ascii="Times New Roman" w:hAnsi="Times New Roman" w:cs="Times New Roman"/>
              </w:rPr>
            </w:pPr>
          </w:p>
        </w:tc>
        <w:tc>
          <w:tcPr>
            <w:tcW w:w="651" w:type="pct"/>
            <w:vMerge w:val="continue"/>
            <w:vAlign w:val="center"/>
          </w:tcPr>
          <w:p>
            <w:pPr>
              <w:widowControl w:val="0"/>
              <w:jc w:val="center"/>
              <w:rPr>
                <w:rFonts w:ascii="Times New Roman" w:hAnsi="Times New Roman" w:cs="Times New Roman"/>
              </w:rPr>
            </w:pPr>
          </w:p>
        </w:tc>
        <w:tc>
          <w:tcPr>
            <w:tcW w:w="651" w:type="pct"/>
            <w:vMerge w:val="continue"/>
            <w:vAlign w:val="center"/>
          </w:tcPr>
          <w:p>
            <w:pPr>
              <w:widowControl w:val="0"/>
              <w:jc w:val="center"/>
              <w:rPr>
                <w:rFonts w:ascii="Times New Roman" w:hAnsi="Times New Roman" w:cs="Times New Roman"/>
              </w:rPr>
            </w:pPr>
          </w:p>
        </w:tc>
        <w:tc>
          <w:tcPr>
            <w:tcW w:w="652" w:type="pct"/>
            <w:vAlign w:val="center"/>
          </w:tcPr>
          <w:p>
            <w:pPr>
              <w:widowControl w:val="0"/>
              <w:jc w:val="center"/>
              <w:rPr>
                <w:rFonts w:ascii="Times New Roman" w:hAnsi="Times New Roman" w:cs="Times New Roman"/>
              </w:rPr>
            </w:pPr>
            <w:r>
              <w:rPr>
                <w:rFonts w:ascii="Times New Roman" w:hAnsi="Times New Roman" w:cs="Times New Roman"/>
              </w:rPr>
              <w:t>小时</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日平均</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年平均</w:t>
            </w:r>
          </w:p>
        </w:tc>
        <w:tc>
          <w:tcPr>
            <w:tcW w:w="964" w:type="pct"/>
            <w:vMerge w:val="continue"/>
            <w:vAlign w:val="center"/>
          </w:tcPr>
          <w:p>
            <w:pPr>
              <w:pStyle w:val="3"/>
              <w:spacing w:line="240" w:lineRule="auto"/>
              <w:ind w:firstLine="0" w:firstLineChars="0"/>
              <w:jc w:val="center"/>
              <w:rPr>
                <w:rFonts w:cs="Times New Roman" w:eastAsiaTheme="minor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GB3095-2012</w:t>
            </w:r>
          </w:p>
        </w:tc>
        <w:tc>
          <w:tcPr>
            <w:tcW w:w="651"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环境空气质量标准</w:t>
            </w:r>
          </w:p>
        </w:tc>
        <w:tc>
          <w:tcPr>
            <w:tcW w:w="651" w:type="pct"/>
            <w:vAlign w:val="center"/>
          </w:tcPr>
          <w:p>
            <w:pPr>
              <w:widowControl w:val="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0.5</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0.15</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0.06</w:t>
            </w:r>
          </w:p>
        </w:tc>
        <w:tc>
          <w:tcPr>
            <w:tcW w:w="964"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环境空气二类评价区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0.2</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0.08</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0.04</w:t>
            </w: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TSP</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0.3</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0.2</w:t>
            </w: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0.15</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0.07</w:t>
            </w: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0.075</w:t>
            </w:r>
          </w:p>
        </w:tc>
        <w:tc>
          <w:tcPr>
            <w:tcW w:w="656" w:type="pct"/>
            <w:vAlign w:val="center"/>
          </w:tcPr>
          <w:p>
            <w:pPr>
              <w:widowControl w:val="0"/>
              <w:jc w:val="center"/>
              <w:rPr>
                <w:rFonts w:ascii="Times New Roman" w:hAnsi="Times New Roman" w:cs="Times New Roman"/>
              </w:rPr>
            </w:pPr>
            <w:r>
              <w:rPr>
                <w:rFonts w:ascii="Times New Roman" w:hAnsi="Times New Roman" w:cs="Times New Roman"/>
              </w:rPr>
              <w:t>0.035</w:t>
            </w: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1960" w:type="pct"/>
            <w:gridSpan w:val="3"/>
            <w:vAlign w:val="center"/>
          </w:tcPr>
          <w:p>
            <w:pPr>
              <w:widowControl w:val="0"/>
              <w:jc w:val="center"/>
              <w:rPr>
                <w:rFonts w:ascii="Times New Roman" w:hAnsi="Times New Roman" w:cs="Times New Roman"/>
              </w:rPr>
            </w:pPr>
            <w:r>
              <w:rPr>
                <w:rFonts w:ascii="Times New Roman" w:hAnsi="Times New Roman" w:cs="Times New Roman"/>
              </w:rPr>
              <w:t>0.2，0.16（日最大8 小时平均）</w:t>
            </w: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pStyle w:val="3"/>
              <w:spacing w:line="240" w:lineRule="auto"/>
              <w:ind w:firstLine="0" w:firstLineChars="0"/>
              <w:jc w:val="center"/>
              <w:rPr>
                <w:rFonts w:cs="Times New Roman" w:eastAsiaTheme="minorEastAsia"/>
                <w:sz w:val="21"/>
              </w:rPr>
            </w:pPr>
          </w:p>
        </w:tc>
        <w:tc>
          <w:tcPr>
            <w:tcW w:w="651" w:type="pct"/>
            <w:vMerge w:val="continue"/>
            <w:vAlign w:val="center"/>
          </w:tcPr>
          <w:p>
            <w:pPr>
              <w:pStyle w:val="3"/>
              <w:spacing w:line="240" w:lineRule="auto"/>
              <w:ind w:firstLine="0" w:firstLineChars="0"/>
              <w:jc w:val="center"/>
              <w:rPr>
                <w:rFonts w:cs="Times New Roman" w:eastAsiaTheme="minorEastAsia"/>
                <w:sz w:val="21"/>
              </w:rPr>
            </w:pPr>
          </w:p>
        </w:tc>
        <w:tc>
          <w:tcPr>
            <w:tcW w:w="651" w:type="pct"/>
            <w:vAlign w:val="center"/>
          </w:tcPr>
          <w:p>
            <w:pPr>
              <w:widowControl w:val="0"/>
              <w:jc w:val="center"/>
              <w:rPr>
                <w:rFonts w:ascii="Times New Roman" w:hAnsi="Times New Roman" w:cs="Times New Roman"/>
              </w:rPr>
            </w:pPr>
            <w:r>
              <w:rPr>
                <w:rFonts w:ascii="Times New Roman" w:hAnsi="Times New Roman" w:cs="Times New Roman"/>
              </w:rPr>
              <w:t>CO</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10</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4</w:t>
            </w:r>
          </w:p>
        </w:tc>
        <w:tc>
          <w:tcPr>
            <w:tcW w:w="656" w:type="pct"/>
            <w:vAlign w:val="center"/>
          </w:tcPr>
          <w:p>
            <w:pPr>
              <w:widowControl w:val="0"/>
              <w:jc w:val="center"/>
              <w:rPr>
                <w:rFonts w:ascii="Times New Roman" w:hAnsi="Times New Roman" w:cs="Times New Roman"/>
              </w:rPr>
            </w:pP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HJ2.2-2018</w:t>
            </w:r>
          </w:p>
        </w:tc>
        <w:tc>
          <w:tcPr>
            <w:tcW w:w="651"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附录D 参考值</w:t>
            </w:r>
          </w:p>
        </w:tc>
        <w:tc>
          <w:tcPr>
            <w:tcW w:w="651"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氨</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0.2</w:t>
            </w:r>
          </w:p>
        </w:tc>
        <w:tc>
          <w:tcPr>
            <w:tcW w:w="652" w:type="pct"/>
            <w:vAlign w:val="center"/>
          </w:tcPr>
          <w:p>
            <w:pPr>
              <w:widowControl w:val="0"/>
              <w:jc w:val="center"/>
              <w:rPr>
                <w:rFonts w:ascii="Times New Roman" w:hAnsi="Times New Roman" w:cs="Times New Roman"/>
              </w:rPr>
            </w:pPr>
          </w:p>
        </w:tc>
        <w:tc>
          <w:tcPr>
            <w:tcW w:w="656" w:type="pct"/>
            <w:vAlign w:val="center"/>
          </w:tcPr>
          <w:p>
            <w:pPr>
              <w:widowControl w:val="0"/>
              <w:jc w:val="center"/>
              <w:rPr>
                <w:rFonts w:ascii="Times New Roman" w:hAnsi="Times New Roman" w:cs="Times New Roman"/>
              </w:rPr>
            </w:pPr>
          </w:p>
        </w:tc>
        <w:tc>
          <w:tcPr>
            <w:tcW w:w="964" w:type="pct"/>
            <w:vMerge w:val="continue"/>
            <w:vAlign w:val="center"/>
          </w:tcPr>
          <w:p>
            <w:pPr>
              <w:pStyle w:val="3"/>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pct"/>
            <w:vMerge w:val="continue"/>
            <w:vAlign w:val="center"/>
          </w:tcPr>
          <w:p>
            <w:pPr>
              <w:widowControl w:val="0"/>
              <w:jc w:val="center"/>
              <w:rPr>
                <w:rFonts w:ascii="Times New Roman" w:hAnsi="Times New Roman" w:cs="Times New Roman"/>
              </w:rPr>
            </w:pPr>
          </w:p>
        </w:tc>
        <w:tc>
          <w:tcPr>
            <w:tcW w:w="651" w:type="pct"/>
            <w:vMerge w:val="continue"/>
            <w:vAlign w:val="center"/>
          </w:tcPr>
          <w:p>
            <w:pPr>
              <w:widowControl w:val="0"/>
              <w:jc w:val="center"/>
              <w:rPr>
                <w:rFonts w:ascii="Times New Roman" w:hAnsi="Times New Roman" w:cs="Times New Roman"/>
              </w:rPr>
            </w:pPr>
          </w:p>
        </w:tc>
        <w:tc>
          <w:tcPr>
            <w:tcW w:w="651"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硫化氢</w:t>
            </w:r>
          </w:p>
        </w:tc>
        <w:tc>
          <w:tcPr>
            <w:tcW w:w="652" w:type="pct"/>
            <w:vAlign w:val="center"/>
          </w:tcPr>
          <w:p>
            <w:pPr>
              <w:widowControl w:val="0"/>
              <w:jc w:val="center"/>
              <w:rPr>
                <w:rFonts w:ascii="Times New Roman" w:hAnsi="Times New Roman" w:cs="Times New Roman"/>
              </w:rPr>
            </w:pPr>
            <w:r>
              <w:rPr>
                <w:rFonts w:ascii="Times New Roman" w:hAnsi="Times New Roman" w:cs="Times New Roman"/>
              </w:rPr>
              <w:t>0.01</w:t>
            </w:r>
          </w:p>
        </w:tc>
        <w:tc>
          <w:tcPr>
            <w:tcW w:w="652" w:type="pct"/>
            <w:vAlign w:val="center"/>
          </w:tcPr>
          <w:p>
            <w:pPr>
              <w:widowControl w:val="0"/>
              <w:jc w:val="center"/>
              <w:rPr>
                <w:rFonts w:ascii="Times New Roman" w:hAnsi="Times New Roman" w:cs="Times New Roman"/>
              </w:rPr>
            </w:pPr>
          </w:p>
        </w:tc>
        <w:tc>
          <w:tcPr>
            <w:tcW w:w="656" w:type="pct"/>
            <w:vAlign w:val="center"/>
          </w:tcPr>
          <w:p>
            <w:pPr>
              <w:widowControl w:val="0"/>
              <w:jc w:val="center"/>
              <w:rPr>
                <w:rFonts w:ascii="Times New Roman" w:hAnsi="Times New Roman" w:cs="Times New Roman"/>
              </w:rPr>
            </w:pPr>
          </w:p>
        </w:tc>
        <w:tc>
          <w:tcPr>
            <w:tcW w:w="964" w:type="pct"/>
            <w:vMerge w:val="continue"/>
            <w:vAlign w:val="center"/>
          </w:tcPr>
          <w:p>
            <w:pPr>
              <w:pStyle w:val="3"/>
              <w:spacing w:line="240" w:lineRule="auto"/>
              <w:ind w:firstLine="0" w:firstLineChars="0"/>
              <w:jc w:val="center"/>
              <w:rPr>
                <w:rFonts w:cs="Times New Roman"/>
              </w:rPr>
            </w:pPr>
          </w:p>
        </w:tc>
      </w:tr>
    </w:tbl>
    <w:p>
      <w:pPr>
        <w:pStyle w:val="3"/>
        <w:ind w:firstLine="480"/>
      </w:pPr>
      <w:r>
        <w:rPr>
          <w:rFonts w:hint="eastAsia"/>
        </w:rPr>
        <w:t>（2）水环境质量标准</w:t>
      </w:r>
    </w:p>
    <w:p>
      <w:pPr>
        <w:pStyle w:val="3"/>
        <w:ind w:firstLine="480"/>
      </w:pPr>
      <w:r>
        <w:rPr>
          <w:rFonts w:hint="eastAsia"/>
        </w:rPr>
        <w:t>本项目区域周边无干渠河流，主要水环境为附近农灌水塘，主要功能为农田灌溉，执行</w:t>
      </w:r>
      <w:r>
        <w:rPr>
          <w:rFonts w:hint="eastAsia" w:cs="Times New Roman"/>
        </w:rPr>
        <w:t>《农田灌溉水质标准》（GB5084-2021）旱作类标准</w:t>
      </w:r>
      <w:r>
        <w:rPr>
          <w:rFonts w:hint="eastAsia"/>
        </w:rPr>
        <w:t>，具体标准限值见表2.5-3。</w:t>
      </w:r>
    </w:p>
    <w:p>
      <w:pPr>
        <w:pStyle w:val="14"/>
        <w:rPr>
          <w:rFonts w:cs="Times New Roman" w:eastAsiaTheme="minorEastAsia"/>
          <w:b/>
        </w:rP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3</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地表水环境质量标准     单位：</w:t>
      </w:r>
      <w:r>
        <w:rPr>
          <w:b/>
        </w:rPr>
        <w:t>mg/L</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746"/>
        <w:gridCol w:w="5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Merge w:val="restar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序号</w:t>
            </w:r>
          </w:p>
        </w:tc>
        <w:tc>
          <w:tcPr>
            <w:tcW w:w="1497"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标准依据</w:t>
            </w:r>
          </w:p>
        </w:tc>
        <w:tc>
          <w:tcPr>
            <w:tcW w:w="2986" w:type="pct"/>
            <w:vAlign w:val="center"/>
          </w:tcPr>
          <w:p>
            <w:pPr>
              <w:pStyle w:val="3"/>
              <w:spacing w:line="240" w:lineRule="auto"/>
              <w:ind w:firstLine="0" w:firstLineChars="0"/>
              <w:jc w:val="center"/>
              <w:rPr>
                <w:rFonts w:cs="Times New Roman" w:eastAsiaTheme="minorEastAsia"/>
                <w:sz w:val="21"/>
              </w:rPr>
            </w:pPr>
            <w:r>
              <w:rPr>
                <w:rFonts w:hint="eastAsia"/>
              </w:rPr>
              <w:t>《农田灌溉水质标准》（GB5084-2021）旱作类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Merge w:val="continue"/>
            <w:vAlign w:val="center"/>
          </w:tcPr>
          <w:p>
            <w:pPr>
              <w:pStyle w:val="3"/>
              <w:spacing w:line="240" w:lineRule="auto"/>
              <w:ind w:firstLine="0" w:firstLineChars="0"/>
              <w:jc w:val="center"/>
              <w:rPr>
                <w:rFonts w:cs="Times New Roman" w:eastAsiaTheme="minorEastAsia"/>
                <w:sz w:val="21"/>
              </w:rPr>
            </w:pPr>
          </w:p>
        </w:tc>
        <w:tc>
          <w:tcPr>
            <w:tcW w:w="1497"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评价因子</w:t>
            </w:r>
          </w:p>
        </w:tc>
        <w:tc>
          <w:tcPr>
            <w:tcW w:w="2986"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浓度限值（</w:t>
            </w:r>
            <w:r>
              <w:rPr>
                <w:rFonts w:cs="Times New Roman" w:eastAsiaTheme="minorEastAsia"/>
                <w:sz w:val="21"/>
              </w:rPr>
              <w:t>mg/L</w:t>
            </w:r>
            <w:r>
              <w:rPr>
                <w:rFonts w:hint="eastAsia" w:cs="Times New Roman" w:eastAsiaTheme="minor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1</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pH</w:t>
            </w:r>
          </w:p>
        </w:tc>
        <w:tc>
          <w:tcPr>
            <w:tcW w:w="2986" w:type="pct"/>
            <w:vAlign w:val="center"/>
          </w:tcPr>
          <w:p>
            <w:pPr>
              <w:pStyle w:val="3"/>
              <w:spacing w:line="240" w:lineRule="auto"/>
              <w:ind w:firstLine="0" w:firstLineChars="0"/>
              <w:jc w:val="center"/>
              <w:rPr>
                <w:rFonts w:cs="Times New Roman" w:eastAsiaTheme="minorEastAsia"/>
                <w:sz w:val="21"/>
              </w:rPr>
            </w:pPr>
            <w:r>
              <w:rPr>
                <w:rFonts w:hint="eastAsia" w:cs="Times New Roman"/>
                <w:kern w:val="0"/>
              </w:rPr>
              <w:t>5.5</w:t>
            </w:r>
            <w:r>
              <w:rPr>
                <w:rFonts w:hint="eastAsia" w:ascii="宋体" w:cs="宋体"/>
                <w:kern w:val="0"/>
              </w:rPr>
              <w:t>～</w:t>
            </w:r>
            <w:r>
              <w:rPr>
                <w:rFonts w:hint="eastAsia" w:cs="Times New Roman"/>
                <w:kern w:val="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2</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SS</w:t>
            </w:r>
          </w:p>
        </w:tc>
        <w:tc>
          <w:tcPr>
            <w:tcW w:w="2986" w:type="pct"/>
            <w:vAlign w:val="center"/>
          </w:tcPr>
          <w:p>
            <w:pPr>
              <w:pStyle w:val="3"/>
              <w:spacing w:line="240" w:lineRule="auto"/>
              <w:ind w:firstLine="0" w:firstLineChars="0"/>
              <w:jc w:val="center"/>
              <w:rPr>
                <w:rFonts w:cs="Times New Roman"/>
                <w:kern w:val="0"/>
              </w:rPr>
            </w:pPr>
            <w:r>
              <w:rPr>
                <w:rFonts w:cs="Times New Roman"/>
                <w:kern w:val="0"/>
              </w:rPr>
              <w:t>≤</w:t>
            </w:r>
            <w:r>
              <w:rPr>
                <w:rFonts w:hint="eastAsia" w:cs="Times New Roman"/>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3</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CODcr</w:t>
            </w:r>
          </w:p>
        </w:tc>
        <w:tc>
          <w:tcPr>
            <w:tcW w:w="2986" w:type="pct"/>
            <w:vAlign w:val="center"/>
          </w:tcPr>
          <w:p>
            <w:pPr>
              <w:pStyle w:val="3"/>
              <w:spacing w:line="240" w:lineRule="auto"/>
              <w:ind w:firstLine="0" w:firstLineChars="0"/>
              <w:jc w:val="center"/>
              <w:rPr>
                <w:rFonts w:cs="Times New Roman" w:eastAsiaTheme="minorEastAsia"/>
                <w:sz w:val="21"/>
              </w:rPr>
            </w:pPr>
            <w:r>
              <w:rPr>
                <w:rFonts w:cs="Times New Roman"/>
                <w:kern w:val="0"/>
              </w:rPr>
              <w:t>≤</w:t>
            </w:r>
            <w:r>
              <w:rPr>
                <w:rFonts w:hint="eastAsia" w:cs="Times New Roman"/>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4</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BOD</w:t>
            </w:r>
            <w:r>
              <w:rPr>
                <w:rFonts w:hint="eastAsia" w:cs="Times New Roman" w:eastAsiaTheme="minorEastAsia"/>
                <w:sz w:val="21"/>
                <w:vertAlign w:val="subscript"/>
              </w:rPr>
              <w:t>5</w:t>
            </w:r>
          </w:p>
        </w:tc>
        <w:tc>
          <w:tcPr>
            <w:tcW w:w="2986" w:type="pct"/>
            <w:vAlign w:val="center"/>
          </w:tcPr>
          <w:p>
            <w:pPr>
              <w:pStyle w:val="3"/>
              <w:spacing w:line="240" w:lineRule="auto"/>
              <w:ind w:firstLine="0" w:firstLineChars="0"/>
              <w:jc w:val="center"/>
              <w:rPr>
                <w:rFonts w:cs="Times New Roman" w:eastAsiaTheme="minorEastAsia"/>
                <w:sz w:val="21"/>
              </w:rPr>
            </w:pPr>
            <w:r>
              <w:rPr>
                <w:rFonts w:cs="Times New Roman"/>
                <w:kern w:val="0"/>
              </w:rPr>
              <w:t>≤</w:t>
            </w:r>
            <w:r>
              <w:rPr>
                <w:rFonts w:hint="eastAsia" w:cs="Times New Roman"/>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5</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阴离子表面活性剂</w:t>
            </w:r>
          </w:p>
        </w:tc>
        <w:tc>
          <w:tcPr>
            <w:tcW w:w="2986" w:type="pct"/>
            <w:vAlign w:val="center"/>
          </w:tcPr>
          <w:p>
            <w:pPr>
              <w:pStyle w:val="3"/>
              <w:spacing w:line="240" w:lineRule="auto"/>
              <w:ind w:firstLine="0" w:firstLineChars="0"/>
              <w:jc w:val="center"/>
              <w:rPr>
                <w:rFonts w:cs="Times New Roman" w:eastAsiaTheme="minorEastAsia"/>
                <w:sz w:val="21"/>
              </w:rPr>
            </w:pPr>
            <w:r>
              <w:rPr>
                <w:rFonts w:cs="Times New Roman"/>
                <w:kern w:val="0"/>
              </w:rPr>
              <w:t>≤</w:t>
            </w:r>
            <w:r>
              <w:rPr>
                <w:rFonts w:hint="eastAsia" w:cs="Times New Roman"/>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6</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粪大肠菌群数</w:t>
            </w:r>
          </w:p>
        </w:tc>
        <w:tc>
          <w:tcPr>
            <w:tcW w:w="2986" w:type="pct"/>
            <w:vAlign w:val="center"/>
          </w:tcPr>
          <w:p>
            <w:pPr>
              <w:pStyle w:val="3"/>
              <w:spacing w:line="240" w:lineRule="auto"/>
              <w:ind w:firstLine="0" w:firstLineChars="0"/>
              <w:jc w:val="center"/>
              <w:rPr>
                <w:rFonts w:cs="Times New Roman" w:eastAsiaTheme="minorEastAsia"/>
                <w:sz w:val="21"/>
              </w:rPr>
            </w:pPr>
            <w:r>
              <w:rPr>
                <w:rFonts w:cs="Times New Roman"/>
                <w:kern w:val="0"/>
              </w:rPr>
              <w:t>≤</w:t>
            </w:r>
            <w:r>
              <w:rPr>
                <w:rFonts w:hint="eastAsia" w:cs="Times New Roman"/>
                <w:kern w:val="0"/>
              </w:rPr>
              <w:t>40000（MPN/L）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7</w:t>
            </w:r>
          </w:p>
        </w:tc>
        <w:tc>
          <w:tcPr>
            <w:tcW w:w="1497" w:type="pct"/>
            <w:vAlign w:val="center"/>
          </w:tcPr>
          <w:p>
            <w:pPr>
              <w:pStyle w:val="3"/>
              <w:spacing w:line="240" w:lineRule="auto"/>
              <w:ind w:firstLine="0" w:firstLineChars="0"/>
              <w:jc w:val="center"/>
              <w:rPr>
                <w:rFonts w:cs="Times New Roman" w:eastAsiaTheme="minorEastAsia"/>
                <w:sz w:val="21"/>
              </w:rPr>
            </w:pPr>
            <w:r>
              <w:rPr>
                <w:rFonts w:hint="eastAsia" w:cs="Times New Roman" w:eastAsiaTheme="minorEastAsia"/>
                <w:sz w:val="21"/>
              </w:rPr>
              <w:t>蛔虫卵数</w:t>
            </w:r>
          </w:p>
        </w:tc>
        <w:tc>
          <w:tcPr>
            <w:tcW w:w="2986" w:type="pct"/>
            <w:vAlign w:val="center"/>
          </w:tcPr>
          <w:p>
            <w:pPr>
              <w:pStyle w:val="3"/>
              <w:spacing w:line="240" w:lineRule="auto"/>
              <w:ind w:firstLine="0" w:firstLineChars="0"/>
              <w:jc w:val="center"/>
              <w:rPr>
                <w:rFonts w:cs="Times New Roman" w:eastAsiaTheme="minorEastAsia"/>
                <w:sz w:val="21"/>
              </w:rPr>
            </w:pPr>
            <w:r>
              <w:rPr>
                <w:rFonts w:cs="Times New Roman"/>
                <w:kern w:val="0"/>
              </w:rPr>
              <w:t>≤</w:t>
            </w:r>
            <w:r>
              <w:rPr>
                <w:rFonts w:hint="eastAsia" w:cs="Times New Roman"/>
                <w:kern w:val="0"/>
              </w:rPr>
              <w:t>20（个/10L）</w:t>
            </w:r>
          </w:p>
        </w:tc>
      </w:tr>
    </w:tbl>
    <w:p>
      <w:pPr>
        <w:pStyle w:val="3"/>
        <w:ind w:firstLine="482"/>
        <w:rPr>
          <w:b/>
        </w:rPr>
      </w:pPr>
    </w:p>
    <w:p>
      <w:pPr>
        <w:pStyle w:val="3"/>
        <w:ind w:firstLine="480"/>
      </w:pPr>
      <w:r>
        <w:rPr>
          <w:rFonts w:hint="eastAsia"/>
        </w:rPr>
        <w:t>（3）地下水质量标准</w:t>
      </w:r>
    </w:p>
    <w:p>
      <w:pPr>
        <w:pStyle w:val="3"/>
        <w:ind w:firstLine="480"/>
      </w:pPr>
      <w:r>
        <w:rPr>
          <w:rFonts w:hint="eastAsia"/>
        </w:rPr>
        <w:t>地下水执行《地下水质量标准》（</w:t>
      </w:r>
      <w:r>
        <w:t>GB/T14848-2017</w:t>
      </w:r>
      <w:r>
        <w:rPr>
          <w:rFonts w:hint="eastAsia"/>
        </w:rPr>
        <w:t>）</w:t>
      </w:r>
      <w:r>
        <w:t xml:space="preserve">III </w:t>
      </w:r>
      <w:r>
        <w:rPr>
          <w:rFonts w:hint="eastAsia"/>
        </w:rPr>
        <w:t>类标准，具体见表</w:t>
      </w:r>
      <w:r>
        <w:t>2.5-</w:t>
      </w:r>
      <w:r>
        <w:rPr>
          <w:rFonts w:hint="eastAsia"/>
        </w:rPr>
        <w:t>4。</w:t>
      </w:r>
    </w:p>
    <w:p>
      <w:pPr>
        <w:pStyle w:val="14"/>
        <w:rPr>
          <w:rFonts w:cs="Times New Roman" w:eastAsiaTheme="minorEastAsia"/>
          <w:b/>
        </w:rP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4</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地下水质量标准     单位：</w:t>
      </w:r>
      <w:r>
        <w:rPr>
          <w:b/>
        </w:rPr>
        <w:t>mg/L</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985"/>
        <w:gridCol w:w="2268"/>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项目</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地下水质量标准</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项目</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地下水质量标准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pH</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6.5~8.5</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氯化物</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总硬度（以CaCO</w:t>
            </w:r>
            <w:r>
              <w:rPr>
                <w:rFonts w:cs="Times New Roman" w:eastAsiaTheme="minorEastAsia"/>
                <w:sz w:val="21"/>
                <w:vertAlign w:val="subscript"/>
              </w:rPr>
              <w:t>3</w:t>
            </w:r>
            <w:r>
              <w:rPr>
                <w:rFonts w:cs="Times New Roman" w:eastAsiaTheme="minorEastAsia"/>
                <w:sz w:val="21"/>
              </w:rPr>
              <w:t xml:space="preserve"> 计）</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≤450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氟化物</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溶解性总固体</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≤1000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氰化物</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硫酸盐</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≤250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汞（Hg）</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挥发性酚类（以苯酚计）</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≤0.002</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砷（As）</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耗氧量（COD</w:t>
            </w:r>
            <w:r>
              <w:rPr>
                <w:rFonts w:cs="Times New Roman" w:eastAsiaTheme="minorEastAsia"/>
                <w:sz w:val="21"/>
                <w:vertAlign w:val="subscript"/>
              </w:rPr>
              <w:t xml:space="preserve">Mn </w:t>
            </w:r>
            <w:r>
              <w:rPr>
                <w:rFonts w:cs="Times New Roman" w:eastAsiaTheme="minorEastAsia"/>
                <w:sz w:val="21"/>
              </w:rPr>
              <w:t>法，以O</w:t>
            </w:r>
            <w:r>
              <w:rPr>
                <w:rFonts w:cs="Times New Roman" w:eastAsiaTheme="minorEastAsia"/>
                <w:sz w:val="21"/>
                <w:vertAlign w:val="subscript"/>
              </w:rPr>
              <w:t>2</w:t>
            </w:r>
            <w:r>
              <w:rPr>
                <w:rFonts w:cs="Times New Roman" w:eastAsiaTheme="minorEastAsia"/>
                <w:sz w:val="21"/>
              </w:rPr>
              <w:t>计）</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≤3.0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镉（Cd）</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硝酸盐（以N 计）</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铬（六价）（Cr</w:t>
            </w:r>
            <w:r>
              <w:rPr>
                <w:rFonts w:cs="Times New Roman" w:eastAsiaTheme="minorEastAsia"/>
                <w:sz w:val="21"/>
                <w:vertAlign w:val="superscript"/>
              </w:rPr>
              <w:t>6+</w:t>
            </w:r>
            <w:r>
              <w:rPr>
                <w:rFonts w:cs="Times New Roman" w:eastAsiaTheme="minorEastAsia"/>
                <w:sz w:val="21"/>
              </w:rPr>
              <w:t>）</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亚硝酸盐（以N 计）</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≤0.02</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铅（Pb）</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氨氮（NH</w:t>
            </w:r>
            <w:r>
              <w:rPr>
                <w:rFonts w:cs="Times New Roman" w:eastAsiaTheme="minorEastAsia"/>
                <w:sz w:val="21"/>
                <w:vertAlign w:val="subscript"/>
              </w:rPr>
              <w:t>4</w:t>
            </w:r>
            <w:r>
              <w:rPr>
                <w:rFonts w:cs="Times New Roman" w:eastAsiaTheme="minorEastAsia"/>
                <w:sz w:val="21"/>
              </w:rPr>
              <w:t>）</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≤0.2</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铁（Fe）</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总大肠菌群（个/L）</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≤3.0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锰（Mn）</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细菌总数（个/mL）</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≤100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sz w:val="21"/>
              </w:rPr>
              <w:t>K</w:t>
            </w:r>
            <w:r>
              <w:rPr>
                <w:rFonts w:cs="Times New Roman"/>
                <w:sz w:val="21"/>
                <w:vertAlign w:val="superscript"/>
              </w:rPr>
              <w:t>+</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sz w:val="21"/>
              </w:rPr>
              <w:t>CO</w:t>
            </w:r>
            <w:r>
              <w:rPr>
                <w:rFonts w:cs="Times New Roman"/>
                <w:sz w:val="21"/>
                <w:vertAlign w:val="subscript"/>
              </w:rPr>
              <w:t>3</w:t>
            </w:r>
            <w:r>
              <w:rPr>
                <w:rFonts w:cs="Times New Roman"/>
                <w:sz w:val="21"/>
                <w:vertAlign w:val="superscript"/>
              </w:rPr>
              <w:t>2-</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sz w:val="21"/>
              </w:rPr>
              <w:t>Na</w:t>
            </w:r>
            <w:r>
              <w:rPr>
                <w:rFonts w:cs="Times New Roman"/>
                <w:sz w:val="21"/>
                <w:vertAlign w:val="superscript"/>
              </w:rPr>
              <w:t>+</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≤200</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sz w:val="21"/>
              </w:rPr>
              <w:t>HCO</w:t>
            </w:r>
            <w:r>
              <w:rPr>
                <w:rFonts w:cs="Times New Roman"/>
                <w:sz w:val="21"/>
                <w:vertAlign w:val="subscript"/>
              </w:rPr>
              <w:t>3</w:t>
            </w:r>
            <w:r>
              <w:rPr>
                <w:rFonts w:cs="Times New Roman"/>
                <w:sz w:val="21"/>
                <w:vertAlign w:val="superscript"/>
              </w:rPr>
              <w:t>-</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sz w:val="21"/>
              </w:rPr>
              <w:t>Ca</w:t>
            </w:r>
            <w:r>
              <w:rPr>
                <w:rFonts w:cs="Times New Roman"/>
                <w:sz w:val="21"/>
                <w:vertAlign w:val="superscript"/>
              </w:rPr>
              <w:t>2+</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sz w:val="21"/>
              </w:rPr>
              <w:t>Cl</w:t>
            </w:r>
            <w:r>
              <w:rPr>
                <w:rFonts w:cs="Times New Roman"/>
                <w:sz w:val="21"/>
                <w:vertAlign w:val="superscript"/>
              </w:rPr>
              <w:t>-</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2" w:type="pct"/>
            <w:vAlign w:val="center"/>
          </w:tcPr>
          <w:p>
            <w:pPr>
              <w:pStyle w:val="3"/>
              <w:spacing w:line="240" w:lineRule="auto"/>
              <w:ind w:firstLine="0" w:firstLineChars="0"/>
              <w:jc w:val="center"/>
              <w:rPr>
                <w:rFonts w:cs="Times New Roman" w:eastAsiaTheme="minorEastAsia"/>
                <w:sz w:val="21"/>
              </w:rPr>
            </w:pPr>
            <w:r>
              <w:rPr>
                <w:rFonts w:cs="Times New Roman"/>
                <w:sz w:val="21"/>
              </w:rPr>
              <w:t>Mg</w:t>
            </w:r>
            <w:r>
              <w:rPr>
                <w:rFonts w:cs="Times New Roman"/>
                <w:sz w:val="21"/>
                <w:vertAlign w:val="superscript"/>
              </w:rPr>
              <w:t>2+</w:t>
            </w:r>
          </w:p>
        </w:tc>
        <w:tc>
          <w:tcPr>
            <w:tcW w:w="1082"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w:t>
            </w:r>
          </w:p>
        </w:tc>
        <w:tc>
          <w:tcPr>
            <w:tcW w:w="1236" w:type="pct"/>
            <w:vAlign w:val="center"/>
          </w:tcPr>
          <w:p>
            <w:pPr>
              <w:pStyle w:val="3"/>
              <w:spacing w:line="240" w:lineRule="auto"/>
              <w:ind w:firstLine="0" w:firstLineChars="0"/>
              <w:jc w:val="center"/>
              <w:rPr>
                <w:rFonts w:cs="Times New Roman" w:eastAsiaTheme="minorEastAsia"/>
                <w:sz w:val="21"/>
              </w:rPr>
            </w:pPr>
            <w:r>
              <w:rPr>
                <w:rFonts w:cs="Times New Roman"/>
                <w:sz w:val="21"/>
              </w:rPr>
              <w:t>SO</w:t>
            </w:r>
            <w:r>
              <w:rPr>
                <w:rFonts w:cs="Times New Roman"/>
                <w:sz w:val="21"/>
                <w:vertAlign w:val="subscript"/>
              </w:rPr>
              <w:t>4</w:t>
            </w:r>
            <w:r>
              <w:rPr>
                <w:rFonts w:cs="Times New Roman"/>
                <w:sz w:val="21"/>
                <w:vertAlign w:val="superscript"/>
              </w:rPr>
              <w:t>2-</w:t>
            </w:r>
          </w:p>
        </w:tc>
        <w:tc>
          <w:tcPr>
            <w:tcW w:w="1000" w:type="pct"/>
            <w:vAlign w:val="center"/>
          </w:tcPr>
          <w:p>
            <w:pPr>
              <w:pStyle w:val="3"/>
              <w:spacing w:line="240" w:lineRule="auto"/>
              <w:ind w:firstLine="0" w:firstLineChars="0"/>
              <w:jc w:val="center"/>
              <w:rPr>
                <w:rFonts w:cs="Times New Roman" w:eastAsiaTheme="minorEastAsia"/>
                <w:sz w:val="21"/>
              </w:rPr>
            </w:pPr>
            <w:r>
              <w:rPr>
                <w:rFonts w:cs="Times New Roman" w:eastAsiaTheme="minorEastAsia"/>
                <w:sz w:val="21"/>
              </w:rPr>
              <w:t>≤250</w:t>
            </w:r>
          </w:p>
        </w:tc>
      </w:tr>
    </w:tbl>
    <w:p>
      <w:pPr>
        <w:pStyle w:val="3"/>
        <w:ind w:firstLine="480"/>
      </w:pPr>
      <w:r>
        <w:rPr>
          <w:rFonts w:hint="eastAsia"/>
        </w:rPr>
        <w:t>（4）声环境质量标准</w:t>
      </w:r>
    </w:p>
    <w:p>
      <w:pPr>
        <w:pStyle w:val="3"/>
        <w:ind w:firstLine="480"/>
        <w:rPr>
          <w:rFonts w:cs="Times New Roman"/>
        </w:rPr>
      </w:pPr>
      <w:r>
        <w:rPr>
          <w:rFonts w:hint="eastAsia"/>
        </w:rPr>
        <w:t>本项目选址位于衡阳县集兵镇大利村祝老屋组，属于乡村区域，声环境质量执行《声环境质量标准》(GB3096-2008)中2 类标准</w:t>
      </w:r>
      <w:r>
        <w:rPr>
          <w:rFonts w:hint="eastAsia" w:ascii="宋体" w:cs="宋体"/>
          <w:kern w:val="0"/>
          <w:szCs w:val="24"/>
        </w:rPr>
        <w:t>；具体标准限值见</w:t>
      </w:r>
      <w:r>
        <w:rPr>
          <w:rFonts w:cs="Times New Roman"/>
          <w:kern w:val="0"/>
          <w:szCs w:val="24"/>
        </w:rPr>
        <w:t>表2.5-</w:t>
      </w:r>
      <w:r>
        <w:rPr>
          <w:rFonts w:hint="eastAsia" w:cs="Times New Roman"/>
          <w:kern w:val="0"/>
          <w:szCs w:val="24"/>
        </w:rPr>
        <w:t>5</w:t>
      </w:r>
      <w:r>
        <w:rPr>
          <w:rFonts w:cs="Times New Roman"/>
        </w:rPr>
        <w:t>。</w:t>
      </w:r>
    </w:p>
    <w:p>
      <w:pPr>
        <w:pStyle w:val="14"/>
        <w:rPr>
          <w:rFonts w:cs="Times New Roman" w:eastAsiaTheme="minorEastAsia"/>
          <w:b/>
        </w:rP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5</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 xml:space="preserve">声环境质量标准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34"/>
        <w:gridCol w:w="1402"/>
        <w:gridCol w:w="2268"/>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4" w:type="dxa"/>
            <w:vAlign w:val="center"/>
          </w:tcPr>
          <w:p>
            <w:pPr>
              <w:pStyle w:val="3"/>
              <w:spacing w:line="240" w:lineRule="auto"/>
              <w:ind w:firstLine="0" w:firstLineChars="0"/>
              <w:jc w:val="center"/>
              <w:rPr>
                <w:rFonts w:cs="Times New Roman"/>
                <w:sz w:val="21"/>
              </w:rPr>
            </w:pPr>
            <w:r>
              <w:rPr>
                <w:rFonts w:hint="eastAsia" w:cs="Times New Roman"/>
                <w:sz w:val="21"/>
              </w:rPr>
              <w:t>类别</w:t>
            </w:r>
          </w:p>
        </w:tc>
        <w:tc>
          <w:tcPr>
            <w:tcW w:w="1834" w:type="dxa"/>
            <w:vAlign w:val="center"/>
          </w:tcPr>
          <w:p>
            <w:pPr>
              <w:pStyle w:val="3"/>
              <w:spacing w:line="240" w:lineRule="auto"/>
              <w:ind w:firstLine="0" w:firstLineChars="0"/>
              <w:jc w:val="center"/>
              <w:rPr>
                <w:rFonts w:cs="Times New Roman"/>
                <w:sz w:val="21"/>
              </w:rPr>
            </w:pPr>
            <w:r>
              <w:rPr>
                <w:rFonts w:hint="eastAsia" w:cs="Times New Roman"/>
                <w:sz w:val="21"/>
              </w:rPr>
              <w:t>方位</w:t>
            </w:r>
          </w:p>
        </w:tc>
        <w:tc>
          <w:tcPr>
            <w:tcW w:w="1402" w:type="dxa"/>
            <w:vAlign w:val="center"/>
          </w:tcPr>
          <w:p>
            <w:pPr>
              <w:pStyle w:val="3"/>
              <w:spacing w:line="240" w:lineRule="auto"/>
              <w:ind w:firstLine="0" w:firstLineChars="0"/>
              <w:jc w:val="center"/>
              <w:rPr>
                <w:rFonts w:cs="Times New Roman"/>
                <w:sz w:val="21"/>
              </w:rPr>
            </w:pPr>
            <w:r>
              <w:rPr>
                <w:rFonts w:hint="eastAsia" w:cs="Times New Roman"/>
                <w:sz w:val="21"/>
              </w:rPr>
              <w:t>时段</w:t>
            </w:r>
          </w:p>
        </w:tc>
        <w:tc>
          <w:tcPr>
            <w:tcW w:w="2268" w:type="dxa"/>
            <w:vAlign w:val="center"/>
          </w:tcPr>
          <w:p>
            <w:pPr>
              <w:pStyle w:val="3"/>
              <w:spacing w:line="240" w:lineRule="auto"/>
              <w:ind w:firstLine="0" w:firstLineChars="0"/>
              <w:jc w:val="center"/>
              <w:rPr>
                <w:rFonts w:cs="Times New Roman"/>
                <w:sz w:val="21"/>
              </w:rPr>
            </w:pPr>
            <w:r>
              <w:rPr>
                <w:rFonts w:hint="eastAsia" w:cs="Times New Roman"/>
                <w:sz w:val="21"/>
              </w:rPr>
              <w:t>排放标准（dB(A)）</w:t>
            </w:r>
          </w:p>
        </w:tc>
        <w:tc>
          <w:tcPr>
            <w:tcW w:w="1835" w:type="dxa"/>
            <w:vAlign w:val="center"/>
          </w:tcPr>
          <w:p>
            <w:pPr>
              <w:pStyle w:val="3"/>
              <w:spacing w:line="240" w:lineRule="auto"/>
              <w:ind w:firstLine="0" w:firstLineChars="0"/>
              <w:jc w:val="center"/>
              <w:rPr>
                <w:rFonts w:cs="Times New Roman"/>
                <w:sz w:val="21"/>
              </w:rPr>
            </w:pPr>
            <w:r>
              <w:rPr>
                <w:rFonts w:hint="eastAsia" w:cs="Times New Roman"/>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4" w:type="dxa"/>
            <w:vMerge w:val="restart"/>
            <w:vAlign w:val="center"/>
          </w:tcPr>
          <w:p>
            <w:pPr>
              <w:pStyle w:val="3"/>
              <w:spacing w:line="240" w:lineRule="auto"/>
              <w:ind w:firstLine="0" w:firstLineChars="0"/>
              <w:jc w:val="center"/>
              <w:rPr>
                <w:rFonts w:cs="Times New Roman"/>
                <w:sz w:val="21"/>
              </w:rPr>
            </w:pPr>
            <w:r>
              <w:rPr>
                <w:rFonts w:hint="eastAsia" w:cs="Times New Roman"/>
                <w:sz w:val="21"/>
              </w:rPr>
              <w:t>2类</w:t>
            </w:r>
          </w:p>
        </w:tc>
        <w:tc>
          <w:tcPr>
            <w:tcW w:w="1834" w:type="dxa"/>
            <w:vMerge w:val="restart"/>
            <w:vAlign w:val="center"/>
          </w:tcPr>
          <w:p>
            <w:pPr>
              <w:pStyle w:val="3"/>
              <w:spacing w:line="240" w:lineRule="auto"/>
              <w:ind w:firstLine="0" w:firstLineChars="0"/>
              <w:jc w:val="center"/>
              <w:rPr>
                <w:rFonts w:cs="Times New Roman"/>
                <w:sz w:val="21"/>
              </w:rPr>
            </w:pPr>
            <w:r>
              <w:rPr>
                <w:rFonts w:hint="eastAsia" w:cs="Times New Roman"/>
                <w:sz w:val="21"/>
              </w:rPr>
              <w:t>厂界四周</w:t>
            </w:r>
          </w:p>
        </w:tc>
        <w:tc>
          <w:tcPr>
            <w:tcW w:w="1402" w:type="dxa"/>
            <w:vAlign w:val="center"/>
          </w:tcPr>
          <w:p>
            <w:pPr>
              <w:pStyle w:val="3"/>
              <w:spacing w:line="240" w:lineRule="auto"/>
              <w:ind w:firstLine="0" w:firstLineChars="0"/>
              <w:jc w:val="center"/>
              <w:rPr>
                <w:rFonts w:cs="Times New Roman"/>
                <w:sz w:val="21"/>
              </w:rPr>
            </w:pPr>
            <w:r>
              <w:rPr>
                <w:rFonts w:hint="eastAsia" w:cs="Times New Roman"/>
                <w:sz w:val="21"/>
              </w:rPr>
              <w:t>昼间</w:t>
            </w:r>
          </w:p>
        </w:tc>
        <w:tc>
          <w:tcPr>
            <w:tcW w:w="2268" w:type="dxa"/>
            <w:vAlign w:val="center"/>
          </w:tcPr>
          <w:p>
            <w:pPr>
              <w:pStyle w:val="3"/>
              <w:spacing w:line="240" w:lineRule="auto"/>
              <w:ind w:firstLine="0" w:firstLineChars="0"/>
              <w:jc w:val="center"/>
              <w:rPr>
                <w:rFonts w:cs="Times New Roman"/>
                <w:sz w:val="21"/>
              </w:rPr>
            </w:pPr>
            <w:r>
              <w:rPr>
                <w:rFonts w:hint="eastAsia" w:cs="Times New Roman"/>
                <w:sz w:val="21"/>
              </w:rPr>
              <w:t>60</w:t>
            </w:r>
          </w:p>
        </w:tc>
        <w:tc>
          <w:tcPr>
            <w:tcW w:w="1835" w:type="dxa"/>
            <w:vMerge w:val="restart"/>
            <w:vAlign w:val="center"/>
          </w:tcPr>
          <w:p>
            <w:pPr>
              <w:pStyle w:val="3"/>
              <w:spacing w:line="240" w:lineRule="auto"/>
              <w:ind w:firstLine="0" w:firstLineChars="0"/>
              <w:jc w:val="center"/>
              <w:rPr>
                <w:rFonts w:cs="Times New Roman"/>
                <w:sz w:val="21"/>
              </w:rPr>
            </w:pPr>
            <w:r>
              <w:rPr>
                <w:rFonts w:hint="eastAsia" w:cs="Times New Roman"/>
                <w:sz w:val="21"/>
              </w:rPr>
              <w:t>《声环境质量标准》</w:t>
            </w:r>
            <w:r>
              <w:rPr>
                <w:rFonts w:cs="Times New Roman"/>
                <w:sz w:val="21"/>
              </w:rPr>
              <w:t>(GB3096-2008)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4" w:type="dxa"/>
            <w:vMerge w:val="continue"/>
            <w:vAlign w:val="center"/>
          </w:tcPr>
          <w:p>
            <w:pPr>
              <w:pStyle w:val="3"/>
              <w:spacing w:line="240" w:lineRule="auto"/>
              <w:ind w:firstLine="0" w:firstLineChars="0"/>
              <w:jc w:val="center"/>
              <w:rPr>
                <w:rFonts w:cs="Times New Roman"/>
                <w:sz w:val="21"/>
              </w:rPr>
            </w:pPr>
          </w:p>
        </w:tc>
        <w:tc>
          <w:tcPr>
            <w:tcW w:w="1834" w:type="dxa"/>
            <w:vMerge w:val="continue"/>
            <w:vAlign w:val="center"/>
          </w:tcPr>
          <w:p>
            <w:pPr>
              <w:pStyle w:val="3"/>
              <w:spacing w:line="240" w:lineRule="auto"/>
              <w:ind w:firstLine="0" w:firstLineChars="0"/>
              <w:jc w:val="center"/>
              <w:rPr>
                <w:rFonts w:cs="Times New Roman"/>
                <w:sz w:val="21"/>
              </w:rPr>
            </w:pPr>
          </w:p>
        </w:tc>
        <w:tc>
          <w:tcPr>
            <w:tcW w:w="1402" w:type="dxa"/>
            <w:vAlign w:val="center"/>
          </w:tcPr>
          <w:p>
            <w:pPr>
              <w:pStyle w:val="3"/>
              <w:spacing w:line="240" w:lineRule="auto"/>
              <w:ind w:firstLine="0" w:firstLineChars="0"/>
              <w:jc w:val="center"/>
              <w:rPr>
                <w:rFonts w:cs="Times New Roman"/>
                <w:sz w:val="21"/>
              </w:rPr>
            </w:pPr>
            <w:r>
              <w:rPr>
                <w:rFonts w:hint="eastAsia" w:cs="Times New Roman"/>
                <w:sz w:val="21"/>
              </w:rPr>
              <w:t>夜间</w:t>
            </w:r>
          </w:p>
        </w:tc>
        <w:tc>
          <w:tcPr>
            <w:tcW w:w="2268" w:type="dxa"/>
            <w:vAlign w:val="center"/>
          </w:tcPr>
          <w:p>
            <w:pPr>
              <w:pStyle w:val="3"/>
              <w:spacing w:line="240" w:lineRule="auto"/>
              <w:ind w:firstLine="0" w:firstLineChars="0"/>
              <w:jc w:val="center"/>
              <w:rPr>
                <w:rFonts w:cs="Times New Roman"/>
                <w:sz w:val="21"/>
              </w:rPr>
            </w:pPr>
            <w:r>
              <w:rPr>
                <w:rFonts w:hint="eastAsia" w:cs="Times New Roman"/>
                <w:sz w:val="21"/>
              </w:rPr>
              <w:t>50</w:t>
            </w:r>
          </w:p>
        </w:tc>
        <w:tc>
          <w:tcPr>
            <w:tcW w:w="1835" w:type="dxa"/>
            <w:vMerge w:val="continue"/>
            <w:vAlign w:val="center"/>
          </w:tcPr>
          <w:p>
            <w:pPr>
              <w:pStyle w:val="3"/>
              <w:spacing w:line="240" w:lineRule="auto"/>
              <w:ind w:firstLine="0" w:firstLineChars="0"/>
              <w:jc w:val="center"/>
              <w:rPr>
                <w:rFonts w:cs="Times New Roman"/>
                <w:sz w:val="21"/>
              </w:rPr>
            </w:pPr>
          </w:p>
        </w:tc>
      </w:tr>
    </w:tbl>
    <w:p>
      <w:pPr>
        <w:pStyle w:val="3"/>
        <w:ind w:firstLine="0" w:firstLineChars="0"/>
        <w:outlineLvl w:val="2"/>
        <w:sectPr>
          <w:pgSz w:w="11906" w:h="16838"/>
          <w:pgMar w:top="1474" w:right="1361" w:bottom="1474" w:left="1588" w:header="851" w:footer="992" w:gutter="0"/>
          <w:cols w:space="425" w:num="1"/>
          <w:docGrid w:type="lines" w:linePitch="312" w:charSpace="0"/>
        </w:sectPr>
      </w:pPr>
    </w:p>
    <w:p>
      <w:pPr>
        <w:pStyle w:val="3"/>
        <w:ind w:firstLine="0" w:firstLineChars="0"/>
        <w:outlineLvl w:val="2"/>
        <w:rPr>
          <w:rFonts w:eastAsia="黑体" w:cstheme="majorBidi"/>
          <w:bCs/>
          <w:szCs w:val="32"/>
        </w:rPr>
      </w:pPr>
      <w:r>
        <w:rPr>
          <w:rFonts w:hint="eastAsia"/>
        </w:rPr>
        <w:t xml:space="preserve">2.5.3  </w:t>
      </w:r>
      <w:r>
        <w:rPr>
          <w:rFonts w:hint="eastAsia" w:eastAsia="黑体" w:cstheme="majorBidi"/>
          <w:bCs/>
          <w:szCs w:val="32"/>
        </w:rPr>
        <w:t>污染物排放标准</w:t>
      </w:r>
    </w:p>
    <w:p>
      <w:pPr>
        <w:pStyle w:val="3"/>
        <w:ind w:firstLine="480"/>
      </w:pPr>
      <w:r>
        <w:rPr>
          <w:rFonts w:hint="eastAsia"/>
        </w:rPr>
        <w:t>（1）大气污染物排放标准</w:t>
      </w:r>
    </w:p>
    <w:p>
      <w:pPr>
        <w:pStyle w:val="3"/>
        <w:ind w:firstLine="480"/>
      </w:pPr>
      <w:r>
        <w:rPr>
          <w:rFonts w:hint="eastAsia"/>
        </w:rPr>
        <w:t>施工期：施工期扬尘（颗粒物）执行《大气污染物综合排放标准》（GB16297-1996）表2中无组织排放监控浓度限值。</w:t>
      </w:r>
    </w:p>
    <w:p>
      <w:pPr>
        <w:pStyle w:val="3"/>
        <w:ind w:firstLine="480"/>
      </w:pPr>
      <w:r>
        <w:rPr>
          <w:rFonts w:hint="eastAsia"/>
        </w:rPr>
        <w:t>营运期：屠宰场臭气浓度、硫化氢、氨执行《恶臭污染物排放标准》（GB14554-93）中新改扩建二级标准；锅炉废气参照执行《锅炉大气污染物排放标准》（GB13271-2014）中新建燃煤锅炉排放标准，具体浓度限值见表2.5-7。</w:t>
      </w:r>
    </w:p>
    <w:p>
      <w:pPr>
        <w:pStyle w:val="3"/>
        <w:spacing w:line="240" w:lineRule="auto"/>
        <w:ind w:firstLine="0" w:firstLineChars="0"/>
        <w:jc w:val="cente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7</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大气污染物排放执行标准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136"/>
        <w:gridCol w:w="1359"/>
        <w:gridCol w:w="1902"/>
        <w:gridCol w:w="1592"/>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restart"/>
            <w:vAlign w:val="center"/>
          </w:tcPr>
          <w:p>
            <w:pPr>
              <w:pStyle w:val="49"/>
              <w:rPr>
                <w:rFonts w:ascii="宋体" w:cs="宋体"/>
                <w:kern w:val="0"/>
              </w:rPr>
            </w:pPr>
            <w:r>
              <w:rPr>
                <w:rFonts w:hint="eastAsia" w:ascii="宋体" w:cs="宋体"/>
                <w:kern w:val="0"/>
              </w:rPr>
              <w:t>污染物</w:t>
            </w:r>
          </w:p>
        </w:tc>
        <w:tc>
          <w:tcPr>
            <w:tcW w:w="3264" w:type="pct"/>
            <w:gridSpan w:val="4"/>
            <w:vAlign w:val="center"/>
          </w:tcPr>
          <w:p>
            <w:pPr>
              <w:pStyle w:val="49"/>
              <w:rPr>
                <w:rFonts w:cs="Times New Roman"/>
                <w:kern w:val="0"/>
              </w:rPr>
            </w:pPr>
            <w:r>
              <w:rPr>
                <w:rFonts w:hint="eastAsia" w:cs="Times New Roman"/>
                <w:kern w:val="0"/>
              </w:rPr>
              <w:t>排放标准限值</w:t>
            </w:r>
          </w:p>
        </w:tc>
        <w:tc>
          <w:tcPr>
            <w:tcW w:w="1059" w:type="pct"/>
            <w:vAlign w:val="center"/>
          </w:tcPr>
          <w:p>
            <w:pPr>
              <w:pStyle w:val="49"/>
              <w:rPr>
                <w:rFonts w:asci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vAlign w:val="center"/>
          </w:tcPr>
          <w:p>
            <w:pPr>
              <w:pStyle w:val="49"/>
              <w:rPr>
                <w:rFonts w:ascii="宋体" w:cs="宋体"/>
                <w:kern w:val="0"/>
              </w:rPr>
            </w:pPr>
          </w:p>
        </w:tc>
        <w:tc>
          <w:tcPr>
            <w:tcW w:w="619" w:type="pct"/>
            <w:vAlign w:val="center"/>
          </w:tcPr>
          <w:p>
            <w:pPr>
              <w:pStyle w:val="49"/>
              <w:rPr>
                <w:rFonts w:ascii="宋体" w:cs="宋体"/>
                <w:kern w:val="0"/>
              </w:rPr>
            </w:pPr>
            <w:r>
              <w:rPr>
                <w:rFonts w:hint="eastAsia" w:ascii="宋体" w:cs="宋体"/>
                <w:kern w:val="0"/>
              </w:rPr>
              <w:t>排气筒高度</w:t>
            </w:r>
          </w:p>
        </w:tc>
        <w:tc>
          <w:tcPr>
            <w:tcW w:w="741" w:type="pct"/>
            <w:vAlign w:val="center"/>
          </w:tcPr>
          <w:p>
            <w:pPr>
              <w:pStyle w:val="49"/>
              <w:rPr>
                <w:rFonts w:cs="Times New Roman"/>
                <w:kern w:val="0"/>
              </w:rPr>
            </w:pPr>
            <w:r>
              <w:rPr>
                <w:rFonts w:hint="eastAsia" w:cs="Times New Roman"/>
                <w:kern w:val="0"/>
              </w:rPr>
              <w:t>最高允许排放速率（kg/h）</w:t>
            </w:r>
          </w:p>
        </w:tc>
        <w:tc>
          <w:tcPr>
            <w:tcW w:w="1037" w:type="pct"/>
            <w:vAlign w:val="center"/>
          </w:tcPr>
          <w:p>
            <w:pPr>
              <w:pStyle w:val="49"/>
              <w:rPr>
                <w:rFonts w:cs="Times New Roman"/>
                <w:kern w:val="0"/>
              </w:rPr>
            </w:pPr>
            <w:r>
              <w:rPr>
                <w:rFonts w:hint="eastAsia" w:cs="Times New Roman"/>
                <w:kern w:val="0"/>
              </w:rPr>
              <w:t>排放浓度（mg/m</w:t>
            </w:r>
            <w:r>
              <w:rPr>
                <w:rFonts w:hint="eastAsia" w:cs="Times New Roman"/>
                <w:kern w:val="0"/>
                <w:vertAlign w:val="superscript"/>
              </w:rPr>
              <w:t>3</w:t>
            </w:r>
            <w:r>
              <w:rPr>
                <w:rFonts w:hint="eastAsia" w:cs="Times New Roman"/>
                <w:kern w:val="0"/>
              </w:rPr>
              <w:t>）</w:t>
            </w:r>
          </w:p>
        </w:tc>
        <w:tc>
          <w:tcPr>
            <w:tcW w:w="868" w:type="pct"/>
            <w:vAlign w:val="center"/>
          </w:tcPr>
          <w:p>
            <w:pPr>
              <w:pStyle w:val="49"/>
              <w:rPr>
                <w:rFonts w:cs="Times New Roman"/>
                <w:kern w:val="0"/>
              </w:rPr>
            </w:pPr>
            <w:r>
              <w:rPr>
                <w:rFonts w:hint="eastAsia" w:cs="Times New Roman"/>
                <w:kern w:val="0"/>
              </w:rPr>
              <w:t>厂界无组织排放监控浓度限值（mg/m</w:t>
            </w:r>
            <w:r>
              <w:rPr>
                <w:rFonts w:hint="eastAsia" w:cs="Times New Roman"/>
                <w:kern w:val="0"/>
                <w:vertAlign w:val="superscript"/>
              </w:rPr>
              <w:t>3</w:t>
            </w:r>
            <w:r>
              <w:rPr>
                <w:rFonts w:hint="eastAsia" w:cs="Times New Roman"/>
                <w:kern w:val="0"/>
              </w:rPr>
              <w:t>）</w:t>
            </w:r>
          </w:p>
        </w:tc>
        <w:tc>
          <w:tcPr>
            <w:tcW w:w="1059" w:type="pct"/>
            <w:vAlign w:val="center"/>
          </w:tcPr>
          <w:p>
            <w:pPr>
              <w:pStyle w:val="49"/>
              <w:rPr>
                <w:rFonts w:ascii="宋体" w:cs="宋体"/>
                <w:kern w:val="0"/>
              </w:rPr>
            </w:pPr>
            <w:r>
              <w:rPr>
                <w:rFonts w:hint="eastAsia" w:ascii="宋体" w:cs="宋体"/>
                <w:kern w:val="0"/>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cs="Times New Roman"/>
                <w:kern w:val="0"/>
              </w:rPr>
              <w:t>颗粒物</w:t>
            </w:r>
          </w:p>
        </w:tc>
        <w:tc>
          <w:tcPr>
            <w:tcW w:w="619" w:type="pct"/>
            <w:vAlign w:val="center"/>
          </w:tcPr>
          <w:p>
            <w:pPr>
              <w:pStyle w:val="49"/>
              <w:rPr>
                <w:rFonts w:cs="Times New Roman"/>
                <w:kern w:val="0"/>
              </w:rPr>
            </w:pPr>
            <w:r>
              <w:rPr>
                <w:rFonts w:hint="eastAsia" w:cs="Times New Roman"/>
                <w:kern w:val="0"/>
              </w:rPr>
              <w:t>/</w:t>
            </w:r>
          </w:p>
        </w:tc>
        <w:tc>
          <w:tcPr>
            <w:tcW w:w="741" w:type="pct"/>
            <w:vAlign w:val="center"/>
          </w:tcPr>
          <w:p>
            <w:pPr>
              <w:pStyle w:val="49"/>
              <w:rPr>
                <w:rFonts w:cs="Times New Roman"/>
                <w:kern w:val="0"/>
              </w:rPr>
            </w:pPr>
            <w:r>
              <w:rPr>
                <w:rFonts w:hint="eastAsia" w:cs="Times New Roman"/>
                <w:kern w:val="0"/>
              </w:rPr>
              <w:t>/</w:t>
            </w:r>
          </w:p>
        </w:tc>
        <w:tc>
          <w:tcPr>
            <w:tcW w:w="1037" w:type="pct"/>
            <w:vAlign w:val="center"/>
          </w:tcPr>
          <w:p>
            <w:pPr>
              <w:pStyle w:val="49"/>
              <w:rPr>
                <w:rFonts w:cs="Times New Roman"/>
                <w:kern w:val="0"/>
              </w:rPr>
            </w:pPr>
            <w:r>
              <w:rPr>
                <w:rFonts w:cs="Times New Roman"/>
                <w:kern w:val="0"/>
              </w:rPr>
              <w:t>/</w:t>
            </w:r>
          </w:p>
        </w:tc>
        <w:tc>
          <w:tcPr>
            <w:tcW w:w="868" w:type="pct"/>
            <w:vAlign w:val="center"/>
          </w:tcPr>
          <w:p>
            <w:pPr>
              <w:pStyle w:val="49"/>
              <w:rPr>
                <w:rFonts w:cs="Times New Roman"/>
                <w:kern w:val="0"/>
              </w:rPr>
            </w:pPr>
            <w:r>
              <w:rPr>
                <w:rFonts w:cs="Times New Roman"/>
                <w:kern w:val="0"/>
              </w:rPr>
              <w:t>1.0</w:t>
            </w:r>
          </w:p>
        </w:tc>
        <w:tc>
          <w:tcPr>
            <w:tcW w:w="1059" w:type="pct"/>
            <w:vAlign w:val="center"/>
          </w:tcPr>
          <w:p>
            <w:pPr>
              <w:pStyle w:val="49"/>
              <w:rPr>
                <w:rFonts w:cs="Times New Roman"/>
                <w:kern w:val="0"/>
              </w:rPr>
            </w:pPr>
            <w:r>
              <w:rPr>
                <w:rFonts w:cs="Times New Roman"/>
                <w:kern w:val="0"/>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cs="Times New Roman"/>
                <w:kern w:val="0"/>
              </w:rPr>
              <w:t>NH</w:t>
            </w:r>
            <w:r>
              <w:rPr>
                <w:rFonts w:cs="Times New Roman"/>
                <w:kern w:val="0"/>
                <w:vertAlign w:val="subscript"/>
              </w:rPr>
              <w:t>3</w:t>
            </w:r>
          </w:p>
        </w:tc>
        <w:tc>
          <w:tcPr>
            <w:tcW w:w="619" w:type="pct"/>
            <w:vMerge w:val="restart"/>
            <w:vAlign w:val="center"/>
          </w:tcPr>
          <w:p>
            <w:pPr>
              <w:pStyle w:val="49"/>
              <w:rPr>
                <w:rFonts w:cs="Times New Roman"/>
                <w:kern w:val="0"/>
              </w:rPr>
            </w:pPr>
            <w:r>
              <w:rPr>
                <w:rFonts w:hint="eastAsia" w:cs="Times New Roman"/>
                <w:kern w:val="0"/>
              </w:rPr>
              <w:t>15</w:t>
            </w:r>
          </w:p>
        </w:tc>
        <w:tc>
          <w:tcPr>
            <w:tcW w:w="741" w:type="pct"/>
            <w:vAlign w:val="center"/>
          </w:tcPr>
          <w:p>
            <w:pPr>
              <w:pStyle w:val="49"/>
              <w:rPr>
                <w:rFonts w:cs="Times New Roman"/>
                <w:kern w:val="0"/>
              </w:rPr>
            </w:pPr>
            <w:r>
              <w:rPr>
                <w:rFonts w:hint="eastAsia" w:cs="Times New Roman"/>
                <w:kern w:val="0"/>
              </w:rPr>
              <w:t>4.9</w:t>
            </w:r>
          </w:p>
        </w:tc>
        <w:tc>
          <w:tcPr>
            <w:tcW w:w="1037" w:type="pct"/>
            <w:vAlign w:val="center"/>
          </w:tcPr>
          <w:p>
            <w:pPr>
              <w:pStyle w:val="49"/>
              <w:rPr>
                <w:rFonts w:cs="Times New Roman"/>
                <w:kern w:val="0"/>
              </w:rPr>
            </w:pPr>
            <w:r>
              <w:rPr>
                <w:rFonts w:hint="eastAsia" w:cs="Times New Roman"/>
                <w:kern w:val="0"/>
              </w:rPr>
              <w:t>/</w:t>
            </w:r>
          </w:p>
        </w:tc>
        <w:tc>
          <w:tcPr>
            <w:tcW w:w="868" w:type="pct"/>
            <w:vAlign w:val="center"/>
          </w:tcPr>
          <w:p>
            <w:pPr>
              <w:pStyle w:val="49"/>
              <w:rPr>
                <w:rFonts w:cs="Times New Roman"/>
                <w:kern w:val="0"/>
              </w:rPr>
            </w:pPr>
            <w:r>
              <w:rPr>
                <w:rFonts w:hint="eastAsia" w:cs="Times New Roman"/>
                <w:kern w:val="0"/>
              </w:rPr>
              <w:t>1.5</w:t>
            </w:r>
          </w:p>
        </w:tc>
        <w:tc>
          <w:tcPr>
            <w:tcW w:w="1059" w:type="pct"/>
            <w:vMerge w:val="restart"/>
            <w:vAlign w:val="center"/>
          </w:tcPr>
          <w:p>
            <w:pPr>
              <w:pStyle w:val="49"/>
              <w:rPr>
                <w:rFonts w:cs="Times New Roman"/>
                <w:kern w:val="0"/>
              </w:rPr>
            </w:pPr>
            <w:r>
              <w:rPr>
                <w:rFonts w:hint="eastAsia" w:cs="Times New Roman"/>
                <w:kern w:val="0"/>
              </w:rPr>
              <w:t>《恶臭污染物排放标准》（GB14554-93）中新改扩建二级标准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cs="Times New Roman"/>
                <w:kern w:val="0"/>
              </w:rPr>
              <w:t>H</w:t>
            </w:r>
            <w:r>
              <w:rPr>
                <w:rFonts w:cs="Times New Roman"/>
                <w:kern w:val="0"/>
                <w:vertAlign w:val="subscript"/>
              </w:rPr>
              <w:t>2</w:t>
            </w:r>
            <w:r>
              <w:rPr>
                <w:rFonts w:cs="Times New Roman"/>
                <w:kern w:val="0"/>
              </w:rPr>
              <w:t>S</w:t>
            </w:r>
          </w:p>
        </w:tc>
        <w:tc>
          <w:tcPr>
            <w:tcW w:w="619" w:type="pct"/>
            <w:vMerge w:val="continue"/>
            <w:vAlign w:val="center"/>
          </w:tcPr>
          <w:p>
            <w:pPr>
              <w:pStyle w:val="49"/>
              <w:rPr>
                <w:rFonts w:cs="Times New Roman"/>
                <w:kern w:val="0"/>
              </w:rPr>
            </w:pPr>
          </w:p>
        </w:tc>
        <w:tc>
          <w:tcPr>
            <w:tcW w:w="741" w:type="pct"/>
            <w:vAlign w:val="center"/>
          </w:tcPr>
          <w:p>
            <w:pPr>
              <w:pStyle w:val="49"/>
              <w:rPr>
                <w:rFonts w:cs="Times New Roman"/>
                <w:kern w:val="0"/>
              </w:rPr>
            </w:pPr>
            <w:r>
              <w:rPr>
                <w:rFonts w:hint="eastAsia" w:cs="Times New Roman"/>
                <w:kern w:val="0"/>
              </w:rPr>
              <w:t>0.33</w:t>
            </w:r>
          </w:p>
        </w:tc>
        <w:tc>
          <w:tcPr>
            <w:tcW w:w="1037" w:type="pct"/>
            <w:vAlign w:val="center"/>
          </w:tcPr>
          <w:p>
            <w:pPr>
              <w:pStyle w:val="49"/>
              <w:rPr>
                <w:rFonts w:cs="Times New Roman"/>
                <w:kern w:val="0"/>
              </w:rPr>
            </w:pPr>
            <w:r>
              <w:rPr>
                <w:rFonts w:hint="eastAsia" w:cs="Times New Roman"/>
                <w:kern w:val="0"/>
              </w:rPr>
              <w:t>/</w:t>
            </w:r>
          </w:p>
        </w:tc>
        <w:tc>
          <w:tcPr>
            <w:tcW w:w="868" w:type="pct"/>
            <w:vAlign w:val="center"/>
          </w:tcPr>
          <w:p>
            <w:pPr>
              <w:pStyle w:val="49"/>
              <w:rPr>
                <w:rFonts w:cs="Times New Roman"/>
                <w:kern w:val="0"/>
              </w:rPr>
            </w:pPr>
            <w:r>
              <w:rPr>
                <w:rFonts w:hint="eastAsia" w:cs="Times New Roman"/>
                <w:kern w:val="0"/>
              </w:rPr>
              <w:t>0.06</w:t>
            </w:r>
          </w:p>
        </w:tc>
        <w:tc>
          <w:tcPr>
            <w:tcW w:w="1059" w:type="pct"/>
            <w:vMerge w:val="continue"/>
            <w:vAlign w:val="center"/>
          </w:tcPr>
          <w:p>
            <w:pPr>
              <w:pStyle w:val="49"/>
              <w:rPr>
                <w:rFonts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hint="eastAsia" w:cs="Times New Roman"/>
                <w:kern w:val="0"/>
              </w:rPr>
              <w:t>臭气浓度（无量纲）</w:t>
            </w:r>
          </w:p>
        </w:tc>
        <w:tc>
          <w:tcPr>
            <w:tcW w:w="619" w:type="pct"/>
            <w:vMerge w:val="continue"/>
            <w:vAlign w:val="center"/>
          </w:tcPr>
          <w:p>
            <w:pPr>
              <w:pStyle w:val="49"/>
              <w:rPr>
                <w:rFonts w:cs="Times New Roman"/>
                <w:kern w:val="0"/>
              </w:rPr>
            </w:pPr>
          </w:p>
        </w:tc>
        <w:tc>
          <w:tcPr>
            <w:tcW w:w="741" w:type="pct"/>
            <w:vAlign w:val="center"/>
          </w:tcPr>
          <w:p>
            <w:pPr>
              <w:pStyle w:val="49"/>
              <w:rPr>
                <w:rFonts w:cs="Times New Roman"/>
                <w:kern w:val="0"/>
              </w:rPr>
            </w:pPr>
            <w:r>
              <w:rPr>
                <w:rFonts w:hint="eastAsia" w:cs="Times New Roman"/>
                <w:kern w:val="0"/>
              </w:rPr>
              <w:t>/</w:t>
            </w:r>
          </w:p>
        </w:tc>
        <w:tc>
          <w:tcPr>
            <w:tcW w:w="1037" w:type="pct"/>
            <w:vAlign w:val="center"/>
          </w:tcPr>
          <w:p>
            <w:pPr>
              <w:pStyle w:val="49"/>
              <w:rPr>
                <w:rFonts w:cs="Times New Roman"/>
                <w:kern w:val="0"/>
              </w:rPr>
            </w:pPr>
            <w:r>
              <w:rPr>
                <w:rFonts w:hint="eastAsia" w:cs="Times New Roman"/>
                <w:kern w:val="0"/>
              </w:rPr>
              <w:t>/</w:t>
            </w:r>
          </w:p>
        </w:tc>
        <w:tc>
          <w:tcPr>
            <w:tcW w:w="868" w:type="pct"/>
            <w:vAlign w:val="center"/>
          </w:tcPr>
          <w:p>
            <w:pPr>
              <w:pStyle w:val="49"/>
              <w:rPr>
                <w:rFonts w:cs="Times New Roman"/>
                <w:kern w:val="0"/>
              </w:rPr>
            </w:pPr>
            <w:r>
              <w:rPr>
                <w:rFonts w:hint="eastAsia" w:cs="Times New Roman"/>
                <w:kern w:val="0"/>
              </w:rPr>
              <w:t>20</w:t>
            </w:r>
          </w:p>
        </w:tc>
        <w:tc>
          <w:tcPr>
            <w:tcW w:w="1059" w:type="pct"/>
            <w:vMerge w:val="continue"/>
            <w:vAlign w:val="center"/>
          </w:tcPr>
          <w:p>
            <w:pPr>
              <w:pStyle w:val="49"/>
              <w:rPr>
                <w:rFonts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hint="eastAsia" w:cs="Times New Roman"/>
                <w:kern w:val="0"/>
              </w:rPr>
              <w:t>SO</w:t>
            </w:r>
            <w:r>
              <w:rPr>
                <w:rFonts w:hint="eastAsia" w:cs="Times New Roman"/>
                <w:kern w:val="0"/>
                <w:vertAlign w:val="subscript"/>
              </w:rPr>
              <w:t>2</w:t>
            </w:r>
          </w:p>
        </w:tc>
        <w:tc>
          <w:tcPr>
            <w:tcW w:w="619" w:type="pct"/>
            <w:vMerge w:val="restart"/>
            <w:vAlign w:val="center"/>
          </w:tcPr>
          <w:p>
            <w:pPr>
              <w:pStyle w:val="49"/>
              <w:rPr>
                <w:rFonts w:cs="Times New Roman"/>
                <w:kern w:val="0"/>
              </w:rPr>
            </w:pPr>
            <w:r>
              <w:rPr>
                <w:rFonts w:hint="eastAsia" w:cs="Times New Roman"/>
                <w:kern w:val="0"/>
              </w:rPr>
              <w:t>25</w:t>
            </w:r>
          </w:p>
        </w:tc>
        <w:tc>
          <w:tcPr>
            <w:tcW w:w="741" w:type="pct"/>
            <w:vAlign w:val="center"/>
          </w:tcPr>
          <w:p>
            <w:pPr>
              <w:pStyle w:val="49"/>
              <w:rPr>
                <w:rFonts w:cs="Times New Roman"/>
                <w:kern w:val="0"/>
              </w:rPr>
            </w:pPr>
            <w:r>
              <w:rPr>
                <w:rFonts w:hint="eastAsia" w:cs="Times New Roman"/>
                <w:kern w:val="0"/>
              </w:rPr>
              <w:t>/</w:t>
            </w:r>
          </w:p>
        </w:tc>
        <w:tc>
          <w:tcPr>
            <w:tcW w:w="1037" w:type="pct"/>
            <w:vAlign w:val="center"/>
          </w:tcPr>
          <w:p>
            <w:pPr>
              <w:pStyle w:val="49"/>
              <w:rPr>
                <w:rFonts w:cs="Times New Roman"/>
                <w:kern w:val="0"/>
              </w:rPr>
            </w:pPr>
            <w:r>
              <w:rPr>
                <w:rFonts w:hint="eastAsia" w:cs="Times New Roman"/>
                <w:kern w:val="0"/>
              </w:rPr>
              <w:t>50</w:t>
            </w:r>
          </w:p>
        </w:tc>
        <w:tc>
          <w:tcPr>
            <w:tcW w:w="868" w:type="pct"/>
            <w:vAlign w:val="center"/>
          </w:tcPr>
          <w:p>
            <w:pPr>
              <w:pStyle w:val="49"/>
              <w:rPr>
                <w:rFonts w:cs="Times New Roman"/>
                <w:kern w:val="0"/>
              </w:rPr>
            </w:pPr>
            <w:r>
              <w:rPr>
                <w:rFonts w:hint="eastAsia" w:cs="Times New Roman"/>
                <w:kern w:val="0"/>
              </w:rPr>
              <w:t>/</w:t>
            </w:r>
          </w:p>
        </w:tc>
        <w:tc>
          <w:tcPr>
            <w:tcW w:w="1059" w:type="pct"/>
            <w:vMerge w:val="restart"/>
            <w:vAlign w:val="center"/>
          </w:tcPr>
          <w:p>
            <w:pPr>
              <w:pStyle w:val="49"/>
              <w:rPr>
                <w:rFonts w:cs="Times New Roman"/>
                <w:kern w:val="0"/>
              </w:rPr>
            </w:pPr>
            <w:r>
              <w:rPr>
                <w:rFonts w:hint="eastAsia" w:cs="Times New Roman"/>
                <w:kern w:val="0"/>
              </w:rPr>
              <w:t>《锅炉大气污染物排放标准》（GB13271-2014）中新建燃煤锅炉排放标准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76" w:type="pct"/>
            <w:vAlign w:val="center"/>
          </w:tcPr>
          <w:p>
            <w:pPr>
              <w:pStyle w:val="49"/>
              <w:rPr>
                <w:rFonts w:cs="Times New Roman"/>
                <w:kern w:val="0"/>
              </w:rPr>
            </w:pPr>
            <w:r>
              <w:rPr>
                <w:rFonts w:cs="Times New Roman"/>
                <w:kern w:val="0"/>
              </w:rPr>
              <w:t>NO</w:t>
            </w:r>
            <w:r>
              <w:rPr>
                <w:rFonts w:cs="Times New Roman"/>
                <w:kern w:val="0"/>
                <w:vertAlign w:val="subscript"/>
              </w:rPr>
              <w:t>X</w:t>
            </w:r>
          </w:p>
        </w:tc>
        <w:tc>
          <w:tcPr>
            <w:tcW w:w="619" w:type="pct"/>
            <w:vMerge w:val="continue"/>
            <w:vAlign w:val="center"/>
          </w:tcPr>
          <w:p>
            <w:pPr>
              <w:pStyle w:val="49"/>
              <w:rPr>
                <w:rFonts w:cs="Times New Roman"/>
                <w:kern w:val="0"/>
              </w:rPr>
            </w:pPr>
          </w:p>
        </w:tc>
        <w:tc>
          <w:tcPr>
            <w:tcW w:w="741" w:type="pct"/>
            <w:vAlign w:val="center"/>
          </w:tcPr>
          <w:p>
            <w:pPr>
              <w:pStyle w:val="49"/>
              <w:rPr>
                <w:rFonts w:cs="Times New Roman"/>
                <w:kern w:val="0"/>
              </w:rPr>
            </w:pPr>
            <w:r>
              <w:rPr>
                <w:rFonts w:hint="eastAsia" w:cs="Times New Roman"/>
                <w:kern w:val="0"/>
              </w:rPr>
              <w:t>/</w:t>
            </w:r>
          </w:p>
        </w:tc>
        <w:tc>
          <w:tcPr>
            <w:tcW w:w="1037" w:type="pct"/>
            <w:vAlign w:val="center"/>
          </w:tcPr>
          <w:p>
            <w:pPr>
              <w:pStyle w:val="49"/>
              <w:rPr>
                <w:rFonts w:cs="Times New Roman"/>
                <w:kern w:val="0"/>
              </w:rPr>
            </w:pPr>
            <w:r>
              <w:rPr>
                <w:rFonts w:hint="eastAsia" w:cs="Times New Roman"/>
                <w:kern w:val="0"/>
              </w:rPr>
              <w:t>300</w:t>
            </w:r>
          </w:p>
        </w:tc>
        <w:tc>
          <w:tcPr>
            <w:tcW w:w="868" w:type="pct"/>
            <w:vAlign w:val="center"/>
          </w:tcPr>
          <w:p>
            <w:pPr>
              <w:pStyle w:val="49"/>
              <w:rPr>
                <w:rFonts w:cs="Times New Roman"/>
                <w:kern w:val="0"/>
              </w:rPr>
            </w:pPr>
            <w:r>
              <w:rPr>
                <w:rFonts w:hint="eastAsia" w:cs="Times New Roman"/>
                <w:kern w:val="0"/>
              </w:rPr>
              <w:t>/</w:t>
            </w:r>
          </w:p>
        </w:tc>
        <w:tc>
          <w:tcPr>
            <w:tcW w:w="1059" w:type="pct"/>
            <w:vMerge w:val="continue"/>
            <w:vAlign w:val="center"/>
          </w:tcPr>
          <w:p>
            <w:pPr>
              <w:pStyle w:val="49"/>
              <w:rPr>
                <w:rFonts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49"/>
              <w:rPr>
                <w:rFonts w:cs="Times New Roman"/>
                <w:kern w:val="0"/>
              </w:rPr>
            </w:pPr>
            <w:r>
              <w:rPr>
                <w:rFonts w:cs="Times New Roman"/>
                <w:kern w:val="0"/>
              </w:rPr>
              <w:t>颗粒物</w:t>
            </w:r>
          </w:p>
        </w:tc>
        <w:tc>
          <w:tcPr>
            <w:tcW w:w="619" w:type="pct"/>
            <w:vMerge w:val="continue"/>
            <w:vAlign w:val="center"/>
          </w:tcPr>
          <w:p>
            <w:pPr>
              <w:pStyle w:val="49"/>
              <w:rPr>
                <w:rFonts w:cs="Times New Roman"/>
                <w:kern w:val="0"/>
              </w:rPr>
            </w:pPr>
          </w:p>
        </w:tc>
        <w:tc>
          <w:tcPr>
            <w:tcW w:w="741" w:type="pct"/>
            <w:vAlign w:val="center"/>
          </w:tcPr>
          <w:p>
            <w:pPr>
              <w:pStyle w:val="49"/>
              <w:rPr>
                <w:rFonts w:cs="Times New Roman"/>
                <w:kern w:val="0"/>
              </w:rPr>
            </w:pPr>
            <w:r>
              <w:rPr>
                <w:rFonts w:hint="eastAsia" w:cs="Times New Roman"/>
                <w:kern w:val="0"/>
              </w:rPr>
              <w:t>/</w:t>
            </w:r>
          </w:p>
        </w:tc>
        <w:tc>
          <w:tcPr>
            <w:tcW w:w="1037" w:type="pct"/>
            <w:vAlign w:val="center"/>
          </w:tcPr>
          <w:p>
            <w:pPr>
              <w:pStyle w:val="49"/>
              <w:rPr>
                <w:rFonts w:cs="Times New Roman"/>
                <w:kern w:val="0"/>
              </w:rPr>
            </w:pPr>
            <w:r>
              <w:rPr>
                <w:rFonts w:hint="eastAsia" w:cs="Times New Roman"/>
                <w:kern w:val="0"/>
              </w:rPr>
              <w:t>300</w:t>
            </w:r>
          </w:p>
        </w:tc>
        <w:tc>
          <w:tcPr>
            <w:tcW w:w="868" w:type="pct"/>
            <w:vAlign w:val="center"/>
          </w:tcPr>
          <w:p>
            <w:pPr>
              <w:pStyle w:val="49"/>
              <w:rPr>
                <w:rFonts w:cs="Times New Roman"/>
                <w:kern w:val="0"/>
              </w:rPr>
            </w:pPr>
            <w:r>
              <w:rPr>
                <w:rFonts w:hint="eastAsia" w:cs="Times New Roman"/>
                <w:kern w:val="0"/>
              </w:rPr>
              <w:t>/</w:t>
            </w:r>
          </w:p>
        </w:tc>
        <w:tc>
          <w:tcPr>
            <w:tcW w:w="1059" w:type="pct"/>
            <w:vMerge w:val="continue"/>
            <w:vAlign w:val="center"/>
          </w:tcPr>
          <w:p>
            <w:pPr>
              <w:pStyle w:val="49"/>
              <w:rPr>
                <w:rFonts w:cs="Times New Roman"/>
                <w:kern w:val="0"/>
              </w:rPr>
            </w:pPr>
          </w:p>
        </w:tc>
      </w:tr>
    </w:tbl>
    <w:p>
      <w:pPr>
        <w:pStyle w:val="3"/>
        <w:ind w:firstLine="480"/>
      </w:pPr>
      <w:r>
        <w:rPr>
          <w:rFonts w:hint="eastAsia"/>
        </w:rPr>
        <w:t>（2）水污染物排放标准</w:t>
      </w:r>
    </w:p>
    <w:p>
      <w:pPr>
        <w:pStyle w:val="3"/>
        <w:ind w:firstLine="480"/>
      </w:pPr>
      <w:r>
        <w:rPr>
          <w:rFonts w:hint="eastAsia"/>
        </w:rPr>
        <w:t>本项目产生的废水主要为生产废水和生活污水，经自建粪污处理系统处理后由衡阳县喜耕田有机肥厂回收处理不外排。</w:t>
      </w:r>
    </w:p>
    <w:p>
      <w:pPr>
        <w:pStyle w:val="3"/>
        <w:ind w:firstLine="480"/>
      </w:pPr>
      <w:r>
        <w:rPr>
          <w:rFonts w:hint="eastAsia"/>
        </w:rPr>
        <w:t>（3）噪声排放标准</w:t>
      </w:r>
    </w:p>
    <w:p>
      <w:pPr>
        <w:pStyle w:val="3"/>
        <w:ind w:firstLine="480"/>
      </w:pPr>
      <w:r>
        <w:rPr>
          <w:rFonts w:hint="eastAsia"/>
        </w:rPr>
        <w:t>施工期：施工噪声影响评价执行《建筑施工场界环境噪声排放标准》（GB12523-2011），标准限值参见表2.5-9。</w:t>
      </w:r>
    </w:p>
    <w:p>
      <w:pPr>
        <w:pStyle w:val="3"/>
        <w:spacing w:line="240" w:lineRule="auto"/>
        <w:ind w:firstLine="0" w:firstLineChars="0"/>
        <w:jc w:val="cente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9</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建筑施工场界环境噪声排放限值（GB12523-2011）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6"/>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49"/>
              <w:rPr>
                <w:rFonts w:cs="Times New Roman"/>
                <w:kern w:val="0"/>
              </w:rPr>
            </w:pPr>
            <w:r>
              <w:rPr>
                <w:rFonts w:hint="eastAsia" w:cs="Times New Roman"/>
                <w:kern w:val="0"/>
              </w:rPr>
              <w:t>昼</w:t>
            </w:r>
            <w:r>
              <w:rPr>
                <w:rFonts w:cs="Times New Roman"/>
                <w:kern w:val="0"/>
              </w:rPr>
              <w:t xml:space="preserve"> </w:t>
            </w:r>
            <w:r>
              <w:rPr>
                <w:rFonts w:hint="eastAsia" w:cs="Times New Roman"/>
                <w:kern w:val="0"/>
              </w:rPr>
              <w:t>间</w:t>
            </w:r>
          </w:p>
        </w:tc>
        <w:tc>
          <w:tcPr>
            <w:tcW w:w="2500" w:type="pct"/>
            <w:vAlign w:val="center"/>
          </w:tcPr>
          <w:p>
            <w:pPr>
              <w:pStyle w:val="49"/>
              <w:rPr>
                <w:rFonts w:cs="Times New Roman"/>
                <w:kern w:val="0"/>
              </w:rPr>
            </w:pPr>
            <w:r>
              <w:rPr>
                <w:rFonts w:hint="eastAsia" w:cs="Times New Roman"/>
                <w:kern w:val="0"/>
              </w:rPr>
              <w:t>夜</w:t>
            </w:r>
            <w:r>
              <w:rPr>
                <w:rFonts w:cs="Times New Roman"/>
                <w:kern w:val="0"/>
              </w:rPr>
              <w:t xml:space="preserve"> </w:t>
            </w:r>
            <w:r>
              <w:rPr>
                <w:rFonts w:hint="eastAsia" w:cs="Times New Roman"/>
                <w:kern w:val="0"/>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49"/>
              <w:rPr>
                <w:rFonts w:cs="Times New Roman"/>
                <w:kern w:val="0"/>
              </w:rPr>
            </w:pPr>
            <w:r>
              <w:rPr>
                <w:rFonts w:hint="eastAsia" w:cs="Times New Roman"/>
                <w:kern w:val="0"/>
              </w:rPr>
              <w:t>70</w:t>
            </w:r>
          </w:p>
        </w:tc>
        <w:tc>
          <w:tcPr>
            <w:tcW w:w="2500" w:type="pct"/>
            <w:vAlign w:val="center"/>
          </w:tcPr>
          <w:p>
            <w:pPr>
              <w:pStyle w:val="49"/>
              <w:rPr>
                <w:rFonts w:cs="Times New Roman"/>
                <w:kern w:val="0"/>
              </w:rPr>
            </w:pPr>
            <w:r>
              <w:rPr>
                <w:rFonts w:hint="eastAsia" w:cs="Times New Roman"/>
                <w:kern w:val="0"/>
              </w:rPr>
              <w:t>55</w:t>
            </w:r>
          </w:p>
        </w:tc>
      </w:tr>
    </w:tbl>
    <w:p>
      <w:pPr>
        <w:pStyle w:val="3"/>
        <w:ind w:firstLine="480"/>
      </w:pPr>
      <w:r>
        <w:rPr>
          <w:rFonts w:hint="eastAsia"/>
        </w:rPr>
        <w:t>营运期：营运期项目厂界噪声执行《工业企业厂界环境噪声排放标准》（GB12348-2008）中的2类标准。</w:t>
      </w:r>
    </w:p>
    <w:p>
      <w:pPr>
        <w:pStyle w:val="3"/>
        <w:ind w:firstLine="480"/>
      </w:pPr>
    </w:p>
    <w:p>
      <w:pPr>
        <w:pStyle w:val="3"/>
        <w:spacing w:line="240" w:lineRule="auto"/>
        <w:ind w:firstLine="0" w:firstLineChars="0"/>
        <w:jc w:val="center"/>
      </w:pPr>
      <w:r>
        <w:rPr>
          <w:rFonts w:cs="Times New Roman" w:eastAsiaTheme="minorEastAsia"/>
          <w:b/>
        </w:rPr>
        <w:t>表2.</w:t>
      </w:r>
      <w:r>
        <w:rPr>
          <w:rFonts w:hint="eastAsia" w:cs="Times New Roman" w:eastAsiaTheme="minorEastAsia"/>
          <w:b/>
        </w:rPr>
        <w:t>5</w:t>
      </w:r>
      <w:r>
        <w:rPr>
          <w:rFonts w:cs="Times New Roman" w:eastAsiaTheme="minorEastAsia"/>
          <w:b/>
        </w:rPr>
        <w:t>-</w:t>
      </w:r>
      <w:r>
        <w:rPr>
          <w:rFonts w:hint="eastAsia" w:cs="Times New Roman" w:eastAsiaTheme="minorEastAsia"/>
          <w:b/>
        </w:rPr>
        <w:t>10</w:t>
      </w:r>
      <w:r>
        <w:rPr>
          <w:rFonts w:cs="Times New Roman" w:eastAsiaTheme="minorEastAsia"/>
          <w:b/>
        </w:rPr>
        <w:t xml:space="preserve">  </w:t>
      </w:r>
      <w:r>
        <w:rPr>
          <w:rFonts w:hint="eastAsia" w:cs="Times New Roman" w:eastAsiaTheme="minorEastAsia"/>
          <w:b/>
        </w:rPr>
        <w:t xml:space="preserve"> </w:t>
      </w:r>
      <w:r>
        <w:rPr>
          <w:rFonts w:cs="Times New Roman" w:eastAsiaTheme="minorEastAsia"/>
          <w:b/>
        </w:rPr>
        <w:t xml:space="preserve"> </w:t>
      </w:r>
      <w:r>
        <w:rPr>
          <w:rFonts w:hint="eastAsia" w:cs="Times New Roman" w:eastAsiaTheme="minorEastAsia"/>
          <w:b/>
        </w:rPr>
        <w:t>《声环境质量标准》（GB3096-2008）（摘录）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3058"/>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pPr>
              <w:pStyle w:val="49"/>
              <w:rPr>
                <w:rFonts w:cs="Times New Roman"/>
                <w:kern w:val="0"/>
              </w:rPr>
            </w:pPr>
            <w:r>
              <w:rPr>
                <w:rFonts w:hint="eastAsia" w:cs="Times New Roman"/>
                <w:kern w:val="0"/>
              </w:rPr>
              <w:t>类别</w:t>
            </w:r>
          </w:p>
        </w:tc>
        <w:tc>
          <w:tcPr>
            <w:tcW w:w="3334" w:type="pct"/>
            <w:gridSpan w:val="2"/>
            <w:vAlign w:val="center"/>
          </w:tcPr>
          <w:p>
            <w:pPr>
              <w:pStyle w:val="49"/>
              <w:rPr>
                <w:rFonts w:cs="Times New Roman"/>
                <w:kern w:val="0"/>
              </w:rPr>
            </w:pPr>
            <w:r>
              <w:rPr>
                <w:rFonts w:hint="eastAsia" w:cs="Times New Roman"/>
                <w:kern w:val="0"/>
              </w:rPr>
              <w:t>等效声级</w:t>
            </w:r>
            <w:r>
              <w:rPr>
                <w:rFonts w:cs="Times New Roman"/>
                <w:kern w:val="0"/>
              </w:rPr>
              <w:t>L</w:t>
            </w:r>
            <w:r>
              <w:rPr>
                <w:rFonts w:cs="Times New Roman"/>
                <w:kern w:val="0"/>
                <w:vertAlign w:val="subscript"/>
              </w:rPr>
              <w:t>Aeq</w:t>
            </w:r>
            <w:r>
              <w:rPr>
                <w:rFonts w:cs="Times New Roman"/>
                <w:kern w:val="0"/>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pPr>
              <w:pStyle w:val="49"/>
              <w:rPr>
                <w:rFonts w:cs="Times New Roman"/>
                <w:kern w:val="0"/>
              </w:rPr>
            </w:pPr>
          </w:p>
        </w:tc>
        <w:tc>
          <w:tcPr>
            <w:tcW w:w="1667" w:type="pct"/>
            <w:vAlign w:val="center"/>
          </w:tcPr>
          <w:p>
            <w:pPr>
              <w:pStyle w:val="49"/>
              <w:rPr>
                <w:rFonts w:cs="Times New Roman"/>
                <w:kern w:val="0"/>
              </w:rPr>
            </w:pPr>
            <w:r>
              <w:rPr>
                <w:rFonts w:hint="eastAsia" w:cs="Times New Roman"/>
                <w:kern w:val="0"/>
              </w:rPr>
              <w:t>昼</w:t>
            </w:r>
            <w:r>
              <w:rPr>
                <w:rFonts w:cs="Times New Roman"/>
                <w:kern w:val="0"/>
              </w:rPr>
              <w:t xml:space="preserve"> </w:t>
            </w:r>
            <w:r>
              <w:rPr>
                <w:rFonts w:hint="eastAsia" w:cs="Times New Roman"/>
                <w:kern w:val="0"/>
              </w:rPr>
              <w:t>间</w:t>
            </w:r>
          </w:p>
        </w:tc>
        <w:tc>
          <w:tcPr>
            <w:tcW w:w="1667" w:type="pct"/>
            <w:vAlign w:val="center"/>
          </w:tcPr>
          <w:p>
            <w:pPr>
              <w:pStyle w:val="49"/>
              <w:rPr>
                <w:rFonts w:cs="Times New Roman"/>
                <w:kern w:val="0"/>
              </w:rPr>
            </w:pPr>
            <w:r>
              <w:rPr>
                <w:rFonts w:hint="eastAsia" w:cs="Times New Roman"/>
                <w:kern w:val="0"/>
              </w:rPr>
              <w:t>夜</w:t>
            </w:r>
            <w:r>
              <w:rPr>
                <w:rFonts w:cs="Times New Roman"/>
                <w:kern w:val="0"/>
              </w:rPr>
              <w:t xml:space="preserve"> </w:t>
            </w:r>
            <w:r>
              <w:rPr>
                <w:rFonts w:hint="eastAsia" w:cs="Times New Roman"/>
                <w:kern w:val="0"/>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pStyle w:val="49"/>
              <w:rPr>
                <w:rFonts w:cs="Times New Roman"/>
                <w:kern w:val="0"/>
              </w:rPr>
            </w:pPr>
            <w:r>
              <w:rPr>
                <w:rFonts w:cs="Times New Roman"/>
                <w:kern w:val="0"/>
              </w:rPr>
              <w:t>2</w:t>
            </w:r>
            <w:r>
              <w:rPr>
                <w:rFonts w:hint="eastAsia" w:cs="Times New Roman"/>
                <w:kern w:val="0"/>
              </w:rPr>
              <w:t>类</w:t>
            </w:r>
          </w:p>
        </w:tc>
        <w:tc>
          <w:tcPr>
            <w:tcW w:w="1667" w:type="pct"/>
            <w:vAlign w:val="center"/>
          </w:tcPr>
          <w:p>
            <w:pPr>
              <w:pStyle w:val="49"/>
              <w:rPr>
                <w:rFonts w:cs="Times New Roman"/>
                <w:kern w:val="0"/>
              </w:rPr>
            </w:pPr>
            <w:r>
              <w:rPr>
                <w:rFonts w:hint="eastAsia" w:cs="Times New Roman"/>
                <w:kern w:val="0"/>
              </w:rPr>
              <w:t>60</w:t>
            </w:r>
          </w:p>
        </w:tc>
        <w:tc>
          <w:tcPr>
            <w:tcW w:w="1667" w:type="pct"/>
            <w:vAlign w:val="center"/>
          </w:tcPr>
          <w:p>
            <w:pPr>
              <w:pStyle w:val="49"/>
              <w:rPr>
                <w:rFonts w:cs="Times New Roman"/>
                <w:kern w:val="0"/>
              </w:rPr>
            </w:pPr>
            <w:r>
              <w:rPr>
                <w:rFonts w:hint="eastAsia" w:cs="Times New Roman"/>
                <w:kern w:val="0"/>
              </w:rPr>
              <w:t>50</w:t>
            </w:r>
          </w:p>
        </w:tc>
      </w:tr>
    </w:tbl>
    <w:p>
      <w:pPr>
        <w:pStyle w:val="3"/>
        <w:ind w:firstLine="480"/>
      </w:pPr>
      <w:r>
        <w:rPr>
          <w:rFonts w:hint="eastAsia"/>
        </w:rPr>
        <w:t>（4）固体废物排放标准</w:t>
      </w:r>
    </w:p>
    <w:p>
      <w:pPr>
        <w:pStyle w:val="3"/>
        <w:ind w:firstLine="480"/>
      </w:pPr>
      <w:r>
        <w:rPr>
          <w:rFonts w:hint="eastAsia"/>
        </w:rPr>
        <w:t>一般固体废物执行《一般工业固体废物贮存、处置场污染控制标准》（GB18599-2020）及其2013年修改单。生活垃圾执行《生活垃圾填埋场污染控制标准》（GB16889-2008）。</w:t>
      </w:r>
    </w:p>
    <w:p>
      <w:pPr>
        <w:pStyle w:val="5"/>
      </w:pPr>
      <w:bookmarkStart w:id="13" w:name="_Toc116993059"/>
      <w:r>
        <w:rPr>
          <w:rFonts w:hint="eastAsia"/>
        </w:rPr>
        <w:t>评价</w:t>
      </w:r>
      <w:r>
        <w:t>工作等级及评价范围</w:t>
      </w:r>
      <w:bookmarkEnd w:id="13"/>
    </w:p>
    <w:p>
      <w:pPr>
        <w:pStyle w:val="3"/>
        <w:ind w:firstLine="0" w:firstLineChars="0"/>
        <w:outlineLvl w:val="2"/>
      </w:pPr>
      <w:r>
        <w:rPr>
          <w:rFonts w:hint="eastAsia"/>
        </w:rPr>
        <w:t>2.6.1</w:t>
      </w:r>
      <w:r>
        <w:rPr>
          <w:rFonts w:hint="eastAsia" w:eastAsia="黑体" w:cstheme="majorBidi"/>
          <w:bCs/>
          <w:szCs w:val="32"/>
        </w:rPr>
        <w:t xml:space="preserve">  大气环境评价工作等级与评价范围</w:t>
      </w:r>
    </w:p>
    <w:p>
      <w:pPr>
        <w:pStyle w:val="3"/>
        <w:ind w:firstLine="480"/>
        <w:rPr>
          <w:color w:val="FF0000"/>
          <w:u w:val="single"/>
        </w:rPr>
      </w:pPr>
      <w:r>
        <w:rPr>
          <w:rFonts w:hint="eastAsia"/>
          <w:color w:val="FF0000"/>
          <w:u w:val="single"/>
        </w:rPr>
        <w:t>根据《环境影响评价技术导则大气环境》（HJ2.2-2018）中5.3 节工作等级的确定方法，结合项目工程分析结果，选择正常排放的主要污染物及排放参数，采取附录A 中的AERSCREEN 模式计算项目污染源的最大环境影响，然后按评价工作分级判据进行分级。</w:t>
      </w:r>
    </w:p>
    <w:p>
      <w:pPr>
        <w:pStyle w:val="3"/>
        <w:ind w:firstLine="480"/>
        <w:rPr>
          <w:color w:val="FF0000"/>
          <w:u w:val="single"/>
        </w:rPr>
      </w:pPr>
      <w:r>
        <w:rPr>
          <w:rFonts w:hint="eastAsia"/>
          <w:color w:val="FF0000"/>
          <w:u w:val="single"/>
        </w:rPr>
        <w:t>（1）Pmax 及D10%的确定</w:t>
      </w:r>
    </w:p>
    <w:p>
      <w:pPr>
        <w:pStyle w:val="3"/>
        <w:ind w:firstLine="480"/>
        <w:rPr>
          <w:color w:val="FF0000"/>
          <w:u w:val="single"/>
        </w:rPr>
      </w:pPr>
      <w:r>
        <w:rPr>
          <w:rFonts w:hint="eastAsia"/>
          <w:color w:val="FF0000"/>
          <w:u w:val="single"/>
        </w:rPr>
        <w:t>依据《环境影响评价技术导则大气环境》（HJ2.2－2018)中最大地面浓度占标率Pi 定义如下：</w:t>
      </w:r>
    </w:p>
    <w:p>
      <w:pPr>
        <w:pStyle w:val="3"/>
        <w:ind w:firstLine="480"/>
        <w:jc w:val="center"/>
        <w:rPr>
          <w:color w:val="FF0000"/>
          <w:u w:val="single"/>
        </w:rPr>
      </w:pPr>
      <w:r>
        <w:rPr>
          <w:color w:val="FF0000"/>
          <w:u w:val="single"/>
        </w:rPr>
        <w:t>Pi=Ci/C0i×100%</w:t>
      </w:r>
    </w:p>
    <w:p>
      <w:pPr>
        <w:pStyle w:val="3"/>
        <w:ind w:firstLine="480"/>
        <w:rPr>
          <w:color w:val="FF0000"/>
          <w:u w:val="single"/>
        </w:rPr>
      </w:pPr>
      <w:r>
        <w:rPr>
          <w:rFonts w:hint="eastAsia"/>
          <w:color w:val="FF0000"/>
          <w:u w:val="single"/>
        </w:rPr>
        <w:t>式中：Pi—第i 个污染物的最大地面浓度占标率，%；</w:t>
      </w:r>
    </w:p>
    <w:p>
      <w:pPr>
        <w:pStyle w:val="3"/>
        <w:ind w:firstLine="1200" w:firstLineChars="500"/>
        <w:rPr>
          <w:color w:val="FF0000"/>
          <w:u w:val="single"/>
        </w:rPr>
      </w:pPr>
      <w:r>
        <w:rPr>
          <w:rFonts w:hint="eastAsia"/>
          <w:color w:val="FF0000"/>
          <w:u w:val="single"/>
        </w:rPr>
        <w:t>Ci—采用估算模式计算出的第i 个污染物的最大1h 地面空气质量浓度，ug/m</w:t>
      </w:r>
      <w:r>
        <w:rPr>
          <w:rFonts w:hint="eastAsia"/>
          <w:color w:val="FF0000"/>
          <w:u w:val="single"/>
          <w:vertAlign w:val="superscript"/>
        </w:rPr>
        <w:t>3</w:t>
      </w:r>
      <w:r>
        <w:rPr>
          <w:rFonts w:hint="eastAsia"/>
          <w:color w:val="FF0000"/>
          <w:u w:val="single"/>
        </w:rPr>
        <w:t>；</w:t>
      </w:r>
    </w:p>
    <w:p>
      <w:pPr>
        <w:pStyle w:val="3"/>
        <w:ind w:firstLine="1200" w:firstLineChars="500"/>
        <w:rPr>
          <w:color w:val="FF0000"/>
          <w:u w:val="single"/>
        </w:rPr>
      </w:pPr>
      <w:r>
        <w:rPr>
          <w:rFonts w:hint="eastAsia"/>
          <w:color w:val="FF0000"/>
          <w:u w:val="single"/>
        </w:rPr>
        <w:t>C0i—第i 个污染物的环境空气质量标准，ug/m</w:t>
      </w:r>
      <w:r>
        <w:rPr>
          <w:rFonts w:hint="eastAsia"/>
          <w:color w:val="FF0000"/>
          <w:u w:val="single"/>
          <w:vertAlign w:val="superscript"/>
        </w:rPr>
        <w:t>3</w:t>
      </w:r>
      <w:r>
        <w:rPr>
          <w:rFonts w:hint="eastAsia"/>
          <w:color w:val="FF0000"/>
          <w:u w:val="single"/>
        </w:rPr>
        <w:t>；</w:t>
      </w:r>
    </w:p>
    <w:p>
      <w:pPr>
        <w:pStyle w:val="3"/>
        <w:ind w:firstLine="480"/>
        <w:rPr>
          <w:color w:val="FF0000"/>
          <w:u w:val="single"/>
        </w:rPr>
      </w:pPr>
      <w:r>
        <w:rPr>
          <w:rFonts w:hint="eastAsia"/>
          <w:color w:val="FF0000"/>
          <w:u w:val="single"/>
        </w:rPr>
        <w:t>（2）评价等级判别表</w:t>
      </w:r>
    </w:p>
    <w:p>
      <w:pPr>
        <w:pStyle w:val="3"/>
        <w:ind w:firstLine="480"/>
        <w:rPr>
          <w:color w:val="FF0000"/>
          <w:u w:val="single"/>
        </w:rPr>
      </w:pPr>
      <w:r>
        <w:rPr>
          <w:rFonts w:hint="eastAsia"/>
          <w:color w:val="FF0000"/>
          <w:u w:val="single"/>
        </w:rPr>
        <w:t>评价等级按表2.6-1 的分级判据进行划分</w:t>
      </w:r>
    </w:p>
    <w:p>
      <w:pPr>
        <w:pStyle w:val="3"/>
        <w:spacing w:line="240" w:lineRule="auto"/>
        <w:ind w:firstLine="0" w:firstLineChars="0"/>
        <w:jc w:val="center"/>
        <w:rPr>
          <w:color w:val="FF0000"/>
          <w:u w:val="single"/>
        </w:rPr>
      </w:pPr>
      <w:r>
        <w:rPr>
          <w:rFonts w:cs="Times New Roman" w:eastAsiaTheme="minorEastAsia"/>
          <w:b/>
          <w:color w:val="FF0000"/>
          <w:u w:val="single"/>
        </w:rPr>
        <w:t>表2.</w:t>
      </w:r>
      <w:r>
        <w:rPr>
          <w:rFonts w:hint="eastAsia" w:cs="Times New Roman" w:eastAsiaTheme="minorEastAsia"/>
          <w:b/>
          <w:color w:val="FF0000"/>
          <w:u w:val="single"/>
        </w:rPr>
        <w:t>6</w:t>
      </w:r>
      <w:r>
        <w:rPr>
          <w:rFonts w:cs="Times New Roman" w:eastAsiaTheme="minorEastAsia"/>
          <w:b/>
          <w:color w:val="FF0000"/>
          <w:u w:val="single"/>
        </w:rPr>
        <w:t>-</w:t>
      </w:r>
      <w:r>
        <w:rPr>
          <w:rFonts w:hint="eastAsia" w:cs="Times New Roman" w:eastAsiaTheme="minorEastAsia"/>
          <w:b/>
          <w:color w:val="FF0000"/>
          <w:u w:val="single"/>
        </w:rPr>
        <w:t>1</w:t>
      </w:r>
      <w:r>
        <w:rPr>
          <w:rFonts w:cs="Times New Roman" w:eastAsiaTheme="minorEastAsia"/>
          <w:b/>
          <w:color w:val="FF0000"/>
          <w:u w:val="single"/>
        </w:rPr>
        <w:t xml:space="preserve">  </w:t>
      </w:r>
      <w:r>
        <w:rPr>
          <w:rFonts w:hint="eastAsia" w:cs="Times New Roman" w:eastAsiaTheme="minorEastAsia"/>
          <w:b/>
          <w:color w:val="FF0000"/>
          <w:u w:val="single"/>
        </w:rPr>
        <w:t xml:space="preserve"> </w:t>
      </w:r>
      <w:r>
        <w:rPr>
          <w:rFonts w:cs="Times New Roman" w:eastAsiaTheme="minorEastAsia"/>
          <w:b/>
          <w:color w:val="FF0000"/>
          <w:u w:val="single"/>
        </w:rPr>
        <w:t xml:space="preserve"> </w:t>
      </w:r>
      <w:r>
        <w:rPr>
          <w:rFonts w:hint="eastAsia" w:cs="Times New Roman" w:eastAsiaTheme="minorEastAsia"/>
          <w:b/>
          <w:color w:val="FF0000"/>
          <w:u w:val="single"/>
        </w:rPr>
        <w:t>大气评价工作等级分级判据</w:t>
      </w:r>
    </w:p>
    <w:tbl>
      <w:tblPr>
        <w:tblStyle w:val="30"/>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6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3" w:type="dxa"/>
            <w:vAlign w:val="center"/>
          </w:tcPr>
          <w:p>
            <w:pPr>
              <w:pStyle w:val="49"/>
              <w:rPr>
                <w:rFonts w:cs="Times New Roman"/>
                <w:color w:val="FF0000"/>
                <w:kern w:val="0"/>
                <w:u w:val="single"/>
              </w:rPr>
            </w:pPr>
            <w:r>
              <w:rPr>
                <w:rFonts w:cs="Times New Roman"/>
                <w:color w:val="FF0000"/>
                <w:kern w:val="0"/>
                <w:u w:val="single"/>
              </w:rPr>
              <w:t>评价工作等级</w:t>
            </w:r>
          </w:p>
        </w:tc>
        <w:tc>
          <w:tcPr>
            <w:tcW w:w="6835" w:type="dxa"/>
            <w:vAlign w:val="center"/>
          </w:tcPr>
          <w:p>
            <w:pPr>
              <w:pStyle w:val="49"/>
              <w:rPr>
                <w:rFonts w:cs="Times New Roman"/>
                <w:color w:val="FF0000"/>
                <w:kern w:val="0"/>
                <w:u w:val="single"/>
              </w:rPr>
            </w:pPr>
            <w:r>
              <w:rPr>
                <w:rFonts w:cs="Times New Roman"/>
                <w:color w:val="FF0000"/>
                <w:kern w:val="0"/>
                <w:u w:val="singl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3" w:type="dxa"/>
            <w:vAlign w:val="center"/>
          </w:tcPr>
          <w:p>
            <w:pPr>
              <w:pStyle w:val="49"/>
              <w:rPr>
                <w:rFonts w:cs="Times New Roman"/>
                <w:color w:val="FF0000"/>
                <w:kern w:val="0"/>
                <w:u w:val="single"/>
              </w:rPr>
            </w:pPr>
            <w:r>
              <w:rPr>
                <w:rFonts w:cs="Times New Roman"/>
                <w:color w:val="FF0000"/>
                <w:kern w:val="0"/>
                <w:u w:val="single"/>
              </w:rPr>
              <w:t>一级</w:t>
            </w:r>
          </w:p>
        </w:tc>
        <w:tc>
          <w:tcPr>
            <w:tcW w:w="6835" w:type="dxa"/>
            <w:vAlign w:val="center"/>
          </w:tcPr>
          <w:p>
            <w:pPr>
              <w:pStyle w:val="49"/>
              <w:rPr>
                <w:rFonts w:cs="Times New Roman"/>
                <w:color w:val="FF0000"/>
                <w:kern w:val="0"/>
                <w:u w:val="single"/>
              </w:rPr>
            </w:pPr>
            <w:r>
              <w:rPr>
                <w:rFonts w:cs="Times New Roman"/>
                <w:color w:val="FF0000"/>
                <w:kern w:val="0"/>
                <w:u w:val="single"/>
              </w:rPr>
              <w:t>P 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3" w:type="dxa"/>
            <w:vAlign w:val="center"/>
          </w:tcPr>
          <w:p>
            <w:pPr>
              <w:pStyle w:val="49"/>
              <w:rPr>
                <w:rFonts w:cs="Times New Roman"/>
                <w:color w:val="FF0000"/>
                <w:kern w:val="0"/>
                <w:u w:val="single"/>
              </w:rPr>
            </w:pPr>
            <w:r>
              <w:rPr>
                <w:rFonts w:cs="Times New Roman"/>
                <w:color w:val="FF0000"/>
                <w:kern w:val="0"/>
                <w:u w:val="single"/>
              </w:rPr>
              <w:t>二级</w:t>
            </w:r>
          </w:p>
        </w:tc>
        <w:tc>
          <w:tcPr>
            <w:tcW w:w="6835" w:type="dxa"/>
            <w:vAlign w:val="center"/>
          </w:tcPr>
          <w:p>
            <w:pPr>
              <w:pStyle w:val="49"/>
              <w:rPr>
                <w:rFonts w:cs="Times New Roman"/>
                <w:color w:val="FF0000"/>
                <w:kern w:val="0"/>
                <w:u w:val="single"/>
              </w:rPr>
            </w:pPr>
            <w:r>
              <w:rPr>
                <w:rFonts w:cs="Times New Roman"/>
                <w:color w:val="FF0000"/>
                <w:kern w:val="0"/>
                <w:u w:val="single"/>
              </w:rPr>
              <w:t>1%≤P 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3" w:type="dxa"/>
            <w:vAlign w:val="center"/>
          </w:tcPr>
          <w:p>
            <w:pPr>
              <w:pStyle w:val="49"/>
              <w:rPr>
                <w:rFonts w:cs="Times New Roman"/>
                <w:color w:val="FF0000"/>
                <w:kern w:val="0"/>
                <w:u w:val="single"/>
              </w:rPr>
            </w:pPr>
            <w:r>
              <w:rPr>
                <w:rFonts w:cs="Times New Roman"/>
                <w:color w:val="FF0000"/>
                <w:kern w:val="0"/>
                <w:u w:val="single"/>
              </w:rPr>
              <w:t>三级</w:t>
            </w:r>
          </w:p>
        </w:tc>
        <w:tc>
          <w:tcPr>
            <w:tcW w:w="6835" w:type="dxa"/>
            <w:vAlign w:val="center"/>
          </w:tcPr>
          <w:p>
            <w:pPr>
              <w:pStyle w:val="49"/>
              <w:rPr>
                <w:rFonts w:cs="Times New Roman"/>
                <w:color w:val="FF0000"/>
                <w:kern w:val="0"/>
                <w:u w:val="single"/>
              </w:rPr>
            </w:pPr>
            <w:r>
              <w:rPr>
                <w:rFonts w:cs="Times New Roman"/>
                <w:color w:val="FF0000"/>
                <w:kern w:val="0"/>
                <w:u w:val="single"/>
              </w:rPr>
              <w:t>P max ＜1%</w:t>
            </w:r>
          </w:p>
        </w:tc>
      </w:tr>
    </w:tbl>
    <w:p>
      <w:pPr>
        <w:pStyle w:val="3"/>
        <w:ind w:firstLine="480"/>
        <w:rPr>
          <w:color w:val="FF0000"/>
          <w:u w:val="single"/>
        </w:rPr>
      </w:pPr>
      <w:r>
        <w:rPr>
          <w:rFonts w:hint="eastAsia"/>
          <w:color w:val="FF0000"/>
          <w:u w:val="single"/>
        </w:rPr>
        <w:t>（3）污染物评价标准</w:t>
      </w:r>
    </w:p>
    <w:p>
      <w:pPr>
        <w:pStyle w:val="3"/>
        <w:ind w:firstLine="480"/>
        <w:rPr>
          <w:color w:val="FF0000"/>
          <w:u w:val="single"/>
        </w:rPr>
      </w:pPr>
      <w:r>
        <w:rPr>
          <w:rFonts w:hint="eastAsia"/>
          <w:color w:val="FF0000"/>
          <w:u w:val="single"/>
        </w:rPr>
        <w:t>污染物评价标准和来源见表2.6-2。</w:t>
      </w:r>
    </w:p>
    <w:p>
      <w:pPr>
        <w:pStyle w:val="3"/>
        <w:spacing w:line="240" w:lineRule="auto"/>
        <w:ind w:firstLine="0" w:firstLineChars="0"/>
        <w:jc w:val="center"/>
        <w:rPr>
          <w:color w:val="FF0000"/>
          <w:u w:val="single"/>
        </w:rPr>
      </w:pPr>
      <w:r>
        <w:rPr>
          <w:rFonts w:cs="Times New Roman" w:eastAsiaTheme="minorEastAsia"/>
          <w:b/>
          <w:color w:val="FF0000"/>
          <w:u w:val="single"/>
        </w:rPr>
        <w:t>表2.</w:t>
      </w:r>
      <w:r>
        <w:rPr>
          <w:rFonts w:hint="eastAsia" w:cs="Times New Roman" w:eastAsiaTheme="minorEastAsia"/>
          <w:b/>
          <w:color w:val="FF0000"/>
          <w:u w:val="single"/>
        </w:rPr>
        <w:t>6</w:t>
      </w:r>
      <w:r>
        <w:rPr>
          <w:rFonts w:cs="Times New Roman" w:eastAsiaTheme="minorEastAsia"/>
          <w:b/>
          <w:color w:val="FF0000"/>
          <w:u w:val="single"/>
        </w:rPr>
        <w:t>-</w:t>
      </w:r>
      <w:r>
        <w:rPr>
          <w:rFonts w:hint="eastAsia" w:cs="Times New Roman" w:eastAsiaTheme="minorEastAsia"/>
          <w:b/>
          <w:color w:val="FF0000"/>
          <w:u w:val="single"/>
        </w:rPr>
        <w:t>2</w:t>
      </w:r>
      <w:r>
        <w:rPr>
          <w:rFonts w:cs="Times New Roman" w:eastAsiaTheme="minorEastAsia"/>
          <w:b/>
          <w:color w:val="FF0000"/>
          <w:u w:val="single"/>
        </w:rPr>
        <w:t xml:space="preserve">  </w:t>
      </w:r>
      <w:r>
        <w:rPr>
          <w:rFonts w:hint="eastAsia" w:cs="Times New Roman" w:eastAsiaTheme="minorEastAsia"/>
          <w:b/>
          <w:color w:val="FF0000"/>
          <w:u w:val="single"/>
        </w:rPr>
        <w:t xml:space="preserve"> 本项目预测因子浓度标准限值</w:t>
      </w:r>
    </w:p>
    <w:tbl>
      <w:tblPr>
        <w:tblStyle w:val="30"/>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756"/>
        <w:gridCol w:w="1930"/>
        <w:gridCol w:w="3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pStyle w:val="49"/>
              <w:rPr>
                <w:rFonts w:cs="Times New Roman"/>
                <w:color w:val="FF0000"/>
                <w:u w:val="single"/>
              </w:rPr>
            </w:pPr>
            <w:r>
              <w:rPr>
                <w:rFonts w:cs="Times New Roman"/>
                <w:color w:val="FF0000"/>
                <w:u w:val="single"/>
              </w:rPr>
              <w:t>评价因子</w:t>
            </w:r>
          </w:p>
        </w:tc>
        <w:tc>
          <w:tcPr>
            <w:tcW w:w="1756" w:type="dxa"/>
            <w:vAlign w:val="center"/>
          </w:tcPr>
          <w:p>
            <w:pPr>
              <w:pStyle w:val="49"/>
              <w:rPr>
                <w:rFonts w:cs="Times New Roman"/>
                <w:color w:val="FF0000"/>
                <w:u w:val="single"/>
              </w:rPr>
            </w:pPr>
            <w:r>
              <w:rPr>
                <w:rFonts w:cs="Times New Roman"/>
                <w:color w:val="FF0000"/>
                <w:u w:val="single"/>
              </w:rPr>
              <w:t>评价时段</w:t>
            </w:r>
          </w:p>
        </w:tc>
        <w:tc>
          <w:tcPr>
            <w:tcW w:w="1930" w:type="dxa"/>
            <w:vAlign w:val="center"/>
          </w:tcPr>
          <w:p>
            <w:pPr>
              <w:pStyle w:val="49"/>
              <w:rPr>
                <w:rFonts w:cs="Times New Roman"/>
                <w:color w:val="FF0000"/>
                <w:u w:val="single"/>
              </w:rPr>
            </w:pPr>
            <w:r>
              <w:rPr>
                <w:rFonts w:cs="Times New Roman"/>
                <w:color w:val="FF0000"/>
                <w:u w:val="single"/>
              </w:rPr>
              <w:t>标准值（</w:t>
            </w:r>
            <w:r>
              <w:rPr>
                <w:rFonts w:cs="Times New Roman"/>
                <w:color w:val="FF0000"/>
                <w:sz w:val="24"/>
                <w:u w:val="single"/>
              </w:rPr>
              <w:t>u</w:t>
            </w:r>
            <w:r>
              <w:rPr>
                <w:rFonts w:cs="Times New Roman"/>
                <w:color w:val="FF0000"/>
                <w:sz w:val="24"/>
                <w:szCs w:val="24"/>
                <w:u w:val="single"/>
              </w:rPr>
              <w:t>g</w:t>
            </w:r>
            <w:r>
              <w:rPr>
                <w:rFonts w:cs="Times New Roman"/>
                <w:color w:val="FF0000"/>
                <w:u w:val="single"/>
              </w:rPr>
              <w:t>/m</w:t>
            </w:r>
            <w:r>
              <w:rPr>
                <w:rFonts w:cs="Times New Roman"/>
                <w:color w:val="FF0000"/>
                <w:u w:val="single"/>
                <w:vertAlign w:val="superscript"/>
              </w:rPr>
              <w:t>3</w:t>
            </w:r>
            <w:r>
              <w:rPr>
                <w:rFonts w:cs="Times New Roman"/>
                <w:color w:val="FF0000"/>
                <w:u w:val="single"/>
              </w:rPr>
              <w:t>）</w:t>
            </w:r>
          </w:p>
        </w:tc>
        <w:tc>
          <w:tcPr>
            <w:tcW w:w="3503" w:type="dxa"/>
            <w:vAlign w:val="center"/>
          </w:tcPr>
          <w:p>
            <w:pPr>
              <w:pStyle w:val="49"/>
              <w:rPr>
                <w:rFonts w:cs="Times New Roman"/>
                <w:color w:val="FF0000"/>
                <w:u w:val="single"/>
              </w:rPr>
            </w:pPr>
            <w:r>
              <w:rPr>
                <w:rFonts w:cs="Times New Roman"/>
                <w:color w:val="FF0000"/>
                <w:u w:val="singl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1756" w:type="dxa"/>
            <w:vAlign w:val="center"/>
          </w:tcPr>
          <w:p>
            <w:pPr>
              <w:pStyle w:val="49"/>
              <w:rPr>
                <w:rFonts w:cs="Times New Roman"/>
                <w:color w:val="FF0000"/>
                <w:u w:val="single"/>
              </w:rPr>
            </w:pPr>
            <w:r>
              <w:rPr>
                <w:rFonts w:cs="Times New Roman"/>
                <w:color w:val="FF0000"/>
                <w:u w:val="single"/>
              </w:rPr>
              <w:t>1h 平均</w:t>
            </w:r>
          </w:p>
        </w:tc>
        <w:tc>
          <w:tcPr>
            <w:tcW w:w="1930" w:type="dxa"/>
            <w:vAlign w:val="center"/>
          </w:tcPr>
          <w:p>
            <w:pPr>
              <w:pStyle w:val="49"/>
              <w:rPr>
                <w:rFonts w:cs="Times New Roman"/>
                <w:color w:val="FF0000"/>
                <w:u w:val="single"/>
              </w:rPr>
            </w:pPr>
            <w:r>
              <w:rPr>
                <w:rFonts w:cs="Times New Roman"/>
                <w:color w:val="FF0000"/>
                <w:u w:val="single"/>
              </w:rPr>
              <w:t>200</w:t>
            </w:r>
          </w:p>
        </w:tc>
        <w:tc>
          <w:tcPr>
            <w:tcW w:w="3503" w:type="dxa"/>
            <w:vMerge w:val="restart"/>
            <w:vAlign w:val="center"/>
          </w:tcPr>
          <w:p>
            <w:pPr>
              <w:pStyle w:val="49"/>
              <w:rPr>
                <w:rFonts w:cs="Times New Roman"/>
                <w:color w:val="FF0000"/>
                <w:u w:val="single"/>
              </w:rPr>
            </w:pPr>
            <w:r>
              <w:rPr>
                <w:rFonts w:cs="Times New Roman"/>
                <w:color w:val="FF0000"/>
                <w:u w:val="single"/>
              </w:rPr>
              <w:t>《环境影响评价技术导则 大气</w:t>
            </w:r>
          </w:p>
          <w:p>
            <w:pPr>
              <w:pStyle w:val="49"/>
              <w:rPr>
                <w:rFonts w:cs="Times New Roman"/>
                <w:color w:val="FF0000"/>
                <w:u w:val="single"/>
              </w:rPr>
            </w:pPr>
            <w:r>
              <w:rPr>
                <w:rFonts w:cs="Times New Roman"/>
                <w:color w:val="FF0000"/>
                <w:u w:val="single"/>
              </w:rPr>
              <w:t>环境》（HJ2.2-2018）表 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1756" w:type="dxa"/>
            <w:vAlign w:val="center"/>
          </w:tcPr>
          <w:p>
            <w:pPr>
              <w:pStyle w:val="49"/>
              <w:rPr>
                <w:rFonts w:cs="Times New Roman"/>
                <w:color w:val="FF0000"/>
                <w:u w:val="single"/>
              </w:rPr>
            </w:pPr>
            <w:r>
              <w:rPr>
                <w:rFonts w:cs="Times New Roman"/>
                <w:color w:val="FF0000"/>
                <w:u w:val="single"/>
              </w:rPr>
              <w:t>1h 平均</w:t>
            </w:r>
          </w:p>
        </w:tc>
        <w:tc>
          <w:tcPr>
            <w:tcW w:w="1930" w:type="dxa"/>
            <w:vAlign w:val="center"/>
          </w:tcPr>
          <w:p>
            <w:pPr>
              <w:pStyle w:val="49"/>
              <w:rPr>
                <w:rFonts w:cs="Times New Roman"/>
                <w:color w:val="FF0000"/>
                <w:u w:val="single"/>
              </w:rPr>
            </w:pPr>
            <w:r>
              <w:rPr>
                <w:rFonts w:cs="Times New Roman"/>
                <w:color w:val="FF0000"/>
                <w:u w:val="single"/>
              </w:rPr>
              <w:t>10</w:t>
            </w:r>
          </w:p>
        </w:tc>
        <w:tc>
          <w:tcPr>
            <w:tcW w:w="3503" w:type="dxa"/>
            <w:vMerge w:val="continue"/>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pStyle w:val="49"/>
              <w:rPr>
                <w:rFonts w:cs="Times New Roman"/>
                <w:color w:val="FF0000"/>
                <w:u w:val="single"/>
              </w:rPr>
            </w:pPr>
            <w:r>
              <w:rPr>
                <w:rFonts w:hint="eastAsia"/>
                <w:color w:val="FF0000"/>
                <w:szCs w:val="24"/>
                <w:u w:val="single"/>
              </w:rPr>
              <w:t>SO</w:t>
            </w:r>
            <w:r>
              <w:rPr>
                <w:rFonts w:hint="eastAsia"/>
                <w:color w:val="FF0000"/>
                <w:szCs w:val="24"/>
                <w:u w:val="single"/>
                <w:vertAlign w:val="subscript"/>
              </w:rPr>
              <w:t>2</w:t>
            </w:r>
          </w:p>
        </w:tc>
        <w:tc>
          <w:tcPr>
            <w:tcW w:w="1756" w:type="dxa"/>
            <w:vAlign w:val="center"/>
          </w:tcPr>
          <w:p>
            <w:pPr>
              <w:pStyle w:val="49"/>
              <w:rPr>
                <w:rFonts w:cs="Times New Roman"/>
                <w:color w:val="FF0000"/>
                <w:u w:val="single"/>
              </w:rPr>
            </w:pPr>
            <w:r>
              <w:rPr>
                <w:rFonts w:cs="Times New Roman"/>
                <w:color w:val="FF0000"/>
                <w:u w:val="single"/>
              </w:rPr>
              <w:t>1h 平均</w:t>
            </w:r>
          </w:p>
        </w:tc>
        <w:tc>
          <w:tcPr>
            <w:tcW w:w="1930" w:type="dxa"/>
            <w:vAlign w:val="center"/>
          </w:tcPr>
          <w:p>
            <w:pPr>
              <w:pStyle w:val="49"/>
              <w:rPr>
                <w:rFonts w:cs="Times New Roman"/>
                <w:color w:val="FF0000"/>
                <w:u w:val="single"/>
              </w:rPr>
            </w:pPr>
            <w:r>
              <w:rPr>
                <w:rFonts w:hint="eastAsia" w:cs="Times New Roman"/>
                <w:color w:val="FF0000"/>
                <w:u w:val="single"/>
              </w:rPr>
              <w:t>500</w:t>
            </w:r>
          </w:p>
        </w:tc>
        <w:tc>
          <w:tcPr>
            <w:tcW w:w="3503" w:type="dxa"/>
            <w:vMerge w:val="restart"/>
            <w:vAlign w:val="center"/>
          </w:tcPr>
          <w:p>
            <w:pPr>
              <w:pStyle w:val="49"/>
              <w:rPr>
                <w:rFonts w:cs="Times New Roman"/>
                <w:color w:val="FF0000"/>
                <w:u w:val="single"/>
              </w:rPr>
            </w:pPr>
            <w:r>
              <w:rPr>
                <w:rFonts w:cs="Times New Roman"/>
                <w:color w:val="FF0000"/>
                <w:u w:val="singl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pStyle w:val="49"/>
              <w:rPr>
                <w:rFonts w:cs="Times New Roman"/>
                <w:color w:val="FF0000"/>
                <w:u w:val="single"/>
              </w:rPr>
            </w:pPr>
            <w:r>
              <w:rPr>
                <w:rStyle w:val="37"/>
                <w:rFonts w:hint="eastAsia"/>
                <w:color w:val="FF0000"/>
                <w:sz w:val="21"/>
                <w:u w:val="single"/>
              </w:rPr>
              <w:t>NOx</w:t>
            </w:r>
          </w:p>
        </w:tc>
        <w:tc>
          <w:tcPr>
            <w:tcW w:w="1756" w:type="dxa"/>
            <w:vAlign w:val="center"/>
          </w:tcPr>
          <w:p>
            <w:pPr>
              <w:pStyle w:val="49"/>
              <w:rPr>
                <w:rFonts w:cs="Times New Roman"/>
                <w:color w:val="FF0000"/>
                <w:u w:val="single"/>
              </w:rPr>
            </w:pPr>
            <w:r>
              <w:rPr>
                <w:rFonts w:cs="Times New Roman"/>
                <w:color w:val="FF0000"/>
                <w:u w:val="single"/>
              </w:rPr>
              <w:t>1h 平均</w:t>
            </w:r>
          </w:p>
        </w:tc>
        <w:tc>
          <w:tcPr>
            <w:tcW w:w="1930" w:type="dxa"/>
            <w:vAlign w:val="center"/>
          </w:tcPr>
          <w:p>
            <w:pPr>
              <w:pStyle w:val="49"/>
              <w:rPr>
                <w:rFonts w:cs="Times New Roman"/>
                <w:color w:val="FF0000"/>
                <w:u w:val="single"/>
              </w:rPr>
            </w:pPr>
            <w:r>
              <w:rPr>
                <w:rFonts w:hint="eastAsia" w:cs="Times New Roman"/>
                <w:color w:val="FF0000"/>
                <w:u w:val="single"/>
              </w:rPr>
              <w:t>200</w:t>
            </w:r>
          </w:p>
        </w:tc>
        <w:tc>
          <w:tcPr>
            <w:tcW w:w="3503" w:type="dxa"/>
            <w:vMerge w:val="continue"/>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9" w:type="dxa"/>
            <w:vAlign w:val="center"/>
          </w:tcPr>
          <w:p>
            <w:pPr>
              <w:widowControl w:val="0"/>
              <w:jc w:val="center"/>
              <w:rPr>
                <w:rFonts w:ascii="Times New Roman" w:hAnsi="Times New Roman" w:cs="Times New Roman"/>
                <w:color w:val="FF0000"/>
                <w:u w:val="single"/>
              </w:rPr>
            </w:pPr>
            <w:r>
              <w:rPr>
                <w:rFonts w:hint="eastAsia" w:ascii="Times New Roman" w:hAnsi="Times New Roman"/>
                <w:color w:val="FF0000"/>
                <w:u w:val="single"/>
              </w:rPr>
              <w:t>TSP</w:t>
            </w:r>
          </w:p>
        </w:tc>
        <w:tc>
          <w:tcPr>
            <w:tcW w:w="1756" w:type="dxa"/>
            <w:vAlign w:val="center"/>
          </w:tcPr>
          <w:p>
            <w:pPr>
              <w:pStyle w:val="67"/>
              <w:spacing w:before="31"/>
              <w:rPr>
                <w:rFonts w:ascii="Times New Roman" w:hAnsi="Times New Roman" w:eastAsiaTheme="minorEastAsia"/>
                <w:color w:val="FF0000"/>
                <w:u w:val="single"/>
              </w:rPr>
            </w:pPr>
            <w:r>
              <w:rPr>
                <w:rFonts w:ascii="Times New Roman" w:hAnsi="Times New Roman" w:eastAsiaTheme="minorEastAsia"/>
                <w:color w:val="FF0000"/>
                <w:u w:val="single"/>
              </w:rPr>
              <w:t>24</w:t>
            </w:r>
            <w:r>
              <w:rPr>
                <w:rFonts w:hint="eastAsia" w:ascii="Times New Roman" w:hAnsi="Times New Roman" w:eastAsiaTheme="minorEastAsia"/>
                <w:color w:val="FF0000"/>
                <w:u w:val="single"/>
              </w:rPr>
              <w:t>小时平均</w:t>
            </w:r>
          </w:p>
        </w:tc>
        <w:tc>
          <w:tcPr>
            <w:tcW w:w="1930" w:type="dxa"/>
            <w:vAlign w:val="center"/>
          </w:tcPr>
          <w:p>
            <w:pPr>
              <w:pStyle w:val="67"/>
              <w:spacing w:before="31"/>
              <w:rPr>
                <w:rFonts w:ascii="Times New Roman" w:hAnsi="Times New Roman" w:eastAsiaTheme="minorEastAsia"/>
                <w:color w:val="FF0000"/>
                <w:u w:val="single"/>
              </w:rPr>
            </w:pPr>
            <w:r>
              <w:rPr>
                <w:rFonts w:hint="eastAsia" w:ascii="Times New Roman" w:hAnsi="Times New Roman" w:eastAsiaTheme="minorEastAsia"/>
                <w:color w:val="FF0000"/>
                <w:u w:val="single"/>
              </w:rPr>
              <w:t>300</w:t>
            </w:r>
          </w:p>
        </w:tc>
        <w:tc>
          <w:tcPr>
            <w:tcW w:w="3503" w:type="dxa"/>
            <w:vMerge w:val="continue"/>
            <w:vAlign w:val="center"/>
          </w:tcPr>
          <w:p>
            <w:pPr>
              <w:pStyle w:val="49"/>
              <w:rPr>
                <w:rFonts w:cs="Times New Roman"/>
                <w:color w:val="FF0000"/>
                <w:u w:val="single"/>
              </w:rPr>
            </w:pPr>
          </w:p>
        </w:tc>
      </w:tr>
    </w:tbl>
    <w:p>
      <w:pPr>
        <w:pStyle w:val="3"/>
        <w:ind w:firstLine="480"/>
        <w:rPr>
          <w:color w:val="FF0000"/>
          <w:u w:val="single"/>
        </w:rPr>
      </w:pPr>
      <w:r>
        <w:rPr>
          <w:rFonts w:hint="eastAsia"/>
          <w:color w:val="FF0000"/>
          <w:u w:val="single"/>
        </w:rPr>
        <w:t>（</w:t>
      </w:r>
      <w:r>
        <w:rPr>
          <w:color w:val="FF0000"/>
          <w:u w:val="single"/>
        </w:rPr>
        <w:t>4</w:t>
      </w:r>
      <w:r>
        <w:rPr>
          <w:rFonts w:hint="eastAsia"/>
          <w:color w:val="FF0000"/>
          <w:u w:val="single"/>
        </w:rPr>
        <w:t>）评价工作等级确定</w:t>
      </w:r>
    </w:p>
    <w:p>
      <w:pPr>
        <w:pStyle w:val="3"/>
        <w:ind w:firstLine="480"/>
        <w:rPr>
          <w:color w:val="FF0000"/>
          <w:u w:val="single"/>
        </w:rPr>
      </w:pPr>
      <w:r>
        <w:rPr>
          <w:rFonts w:hint="eastAsia"/>
          <w:color w:val="FF0000"/>
          <w:u w:val="single"/>
        </w:rPr>
        <w:t>按照《环境影响评价技术导则 大气环境》（HJ2.2-2018）要求，采用大气估算模式分别计算各污染源对应的污染物最大地面质量浓度。计算结果见表2.6-6，确定拟建工程大气环境评价等级为二级。</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表2.6-3   大气评价等级判别参数</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2473"/>
        <w:gridCol w:w="4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pct"/>
            <w:gridSpan w:val="2"/>
            <w:vAlign w:val="center"/>
          </w:tcPr>
          <w:p>
            <w:pPr>
              <w:pStyle w:val="49"/>
              <w:rPr>
                <w:b/>
                <w:color w:val="FF0000"/>
                <w:u w:val="single"/>
              </w:rPr>
            </w:pPr>
            <w:r>
              <w:rPr>
                <w:rFonts w:hint="eastAsia"/>
                <w:b/>
                <w:color w:val="FF0000"/>
                <w:u w:val="single"/>
              </w:rPr>
              <w:t>参数</w:t>
            </w:r>
          </w:p>
        </w:tc>
        <w:tc>
          <w:tcPr>
            <w:tcW w:w="2406" w:type="pct"/>
            <w:vAlign w:val="center"/>
          </w:tcPr>
          <w:p>
            <w:pPr>
              <w:pStyle w:val="49"/>
              <w:rPr>
                <w:b/>
                <w:color w:val="FF0000"/>
                <w:u w:val="single"/>
              </w:rPr>
            </w:pPr>
            <w:r>
              <w:rPr>
                <w:rFonts w:hint="eastAsia"/>
                <w:b/>
                <w:color w:val="FF0000"/>
                <w:u w:val="singl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restart"/>
            <w:vAlign w:val="center"/>
          </w:tcPr>
          <w:p>
            <w:pPr>
              <w:pStyle w:val="49"/>
              <w:rPr>
                <w:color w:val="FF0000"/>
                <w:u w:val="single"/>
              </w:rPr>
            </w:pPr>
            <w:r>
              <w:rPr>
                <w:rFonts w:hint="eastAsia"/>
                <w:color w:val="FF0000"/>
                <w:u w:val="single"/>
              </w:rPr>
              <w:t>城市农村</w:t>
            </w:r>
            <w:r>
              <w:rPr>
                <w:color w:val="FF0000"/>
                <w:u w:val="single"/>
              </w:rPr>
              <w:t>/</w:t>
            </w:r>
            <w:r>
              <w:rPr>
                <w:rFonts w:hint="eastAsia"/>
                <w:color w:val="FF0000"/>
                <w:u w:val="single"/>
              </w:rPr>
              <w:t>选项</w:t>
            </w:r>
          </w:p>
        </w:tc>
        <w:tc>
          <w:tcPr>
            <w:tcW w:w="1348" w:type="pct"/>
            <w:vAlign w:val="center"/>
          </w:tcPr>
          <w:p>
            <w:pPr>
              <w:pStyle w:val="49"/>
              <w:rPr>
                <w:color w:val="FF0000"/>
                <w:u w:val="single"/>
              </w:rPr>
            </w:pPr>
            <w:r>
              <w:rPr>
                <w:rFonts w:hint="eastAsia"/>
                <w:color w:val="FF0000"/>
                <w:u w:val="single"/>
              </w:rPr>
              <w:t>城市</w:t>
            </w:r>
            <w:r>
              <w:rPr>
                <w:color w:val="FF0000"/>
                <w:u w:val="single"/>
              </w:rPr>
              <w:t>/</w:t>
            </w:r>
            <w:r>
              <w:rPr>
                <w:rFonts w:hint="eastAsia"/>
                <w:color w:val="FF0000"/>
                <w:u w:val="single"/>
              </w:rPr>
              <w:t>农村</w:t>
            </w:r>
          </w:p>
        </w:tc>
        <w:tc>
          <w:tcPr>
            <w:tcW w:w="2406" w:type="pct"/>
            <w:vAlign w:val="center"/>
          </w:tcPr>
          <w:p>
            <w:pPr>
              <w:pStyle w:val="49"/>
              <w:rPr>
                <w:color w:val="FF0000"/>
                <w:u w:val="single"/>
              </w:rPr>
            </w:pPr>
            <w:r>
              <w:rPr>
                <w:rFonts w:hint="eastAsia"/>
                <w:color w:val="FF0000"/>
                <w:u w:val="singl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continue"/>
            <w:vAlign w:val="center"/>
          </w:tcPr>
          <w:p>
            <w:pPr>
              <w:jc w:val="left"/>
              <w:rPr>
                <w:rFonts w:ascii="Times New Roman" w:hAnsi="Times New Roman" w:cs="Times New Roman"/>
                <w:color w:val="FF0000"/>
                <w:u w:val="single"/>
              </w:rPr>
            </w:pPr>
          </w:p>
        </w:tc>
        <w:tc>
          <w:tcPr>
            <w:tcW w:w="1348" w:type="pct"/>
            <w:vAlign w:val="center"/>
          </w:tcPr>
          <w:p>
            <w:pPr>
              <w:pStyle w:val="49"/>
              <w:rPr>
                <w:color w:val="FF0000"/>
                <w:u w:val="single"/>
              </w:rPr>
            </w:pPr>
            <w:r>
              <w:rPr>
                <w:rFonts w:hint="eastAsia"/>
                <w:color w:val="FF0000"/>
                <w:u w:val="single"/>
              </w:rPr>
              <w:t>人口数</w:t>
            </w:r>
            <w:r>
              <w:rPr>
                <w:color w:val="FF0000"/>
                <w:u w:val="single"/>
              </w:rPr>
              <w:t>(</w:t>
            </w:r>
            <w:r>
              <w:rPr>
                <w:rFonts w:hint="eastAsia"/>
                <w:color w:val="FF0000"/>
                <w:u w:val="single"/>
              </w:rPr>
              <w:t>城市人口数</w:t>
            </w:r>
            <w:r>
              <w:rPr>
                <w:color w:val="FF0000"/>
                <w:u w:val="single"/>
              </w:rPr>
              <w:t>)</w:t>
            </w:r>
          </w:p>
        </w:tc>
        <w:tc>
          <w:tcPr>
            <w:tcW w:w="2406" w:type="pct"/>
            <w:vAlign w:val="center"/>
          </w:tcPr>
          <w:p>
            <w:pPr>
              <w:pStyle w:val="49"/>
              <w:rPr>
                <w:color w:val="FF0000"/>
                <w:u w:val="single"/>
              </w:rPr>
            </w:pPr>
            <w:r>
              <w:rPr>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pct"/>
            <w:gridSpan w:val="2"/>
            <w:vAlign w:val="center"/>
          </w:tcPr>
          <w:p>
            <w:pPr>
              <w:pStyle w:val="49"/>
              <w:rPr>
                <w:color w:val="FF0000"/>
                <w:u w:val="single"/>
              </w:rPr>
            </w:pPr>
            <w:r>
              <w:rPr>
                <w:rFonts w:hint="eastAsia"/>
                <w:color w:val="FF0000"/>
                <w:u w:val="single"/>
              </w:rPr>
              <w:t>最高环境温度</w:t>
            </w:r>
          </w:p>
        </w:tc>
        <w:tc>
          <w:tcPr>
            <w:tcW w:w="2406" w:type="pct"/>
            <w:vAlign w:val="center"/>
          </w:tcPr>
          <w:p>
            <w:pPr>
              <w:pStyle w:val="49"/>
              <w:rPr>
                <w:color w:val="FF0000"/>
                <w:u w:val="single"/>
              </w:rPr>
            </w:pPr>
            <w:r>
              <w:rPr>
                <w:color w:val="FF0000"/>
                <w:u w:val="single"/>
              </w:rPr>
              <w:t>40.8°C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pct"/>
            <w:gridSpan w:val="2"/>
            <w:vAlign w:val="center"/>
          </w:tcPr>
          <w:p>
            <w:pPr>
              <w:pStyle w:val="49"/>
              <w:rPr>
                <w:color w:val="FF0000"/>
                <w:u w:val="single"/>
              </w:rPr>
            </w:pPr>
            <w:r>
              <w:rPr>
                <w:rFonts w:hint="eastAsia"/>
                <w:color w:val="FF0000"/>
                <w:u w:val="single"/>
              </w:rPr>
              <w:t>最低环境温度</w:t>
            </w:r>
          </w:p>
        </w:tc>
        <w:tc>
          <w:tcPr>
            <w:tcW w:w="2406" w:type="pct"/>
            <w:vAlign w:val="center"/>
          </w:tcPr>
          <w:p>
            <w:pPr>
              <w:pStyle w:val="49"/>
              <w:rPr>
                <w:color w:val="FF0000"/>
                <w:u w:val="single"/>
              </w:rPr>
            </w:pPr>
            <w:r>
              <w:rPr>
                <w:color w:val="FF0000"/>
                <w:u w:val="single"/>
              </w:rPr>
              <w:t>-7.4°C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pct"/>
            <w:gridSpan w:val="2"/>
            <w:vAlign w:val="center"/>
          </w:tcPr>
          <w:p>
            <w:pPr>
              <w:pStyle w:val="49"/>
              <w:rPr>
                <w:color w:val="FF0000"/>
                <w:u w:val="single"/>
              </w:rPr>
            </w:pPr>
            <w:r>
              <w:rPr>
                <w:rFonts w:hint="eastAsia"/>
                <w:color w:val="FF0000"/>
                <w:u w:val="single"/>
              </w:rPr>
              <w:t>土地利用类型</w:t>
            </w:r>
          </w:p>
        </w:tc>
        <w:tc>
          <w:tcPr>
            <w:tcW w:w="2406" w:type="pct"/>
            <w:vAlign w:val="center"/>
          </w:tcPr>
          <w:p>
            <w:pPr>
              <w:pStyle w:val="49"/>
              <w:rPr>
                <w:color w:val="FF0000"/>
                <w:u w:val="single"/>
              </w:rPr>
            </w:pPr>
            <w:r>
              <w:rPr>
                <w:rFonts w:hint="eastAsia"/>
                <w:color w:val="FF0000"/>
                <w:u w:val="single"/>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pct"/>
            <w:gridSpan w:val="2"/>
            <w:vAlign w:val="center"/>
          </w:tcPr>
          <w:p>
            <w:pPr>
              <w:pStyle w:val="49"/>
              <w:rPr>
                <w:color w:val="FF0000"/>
                <w:u w:val="single"/>
              </w:rPr>
            </w:pPr>
            <w:r>
              <w:rPr>
                <w:rFonts w:hint="eastAsia"/>
                <w:color w:val="FF0000"/>
                <w:u w:val="single"/>
              </w:rPr>
              <w:t>区域湿度条件</w:t>
            </w:r>
          </w:p>
        </w:tc>
        <w:tc>
          <w:tcPr>
            <w:tcW w:w="2406" w:type="pct"/>
            <w:vAlign w:val="center"/>
          </w:tcPr>
          <w:p>
            <w:pPr>
              <w:pStyle w:val="49"/>
              <w:rPr>
                <w:color w:val="FF0000"/>
                <w:u w:val="single"/>
              </w:rPr>
            </w:pPr>
            <w:r>
              <w:rPr>
                <w:rFonts w:hint="eastAsia"/>
                <w:color w:val="FF0000"/>
                <w:u w:val="single"/>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restart"/>
            <w:vAlign w:val="center"/>
          </w:tcPr>
          <w:p>
            <w:pPr>
              <w:pStyle w:val="49"/>
              <w:rPr>
                <w:color w:val="FF0000"/>
                <w:u w:val="single"/>
              </w:rPr>
            </w:pPr>
            <w:r>
              <w:rPr>
                <w:rFonts w:hint="eastAsia"/>
                <w:color w:val="FF0000"/>
                <w:u w:val="single"/>
              </w:rPr>
              <w:t>是否考虑地形</w:t>
            </w:r>
          </w:p>
        </w:tc>
        <w:tc>
          <w:tcPr>
            <w:tcW w:w="1348" w:type="pct"/>
            <w:vAlign w:val="center"/>
          </w:tcPr>
          <w:p>
            <w:pPr>
              <w:pStyle w:val="49"/>
              <w:rPr>
                <w:color w:val="FF0000"/>
                <w:u w:val="single"/>
              </w:rPr>
            </w:pPr>
            <w:r>
              <w:rPr>
                <w:rFonts w:hint="eastAsia"/>
                <w:color w:val="FF0000"/>
                <w:u w:val="single"/>
              </w:rPr>
              <w:t>考虑地形</w:t>
            </w:r>
          </w:p>
        </w:tc>
        <w:tc>
          <w:tcPr>
            <w:tcW w:w="2406" w:type="pct"/>
            <w:vAlign w:val="center"/>
          </w:tcPr>
          <w:p>
            <w:pPr>
              <w:pStyle w:val="49"/>
              <w:rPr>
                <w:color w:val="FF0000"/>
                <w:u w:val="single"/>
              </w:rPr>
            </w:pPr>
            <w:r>
              <w:rPr>
                <w:rFonts w:hint="eastAsia" w:ascii="MS Mincho" w:hAnsi="MS Mincho" w:eastAsia="MS Mincho" w:cs="MS Mincho"/>
                <w:color w:val="FF0000"/>
                <w:u w:val="single"/>
              </w:rPr>
              <w:t>☑</w:t>
            </w:r>
            <w:r>
              <w:rPr>
                <w:rFonts w:hint="eastAsia"/>
                <w:color w:val="FF0000"/>
                <w:u w:val="single"/>
              </w:rPr>
              <w:t>是</w:t>
            </w:r>
            <w:r>
              <w:rPr>
                <w:color w:val="FF0000"/>
                <w:u w:val="single"/>
              </w:rPr>
              <w:t xml:space="preserve">  </w:t>
            </w:r>
            <w:r>
              <w:rPr>
                <w:rFonts w:hint="eastAsia" w:ascii="MS Mincho" w:hAnsi="MS Mincho" w:eastAsia="MS Mincho" w:cs="MS Mincho"/>
                <w:color w:val="FF0000"/>
                <w:u w:val="single"/>
              </w:rPr>
              <w:t>□</w:t>
            </w:r>
            <w:r>
              <w:rPr>
                <w:rFonts w:hint="eastAsia"/>
                <w:color w:val="FF0000"/>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6" w:type="pct"/>
            <w:vMerge w:val="continue"/>
            <w:vAlign w:val="center"/>
          </w:tcPr>
          <w:p>
            <w:pPr>
              <w:jc w:val="left"/>
              <w:rPr>
                <w:rFonts w:ascii="Times New Roman" w:hAnsi="Times New Roman" w:cs="Times New Roman"/>
                <w:color w:val="FF0000"/>
                <w:u w:val="single"/>
              </w:rPr>
            </w:pPr>
          </w:p>
        </w:tc>
        <w:tc>
          <w:tcPr>
            <w:tcW w:w="1348" w:type="pct"/>
            <w:vAlign w:val="center"/>
          </w:tcPr>
          <w:p>
            <w:pPr>
              <w:pStyle w:val="49"/>
              <w:rPr>
                <w:color w:val="FF0000"/>
                <w:u w:val="single"/>
              </w:rPr>
            </w:pPr>
            <w:r>
              <w:rPr>
                <w:rFonts w:hint="eastAsia"/>
                <w:color w:val="FF0000"/>
                <w:u w:val="single"/>
              </w:rPr>
              <w:t>地形数据分辨率</w:t>
            </w:r>
            <w:r>
              <w:rPr>
                <w:color w:val="FF0000"/>
                <w:u w:val="single"/>
              </w:rPr>
              <w:t>(m)</w:t>
            </w:r>
          </w:p>
        </w:tc>
        <w:tc>
          <w:tcPr>
            <w:tcW w:w="2406" w:type="pct"/>
            <w:vAlign w:val="center"/>
          </w:tcPr>
          <w:p>
            <w:pPr>
              <w:pStyle w:val="49"/>
              <w:rPr>
                <w:color w:val="FF0000"/>
                <w:u w:val="single"/>
              </w:rPr>
            </w:pPr>
            <w:r>
              <w:rPr>
                <w:rFonts w:hint="eastAsia"/>
                <w:color w:val="FF0000"/>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restart"/>
            <w:vAlign w:val="center"/>
          </w:tcPr>
          <w:p>
            <w:pPr>
              <w:pStyle w:val="49"/>
              <w:rPr>
                <w:color w:val="FF0000"/>
                <w:u w:val="single"/>
              </w:rPr>
            </w:pPr>
            <w:r>
              <w:rPr>
                <w:rFonts w:hint="eastAsia"/>
                <w:color w:val="FF0000"/>
                <w:u w:val="single"/>
              </w:rPr>
              <w:t>是否考虑海岸线熏烟</w:t>
            </w:r>
          </w:p>
        </w:tc>
        <w:tc>
          <w:tcPr>
            <w:tcW w:w="1348" w:type="pct"/>
            <w:vAlign w:val="center"/>
          </w:tcPr>
          <w:p>
            <w:pPr>
              <w:pStyle w:val="49"/>
              <w:rPr>
                <w:color w:val="FF0000"/>
                <w:u w:val="single"/>
              </w:rPr>
            </w:pPr>
            <w:r>
              <w:rPr>
                <w:rFonts w:hint="eastAsia"/>
                <w:color w:val="FF0000"/>
                <w:u w:val="single"/>
              </w:rPr>
              <w:t>考虑海岸线熏烟</w:t>
            </w:r>
          </w:p>
        </w:tc>
        <w:tc>
          <w:tcPr>
            <w:tcW w:w="2406" w:type="pct"/>
            <w:vAlign w:val="center"/>
          </w:tcPr>
          <w:p>
            <w:pPr>
              <w:pStyle w:val="49"/>
              <w:rPr>
                <w:color w:val="FF0000"/>
                <w:u w:val="single"/>
              </w:rPr>
            </w:pPr>
            <w:r>
              <w:rPr>
                <w:color w:val="FF0000"/>
                <w:u w:val="single"/>
              </w:rPr>
              <w:t>□</w:t>
            </w:r>
            <w:r>
              <w:rPr>
                <w:rFonts w:hint="eastAsia"/>
                <w:color w:val="FF0000"/>
                <w:u w:val="single"/>
              </w:rPr>
              <w:t>是</w:t>
            </w:r>
            <w:r>
              <w:rPr>
                <w:color w:val="FF0000"/>
                <w:u w:val="single"/>
              </w:rPr>
              <w:t xml:space="preserve">  </w:t>
            </w:r>
            <w:r>
              <w:rPr>
                <w:rFonts w:hint="eastAsia" w:ascii="MS Mincho" w:hAnsi="MS Mincho" w:eastAsia="MS Mincho" w:cs="MS Mincho"/>
                <w:color w:val="FF0000"/>
                <w:u w:val="single"/>
              </w:rPr>
              <w:t>☑</w:t>
            </w:r>
            <w:r>
              <w:rPr>
                <w:rFonts w:hint="eastAsia"/>
                <w:color w:val="FF0000"/>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continue"/>
            <w:vAlign w:val="center"/>
          </w:tcPr>
          <w:p>
            <w:pPr>
              <w:jc w:val="left"/>
              <w:rPr>
                <w:rFonts w:ascii="Times New Roman" w:hAnsi="Times New Roman" w:cs="Times New Roman"/>
                <w:color w:val="FF0000"/>
                <w:u w:val="single"/>
              </w:rPr>
            </w:pPr>
          </w:p>
        </w:tc>
        <w:tc>
          <w:tcPr>
            <w:tcW w:w="1348" w:type="pct"/>
            <w:vAlign w:val="center"/>
          </w:tcPr>
          <w:p>
            <w:pPr>
              <w:pStyle w:val="49"/>
              <w:rPr>
                <w:color w:val="FF0000"/>
                <w:u w:val="single"/>
              </w:rPr>
            </w:pPr>
            <w:r>
              <w:rPr>
                <w:rFonts w:hint="eastAsia"/>
                <w:color w:val="FF0000"/>
                <w:u w:val="single"/>
              </w:rPr>
              <w:t>海岸线距离</w:t>
            </w:r>
            <w:r>
              <w:rPr>
                <w:color w:val="FF0000"/>
                <w:u w:val="single"/>
              </w:rPr>
              <w:t>/m</w:t>
            </w:r>
          </w:p>
        </w:tc>
        <w:tc>
          <w:tcPr>
            <w:tcW w:w="2406" w:type="pct"/>
            <w:vAlign w:val="center"/>
          </w:tcPr>
          <w:p>
            <w:pPr>
              <w:pStyle w:val="49"/>
              <w:rPr>
                <w:color w:val="FF0000"/>
                <w:u w:val="single"/>
              </w:rPr>
            </w:pPr>
            <w:r>
              <w:rPr>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pct"/>
            <w:vMerge w:val="continue"/>
            <w:vAlign w:val="center"/>
          </w:tcPr>
          <w:p>
            <w:pPr>
              <w:jc w:val="left"/>
              <w:rPr>
                <w:rFonts w:ascii="Times New Roman" w:hAnsi="Times New Roman" w:cs="Times New Roman"/>
                <w:color w:val="FF0000"/>
                <w:u w:val="single"/>
              </w:rPr>
            </w:pPr>
          </w:p>
        </w:tc>
        <w:tc>
          <w:tcPr>
            <w:tcW w:w="1348" w:type="pct"/>
            <w:vAlign w:val="center"/>
          </w:tcPr>
          <w:p>
            <w:pPr>
              <w:pStyle w:val="49"/>
              <w:rPr>
                <w:color w:val="FF0000"/>
                <w:u w:val="single"/>
              </w:rPr>
            </w:pPr>
            <w:r>
              <w:rPr>
                <w:rFonts w:hint="eastAsia"/>
                <w:color w:val="FF0000"/>
                <w:u w:val="single"/>
              </w:rPr>
              <w:t>海岸线方向</w:t>
            </w:r>
            <w:r>
              <w:rPr>
                <w:color w:val="FF0000"/>
                <w:u w:val="single"/>
              </w:rPr>
              <w:t>/</w:t>
            </w:r>
            <w:r>
              <w:rPr>
                <w:color w:val="FF0000"/>
                <w:u w:val="single"/>
                <w:vertAlign w:val="superscript"/>
              </w:rPr>
              <w:t>o</w:t>
            </w:r>
          </w:p>
        </w:tc>
        <w:tc>
          <w:tcPr>
            <w:tcW w:w="2406" w:type="pct"/>
            <w:vAlign w:val="center"/>
          </w:tcPr>
          <w:p>
            <w:pPr>
              <w:pStyle w:val="49"/>
              <w:rPr>
                <w:color w:val="FF0000"/>
                <w:u w:val="single"/>
              </w:rPr>
            </w:pPr>
            <w:r>
              <w:rPr>
                <w:color w:val="FF0000"/>
                <w:u w:val="single"/>
              </w:rPr>
              <w:t>/</w:t>
            </w:r>
          </w:p>
        </w:tc>
      </w:tr>
    </w:tbl>
    <w:p>
      <w:pPr>
        <w:pStyle w:val="3"/>
        <w:ind w:firstLine="480"/>
        <w:rPr>
          <w:color w:val="FF0000"/>
          <w:u w:val="single"/>
        </w:rPr>
      </w:pPr>
    </w:p>
    <w:p>
      <w:pPr>
        <w:pStyle w:val="14"/>
        <w:rPr>
          <w:rFonts w:cs="Times New Roman"/>
          <w:color w:val="FF0000"/>
          <w:u w:val="single"/>
        </w:rPr>
      </w:pPr>
      <w:r>
        <w:rPr>
          <w:rFonts w:cs="Times New Roman"/>
          <w:color w:val="FF0000"/>
          <w:u w:val="single"/>
        </w:rPr>
        <w:t>表2.6-4  大气点源评价等级参数及判别一览表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255"/>
        <w:gridCol w:w="1424"/>
        <w:gridCol w:w="1319"/>
        <w:gridCol w:w="503"/>
        <w:gridCol w:w="504"/>
        <w:gridCol w:w="709"/>
        <w:gridCol w:w="535"/>
        <w:gridCol w:w="576"/>
        <w:gridCol w:w="448"/>
        <w:gridCol w:w="566"/>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编号</w:t>
            </w:r>
          </w:p>
        </w:tc>
        <w:tc>
          <w:tcPr>
            <w:tcW w:w="684"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名称</w:t>
            </w:r>
          </w:p>
        </w:tc>
        <w:tc>
          <w:tcPr>
            <w:tcW w:w="1495" w:type="pct"/>
            <w:gridSpan w:val="2"/>
            <w:vAlign w:val="center"/>
          </w:tcPr>
          <w:p>
            <w:pPr>
              <w:pStyle w:val="49"/>
              <w:rPr>
                <w:rFonts w:cs="Times New Roman"/>
                <w:color w:val="FF0000"/>
                <w:sz w:val="18"/>
                <w:szCs w:val="18"/>
                <w:u w:val="single"/>
              </w:rPr>
            </w:pPr>
            <w:r>
              <w:rPr>
                <w:rFonts w:cs="Times New Roman"/>
                <w:color w:val="FF0000"/>
                <w:sz w:val="18"/>
                <w:szCs w:val="18"/>
                <w:u w:val="single"/>
              </w:rPr>
              <w:t>底部中心坐标</w:t>
            </w:r>
          </w:p>
        </w:tc>
        <w:tc>
          <w:tcPr>
            <w:tcW w:w="275"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排气筒高度/m</w:t>
            </w:r>
          </w:p>
        </w:tc>
        <w:tc>
          <w:tcPr>
            <w:tcW w:w="275"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排气筒出口内径/m</w:t>
            </w:r>
          </w:p>
        </w:tc>
        <w:tc>
          <w:tcPr>
            <w:tcW w:w="387"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烟气</w:t>
            </w:r>
          </w:p>
          <w:p>
            <w:pPr>
              <w:pStyle w:val="49"/>
              <w:rPr>
                <w:rFonts w:cs="Times New Roman"/>
                <w:color w:val="FF0000"/>
                <w:sz w:val="18"/>
                <w:szCs w:val="18"/>
                <w:u w:val="single"/>
              </w:rPr>
            </w:pPr>
            <w:r>
              <w:rPr>
                <w:rFonts w:cs="Times New Roman"/>
                <w:color w:val="FF0000"/>
                <w:sz w:val="18"/>
                <w:szCs w:val="18"/>
                <w:u w:val="single"/>
              </w:rPr>
              <w:t>流量</w:t>
            </w:r>
          </w:p>
          <w:p>
            <w:pPr>
              <w:pStyle w:val="49"/>
              <w:rPr>
                <w:rFonts w:cs="Times New Roman"/>
                <w:color w:val="FF0000"/>
                <w:sz w:val="18"/>
                <w:szCs w:val="18"/>
                <w:u w:val="single"/>
              </w:rPr>
            </w:pPr>
            <w:r>
              <w:rPr>
                <w:rFonts w:cs="Times New Roman"/>
                <w:color w:val="FF0000"/>
                <w:sz w:val="18"/>
                <w:szCs w:val="18"/>
                <w:u w:val="single"/>
              </w:rPr>
              <w:t>万m</w:t>
            </w:r>
            <w:r>
              <w:rPr>
                <w:rFonts w:cs="Times New Roman"/>
                <w:color w:val="FF0000"/>
                <w:sz w:val="18"/>
                <w:szCs w:val="18"/>
                <w:u w:val="single"/>
                <w:vertAlign w:val="superscript"/>
              </w:rPr>
              <w:t>3</w:t>
            </w:r>
            <w:r>
              <w:rPr>
                <w:rFonts w:cs="Times New Roman"/>
                <w:color w:val="FF0000"/>
                <w:sz w:val="18"/>
                <w:szCs w:val="18"/>
                <w:u w:val="single"/>
              </w:rPr>
              <w:t>/a</w:t>
            </w:r>
          </w:p>
        </w:tc>
        <w:tc>
          <w:tcPr>
            <w:tcW w:w="292"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烟气温度/</w:t>
            </w:r>
            <w:r>
              <w:rPr>
                <w:rFonts w:hint="eastAsia" w:ascii="宋体" w:hAnsi="宋体" w:cs="宋体"/>
                <w:color w:val="FF0000"/>
                <w:sz w:val="18"/>
                <w:szCs w:val="18"/>
                <w:u w:val="single"/>
              </w:rPr>
              <w:t>℃</w:t>
            </w:r>
          </w:p>
        </w:tc>
        <w:tc>
          <w:tcPr>
            <w:tcW w:w="314"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年排放小时数/h</w:t>
            </w:r>
          </w:p>
        </w:tc>
        <w:tc>
          <w:tcPr>
            <w:tcW w:w="245"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排放工况</w:t>
            </w:r>
          </w:p>
        </w:tc>
        <w:tc>
          <w:tcPr>
            <w:tcW w:w="795" w:type="pct"/>
            <w:gridSpan w:val="2"/>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排放速率</w:t>
            </w:r>
          </w:p>
          <w:p>
            <w:pPr>
              <w:pStyle w:val="49"/>
              <w:rPr>
                <w:rFonts w:cs="Times New Roman"/>
                <w:color w:val="FF0000"/>
                <w:sz w:val="18"/>
                <w:szCs w:val="18"/>
                <w:u w:val="single"/>
              </w:rPr>
            </w:pPr>
            <w:r>
              <w:rPr>
                <w:rFonts w:hint="eastAsia" w:cs="Times New Roman"/>
                <w:color w:val="FF0000"/>
                <w:sz w:val="18"/>
                <w:szCs w:val="18"/>
                <w:u w:val="singl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continue"/>
            <w:shd w:val="clear" w:color="auto" w:fill="auto"/>
            <w:vAlign w:val="center"/>
          </w:tcPr>
          <w:p>
            <w:pPr>
              <w:pStyle w:val="49"/>
              <w:rPr>
                <w:rFonts w:cs="Times New Roman"/>
                <w:color w:val="FF0000"/>
                <w:sz w:val="18"/>
                <w:szCs w:val="18"/>
                <w:u w:val="single"/>
              </w:rPr>
            </w:pPr>
          </w:p>
        </w:tc>
        <w:tc>
          <w:tcPr>
            <w:tcW w:w="684" w:type="pct"/>
            <w:vMerge w:val="continue"/>
            <w:shd w:val="clear" w:color="auto" w:fill="auto"/>
            <w:vAlign w:val="center"/>
          </w:tcPr>
          <w:p>
            <w:pPr>
              <w:pStyle w:val="49"/>
              <w:rPr>
                <w:rFonts w:cs="Times New Roman"/>
                <w:color w:val="FF0000"/>
                <w:sz w:val="18"/>
                <w:szCs w:val="18"/>
                <w:u w:val="single"/>
              </w:rPr>
            </w:pPr>
          </w:p>
        </w:tc>
        <w:tc>
          <w:tcPr>
            <w:tcW w:w="776" w:type="pct"/>
            <w:vAlign w:val="center"/>
          </w:tcPr>
          <w:p>
            <w:pPr>
              <w:pStyle w:val="49"/>
              <w:rPr>
                <w:rFonts w:cs="Times New Roman"/>
                <w:color w:val="FF0000"/>
                <w:sz w:val="18"/>
                <w:szCs w:val="18"/>
                <w:u w:val="single"/>
              </w:rPr>
            </w:pPr>
            <w:r>
              <w:rPr>
                <w:rFonts w:cs="Times New Roman"/>
                <w:color w:val="FF0000"/>
                <w:sz w:val="18"/>
                <w:szCs w:val="18"/>
                <w:u w:val="single"/>
              </w:rPr>
              <w:t>X（E）</w:t>
            </w:r>
          </w:p>
        </w:tc>
        <w:tc>
          <w:tcPr>
            <w:tcW w:w="719" w:type="pct"/>
            <w:vAlign w:val="center"/>
          </w:tcPr>
          <w:p>
            <w:pPr>
              <w:pStyle w:val="49"/>
              <w:rPr>
                <w:rFonts w:cs="Times New Roman"/>
                <w:color w:val="FF0000"/>
                <w:sz w:val="18"/>
                <w:szCs w:val="18"/>
                <w:u w:val="single"/>
              </w:rPr>
            </w:pPr>
            <w:r>
              <w:rPr>
                <w:rFonts w:cs="Times New Roman"/>
                <w:color w:val="FF0000"/>
                <w:sz w:val="18"/>
                <w:szCs w:val="18"/>
                <w:u w:val="single"/>
              </w:rPr>
              <w:t>Y（N）</w:t>
            </w:r>
          </w:p>
        </w:tc>
        <w:tc>
          <w:tcPr>
            <w:tcW w:w="275" w:type="pct"/>
            <w:vMerge w:val="continue"/>
            <w:shd w:val="clear" w:color="auto" w:fill="auto"/>
            <w:vAlign w:val="center"/>
          </w:tcPr>
          <w:p>
            <w:pPr>
              <w:pStyle w:val="49"/>
              <w:rPr>
                <w:rFonts w:cs="Times New Roman"/>
                <w:color w:val="FF0000"/>
                <w:sz w:val="18"/>
                <w:szCs w:val="18"/>
                <w:u w:val="single"/>
              </w:rPr>
            </w:pPr>
          </w:p>
        </w:tc>
        <w:tc>
          <w:tcPr>
            <w:tcW w:w="275" w:type="pct"/>
            <w:vMerge w:val="continue"/>
            <w:shd w:val="clear" w:color="auto" w:fill="auto"/>
            <w:vAlign w:val="center"/>
          </w:tcPr>
          <w:p>
            <w:pPr>
              <w:pStyle w:val="49"/>
              <w:rPr>
                <w:rFonts w:cs="Times New Roman"/>
                <w:color w:val="FF0000"/>
                <w:sz w:val="18"/>
                <w:szCs w:val="18"/>
                <w:u w:val="single"/>
              </w:rPr>
            </w:pPr>
          </w:p>
        </w:tc>
        <w:tc>
          <w:tcPr>
            <w:tcW w:w="387" w:type="pct"/>
            <w:vMerge w:val="continue"/>
            <w:shd w:val="clear" w:color="auto" w:fill="auto"/>
            <w:vAlign w:val="center"/>
          </w:tcPr>
          <w:p>
            <w:pPr>
              <w:pStyle w:val="49"/>
              <w:rPr>
                <w:rFonts w:cs="Times New Roman"/>
                <w:color w:val="FF0000"/>
                <w:sz w:val="18"/>
                <w:szCs w:val="18"/>
                <w:u w:val="single"/>
              </w:rPr>
            </w:pPr>
          </w:p>
        </w:tc>
        <w:tc>
          <w:tcPr>
            <w:tcW w:w="292" w:type="pct"/>
            <w:vMerge w:val="continue"/>
            <w:shd w:val="clear" w:color="auto" w:fill="auto"/>
            <w:vAlign w:val="center"/>
          </w:tcPr>
          <w:p>
            <w:pPr>
              <w:pStyle w:val="49"/>
              <w:rPr>
                <w:rFonts w:cs="Times New Roman"/>
                <w:color w:val="FF0000"/>
                <w:sz w:val="18"/>
                <w:szCs w:val="18"/>
                <w:u w:val="single"/>
              </w:rPr>
            </w:pPr>
          </w:p>
        </w:tc>
        <w:tc>
          <w:tcPr>
            <w:tcW w:w="314" w:type="pct"/>
            <w:vMerge w:val="continue"/>
            <w:shd w:val="clear" w:color="auto" w:fill="auto"/>
            <w:vAlign w:val="center"/>
          </w:tcPr>
          <w:p>
            <w:pPr>
              <w:pStyle w:val="49"/>
              <w:rPr>
                <w:rFonts w:cs="Times New Roman"/>
                <w:color w:val="FF0000"/>
                <w:sz w:val="18"/>
                <w:szCs w:val="18"/>
                <w:u w:val="single"/>
              </w:rPr>
            </w:pPr>
          </w:p>
        </w:tc>
        <w:tc>
          <w:tcPr>
            <w:tcW w:w="245" w:type="pct"/>
            <w:vMerge w:val="continue"/>
            <w:shd w:val="clear" w:color="auto" w:fill="auto"/>
            <w:vAlign w:val="center"/>
          </w:tcPr>
          <w:p>
            <w:pPr>
              <w:pStyle w:val="49"/>
              <w:rPr>
                <w:rFonts w:cs="Times New Roman"/>
                <w:color w:val="FF0000"/>
                <w:sz w:val="18"/>
                <w:szCs w:val="18"/>
                <w:u w:val="single"/>
              </w:rPr>
            </w:pPr>
          </w:p>
        </w:tc>
        <w:tc>
          <w:tcPr>
            <w:tcW w:w="795" w:type="pct"/>
            <w:gridSpan w:val="2"/>
            <w:vMerge w:val="continue"/>
            <w:shd w:val="clear" w:color="auto" w:fill="auto"/>
            <w:vAlign w:val="center"/>
          </w:tcPr>
          <w:p>
            <w:pPr>
              <w:pStyle w:val="49"/>
              <w:rPr>
                <w:rFonts w:cs="Times New Roman"/>
                <w:color w:val="FF000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restart"/>
            <w:shd w:val="clear" w:color="auto" w:fill="auto"/>
            <w:vAlign w:val="center"/>
          </w:tcPr>
          <w:p>
            <w:pPr>
              <w:pStyle w:val="49"/>
              <w:rPr>
                <w:rFonts w:cs="Times New Roman"/>
                <w:color w:val="FF0000"/>
                <w:sz w:val="18"/>
                <w:szCs w:val="18"/>
                <w:u w:val="single"/>
              </w:rPr>
            </w:pPr>
            <w:r>
              <w:rPr>
                <w:rFonts w:hint="eastAsia" w:cs="Times New Roman"/>
                <w:color w:val="FF0000"/>
                <w:sz w:val="18"/>
                <w:szCs w:val="18"/>
                <w:u w:val="single"/>
              </w:rPr>
              <w:t>1</w:t>
            </w:r>
          </w:p>
        </w:tc>
        <w:tc>
          <w:tcPr>
            <w:tcW w:w="684" w:type="pct"/>
            <w:vMerge w:val="restart"/>
            <w:shd w:val="clear" w:color="auto" w:fill="auto"/>
            <w:vAlign w:val="center"/>
          </w:tcPr>
          <w:p>
            <w:pPr>
              <w:pStyle w:val="49"/>
              <w:rPr>
                <w:rFonts w:cs="Times New Roman"/>
                <w:color w:val="FF0000"/>
                <w:kern w:val="0"/>
                <w:u w:val="single"/>
              </w:rPr>
            </w:pPr>
            <w:r>
              <w:rPr>
                <w:rFonts w:hint="eastAsia" w:cs="Times New Roman"/>
                <w:color w:val="FF0000"/>
                <w:kern w:val="0"/>
                <w:u w:val="single"/>
              </w:rPr>
              <w:t>生物质锅炉排气筒</w:t>
            </w:r>
          </w:p>
          <w:p>
            <w:pPr>
              <w:pStyle w:val="49"/>
              <w:rPr>
                <w:rFonts w:cs="Times New Roman"/>
                <w:color w:val="FF0000"/>
                <w:kern w:val="0"/>
                <w:u w:val="single"/>
              </w:rPr>
            </w:pPr>
            <w:r>
              <w:rPr>
                <w:rFonts w:hint="eastAsia"/>
                <w:color w:val="FF0000"/>
                <w:u w:val="single"/>
                <w:shd w:val="clear" w:color="auto" w:fill="FFFFFF"/>
              </w:rPr>
              <w:t>（</w:t>
            </w:r>
            <w:r>
              <w:rPr>
                <w:color w:val="FF0000"/>
                <w:u w:val="single"/>
                <w:shd w:val="clear" w:color="auto" w:fill="FFFFFF"/>
              </w:rPr>
              <w:t>DA001</w:t>
            </w:r>
            <w:r>
              <w:rPr>
                <w:rFonts w:hint="eastAsia"/>
                <w:color w:val="FF0000"/>
                <w:u w:val="single"/>
                <w:shd w:val="clear" w:color="auto" w:fill="FFFFFF"/>
              </w:rPr>
              <w:t>）</w:t>
            </w:r>
          </w:p>
        </w:tc>
        <w:tc>
          <w:tcPr>
            <w:tcW w:w="776" w:type="pct"/>
            <w:vMerge w:val="restart"/>
            <w:vAlign w:val="center"/>
          </w:tcPr>
          <w:p>
            <w:pPr>
              <w:pStyle w:val="49"/>
              <w:rPr>
                <w:rFonts w:cs="Times New Roman"/>
                <w:color w:val="FF0000"/>
                <w:kern w:val="0"/>
                <w:u w:val="single"/>
              </w:rPr>
            </w:pPr>
            <w:r>
              <w:rPr>
                <w:rFonts w:cs="Times New Roman"/>
                <w:color w:val="FF0000"/>
                <w:kern w:val="0"/>
                <w:u w:val="single"/>
              </w:rPr>
              <w:t>112.52749264</w:t>
            </w:r>
          </w:p>
        </w:tc>
        <w:tc>
          <w:tcPr>
            <w:tcW w:w="719" w:type="pct"/>
            <w:vMerge w:val="restart"/>
            <w:vAlign w:val="center"/>
          </w:tcPr>
          <w:p>
            <w:pPr>
              <w:pStyle w:val="49"/>
              <w:rPr>
                <w:rFonts w:cs="Times New Roman"/>
                <w:color w:val="FF0000"/>
                <w:kern w:val="0"/>
                <w:u w:val="single"/>
              </w:rPr>
            </w:pPr>
            <w:r>
              <w:rPr>
                <w:rFonts w:cs="Times New Roman"/>
                <w:color w:val="FF0000"/>
                <w:kern w:val="0"/>
                <w:u w:val="single"/>
              </w:rPr>
              <w:t>26.98255913</w:t>
            </w:r>
          </w:p>
        </w:tc>
        <w:tc>
          <w:tcPr>
            <w:tcW w:w="275" w:type="pct"/>
            <w:vMerge w:val="restart"/>
            <w:shd w:val="clear" w:color="auto" w:fill="auto"/>
            <w:vAlign w:val="center"/>
          </w:tcPr>
          <w:p>
            <w:pPr>
              <w:pStyle w:val="49"/>
              <w:rPr>
                <w:rFonts w:cs="Times New Roman"/>
                <w:color w:val="FF0000"/>
                <w:kern w:val="0"/>
                <w:u w:val="single"/>
              </w:rPr>
            </w:pPr>
            <w:r>
              <w:rPr>
                <w:rFonts w:hint="eastAsia" w:cs="Times New Roman"/>
                <w:color w:val="FF0000"/>
                <w:kern w:val="0"/>
                <w:u w:val="single"/>
              </w:rPr>
              <w:t>25</w:t>
            </w:r>
          </w:p>
        </w:tc>
        <w:tc>
          <w:tcPr>
            <w:tcW w:w="275" w:type="pct"/>
            <w:vMerge w:val="restart"/>
            <w:shd w:val="clear" w:color="auto" w:fill="auto"/>
            <w:vAlign w:val="center"/>
          </w:tcPr>
          <w:p>
            <w:pPr>
              <w:pStyle w:val="49"/>
              <w:rPr>
                <w:rFonts w:cs="Times New Roman"/>
                <w:color w:val="FF0000"/>
                <w:kern w:val="0"/>
                <w:u w:val="single"/>
              </w:rPr>
            </w:pPr>
            <w:r>
              <w:rPr>
                <w:rFonts w:cs="Times New Roman"/>
                <w:color w:val="FF0000"/>
                <w:kern w:val="0"/>
                <w:u w:val="single"/>
              </w:rPr>
              <w:t>0.3</w:t>
            </w:r>
          </w:p>
        </w:tc>
        <w:tc>
          <w:tcPr>
            <w:tcW w:w="387" w:type="pct"/>
            <w:vMerge w:val="restart"/>
            <w:shd w:val="clear" w:color="auto" w:fill="auto"/>
            <w:vAlign w:val="center"/>
          </w:tcPr>
          <w:p>
            <w:pPr>
              <w:pStyle w:val="49"/>
              <w:rPr>
                <w:rFonts w:cs="Times New Roman"/>
                <w:color w:val="FF0000"/>
                <w:sz w:val="18"/>
                <w:szCs w:val="18"/>
                <w:u w:val="single"/>
              </w:rPr>
            </w:pPr>
            <w:r>
              <w:rPr>
                <w:rFonts w:hint="eastAsia" w:cs="Times New Roman"/>
                <w:color w:val="FF0000"/>
                <w:sz w:val="18"/>
                <w:szCs w:val="18"/>
                <w:u w:val="single"/>
              </w:rPr>
              <w:t>374.4</w:t>
            </w:r>
          </w:p>
        </w:tc>
        <w:tc>
          <w:tcPr>
            <w:tcW w:w="292" w:type="pct"/>
            <w:vMerge w:val="restart"/>
            <w:shd w:val="clear" w:color="auto" w:fill="auto"/>
            <w:vAlign w:val="center"/>
          </w:tcPr>
          <w:p>
            <w:pPr>
              <w:pStyle w:val="49"/>
              <w:rPr>
                <w:rFonts w:cs="Times New Roman"/>
                <w:color w:val="FF0000"/>
                <w:sz w:val="18"/>
                <w:szCs w:val="18"/>
                <w:u w:val="single"/>
              </w:rPr>
            </w:pPr>
            <w:r>
              <w:rPr>
                <w:rFonts w:hint="eastAsia" w:cs="Times New Roman"/>
                <w:color w:val="FF0000"/>
                <w:sz w:val="18"/>
                <w:szCs w:val="18"/>
                <w:u w:val="single"/>
              </w:rPr>
              <w:t>100</w:t>
            </w:r>
          </w:p>
        </w:tc>
        <w:tc>
          <w:tcPr>
            <w:tcW w:w="314" w:type="pct"/>
            <w:vMerge w:val="restart"/>
            <w:shd w:val="clear" w:color="auto" w:fill="auto"/>
            <w:vAlign w:val="center"/>
          </w:tcPr>
          <w:p>
            <w:pPr>
              <w:pStyle w:val="49"/>
              <w:rPr>
                <w:rFonts w:cs="Times New Roman"/>
                <w:color w:val="FF0000"/>
                <w:sz w:val="18"/>
                <w:szCs w:val="18"/>
                <w:u w:val="single"/>
              </w:rPr>
            </w:pPr>
            <w:r>
              <w:rPr>
                <w:rFonts w:hint="eastAsia" w:cs="Times New Roman"/>
                <w:color w:val="FF0000"/>
                <w:sz w:val="18"/>
                <w:szCs w:val="18"/>
                <w:u w:val="single"/>
              </w:rPr>
              <w:t>2400</w:t>
            </w:r>
          </w:p>
        </w:tc>
        <w:tc>
          <w:tcPr>
            <w:tcW w:w="245" w:type="pct"/>
            <w:vMerge w:val="restar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正常</w:t>
            </w:r>
          </w:p>
        </w:tc>
        <w:tc>
          <w:tcPr>
            <w:tcW w:w="309" w:type="pct"/>
            <w:shd w:val="clear" w:color="auto" w:fill="auto"/>
            <w:vAlign w:val="center"/>
          </w:tcPr>
          <w:p>
            <w:pPr>
              <w:pStyle w:val="49"/>
              <w:rPr>
                <w:rFonts w:cs="Times New Roman"/>
                <w:color w:val="FF0000"/>
                <w:sz w:val="18"/>
                <w:szCs w:val="18"/>
                <w:u w:val="single"/>
              </w:rPr>
            </w:pPr>
            <w:r>
              <w:rPr>
                <w:rFonts w:hint="eastAsia" w:cs="Times New Roman"/>
                <w:color w:val="FF0000"/>
                <w:sz w:val="18"/>
                <w:szCs w:val="18"/>
                <w:u w:val="single"/>
              </w:rPr>
              <w:t>TSP</w:t>
            </w:r>
          </w:p>
        </w:tc>
        <w:tc>
          <w:tcPr>
            <w:tcW w:w="486" w:type="pct"/>
            <w:shd w:val="clear" w:color="auto" w:fill="auto"/>
            <w:vAlign w:val="center"/>
          </w:tcPr>
          <w:p>
            <w:pPr>
              <w:pStyle w:val="49"/>
              <w:rPr>
                <w:rFonts w:cs="Times New Roman"/>
                <w:color w:val="FF0000"/>
                <w:sz w:val="18"/>
                <w:szCs w:val="18"/>
                <w:u w:val="single"/>
              </w:rPr>
            </w:pPr>
            <w:r>
              <w:rPr>
                <w:color w:val="FF0000"/>
              </w:rPr>
              <w:t>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continue"/>
            <w:shd w:val="clear" w:color="auto" w:fill="auto"/>
            <w:vAlign w:val="center"/>
          </w:tcPr>
          <w:p>
            <w:pPr>
              <w:pStyle w:val="49"/>
              <w:rPr>
                <w:rFonts w:cs="Times New Roman"/>
                <w:color w:val="FF0000"/>
                <w:sz w:val="18"/>
                <w:szCs w:val="18"/>
                <w:u w:val="single"/>
              </w:rPr>
            </w:pPr>
          </w:p>
        </w:tc>
        <w:tc>
          <w:tcPr>
            <w:tcW w:w="684" w:type="pct"/>
            <w:vMerge w:val="continue"/>
            <w:shd w:val="clear" w:color="auto" w:fill="auto"/>
            <w:vAlign w:val="center"/>
          </w:tcPr>
          <w:p>
            <w:pPr>
              <w:pStyle w:val="49"/>
              <w:rPr>
                <w:rFonts w:cs="Times New Roman"/>
                <w:color w:val="FF0000"/>
                <w:kern w:val="0"/>
                <w:u w:val="single"/>
              </w:rPr>
            </w:pPr>
          </w:p>
        </w:tc>
        <w:tc>
          <w:tcPr>
            <w:tcW w:w="776" w:type="pct"/>
            <w:vMerge w:val="continue"/>
            <w:vAlign w:val="center"/>
          </w:tcPr>
          <w:p>
            <w:pPr>
              <w:pStyle w:val="49"/>
              <w:rPr>
                <w:rFonts w:cs="Times New Roman"/>
                <w:color w:val="FF0000"/>
                <w:kern w:val="0"/>
                <w:u w:val="single"/>
              </w:rPr>
            </w:pPr>
          </w:p>
        </w:tc>
        <w:tc>
          <w:tcPr>
            <w:tcW w:w="719" w:type="pct"/>
            <w:vMerge w:val="continue"/>
            <w:vAlign w:val="center"/>
          </w:tcPr>
          <w:p>
            <w:pPr>
              <w:pStyle w:val="49"/>
              <w:rPr>
                <w:rFonts w:cs="Times New Roman"/>
                <w:color w:val="FF0000"/>
                <w:kern w:val="0"/>
                <w:u w:val="single"/>
              </w:rPr>
            </w:pPr>
          </w:p>
        </w:tc>
        <w:tc>
          <w:tcPr>
            <w:tcW w:w="275" w:type="pct"/>
            <w:vMerge w:val="continue"/>
            <w:shd w:val="clear" w:color="auto" w:fill="auto"/>
            <w:vAlign w:val="center"/>
          </w:tcPr>
          <w:p>
            <w:pPr>
              <w:pStyle w:val="49"/>
              <w:rPr>
                <w:rFonts w:cs="Times New Roman"/>
                <w:color w:val="FF0000"/>
                <w:kern w:val="0"/>
                <w:u w:val="single"/>
              </w:rPr>
            </w:pPr>
          </w:p>
        </w:tc>
        <w:tc>
          <w:tcPr>
            <w:tcW w:w="275" w:type="pct"/>
            <w:vMerge w:val="continue"/>
            <w:shd w:val="clear" w:color="auto" w:fill="auto"/>
            <w:vAlign w:val="center"/>
          </w:tcPr>
          <w:p>
            <w:pPr>
              <w:pStyle w:val="49"/>
              <w:rPr>
                <w:rFonts w:cs="Times New Roman"/>
                <w:color w:val="FF0000"/>
                <w:kern w:val="0"/>
                <w:u w:val="single"/>
              </w:rPr>
            </w:pPr>
          </w:p>
        </w:tc>
        <w:tc>
          <w:tcPr>
            <w:tcW w:w="387" w:type="pct"/>
            <w:vMerge w:val="continue"/>
            <w:shd w:val="clear" w:color="auto" w:fill="auto"/>
            <w:vAlign w:val="center"/>
          </w:tcPr>
          <w:p>
            <w:pPr>
              <w:pStyle w:val="49"/>
              <w:rPr>
                <w:rFonts w:cs="Times New Roman"/>
                <w:color w:val="FF0000"/>
                <w:sz w:val="18"/>
                <w:szCs w:val="18"/>
                <w:u w:val="single"/>
              </w:rPr>
            </w:pPr>
          </w:p>
        </w:tc>
        <w:tc>
          <w:tcPr>
            <w:tcW w:w="292" w:type="pct"/>
            <w:vMerge w:val="continue"/>
            <w:shd w:val="clear" w:color="auto" w:fill="auto"/>
            <w:vAlign w:val="center"/>
          </w:tcPr>
          <w:p>
            <w:pPr>
              <w:pStyle w:val="49"/>
              <w:rPr>
                <w:rFonts w:cs="Times New Roman"/>
                <w:color w:val="FF0000"/>
                <w:sz w:val="18"/>
                <w:szCs w:val="18"/>
                <w:u w:val="single"/>
              </w:rPr>
            </w:pPr>
          </w:p>
        </w:tc>
        <w:tc>
          <w:tcPr>
            <w:tcW w:w="314" w:type="pct"/>
            <w:vMerge w:val="continue"/>
            <w:shd w:val="clear" w:color="auto" w:fill="auto"/>
            <w:vAlign w:val="center"/>
          </w:tcPr>
          <w:p>
            <w:pPr>
              <w:pStyle w:val="49"/>
              <w:rPr>
                <w:rFonts w:cs="Times New Roman"/>
                <w:color w:val="FF0000"/>
                <w:sz w:val="18"/>
                <w:szCs w:val="18"/>
                <w:u w:val="single"/>
              </w:rPr>
            </w:pPr>
          </w:p>
        </w:tc>
        <w:tc>
          <w:tcPr>
            <w:tcW w:w="245" w:type="pct"/>
            <w:vMerge w:val="continue"/>
            <w:shd w:val="clear" w:color="auto" w:fill="auto"/>
            <w:vAlign w:val="center"/>
          </w:tcPr>
          <w:p>
            <w:pPr>
              <w:pStyle w:val="49"/>
              <w:rPr>
                <w:rFonts w:cs="Times New Roman"/>
                <w:color w:val="FF0000"/>
                <w:sz w:val="18"/>
                <w:szCs w:val="18"/>
                <w:u w:val="single"/>
              </w:rPr>
            </w:pPr>
          </w:p>
        </w:tc>
        <w:tc>
          <w:tcPr>
            <w:tcW w:w="309" w:type="pct"/>
            <w:shd w:val="clear" w:color="auto" w:fill="auto"/>
            <w:vAlign w:val="center"/>
          </w:tcPr>
          <w:p>
            <w:pPr>
              <w:pStyle w:val="49"/>
              <w:rPr>
                <w:rFonts w:cs="Times New Roman"/>
                <w:color w:val="FF0000"/>
                <w:sz w:val="18"/>
                <w:szCs w:val="18"/>
                <w:u w:val="single"/>
              </w:rPr>
            </w:pPr>
            <w:r>
              <w:rPr>
                <w:rFonts w:cs="Times New Roman"/>
                <w:color w:val="FF0000"/>
                <w:sz w:val="18"/>
                <w:szCs w:val="18"/>
                <w:u w:val="single"/>
              </w:rPr>
              <w:t>SO</w:t>
            </w:r>
            <w:r>
              <w:rPr>
                <w:rFonts w:cs="Times New Roman"/>
                <w:color w:val="FF0000"/>
                <w:sz w:val="18"/>
                <w:szCs w:val="18"/>
                <w:u w:val="single"/>
                <w:vertAlign w:val="subscript"/>
              </w:rPr>
              <w:t>2</w:t>
            </w:r>
          </w:p>
        </w:tc>
        <w:tc>
          <w:tcPr>
            <w:tcW w:w="486" w:type="pct"/>
            <w:shd w:val="clear" w:color="auto" w:fill="auto"/>
            <w:vAlign w:val="center"/>
          </w:tcPr>
          <w:p>
            <w:pPr>
              <w:pStyle w:val="49"/>
              <w:rPr>
                <w:rFonts w:cs="Times New Roman"/>
                <w:color w:val="FF0000"/>
                <w:sz w:val="18"/>
                <w:szCs w:val="18"/>
                <w:u w:val="single"/>
              </w:rPr>
            </w:pPr>
            <w:r>
              <w:rPr>
                <w:color w:val="FF0000"/>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continue"/>
            <w:shd w:val="clear" w:color="auto" w:fill="auto"/>
            <w:vAlign w:val="center"/>
          </w:tcPr>
          <w:p>
            <w:pPr>
              <w:pStyle w:val="49"/>
              <w:rPr>
                <w:rFonts w:cs="Times New Roman"/>
                <w:color w:val="FF0000"/>
                <w:sz w:val="18"/>
                <w:szCs w:val="18"/>
                <w:u w:val="single"/>
              </w:rPr>
            </w:pPr>
          </w:p>
        </w:tc>
        <w:tc>
          <w:tcPr>
            <w:tcW w:w="684" w:type="pct"/>
            <w:vMerge w:val="continue"/>
            <w:shd w:val="clear" w:color="auto" w:fill="auto"/>
            <w:vAlign w:val="center"/>
          </w:tcPr>
          <w:p>
            <w:pPr>
              <w:pStyle w:val="49"/>
              <w:rPr>
                <w:rFonts w:cs="Times New Roman"/>
                <w:color w:val="FF0000"/>
                <w:sz w:val="18"/>
                <w:szCs w:val="18"/>
                <w:u w:val="single"/>
              </w:rPr>
            </w:pPr>
          </w:p>
        </w:tc>
        <w:tc>
          <w:tcPr>
            <w:tcW w:w="776" w:type="pct"/>
            <w:vMerge w:val="continue"/>
            <w:vAlign w:val="center"/>
          </w:tcPr>
          <w:p>
            <w:pPr>
              <w:pStyle w:val="49"/>
              <w:rPr>
                <w:rFonts w:cs="Times New Roman"/>
                <w:color w:val="FF0000"/>
                <w:sz w:val="18"/>
                <w:szCs w:val="18"/>
                <w:u w:val="single"/>
              </w:rPr>
            </w:pPr>
          </w:p>
        </w:tc>
        <w:tc>
          <w:tcPr>
            <w:tcW w:w="719" w:type="pct"/>
            <w:vMerge w:val="continue"/>
            <w:vAlign w:val="center"/>
          </w:tcPr>
          <w:p>
            <w:pPr>
              <w:pStyle w:val="49"/>
              <w:rPr>
                <w:rFonts w:cs="Times New Roman"/>
                <w:color w:val="FF0000"/>
                <w:sz w:val="18"/>
                <w:szCs w:val="18"/>
                <w:u w:val="single"/>
              </w:rPr>
            </w:pPr>
          </w:p>
        </w:tc>
        <w:tc>
          <w:tcPr>
            <w:tcW w:w="275" w:type="pct"/>
            <w:vMerge w:val="continue"/>
            <w:shd w:val="clear" w:color="auto" w:fill="auto"/>
            <w:vAlign w:val="center"/>
          </w:tcPr>
          <w:p>
            <w:pPr>
              <w:pStyle w:val="49"/>
              <w:rPr>
                <w:rFonts w:cs="Times New Roman"/>
                <w:color w:val="FF0000"/>
                <w:sz w:val="18"/>
                <w:szCs w:val="18"/>
                <w:u w:val="single"/>
              </w:rPr>
            </w:pPr>
          </w:p>
        </w:tc>
        <w:tc>
          <w:tcPr>
            <w:tcW w:w="275" w:type="pct"/>
            <w:vMerge w:val="continue"/>
            <w:shd w:val="clear" w:color="auto" w:fill="auto"/>
            <w:vAlign w:val="center"/>
          </w:tcPr>
          <w:p>
            <w:pPr>
              <w:pStyle w:val="49"/>
              <w:rPr>
                <w:rFonts w:cs="Times New Roman"/>
                <w:color w:val="FF0000"/>
                <w:sz w:val="18"/>
                <w:szCs w:val="18"/>
                <w:u w:val="single"/>
              </w:rPr>
            </w:pPr>
          </w:p>
        </w:tc>
        <w:tc>
          <w:tcPr>
            <w:tcW w:w="387" w:type="pct"/>
            <w:vMerge w:val="continue"/>
            <w:shd w:val="clear" w:color="auto" w:fill="auto"/>
            <w:vAlign w:val="center"/>
          </w:tcPr>
          <w:p>
            <w:pPr>
              <w:pStyle w:val="49"/>
              <w:rPr>
                <w:rFonts w:cs="Times New Roman"/>
                <w:color w:val="FF0000"/>
                <w:sz w:val="18"/>
                <w:szCs w:val="18"/>
                <w:u w:val="single"/>
              </w:rPr>
            </w:pPr>
          </w:p>
        </w:tc>
        <w:tc>
          <w:tcPr>
            <w:tcW w:w="292" w:type="pct"/>
            <w:vMerge w:val="continue"/>
            <w:shd w:val="clear" w:color="auto" w:fill="auto"/>
            <w:vAlign w:val="center"/>
          </w:tcPr>
          <w:p>
            <w:pPr>
              <w:pStyle w:val="49"/>
              <w:rPr>
                <w:rFonts w:cs="Times New Roman"/>
                <w:color w:val="FF0000"/>
                <w:sz w:val="18"/>
                <w:szCs w:val="18"/>
                <w:u w:val="single"/>
              </w:rPr>
            </w:pPr>
          </w:p>
        </w:tc>
        <w:tc>
          <w:tcPr>
            <w:tcW w:w="314" w:type="pct"/>
            <w:vMerge w:val="continue"/>
            <w:shd w:val="clear" w:color="auto" w:fill="auto"/>
            <w:vAlign w:val="center"/>
          </w:tcPr>
          <w:p>
            <w:pPr>
              <w:pStyle w:val="49"/>
              <w:rPr>
                <w:rFonts w:cs="Times New Roman"/>
                <w:color w:val="FF0000"/>
                <w:sz w:val="18"/>
                <w:szCs w:val="18"/>
                <w:u w:val="single"/>
              </w:rPr>
            </w:pPr>
          </w:p>
        </w:tc>
        <w:tc>
          <w:tcPr>
            <w:tcW w:w="245" w:type="pct"/>
            <w:vMerge w:val="continue"/>
            <w:shd w:val="clear" w:color="auto" w:fill="auto"/>
            <w:vAlign w:val="center"/>
          </w:tcPr>
          <w:p>
            <w:pPr>
              <w:pStyle w:val="49"/>
              <w:rPr>
                <w:rFonts w:cs="Times New Roman"/>
                <w:color w:val="FF0000"/>
                <w:sz w:val="18"/>
                <w:szCs w:val="18"/>
                <w:u w:val="single"/>
              </w:rPr>
            </w:pPr>
          </w:p>
        </w:tc>
        <w:tc>
          <w:tcPr>
            <w:tcW w:w="309" w:type="pct"/>
            <w:shd w:val="clear" w:color="auto" w:fill="auto"/>
            <w:vAlign w:val="center"/>
          </w:tcPr>
          <w:p>
            <w:pPr>
              <w:pStyle w:val="49"/>
              <w:rPr>
                <w:rFonts w:cs="Times New Roman"/>
                <w:color w:val="FF0000"/>
                <w:sz w:val="18"/>
                <w:szCs w:val="18"/>
                <w:highlight w:val="yellow"/>
                <w:u w:val="single"/>
              </w:rPr>
            </w:pPr>
            <w:r>
              <w:rPr>
                <w:rFonts w:cs="Times New Roman"/>
                <w:color w:val="FF0000"/>
                <w:sz w:val="18"/>
                <w:szCs w:val="18"/>
                <w:u w:val="single"/>
              </w:rPr>
              <w:t>NOx</w:t>
            </w:r>
          </w:p>
        </w:tc>
        <w:tc>
          <w:tcPr>
            <w:tcW w:w="486" w:type="pct"/>
            <w:shd w:val="clear" w:color="auto" w:fill="auto"/>
            <w:vAlign w:val="center"/>
          </w:tcPr>
          <w:p>
            <w:pPr>
              <w:pStyle w:val="49"/>
              <w:rPr>
                <w:rFonts w:cs="Times New Roman"/>
                <w:color w:val="FF0000"/>
                <w:sz w:val="18"/>
                <w:szCs w:val="18"/>
                <w:u w:val="single"/>
              </w:rPr>
            </w:pPr>
            <w:r>
              <w:rPr>
                <w:color w:val="FF0000"/>
              </w:rPr>
              <w:t>0.255</w:t>
            </w:r>
          </w:p>
        </w:tc>
      </w:tr>
    </w:tbl>
    <w:p>
      <w:pPr>
        <w:pStyle w:val="3"/>
        <w:ind w:firstLine="480"/>
        <w:rPr>
          <w:color w:val="FF0000"/>
          <w:u w:val="single"/>
        </w:rPr>
      </w:pPr>
    </w:p>
    <w:p>
      <w:pPr>
        <w:pStyle w:val="14"/>
        <w:rPr>
          <w:rFonts w:cs="Times New Roman"/>
          <w:color w:val="FF0000"/>
          <w:u w:val="single"/>
        </w:rPr>
      </w:pPr>
      <w:r>
        <w:rPr>
          <w:rFonts w:cs="Times New Roman"/>
          <w:color w:val="FF0000"/>
          <w:u w:val="single"/>
        </w:rPr>
        <w:t>表2.6-</w:t>
      </w:r>
      <w:r>
        <w:rPr>
          <w:rFonts w:hint="eastAsia" w:cs="Times New Roman"/>
          <w:color w:val="FF0000"/>
          <w:u w:val="single"/>
        </w:rPr>
        <w:t>5</w:t>
      </w:r>
      <w:r>
        <w:rPr>
          <w:rFonts w:cs="Times New Roman"/>
          <w:color w:val="FF0000"/>
          <w:u w:val="single"/>
        </w:rPr>
        <w:t xml:space="preserve">   大气面源评价等级参数及判别一览表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246"/>
        <w:gridCol w:w="1161"/>
        <w:gridCol w:w="591"/>
        <w:gridCol w:w="578"/>
        <w:gridCol w:w="605"/>
        <w:gridCol w:w="604"/>
        <w:gridCol w:w="794"/>
        <w:gridCol w:w="593"/>
        <w:gridCol w:w="607"/>
        <w:gridCol w:w="607"/>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vAlign w:val="center"/>
          </w:tcPr>
          <w:p>
            <w:pPr>
              <w:pStyle w:val="49"/>
              <w:rPr>
                <w:rFonts w:cs="Times New Roman"/>
                <w:color w:val="FF0000"/>
                <w:sz w:val="18"/>
                <w:szCs w:val="18"/>
                <w:u w:val="single"/>
              </w:rPr>
            </w:pPr>
            <w:r>
              <w:rPr>
                <w:rFonts w:cs="Times New Roman"/>
                <w:color w:val="FF0000"/>
                <w:sz w:val="18"/>
                <w:szCs w:val="18"/>
                <w:u w:val="single"/>
              </w:rPr>
              <w:t>名称</w:t>
            </w:r>
          </w:p>
        </w:tc>
        <w:tc>
          <w:tcPr>
            <w:tcW w:w="1311" w:type="pct"/>
            <w:gridSpan w:val="2"/>
            <w:vAlign w:val="center"/>
          </w:tcPr>
          <w:p>
            <w:pPr>
              <w:pStyle w:val="49"/>
              <w:rPr>
                <w:rFonts w:cs="Times New Roman"/>
                <w:color w:val="FF0000"/>
                <w:sz w:val="18"/>
                <w:szCs w:val="18"/>
                <w:u w:val="single"/>
              </w:rPr>
            </w:pPr>
            <w:r>
              <w:rPr>
                <w:rFonts w:cs="Times New Roman"/>
                <w:color w:val="FF0000"/>
                <w:sz w:val="18"/>
                <w:szCs w:val="18"/>
                <w:u w:val="single"/>
              </w:rPr>
              <w:t>面源起点坐标</w:t>
            </w:r>
          </w:p>
        </w:tc>
        <w:tc>
          <w:tcPr>
            <w:tcW w:w="322" w:type="pct"/>
            <w:vMerge w:val="restart"/>
            <w:vAlign w:val="center"/>
          </w:tcPr>
          <w:p>
            <w:pPr>
              <w:pStyle w:val="49"/>
              <w:rPr>
                <w:rFonts w:cs="Times New Roman"/>
                <w:color w:val="FF0000"/>
                <w:sz w:val="18"/>
                <w:szCs w:val="18"/>
                <w:u w:val="single"/>
              </w:rPr>
            </w:pPr>
            <w:r>
              <w:rPr>
                <w:rFonts w:cs="Times New Roman"/>
                <w:color w:val="FF0000"/>
                <w:sz w:val="18"/>
                <w:szCs w:val="18"/>
                <w:u w:val="single"/>
              </w:rPr>
              <w:t>面源海拔高度/m</w:t>
            </w:r>
          </w:p>
        </w:tc>
        <w:tc>
          <w:tcPr>
            <w:tcW w:w="315" w:type="pct"/>
            <w:vMerge w:val="restart"/>
            <w:vAlign w:val="center"/>
          </w:tcPr>
          <w:p>
            <w:pPr>
              <w:pStyle w:val="49"/>
              <w:rPr>
                <w:rFonts w:cs="Times New Roman"/>
                <w:color w:val="FF0000"/>
                <w:sz w:val="18"/>
                <w:szCs w:val="18"/>
                <w:u w:val="single"/>
              </w:rPr>
            </w:pPr>
            <w:r>
              <w:rPr>
                <w:rFonts w:cs="Times New Roman"/>
                <w:color w:val="FF0000"/>
                <w:sz w:val="18"/>
                <w:szCs w:val="18"/>
                <w:u w:val="single"/>
              </w:rPr>
              <w:t>面源长度/m</w:t>
            </w:r>
          </w:p>
        </w:tc>
        <w:tc>
          <w:tcPr>
            <w:tcW w:w="330" w:type="pct"/>
            <w:vMerge w:val="restart"/>
            <w:vAlign w:val="center"/>
          </w:tcPr>
          <w:p>
            <w:pPr>
              <w:pStyle w:val="49"/>
              <w:rPr>
                <w:rFonts w:cs="Times New Roman"/>
                <w:color w:val="FF0000"/>
                <w:sz w:val="18"/>
                <w:szCs w:val="18"/>
                <w:u w:val="single"/>
              </w:rPr>
            </w:pPr>
            <w:r>
              <w:rPr>
                <w:rFonts w:cs="Times New Roman"/>
                <w:color w:val="FF0000"/>
                <w:sz w:val="18"/>
                <w:szCs w:val="18"/>
                <w:u w:val="single"/>
              </w:rPr>
              <w:t>面源宽度/m</w:t>
            </w:r>
          </w:p>
        </w:tc>
        <w:tc>
          <w:tcPr>
            <w:tcW w:w="329" w:type="pct"/>
            <w:vMerge w:val="restart"/>
            <w:vAlign w:val="center"/>
          </w:tcPr>
          <w:p>
            <w:pPr>
              <w:pStyle w:val="49"/>
              <w:rPr>
                <w:rFonts w:cs="Times New Roman"/>
                <w:color w:val="FF0000"/>
                <w:sz w:val="18"/>
                <w:szCs w:val="18"/>
                <w:u w:val="single"/>
              </w:rPr>
            </w:pPr>
            <w:r>
              <w:rPr>
                <w:rFonts w:cs="Times New Roman"/>
                <w:color w:val="FF0000"/>
                <w:sz w:val="18"/>
                <w:szCs w:val="18"/>
                <w:u w:val="single"/>
              </w:rPr>
              <w:t>与正北向夹角/°</w:t>
            </w:r>
          </w:p>
        </w:tc>
        <w:tc>
          <w:tcPr>
            <w:tcW w:w="433" w:type="pct"/>
            <w:vMerge w:val="restart"/>
            <w:vAlign w:val="center"/>
          </w:tcPr>
          <w:p>
            <w:pPr>
              <w:pStyle w:val="49"/>
              <w:rPr>
                <w:rFonts w:cs="Times New Roman"/>
                <w:color w:val="FF0000"/>
                <w:sz w:val="18"/>
                <w:szCs w:val="18"/>
                <w:u w:val="single"/>
              </w:rPr>
            </w:pPr>
            <w:r>
              <w:rPr>
                <w:rFonts w:cs="Times New Roman"/>
                <w:color w:val="FF0000"/>
                <w:sz w:val="18"/>
                <w:szCs w:val="18"/>
                <w:u w:val="single"/>
              </w:rPr>
              <w:t>面源有效排放高度/m</w:t>
            </w:r>
          </w:p>
        </w:tc>
        <w:tc>
          <w:tcPr>
            <w:tcW w:w="323" w:type="pct"/>
            <w:vMerge w:val="restart"/>
            <w:vAlign w:val="center"/>
          </w:tcPr>
          <w:p>
            <w:pPr>
              <w:pStyle w:val="49"/>
              <w:rPr>
                <w:rFonts w:cs="Times New Roman"/>
                <w:color w:val="FF0000"/>
                <w:sz w:val="18"/>
                <w:szCs w:val="18"/>
                <w:u w:val="single"/>
              </w:rPr>
            </w:pPr>
            <w:r>
              <w:rPr>
                <w:rFonts w:cs="Times New Roman"/>
                <w:color w:val="FF0000"/>
                <w:sz w:val="18"/>
                <w:szCs w:val="18"/>
                <w:u w:val="single"/>
              </w:rPr>
              <w:t>年排放小时数/h</w:t>
            </w:r>
          </w:p>
        </w:tc>
        <w:tc>
          <w:tcPr>
            <w:tcW w:w="331" w:type="pct"/>
            <w:vMerge w:val="restart"/>
            <w:vAlign w:val="center"/>
          </w:tcPr>
          <w:p>
            <w:pPr>
              <w:pStyle w:val="49"/>
              <w:rPr>
                <w:rFonts w:cs="Times New Roman"/>
                <w:color w:val="FF0000"/>
                <w:sz w:val="18"/>
                <w:szCs w:val="18"/>
                <w:u w:val="single"/>
              </w:rPr>
            </w:pPr>
            <w:r>
              <w:rPr>
                <w:rFonts w:cs="Times New Roman"/>
                <w:color w:val="FF0000"/>
                <w:sz w:val="18"/>
                <w:szCs w:val="18"/>
                <w:u w:val="single"/>
              </w:rPr>
              <w:t>排放工况</w:t>
            </w:r>
          </w:p>
        </w:tc>
        <w:tc>
          <w:tcPr>
            <w:tcW w:w="879" w:type="pct"/>
            <w:gridSpan w:val="2"/>
            <w:vMerge w:val="restart"/>
            <w:vAlign w:val="center"/>
          </w:tcPr>
          <w:p>
            <w:pPr>
              <w:pStyle w:val="49"/>
              <w:rPr>
                <w:rFonts w:cs="Times New Roman"/>
                <w:color w:val="FF0000"/>
                <w:sz w:val="18"/>
                <w:szCs w:val="18"/>
                <w:u w:val="single"/>
              </w:rPr>
            </w:pPr>
            <w:r>
              <w:rPr>
                <w:rFonts w:cs="Times New Roman"/>
                <w:color w:val="FF0000"/>
                <w:sz w:val="18"/>
                <w:szCs w:val="18"/>
                <w:u w:val="single"/>
              </w:rPr>
              <w:t>排放量</w:t>
            </w:r>
          </w:p>
          <w:p>
            <w:pPr>
              <w:pStyle w:val="49"/>
              <w:rPr>
                <w:rFonts w:cs="Times New Roman"/>
                <w:color w:val="FF0000"/>
                <w:sz w:val="18"/>
                <w:szCs w:val="18"/>
                <w:u w:val="single"/>
              </w:rPr>
            </w:pPr>
            <w:r>
              <w:rPr>
                <w:rFonts w:cs="Times New Roman"/>
                <w:color w:val="FF0000"/>
                <w:sz w:val="18"/>
                <w:szCs w:val="18"/>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pPr>
              <w:pStyle w:val="49"/>
              <w:rPr>
                <w:rFonts w:cs="Times New Roman"/>
                <w:color w:val="FF0000"/>
                <w:sz w:val="18"/>
                <w:szCs w:val="18"/>
                <w:u w:val="single"/>
              </w:rPr>
            </w:pPr>
          </w:p>
        </w:tc>
        <w:tc>
          <w:tcPr>
            <w:tcW w:w="679" w:type="pct"/>
            <w:vAlign w:val="center"/>
          </w:tcPr>
          <w:p>
            <w:pPr>
              <w:pStyle w:val="49"/>
              <w:rPr>
                <w:rFonts w:cs="Times New Roman"/>
                <w:color w:val="FF0000"/>
                <w:sz w:val="18"/>
                <w:szCs w:val="18"/>
                <w:u w:val="single"/>
              </w:rPr>
            </w:pPr>
            <w:r>
              <w:rPr>
                <w:rFonts w:cs="Times New Roman"/>
                <w:color w:val="FF0000"/>
                <w:sz w:val="18"/>
                <w:szCs w:val="18"/>
                <w:u w:val="single"/>
              </w:rPr>
              <w:t>X</w:t>
            </w:r>
          </w:p>
          <w:p>
            <w:pPr>
              <w:pStyle w:val="49"/>
              <w:rPr>
                <w:rFonts w:cs="Times New Roman"/>
                <w:color w:val="FF0000"/>
                <w:sz w:val="18"/>
                <w:szCs w:val="18"/>
                <w:u w:val="single"/>
              </w:rPr>
            </w:pPr>
            <w:r>
              <w:rPr>
                <w:rFonts w:cs="Times New Roman"/>
                <w:color w:val="FF0000"/>
                <w:sz w:val="18"/>
                <w:szCs w:val="18"/>
                <w:u w:val="single"/>
              </w:rPr>
              <w:t>（E）</w:t>
            </w:r>
          </w:p>
        </w:tc>
        <w:tc>
          <w:tcPr>
            <w:tcW w:w="633" w:type="pct"/>
            <w:vAlign w:val="center"/>
          </w:tcPr>
          <w:p>
            <w:pPr>
              <w:pStyle w:val="49"/>
              <w:rPr>
                <w:rFonts w:cs="Times New Roman"/>
                <w:color w:val="FF0000"/>
                <w:sz w:val="18"/>
                <w:szCs w:val="18"/>
                <w:u w:val="single"/>
              </w:rPr>
            </w:pPr>
            <w:r>
              <w:rPr>
                <w:rFonts w:cs="Times New Roman"/>
                <w:color w:val="FF0000"/>
                <w:sz w:val="18"/>
                <w:szCs w:val="18"/>
                <w:u w:val="single"/>
              </w:rPr>
              <w:t>Y</w:t>
            </w:r>
          </w:p>
          <w:p>
            <w:pPr>
              <w:pStyle w:val="49"/>
              <w:rPr>
                <w:rFonts w:cs="Times New Roman"/>
                <w:color w:val="FF0000"/>
                <w:sz w:val="18"/>
                <w:szCs w:val="18"/>
                <w:u w:val="single"/>
              </w:rPr>
            </w:pPr>
            <w:r>
              <w:rPr>
                <w:rFonts w:cs="Times New Roman"/>
                <w:color w:val="FF0000"/>
                <w:sz w:val="18"/>
                <w:szCs w:val="18"/>
                <w:u w:val="single"/>
              </w:rPr>
              <w:t>（N）</w:t>
            </w:r>
          </w:p>
        </w:tc>
        <w:tc>
          <w:tcPr>
            <w:tcW w:w="322" w:type="pct"/>
            <w:vMerge w:val="continue"/>
            <w:vAlign w:val="center"/>
          </w:tcPr>
          <w:p>
            <w:pPr>
              <w:pStyle w:val="49"/>
              <w:rPr>
                <w:rFonts w:cs="Times New Roman"/>
                <w:color w:val="FF0000"/>
                <w:sz w:val="18"/>
                <w:szCs w:val="18"/>
                <w:u w:val="single"/>
              </w:rPr>
            </w:pPr>
          </w:p>
        </w:tc>
        <w:tc>
          <w:tcPr>
            <w:tcW w:w="315" w:type="pct"/>
            <w:vMerge w:val="continue"/>
            <w:vAlign w:val="center"/>
          </w:tcPr>
          <w:p>
            <w:pPr>
              <w:pStyle w:val="49"/>
              <w:rPr>
                <w:rFonts w:cs="Times New Roman"/>
                <w:color w:val="FF0000"/>
                <w:sz w:val="18"/>
                <w:szCs w:val="18"/>
                <w:u w:val="single"/>
              </w:rPr>
            </w:pPr>
          </w:p>
        </w:tc>
        <w:tc>
          <w:tcPr>
            <w:tcW w:w="330" w:type="pct"/>
            <w:vMerge w:val="continue"/>
            <w:vAlign w:val="center"/>
          </w:tcPr>
          <w:p>
            <w:pPr>
              <w:pStyle w:val="49"/>
              <w:rPr>
                <w:rFonts w:cs="Times New Roman"/>
                <w:color w:val="FF0000"/>
                <w:sz w:val="18"/>
                <w:szCs w:val="18"/>
                <w:u w:val="single"/>
              </w:rPr>
            </w:pPr>
          </w:p>
        </w:tc>
        <w:tc>
          <w:tcPr>
            <w:tcW w:w="329" w:type="pct"/>
            <w:vMerge w:val="continue"/>
            <w:vAlign w:val="center"/>
          </w:tcPr>
          <w:p>
            <w:pPr>
              <w:pStyle w:val="49"/>
              <w:rPr>
                <w:rFonts w:cs="Times New Roman"/>
                <w:color w:val="FF0000"/>
                <w:sz w:val="18"/>
                <w:szCs w:val="18"/>
                <w:u w:val="single"/>
              </w:rPr>
            </w:pPr>
          </w:p>
        </w:tc>
        <w:tc>
          <w:tcPr>
            <w:tcW w:w="433" w:type="pct"/>
            <w:vMerge w:val="continue"/>
            <w:vAlign w:val="center"/>
          </w:tcPr>
          <w:p>
            <w:pPr>
              <w:pStyle w:val="49"/>
              <w:rPr>
                <w:rFonts w:cs="Times New Roman"/>
                <w:color w:val="FF0000"/>
                <w:sz w:val="18"/>
                <w:szCs w:val="18"/>
                <w:u w:val="single"/>
              </w:rPr>
            </w:pPr>
          </w:p>
        </w:tc>
        <w:tc>
          <w:tcPr>
            <w:tcW w:w="323" w:type="pct"/>
            <w:vMerge w:val="continue"/>
            <w:vAlign w:val="center"/>
          </w:tcPr>
          <w:p>
            <w:pPr>
              <w:pStyle w:val="49"/>
              <w:rPr>
                <w:rFonts w:cs="Times New Roman"/>
                <w:color w:val="FF0000"/>
                <w:sz w:val="18"/>
                <w:szCs w:val="18"/>
                <w:u w:val="single"/>
              </w:rPr>
            </w:pPr>
          </w:p>
        </w:tc>
        <w:tc>
          <w:tcPr>
            <w:tcW w:w="331" w:type="pct"/>
            <w:vMerge w:val="continue"/>
            <w:vAlign w:val="center"/>
          </w:tcPr>
          <w:p>
            <w:pPr>
              <w:pStyle w:val="49"/>
              <w:rPr>
                <w:rFonts w:cs="Times New Roman"/>
                <w:color w:val="FF0000"/>
                <w:sz w:val="18"/>
                <w:szCs w:val="18"/>
                <w:u w:val="single"/>
              </w:rPr>
            </w:pPr>
          </w:p>
        </w:tc>
        <w:tc>
          <w:tcPr>
            <w:tcW w:w="879" w:type="pct"/>
            <w:gridSpan w:val="2"/>
            <w:vMerge w:val="continue"/>
            <w:vAlign w:val="center"/>
          </w:tcPr>
          <w:p>
            <w:pPr>
              <w:pStyle w:val="49"/>
              <w:rPr>
                <w:rFonts w:cs="Times New Roman"/>
                <w:color w:val="FF000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牛屠宰、待宰区</w:t>
            </w:r>
          </w:p>
        </w:tc>
        <w:tc>
          <w:tcPr>
            <w:tcW w:w="679"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112.52592623</w:t>
            </w:r>
          </w:p>
          <w:p>
            <w:pPr>
              <w:pStyle w:val="49"/>
              <w:rPr>
                <w:rFonts w:cs="Times New Roman"/>
                <w:color w:val="FF0000"/>
                <w:sz w:val="18"/>
                <w:szCs w:val="18"/>
                <w:u w:val="single"/>
              </w:rPr>
            </w:pPr>
          </w:p>
        </w:tc>
        <w:tc>
          <w:tcPr>
            <w:tcW w:w="6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26.98311367</w:t>
            </w:r>
          </w:p>
          <w:p>
            <w:pPr>
              <w:pStyle w:val="49"/>
              <w:rPr>
                <w:rFonts w:cs="Times New Roman"/>
                <w:color w:val="FF0000"/>
                <w:sz w:val="18"/>
                <w:szCs w:val="18"/>
                <w:u w:val="single"/>
              </w:rPr>
            </w:pPr>
          </w:p>
        </w:tc>
        <w:tc>
          <w:tcPr>
            <w:tcW w:w="322" w:type="pct"/>
            <w:vMerge w:val="restart"/>
            <w:vAlign w:val="center"/>
          </w:tcPr>
          <w:p>
            <w:pPr>
              <w:pStyle w:val="49"/>
              <w:rPr>
                <w:rFonts w:cs="Times New Roman"/>
                <w:color w:val="FF0000"/>
                <w:sz w:val="18"/>
                <w:szCs w:val="18"/>
                <w:u w:val="single"/>
              </w:rPr>
            </w:pPr>
            <w:r>
              <w:rPr>
                <w:rFonts w:cs="Times New Roman"/>
                <w:color w:val="FF0000"/>
                <w:sz w:val="18"/>
                <w:szCs w:val="18"/>
                <w:u w:val="single"/>
              </w:rPr>
              <w:t>——</w:t>
            </w:r>
          </w:p>
        </w:tc>
        <w:tc>
          <w:tcPr>
            <w:tcW w:w="315"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65</w:t>
            </w:r>
          </w:p>
        </w:tc>
        <w:tc>
          <w:tcPr>
            <w:tcW w:w="330"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28</w:t>
            </w:r>
          </w:p>
        </w:tc>
        <w:tc>
          <w:tcPr>
            <w:tcW w:w="329" w:type="pct"/>
            <w:vMerge w:val="restart"/>
            <w:vAlign w:val="center"/>
          </w:tcPr>
          <w:p>
            <w:pPr>
              <w:pStyle w:val="49"/>
              <w:rPr>
                <w:rFonts w:cs="Times New Roman"/>
                <w:color w:val="FF0000"/>
                <w:sz w:val="18"/>
                <w:szCs w:val="18"/>
                <w:u w:val="single"/>
              </w:rPr>
            </w:pPr>
            <w:r>
              <w:rPr>
                <w:rFonts w:cs="Times New Roman"/>
                <w:color w:val="FF0000"/>
                <w:sz w:val="18"/>
                <w:szCs w:val="18"/>
                <w:u w:val="single"/>
              </w:rPr>
              <w:t>0</w:t>
            </w:r>
          </w:p>
        </w:tc>
        <w:tc>
          <w:tcPr>
            <w:tcW w:w="4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5</w:t>
            </w:r>
          </w:p>
        </w:tc>
        <w:tc>
          <w:tcPr>
            <w:tcW w:w="32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2400</w:t>
            </w:r>
          </w:p>
        </w:tc>
        <w:tc>
          <w:tcPr>
            <w:tcW w:w="331" w:type="pct"/>
            <w:vMerge w:val="restart"/>
            <w:vAlign w:val="center"/>
          </w:tcPr>
          <w:p>
            <w:pPr>
              <w:pStyle w:val="49"/>
              <w:rPr>
                <w:rFonts w:cs="Times New Roman"/>
                <w:color w:val="FF0000"/>
                <w:sz w:val="18"/>
                <w:szCs w:val="18"/>
                <w:u w:val="single"/>
              </w:rPr>
            </w:pPr>
            <w:r>
              <w:rPr>
                <w:rFonts w:cs="Times New Roman"/>
                <w:color w:val="FF0000"/>
                <w:sz w:val="18"/>
                <w:szCs w:val="18"/>
                <w:u w:val="single"/>
              </w:rPr>
              <w:t>正常</w:t>
            </w: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NH</w:t>
            </w:r>
            <w:r>
              <w:rPr>
                <w:rFonts w:cs="Times New Roman"/>
                <w:color w:val="FF0000"/>
                <w:sz w:val="18"/>
                <w:szCs w:val="18"/>
                <w:u w:val="single"/>
                <w:vertAlign w:val="subscript"/>
              </w:rPr>
              <w:t>3</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pPr>
              <w:pStyle w:val="49"/>
              <w:rPr>
                <w:rFonts w:cs="Times New Roman"/>
                <w:color w:val="FF0000"/>
                <w:sz w:val="18"/>
                <w:szCs w:val="18"/>
                <w:u w:val="single"/>
              </w:rPr>
            </w:pPr>
          </w:p>
        </w:tc>
        <w:tc>
          <w:tcPr>
            <w:tcW w:w="679" w:type="pct"/>
            <w:vMerge w:val="continue"/>
            <w:vAlign w:val="center"/>
          </w:tcPr>
          <w:p>
            <w:pPr>
              <w:pStyle w:val="49"/>
              <w:rPr>
                <w:rFonts w:cs="Times New Roman"/>
                <w:color w:val="FF0000"/>
                <w:sz w:val="18"/>
                <w:szCs w:val="18"/>
                <w:u w:val="single"/>
              </w:rPr>
            </w:pPr>
          </w:p>
        </w:tc>
        <w:tc>
          <w:tcPr>
            <w:tcW w:w="633" w:type="pct"/>
            <w:vMerge w:val="continue"/>
            <w:vAlign w:val="center"/>
          </w:tcPr>
          <w:p>
            <w:pPr>
              <w:pStyle w:val="49"/>
              <w:rPr>
                <w:rFonts w:cs="Times New Roman"/>
                <w:color w:val="FF0000"/>
                <w:sz w:val="18"/>
                <w:szCs w:val="18"/>
                <w:u w:val="single"/>
              </w:rPr>
            </w:pPr>
          </w:p>
        </w:tc>
        <w:tc>
          <w:tcPr>
            <w:tcW w:w="322" w:type="pct"/>
            <w:vMerge w:val="continue"/>
            <w:vAlign w:val="center"/>
          </w:tcPr>
          <w:p>
            <w:pPr>
              <w:pStyle w:val="49"/>
              <w:rPr>
                <w:rFonts w:cs="Times New Roman"/>
                <w:color w:val="FF0000"/>
                <w:sz w:val="18"/>
                <w:szCs w:val="18"/>
                <w:u w:val="single"/>
              </w:rPr>
            </w:pPr>
          </w:p>
        </w:tc>
        <w:tc>
          <w:tcPr>
            <w:tcW w:w="315" w:type="pct"/>
            <w:vMerge w:val="continue"/>
            <w:vAlign w:val="center"/>
          </w:tcPr>
          <w:p>
            <w:pPr>
              <w:pStyle w:val="49"/>
              <w:rPr>
                <w:rFonts w:cs="Times New Roman"/>
                <w:color w:val="FF0000"/>
                <w:sz w:val="18"/>
                <w:szCs w:val="18"/>
                <w:u w:val="single"/>
              </w:rPr>
            </w:pPr>
          </w:p>
        </w:tc>
        <w:tc>
          <w:tcPr>
            <w:tcW w:w="330" w:type="pct"/>
            <w:vMerge w:val="continue"/>
            <w:vAlign w:val="center"/>
          </w:tcPr>
          <w:p>
            <w:pPr>
              <w:pStyle w:val="49"/>
              <w:rPr>
                <w:rFonts w:cs="Times New Roman"/>
                <w:color w:val="FF0000"/>
                <w:sz w:val="18"/>
                <w:szCs w:val="18"/>
                <w:u w:val="single"/>
              </w:rPr>
            </w:pPr>
          </w:p>
        </w:tc>
        <w:tc>
          <w:tcPr>
            <w:tcW w:w="329" w:type="pct"/>
            <w:vMerge w:val="continue"/>
            <w:vAlign w:val="center"/>
          </w:tcPr>
          <w:p>
            <w:pPr>
              <w:pStyle w:val="49"/>
              <w:rPr>
                <w:rFonts w:cs="Times New Roman"/>
                <w:color w:val="FF0000"/>
                <w:sz w:val="18"/>
                <w:szCs w:val="18"/>
                <w:u w:val="single"/>
              </w:rPr>
            </w:pPr>
          </w:p>
        </w:tc>
        <w:tc>
          <w:tcPr>
            <w:tcW w:w="433" w:type="pct"/>
            <w:vMerge w:val="continue"/>
            <w:vAlign w:val="center"/>
          </w:tcPr>
          <w:p>
            <w:pPr>
              <w:pStyle w:val="49"/>
              <w:rPr>
                <w:rFonts w:cs="Times New Roman"/>
                <w:color w:val="FF0000"/>
                <w:sz w:val="18"/>
                <w:szCs w:val="18"/>
                <w:u w:val="single"/>
              </w:rPr>
            </w:pPr>
          </w:p>
        </w:tc>
        <w:tc>
          <w:tcPr>
            <w:tcW w:w="323" w:type="pct"/>
            <w:vMerge w:val="continue"/>
            <w:vAlign w:val="center"/>
          </w:tcPr>
          <w:p>
            <w:pPr>
              <w:pStyle w:val="49"/>
              <w:rPr>
                <w:rFonts w:cs="Times New Roman"/>
                <w:color w:val="FF0000"/>
                <w:sz w:val="18"/>
                <w:szCs w:val="18"/>
                <w:u w:val="single"/>
              </w:rPr>
            </w:pPr>
          </w:p>
        </w:tc>
        <w:tc>
          <w:tcPr>
            <w:tcW w:w="331" w:type="pct"/>
            <w:vMerge w:val="continue"/>
            <w:vAlign w:val="center"/>
          </w:tcPr>
          <w:p>
            <w:pPr>
              <w:pStyle w:val="49"/>
              <w:rPr>
                <w:rFonts w:cs="Times New Roman"/>
                <w:color w:val="FF0000"/>
                <w:sz w:val="18"/>
                <w:szCs w:val="18"/>
                <w:u w:val="single"/>
              </w:rPr>
            </w:pP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H</w:t>
            </w:r>
            <w:r>
              <w:rPr>
                <w:rFonts w:cs="Times New Roman"/>
                <w:color w:val="FF0000"/>
                <w:sz w:val="18"/>
                <w:szCs w:val="18"/>
                <w:u w:val="single"/>
                <w:vertAlign w:val="subscript"/>
              </w:rPr>
              <w:t>2</w:t>
            </w:r>
            <w:r>
              <w:rPr>
                <w:rFonts w:cs="Times New Roman"/>
                <w:color w:val="FF0000"/>
                <w:sz w:val="18"/>
                <w:szCs w:val="18"/>
                <w:u w:val="single"/>
              </w:rPr>
              <w:t>S</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禽类屠宰、待宰区</w:t>
            </w:r>
          </w:p>
        </w:tc>
        <w:tc>
          <w:tcPr>
            <w:tcW w:w="679"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112.52722979</w:t>
            </w:r>
          </w:p>
          <w:p>
            <w:pPr>
              <w:pStyle w:val="49"/>
              <w:rPr>
                <w:rFonts w:cs="Times New Roman"/>
                <w:color w:val="FF0000"/>
                <w:sz w:val="18"/>
                <w:szCs w:val="18"/>
                <w:u w:val="single"/>
              </w:rPr>
            </w:pPr>
          </w:p>
        </w:tc>
        <w:tc>
          <w:tcPr>
            <w:tcW w:w="6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26.98241572</w:t>
            </w:r>
          </w:p>
          <w:p>
            <w:pPr>
              <w:pStyle w:val="49"/>
              <w:rPr>
                <w:rFonts w:cs="Times New Roman"/>
                <w:color w:val="FF0000"/>
                <w:sz w:val="18"/>
                <w:szCs w:val="18"/>
                <w:u w:val="single"/>
              </w:rPr>
            </w:pPr>
          </w:p>
        </w:tc>
        <w:tc>
          <w:tcPr>
            <w:tcW w:w="322" w:type="pct"/>
            <w:vMerge w:val="restart"/>
            <w:vAlign w:val="center"/>
          </w:tcPr>
          <w:p>
            <w:pPr>
              <w:pStyle w:val="49"/>
              <w:rPr>
                <w:rFonts w:cs="Times New Roman"/>
                <w:color w:val="FF0000"/>
                <w:sz w:val="18"/>
                <w:szCs w:val="18"/>
                <w:u w:val="single"/>
              </w:rPr>
            </w:pPr>
            <w:r>
              <w:rPr>
                <w:rFonts w:cs="Times New Roman"/>
                <w:color w:val="FF0000"/>
                <w:sz w:val="18"/>
                <w:szCs w:val="18"/>
                <w:u w:val="single"/>
              </w:rPr>
              <w:t>——</w:t>
            </w:r>
          </w:p>
        </w:tc>
        <w:tc>
          <w:tcPr>
            <w:tcW w:w="315"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75</w:t>
            </w:r>
          </w:p>
        </w:tc>
        <w:tc>
          <w:tcPr>
            <w:tcW w:w="330"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25</w:t>
            </w:r>
          </w:p>
        </w:tc>
        <w:tc>
          <w:tcPr>
            <w:tcW w:w="329"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0</w:t>
            </w:r>
          </w:p>
        </w:tc>
        <w:tc>
          <w:tcPr>
            <w:tcW w:w="4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5</w:t>
            </w:r>
          </w:p>
        </w:tc>
        <w:tc>
          <w:tcPr>
            <w:tcW w:w="32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2400</w:t>
            </w:r>
          </w:p>
        </w:tc>
        <w:tc>
          <w:tcPr>
            <w:tcW w:w="331" w:type="pct"/>
            <w:vMerge w:val="restart"/>
            <w:vAlign w:val="center"/>
          </w:tcPr>
          <w:p>
            <w:pPr>
              <w:pStyle w:val="49"/>
              <w:rPr>
                <w:rFonts w:cs="Times New Roman"/>
                <w:color w:val="FF0000"/>
                <w:sz w:val="18"/>
                <w:szCs w:val="18"/>
                <w:u w:val="single"/>
              </w:rPr>
            </w:pPr>
            <w:r>
              <w:rPr>
                <w:rFonts w:cs="Times New Roman"/>
                <w:color w:val="FF0000"/>
                <w:sz w:val="18"/>
                <w:szCs w:val="18"/>
                <w:u w:val="single"/>
              </w:rPr>
              <w:t>正常</w:t>
            </w: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NH</w:t>
            </w:r>
            <w:r>
              <w:rPr>
                <w:rFonts w:cs="Times New Roman"/>
                <w:color w:val="FF0000"/>
                <w:sz w:val="18"/>
                <w:szCs w:val="18"/>
                <w:u w:val="single"/>
                <w:vertAlign w:val="subscript"/>
              </w:rPr>
              <w:t>3</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pPr>
              <w:pStyle w:val="49"/>
              <w:rPr>
                <w:rFonts w:cs="Times New Roman"/>
                <w:color w:val="FF0000"/>
                <w:sz w:val="18"/>
                <w:szCs w:val="18"/>
                <w:u w:val="single"/>
              </w:rPr>
            </w:pPr>
          </w:p>
        </w:tc>
        <w:tc>
          <w:tcPr>
            <w:tcW w:w="679" w:type="pct"/>
            <w:vMerge w:val="continue"/>
            <w:vAlign w:val="center"/>
          </w:tcPr>
          <w:p>
            <w:pPr>
              <w:pStyle w:val="49"/>
              <w:rPr>
                <w:rFonts w:cs="Times New Roman"/>
                <w:color w:val="FF0000"/>
                <w:sz w:val="18"/>
                <w:szCs w:val="18"/>
                <w:u w:val="single"/>
              </w:rPr>
            </w:pPr>
          </w:p>
        </w:tc>
        <w:tc>
          <w:tcPr>
            <w:tcW w:w="633" w:type="pct"/>
            <w:vMerge w:val="continue"/>
            <w:vAlign w:val="center"/>
          </w:tcPr>
          <w:p>
            <w:pPr>
              <w:pStyle w:val="49"/>
              <w:rPr>
                <w:rFonts w:cs="Times New Roman"/>
                <w:color w:val="FF0000"/>
                <w:sz w:val="18"/>
                <w:szCs w:val="18"/>
                <w:u w:val="single"/>
              </w:rPr>
            </w:pPr>
          </w:p>
        </w:tc>
        <w:tc>
          <w:tcPr>
            <w:tcW w:w="322" w:type="pct"/>
            <w:vMerge w:val="continue"/>
            <w:vAlign w:val="center"/>
          </w:tcPr>
          <w:p>
            <w:pPr>
              <w:pStyle w:val="49"/>
              <w:rPr>
                <w:rFonts w:cs="Times New Roman"/>
                <w:color w:val="FF0000"/>
                <w:sz w:val="18"/>
                <w:szCs w:val="18"/>
                <w:u w:val="single"/>
              </w:rPr>
            </w:pPr>
          </w:p>
        </w:tc>
        <w:tc>
          <w:tcPr>
            <w:tcW w:w="315" w:type="pct"/>
            <w:vMerge w:val="continue"/>
            <w:vAlign w:val="center"/>
          </w:tcPr>
          <w:p>
            <w:pPr>
              <w:pStyle w:val="49"/>
              <w:rPr>
                <w:rFonts w:cs="Times New Roman"/>
                <w:color w:val="FF0000"/>
                <w:sz w:val="18"/>
                <w:szCs w:val="18"/>
                <w:u w:val="single"/>
              </w:rPr>
            </w:pPr>
          </w:p>
        </w:tc>
        <w:tc>
          <w:tcPr>
            <w:tcW w:w="330" w:type="pct"/>
            <w:vMerge w:val="continue"/>
            <w:vAlign w:val="center"/>
          </w:tcPr>
          <w:p>
            <w:pPr>
              <w:pStyle w:val="49"/>
              <w:rPr>
                <w:rFonts w:cs="Times New Roman"/>
                <w:color w:val="FF0000"/>
                <w:sz w:val="18"/>
                <w:szCs w:val="18"/>
                <w:u w:val="single"/>
              </w:rPr>
            </w:pPr>
          </w:p>
        </w:tc>
        <w:tc>
          <w:tcPr>
            <w:tcW w:w="329" w:type="pct"/>
            <w:vMerge w:val="continue"/>
            <w:vAlign w:val="center"/>
          </w:tcPr>
          <w:p>
            <w:pPr>
              <w:pStyle w:val="49"/>
              <w:rPr>
                <w:rFonts w:cs="Times New Roman"/>
                <w:color w:val="FF0000"/>
                <w:sz w:val="18"/>
                <w:szCs w:val="18"/>
                <w:u w:val="single"/>
              </w:rPr>
            </w:pPr>
          </w:p>
        </w:tc>
        <w:tc>
          <w:tcPr>
            <w:tcW w:w="433" w:type="pct"/>
            <w:vMerge w:val="continue"/>
            <w:vAlign w:val="center"/>
          </w:tcPr>
          <w:p>
            <w:pPr>
              <w:pStyle w:val="49"/>
              <w:rPr>
                <w:rFonts w:cs="Times New Roman"/>
                <w:color w:val="FF0000"/>
                <w:sz w:val="18"/>
                <w:szCs w:val="18"/>
                <w:u w:val="single"/>
              </w:rPr>
            </w:pPr>
          </w:p>
        </w:tc>
        <w:tc>
          <w:tcPr>
            <w:tcW w:w="323" w:type="pct"/>
            <w:vMerge w:val="continue"/>
            <w:vAlign w:val="center"/>
          </w:tcPr>
          <w:p>
            <w:pPr>
              <w:pStyle w:val="49"/>
              <w:rPr>
                <w:rFonts w:cs="Times New Roman"/>
                <w:color w:val="FF0000"/>
                <w:sz w:val="18"/>
                <w:szCs w:val="18"/>
                <w:u w:val="single"/>
              </w:rPr>
            </w:pPr>
          </w:p>
        </w:tc>
        <w:tc>
          <w:tcPr>
            <w:tcW w:w="331" w:type="pct"/>
            <w:vMerge w:val="continue"/>
            <w:vAlign w:val="center"/>
          </w:tcPr>
          <w:p>
            <w:pPr>
              <w:pStyle w:val="49"/>
              <w:rPr>
                <w:rFonts w:cs="Times New Roman"/>
                <w:color w:val="FF0000"/>
                <w:sz w:val="18"/>
                <w:szCs w:val="18"/>
                <w:u w:val="single"/>
              </w:rPr>
            </w:pP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H</w:t>
            </w:r>
            <w:r>
              <w:rPr>
                <w:rFonts w:cs="Times New Roman"/>
                <w:color w:val="FF0000"/>
                <w:sz w:val="18"/>
                <w:szCs w:val="18"/>
                <w:u w:val="single"/>
                <w:vertAlign w:val="subscript"/>
              </w:rPr>
              <w:t>2</w:t>
            </w:r>
            <w:r>
              <w:rPr>
                <w:rFonts w:cs="Times New Roman"/>
                <w:color w:val="FF0000"/>
                <w:sz w:val="18"/>
                <w:szCs w:val="18"/>
                <w:u w:val="single"/>
              </w:rPr>
              <w:t>S</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粪污处理区</w:t>
            </w:r>
          </w:p>
        </w:tc>
        <w:tc>
          <w:tcPr>
            <w:tcW w:w="679"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112.52644122</w:t>
            </w:r>
          </w:p>
        </w:tc>
        <w:tc>
          <w:tcPr>
            <w:tcW w:w="6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26.98364430</w:t>
            </w:r>
          </w:p>
        </w:tc>
        <w:tc>
          <w:tcPr>
            <w:tcW w:w="322" w:type="pct"/>
            <w:vMerge w:val="restart"/>
            <w:vAlign w:val="center"/>
          </w:tcPr>
          <w:p>
            <w:pPr>
              <w:pStyle w:val="49"/>
              <w:rPr>
                <w:rFonts w:cs="Times New Roman"/>
                <w:color w:val="FF0000"/>
                <w:sz w:val="18"/>
                <w:szCs w:val="18"/>
                <w:u w:val="single"/>
              </w:rPr>
            </w:pPr>
            <w:r>
              <w:rPr>
                <w:rFonts w:cs="Times New Roman"/>
                <w:color w:val="FF0000"/>
                <w:sz w:val="18"/>
                <w:szCs w:val="18"/>
                <w:u w:val="single"/>
              </w:rPr>
              <w:t>——</w:t>
            </w:r>
          </w:p>
        </w:tc>
        <w:tc>
          <w:tcPr>
            <w:tcW w:w="315"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50</w:t>
            </w:r>
          </w:p>
        </w:tc>
        <w:tc>
          <w:tcPr>
            <w:tcW w:w="330"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35</w:t>
            </w:r>
          </w:p>
        </w:tc>
        <w:tc>
          <w:tcPr>
            <w:tcW w:w="329"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0</w:t>
            </w:r>
          </w:p>
        </w:tc>
        <w:tc>
          <w:tcPr>
            <w:tcW w:w="43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5</w:t>
            </w:r>
          </w:p>
        </w:tc>
        <w:tc>
          <w:tcPr>
            <w:tcW w:w="323" w:type="pct"/>
            <w:vMerge w:val="restart"/>
            <w:vAlign w:val="center"/>
          </w:tcPr>
          <w:p>
            <w:pPr>
              <w:pStyle w:val="49"/>
              <w:rPr>
                <w:rFonts w:cs="Times New Roman"/>
                <w:color w:val="FF0000"/>
                <w:sz w:val="18"/>
                <w:szCs w:val="18"/>
                <w:u w:val="single"/>
              </w:rPr>
            </w:pPr>
            <w:r>
              <w:rPr>
                <w:rFonts w:hint="eastAsia" w:cs="Times New Roman"/>
                <w:color w:val="FF0000"/>
                <w:sz w:val="18"/>
                <w:szCs w:val="18"/>
                <w:u w:val="single"/>
              </w:rPr>
              <w:t>8760</w:t>
            </w:r>
          </w:p>
        </w:tc>
        <w:tc>
          <w:tcPr>
            <w:tcW w:w="331" w:type="pct"/>
            <w:vMerge w:val="restart"/>
            <w:vAlign w:val="center"/>
          </w:tcPr>
          <w:p>
            <w:pPr>
              <w:pStyle w:val="49"/>
              <w:rPr>
                <w:rFonts w:cs="Times New Roman"/>
                <w:color w:val="FF0000"/>
                <w:sz w:val="18"/>
                <w:szCs w:val="18"/>
                <w:u w:val="single"/>
              </w:rPr>
            </w:pPr>
            <w:r>
              <w:rPr>
                <w:rFonts w:cs="Times New Roman"/>
                <w:color w:val="FF0000"/>
                <w:sz w:val="18"/>
                <w:szCs w:val="18"/>
                <w:u w:val="single"/>
              </w:rPr>
              <w:t>正常</w:t>
            </w: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NH</w:t>
            </w:r>
            <w:r>
              <w:rPr>
                <w:rFonts w:cs="Times New Roman"/>
                <w:color w:val="FF0000"/>
                <w:sz w:val="18"/>
                <w:szCs w:val="18"/>
                <w:u w:val="single"/>
                <w:vertAlign w:val="subscript"/>
              </w:rPr>
              <w:t>3</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pPr>
              <w:pStyle w:val="49"/>
              <w:rPr>
                <w:rFonts w:cs="Times New Roman"/>
                <w:color w:val="FF0000"/>
                <w:sz w:val="18"/>
                <w:szCs w:val="18"/>
                <w:u w:val="single"/>
              </w:rPr>
            </w:pPr>
          </w:p>
        </w:tc>
        <w:tc>
          <w:tcPr>
            <w:tcW w:w="679" w:type="pct"/>
            <w:vMerge w:val="continue"/>
            <w:vAlign w:val="center"/>
          </w:tcPr>
          <w:p>
            <w:pPr>
              <w:pStyle w:val="49"/>
              <w:rPr>
                <w:rFonts w:cs="Times New Roman"/>
                <w:color w:val="FF0000"/>
                <w:sz w:val="18"/>
                <w:szCs w:val="18"/>
                <w:u w:val="single"/>
              </w:rPr>
            </w:pPr>
          </w:p>
        </w:tc>
        <w:tc>
          <w:tcPr>
            <w:tcW w:w="633" w:type="pct"/>
            <w:vMerge w:val="continue"/>
            <w:vAlign w:val="center"/>
          </w:tcPr>
          <w:p>
            <w:pPr>
              <w:pStyle w:val="49"/>
              <w:rPr>
                <w:rFonts w:cs="Times New Roman"/>
                <w:color w:val="FF0000"/>
                <w:sz w:val="18"/>
                <w:szCs w:val="18"/>
                <w:u w:val="single"/>
              </w:rPr>
            </w:pPr>
          </w:p>
        </w:tc>
        <w:tc>
          <w:tcPr>
            <w:tcW w:w="322" w:type="pct"/>
            <w:vMerge w:val="continue"/>
            <w:vAlign w:val="center"/>
          </w:tcPr>
          <w:p>
            <w:pPr>
              <w:pStyle w:val="49"/>
              <w:rPr>
                <w:rFonts w:cs="Times New Roman"/>
                <w:color w:val="FF0000"/>
                <w:sz w:val="18"/>
                <w:szCs w:val="18"/>
                <w:u w:val="single"/>
              </w:rPr>
            </w:pPr>
          </w:p>
        </w:tc>
        <w:tc>
          <w:tcPr>
            <w:tcW w:w="315" w:type="pct"/>
            <w:vMerge w:val="continue"/>
            <w:vAlign w:val="center"/>
          </w:tcPr>
          <w:p>
            <w:pPr>
              <w:pStyle w:val="49"/>
              <w:rPr>
                <w:rFonts w:cs="Times New Roman"/>
                <w:color w:val="FF0000"/>
                <w:sz w:val="18"/>
                <w:szCs w:val="18"/>
                <w:u w:val="single"/>
              </w:rPr>
            </w:pPr>
          </w:p>
        </w:tc>
        <w:tc>
          <w:tcPr>
            <w:tcW w:w="330" w:type="pct"/>
            <w:vMerge w:val="continue"/>
            <w:vAlign w:val="center"/>
          </w:tcPr>
          <w:p>
            <w:pPr>
              <w:pStyle w:val="49"/>
              <w:rPr>
                <w:rFonts w:cs="Times New Roman"/>
                <w:color w:val="FF0000"/>
                <w:sz w:val="18"/>
                <w:szCs w:val="18"/>
                <w:u w:val="single"/>
              </w:rPr>
            </w:pPr>
          </w:p>
        </w:tc>
        <w:tc>
          <w:tcPr>
            <w:tcW w:w="329" w:type="pct"/>
            <w:vMerge w:val="continue"/>
            <w:vAlign w:val="center"/>
          </w:tcPr>
          <w:p>
            <w:pPr>
              <w:pStyle w:val="49"/>
              <w:rPr>
                <w:rFonts w:cs="Times New Roman"/>
                <w:color w:val="FF0000"/>
                <w:sz w:val="18"/>
                <w:szCs w:val="18"/>
                <w:u w:val="single"/>
              </w:rPr>
            </w:pPr>
          </w:p>
        </w:tc>
        <w:tc>
          <w:tcPr>
            <w:tcW w:w="433" w:type="pct"/>
            <w:vMerge w:val="continue"/>
            <w:vAlign w:val="center"/>
          </w:tcPr>
          <w:p>
            <w:pPr>
              <w:pStyle w:val="49"/>
              <w:rPr>
                <w:rFonts w:cs="Times New Roman"/>
                <w:color w:val="FF0000"/>
                <w:sz w:val="18"/>
                <w:szCs w:val="18"/>
                <w:u w:val="single"/>
              </w:rPr>
            </w:pPr>
          </w:p>
        </w:tc>
        <w:tc>
          <w:tcPr>
            <w:tcW w:w="323" w:type="pct"/>
            <w:vMerge w:val="continue"/>
            <w:vAlign w:val="center"/>
          </w:tcPr>
          <w:p>
            <w:pPr>
              <w:pStyle w:val="49"/>
              <w:rPr>
                <w:rFonts w:cs="Times New Roman"/>
                <w:color w:val="FF0000"/>
                <w:sz w:val="18"/>
                <w:szCs w:val="18"/>
                <w:u w:val="single"/>
              </w:rPr>
            </w:pPr>
          </w:p>
        </w:tc>
        <w:tc>
          <w:tcPr>
            <w:tcW w:w="331" w:type="pct"/>
            <w:vMerge w:val="continue"/>
            <w:vAlign w:val="center"/>
          </w:tcPr>
          <w:p>
            <w:pPr>
              <w:pStyle w:val="49"/>
              <w:rPr>
                <w:rFonts w:cs="Times New Roman"/>
                <w:color w:val="FF0000"/>
                <w:sz w:val="18"/>
                <w:szCs w:val="18"/>
                <w:u w:val="single"/>
              </w:rPr>
            </w:pPr>
          </w:p>
        </w:tc>
        <w:tc>
          <w:tcPr>
            <w:tcW w:w="331" w:type="pct"/>
            <w:vAlign w:val="center"/>
          </w:tcPr>
          <w:p>
            <w:pPr>
              <w:pStyle w:val="49"/>
              <w:rPr>
                <w:rFonts w:cs="Times New Roman"/>
                <w:color w:val="FF0000"/>
                <w:sz w:val="18"/>
                <w:szCs w:val="18"/>
                <w:u w:val="single"/>
              </w:rPr>
            </w:pPr>
            <w:r>
              <w:rPr>
                <w:rFonts w:cs="Times New Roman"/>
                <w:color w:val="FF0000"/>
                <w:sz w:val="18"/>
                <w:szCs w:val="18"/>
                <w:u w:val="single"/>
              </w:rPr>
              <w:t>H</w:t>
            </w:r>
            <w:r>
              <w:rPr>
                <w:rFonts w:cs="Times New Roman"/>
                <w:color w:val="FF0000"/>
                <w:sz w:val="18"/>
                <w:szCs w:val="18"/>
                <w:u w:val="single"/>
                <w:vertAlign w:val="subscript"/>
              </w:rPr>
              <w:t>2</w:t>
            </w:r>
            <w:r>
              <w:rPr>
                <w:rFonts w:cs="Times New Roman"/>
                <w:color w:val="FF0000"/>
                <w:sz w:val="18"/>
                <w:szCs w:val="18"/>
                <w:u w:val="single"/>
              </w:rPr>
              <w:t>S</w:t>
            </w:r>
          </w:p>
        </w:tc>
        <w:tc>
          <w:tcPr>
            <w:tcW w:w="547" w:type="pct"/>
            <w:vAlign w:val="center"/>
          </w:tcPr>
          <w:p>
            <w:pPr>
              <w:pStyle w:val="49"/>
              <w:rPr>
                <w:rFonts w:cs="Times New Roman"/>
                <w:color w:val="FF0000"/>
                <w:sz w:val="18"/>
                <w:szCs w:val="18"/>
                <w:u w:val="single"/>
              </w:rPr>
            </w:pPr>
            <w:r>
              <w:rPr>
                <w:rFonts w:cs="Times New Roman"/>
                <w:color w:val="FF0000"/>
                <w:sz w:val="18"/>
                <w:szCs w:val="18"/>
                <w:u w:val="single"/>
              </w:rPr>
              <w:t>0.000468</w:t>
            </w:r>
          </w:p>
        </w:tc>
      </w:tr>
    </w:tbl>
    <w:p>
      <w:pPr>
        <w:pStyle w:val="3"/>
        <w:ind w:firstLine="480"/>
        <w:rPr>
          <w:color w:val="FF0000"/>
          <w:u w:val="single"/>
        </w:rPr>
      </w:pPr>
      <w:r>
        <w:rPr>
          <w:rFonts w:hint="eastAsia"/>
          <w:color w:val="FF0000"/>
          <w:u w:val="single"/>
        </w:rPr>
        <w:t>Aerscreen 计算结果见表2.6-6。</w:t>
      </w:r>
    </w:p>
    <w:p>
      <w:pPr>
        <w:pStyle w:val="14"/>
        <w:rPr>
          <w:rFonts w:cs="Times New Roman"/>
          <w:color w:val="FF0000"/>
          <w:u w:val="single"/>
        </w:rPr>
      </w:pPr>
      <w:r>
        <w:rPr>
          <w:rFonts w:cs="Times New Roman"/>
          <w:color w:val="FF0000"/>
          <w:u w:val="single"/>
        </w:rPr>
        <w:t>表2.6-</w:t>
      </w:r>
      <w:r>
        <w:rPr>
          <w:rFonts w:hint="eastAsia" w:cs="Times New Roman"/>
          <w:color w:val="FF0000"/>
          <w:u w:val="single"/>
        </w:rPr>
        <w:t>6</w:t>
      </w:r>
      <w:r>
        <w:rPr>
          <w:rFonts w:cs="Times New Roman"/>
          <w:color w:val="FF0000"/>
          <w:u w:val="single"/>
        </w:rPr>
        <w:t xml:space="preserve">   </w:t>
      </w:r>
      <w:r>
        <w:rPr>
          <w:rFonts w:hint="eastAsia" w:cs="Times New Roman"/>
          <w:color w:val="FF0000"/>
          <w:u w:val="single"/>
        </w:rPr>
        <w:t>估算模式中采用的计算参数及结果一览表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2293"/>
        <w:gridCol w:w="2293"/>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Align w:val="center"/>
          </w:tcPr>
          <w:p>
            <w:pPr>
              <w:pStyle w:val="49"/>
              <w:rPr>
                <w:rFonts w:cs="Times New Roman"/>
                <w:color w:val="FF0000"/>
                <w:u w:val="single"/>
              </w:rPr>
            </w:pPr>
            <w:r>
              <w:rPr>
                <w:rFonts w:cs="Times New Roman"/>
                <w:color w:val="FF0000"/>
                <w:u w:val="single"/>
              </w:rPr>
              <w:t>评价项目</w:t>
            </w:r>
          </w:p>
        </w:tc>
        <w:tc>
          <w:tcPr>
            <w:tcW w:w="1250" w:type="pct"/>
            <w:vAlign w:val="center"/>
          </w:tcPr>
          <w:p>
            <w:pPr>
              <w:pStyle w:val="49"/>
              <w:rPr>
                <w:rFonts w:cs="Times New Roman"/>
                <w:color w:val="FF0000"/>
                <w:u w:val="single"/>
              </w:rPr>
            </w:pPr>
            <w:r>
              <w:rPr>
                <w:rFonts w:cs="Times New Roman"/>
                <w:color w:val="FF0000"/>
                <w:u w:val="single"/>
              </w:rPr>
              <w:t>评价因子</w:t>
            </w:r>
          </w:p>
        </w:tc>
        <w:tc>
          <w:tcPr>
            <w:tcW w:w="1250" w:type="pct"/>
            <w:vAlign w:val="center"/>
          </w:tcPr>
          <w:p>
            <w:pPr>
              <w:pStyle w:val="49"/>
              <w:rPr>
                <w:rFonts w:cs="Times New Roman"/>
                <w:color w:val="FF0000"/>
                <w:u w:val="single"/>
              </w:rPr>
            </w:pPr>
            <w:r>
              <w:rPr>
                <w:rFonts w:cs="Times New Roman"/>
                <w:color w:val="FF0000"/>
                <w:u w:val="single"/>
              </w:rPr>
              <w:t>Pmax%</w:t>
            </w:r>
          </w:p>
        </w:tc>
        <w:tc>
          <w:tcPr>
            <w:tcW w:w="1249" w:type="pct"/>
            <w:vAlign w:val="center"/>
          </w:tcPr>
          <w:p>
            <w:pPr>
              <w:pStyle w:val="49"/>
              <w:rPr>
                <w:rFonts w:cs="Times New Roman"/>
                <w:color w:val="FF0000"/>
                <w:u w:val="single"/>
              </w:rPr>
            </w:pPr>
            <w:r>
              <w:rPr>
                <w:rFonts w:cs="Times New Roman"/>
                <w:color w:val="FF0000"/>
                <w:u w:val="single"/>
              </w:rPr>
              <w:t>评价工作等级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restart"/>
            <w:vAlign w:val="center"/>
          </w:tcPr>
          <w:p>
            <w:pPr>
              <w:pStyle w:val="49"/>
              <w:rPr>
                <w:rFonts w:cs="Times New Roman"/>
                <w:color w:val="FF0000"/>
                <w:kern w:val="0"/>
                <w:u w:val="single"/>
              </w:rPr>
            </w:pPr>
            <w:r>
              <w:rPr>
                <w:rFonts w:cs="Times New Roman"/>
                <w:color w:val="FF0000"/>
                <w:kern w:val="0"/>
                <w:u w:val="single"/>
              </w:rPr>
              <w:t>生物质锅炉排气筒</w:t>
            </w:r>
          </w:p>
          <w:p>
            <w:pPr>
              <w:pStyle w:val="49"/>
              <w:rPr>
                <w:rFonts w:cs="Times New Roman"/>
                <w:color w:val="FF0000"/>
                <w:u w:val="single"/>
              </w:rPr>
            </w:pPr>
            <w:r>
              <w:rPr>
                <w:rFonts w:cs="Times New Roman"/>
                <w:color w:val="FF0000"/>
                <w:u w:val="single"/>
                <w:shd w:val="clear" w:color="auto" w:fill="FFFFFF"/>
              </w:rPr>
              <w:t>（DA001）</w:t>
            </w:r>
          </w:p>
        </w:tc>
        <w:tc>
          <w:tcPr>
            <w:tcW w:w="1250" w:type="pct"/>
            <w:vAlign w:val="center"/>
          </w:tcPr>
          <w:p>
            <w:pPr>
              <w:pStyle w:val="49"/>
              <w:rPr>
                <w:rFonts w:cs="Times New Roman"/>
                <w:color w:val="FF0000"/>
                <w:u w:val="single"/>
              </w:rPr>
            </w:pPr>
            <w:r>
              <w:rPr>
                <w:rFonts w:cs="Times New Roman"/>
                <w:color w:val="FF0000"/>
                <w:u w:val="single"/>
              </w:rPr>
              <w:t>TSP</w:t>
            </w:r>
          </w:p>
        </w:tc>
        <w:tc>
          <w:tcPr>
            <w:tcW w:w="1250" w:type="pct"/>
            <w:vAlign w:val="center"/>
          </w:tcPr>
          <w:p>
            <w:pPr>
              <w:pStyle w:val="49"/>
              <w:rPr>
                <w:rFonts w:cs="Times New Roman"/>
                <w:color w:val="FF0000"/>
                <w:u w:val="single"/>
              </w:rPr>
            </w:pPr>
            <w:r>
              <w:rPr>
                <w:rFonts w:cs="Times New Roman"/>
                <w:color w:val="FF0000"/>
                <w:u w:val="single"/>
              </w:rPr>
              <w:t>0.00</w:t>
            </w:r>
          </w:p>
        </w:tc>
        <w:tc>
          <w:tcPr>
            <w:tcW w:w="1249"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continue"/>
            <w:vAlign w:val="center"/>
          </w:tcPr>
          <w:p>
            <w:pPr>
              <w:pStyle w:val="49"/>
              <w:rPr>
                <w:rFonts w:cs="Times New Roman"/>
                <w:color w:val="FF0000"/>
                <w:kern w:val="0"/>
                <w:u w:val="single"/>
              </w:rPr>
            </w:pPr>
          </w:p>
        </w:tc>
        <w:tc>
          <w:tcPr>
            <w:tcW w:w="1250" w:type="pct"/>
            <w:vAlign w:val="center"/>
          </w:tcPr>
          <w:p>
            <w:pPr>
              <w:pStyle w:val="49"/>
              <w:rPr>
                <w:rFonts w:cs="Times New Roman"/>
                <w:color w:val="FF0000"/>
                <w:u w:val="single"/>
              </w:rPr>
            </w:pPr>
            <w:r>
              <w:rPr>
                <w:rFonts w:cs="Times New Roman"/>
                <w:color w:val="FF0000"/>
                <w:u w:val="single"/>
              </w:rPr>
              <w:t>SO</w:t>
            </w:r>
            <w:r>
              <w:rPr>
                <w:rFonts w:cs="Times New Roman"/>
                <w:color w:val="FF0000"/>
                <w:u w:val="single"/>
                <w:vertAlign w:val="subscript"/>
              </w:rPr>
              <w:t>2</w:t>
            </w:r>
          </w:p>
        </w:tc>
        <w:tc>
          <w:tcPr>
            <w:tcW w:w="1250" w:type="pct"/>
            <w:vAlign w:val="center"/>
          </w:tcPr>
          <w:p>
            <w:pPr>
              <w:widowControl w:val="0"/>
              <w:jc w:val="center"/>
              <w:rPr>
                <w:rFonts w:ascii="Times New Roman" w:hAnsi="Times New Roman" w:cs="Times New Roman"/>
                <w:color w:val="FF0000"/>
                <w:u w:val="single"/>
              </w:rPr>
            </w:pPr>
            <w:r>
              <w:rPr>
                <w:rFonts w:cs="Times New Roman"/>
                <w:color w:val="FF0000"/>
                <w:u w:val="single"/>
              </w:rPr>
              <w:t>0.00</w:t>
            </w:r>
          </w:p>
        </w:tc>
        <w:tc>
          <w:tcPr>
            <w:tcW w:w="1249"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continue"/>
            <w:vAlign w:val="center"/>
          </w:tcPr>
          <w:p>
            <w:pPr>
              <w:pStyle w:val="49"/>
              <w:rPr>
                <w:rFonts w:cs="Times New Roman"/>
                <w:color w:val="FF0000"/>
                <w:kern w:val="0"/>
                <w:u w:val="single"/>
              </w:rPr>
            </w:pPr>
          </w:p>
        </w:tc>
        <w:tc>
          <w:tcPr>
            <w:tcW w:w="1250" w:type="pct"/>
            <w:vAlign w:val="center"/>
          </w:tcPr>
          <w:p>
            <w:pPr>
              <w:pStyle w:val="49"/>
              <w:rPr>
                <w:rFonts w:cs="Times New Roman"/>
                <w:color w:val="FF0000"/>
                <w:highlight w:val="yellow"/>
                <w:u w:val="single"/>
              </w:rPr>
            </w:pPr>
            <w:r>
              <w:rPr>
                <w:rFonts w:cs="Times New Roman"/>
                <w:color w:val="FF0000"/>
                <w:u w:val="single"/>
              </w:rPr>
              <w:t>NOx</w:t>
            </w:r>
          </w:p>
        </w:tc>
        <w:tc>
          <w:tcPr>
            <w:tcW w:w="1250" w:type="pct"/>
            <w:vAlign w:val="center"/>
          </w:tcPr>
          <w:p>
            <w:pPr>
              <w:widowControl w:val="0"/>
              <w:jc w:val="center"/>
              <w:rPr>
                <w:rFonts w:ascii="Times New Roman" w:hAnsi="Times New Roman" w:cs="Times New Roman"/>
                <w:color w:val="FF0000"/>
                <w:szCs w:val="24"/>
                <w:u w:val="single"/>
              </w:rPr>
            </w:pPr>
            <w:r>
              <w:rPr>
                <w:rFonts w:cs="Times New Roman"/>
                <w:color w:val="FF0000"/>
                <w:u w:val="single"/>
              </w:rPr>
              <w:t>0.00</w:t>
            </w:r>
          </w:p>
        </w:tc>
        <w:tc>
          <w:tcPr>
            <w:tcW w:w="1249"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251" w:type="pct"/>
            <w:vMerge w:val="restart"/>
            <w:vAlign w:val="center"/>
          </w:tcPr>
          <w:p>
            <w:pPr>
              <w:pStyle w:val="49"/>
              <w:rPr>
                <w:rFonts w:cs="Times New Roman"/>
                <w:color w:val="FF0000"/>
                <w:kern w:val="0"/>
                <w:u w:val="single"/>
              </w:rPr>
            </w:pPr>
            <w:r>
              <w:rPr>
                <w:rFonts w:cs="Times New Roman"/>
                <w:color w:val="FF0000"/>
                <w:kern w:val="0"/>
                <w:u w:val="single"/>
              </w:rPr>
              <w:t>牛屠宰、待宰区</w:t>
            </w:r>
          </w:p>
        </w:tc>
        <w:tc>
          <w:tcPr>
            <w:tcW w:w="1250"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1250" w:type="pct"/>
            <w:vAlign w:val="center"/>
          </w:tcPr>
          <w:p>
            <w:pPr>
              <w:pStyle w:val="49"/>
              <w:rPr>
                <w:rFonts w:cs="Times New Roman"/>
                <w:color w:val="FF0000"/>
                <w:u w:val="single"/>
              </w:rPr>
            </w:pPr>
            <w:r>
              <w:rPr>
                <w:rFonts w:hint="eastAsia" w:cs="Times New Roman"/>
                <w:color w:val="FF0000"/>
                <w:u w:val="single"/>
              </w:rPr>
              <w:t>9.67</w:t>
            </w:r>
          </w:p>
        </w:tc>
        <w:tc>
          <w:tcPr>
            <w:tcW w:w="1249" w:type="pct"/>
            <w:vAlign w:val="center"/>
          </w:tcPr>
          <w:p>
            <w:pPr>
              <w:pStyle w:val="49"/>
              <w:rPr>
                <w:rFonts w:cs="Times New Roman"/>
                <w:color w:val="FF0000"/>
                <w:u w:val="single"/>
              </w:rPr>
            </w:pPr>
            <w:r>
              <w:rPr>
                <w:rFonts w:cs="Times New Roman"/>
                <w:color w:val="FF0000"/>
                <w:u w:val="singl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continue"/>
            <w:vAlign w:val="center"/>
          </w:tcPr>
          <w:p>
            <w:pPr>
              <w:pStyle w:val="49"/>
              <w:rPr>
                <w:rFonts w:cs="Times New Roman"/>
                <w:color w:val="FF0000"/>
                <w:kern w:val="0"/>
                <w:u w:val="single"/>
              </w:rPr>
            </w:pPr>
          </w:p>
        </w:tc>
        <w:tc>
          <w:tcPr>
            <w:tcW w:w="1250"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1250" w:type="pct"/>
            <w:vAlign w:val="center"/>
          </w:tcPr>
          <w:p>
            <w:pPr>
              <w:pStyle w:val="49"/>
              <w:rPr>
                <w:rFonts w:cs="Times New Roman"/>
                <w:color w:val="FF0000"/>
                <w:u w:val="single"/>
              </w:rPr>
            </w:pPr>
            <w:r>
              <w:rPr>
                <w:rFonts w:hint="eastAsia" w:cs="Times New Roman"/>
                <w:color w:val="FF0000"/>
                <w:u w:val="single"/>
              </w:rPr>
              <w:t>3.87</w:t>
            </w:r>
          </w:p>
        </w:tc>
        <w:tc>
          <w:tcPr>
            <w:tcW w:w="1249" w:type="pct"/>
            <w:vAlign w:val="center"/>
          </w:tcPr>
          <w:p>
            <w:pPr>
              <w:pStyle w:val="49"/>
              <w:rPr>
                <w:rFonts w:cs="Times New Roman"/>
                <w:color w:val="FF0000"/>
                <w:u w:val="single"/>
              </w:rPr>
            </w:pPr>
            <w:r>
              <w:rPr>
                <w:rFonts w:cs="Times New Roman"/>
                <w:color w:val="FF0000"/>
                <w:u w:val="singl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restart"/>
            <w:vAlign w:val="center"/>
          </w:tcPr>
          <w:p>
            <w:pPr>
              <w:pStyle w:val="49"/>
              <w:rPr>
                <w:rFonts w:cs="Times New Roman"/>
                <w:color w:val="FF0000"/>
                <w:kern w:val="0"/>
                <w:u w:val="single"/>
              </w:rPr>
            </w:pPr>
            <w:r>
              <w:rPr>
                <w:rFonts w:cs="Times New Roman"/>
                <w:color w:val="FF0000"/>
                <w:kern w:val="0"/>
                <w:u w:val="single"/>
              </w:rPr>
              <w:t>禽类屠宰、待宰区</w:t>
            </w:r>
          </w:p>
        </w:tc>
        <w:tc>
          <w:tcPr>
            <w:tcW w:w="1250"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1250" w:type="pct"/>
            <w:vAlign w:val="center"/>
          </w:tcPr>
          <w:p>
            <w:pPr>
              <w:pStyle w:val="49"/>
              <w:rPr>
                <w:rFonts w:cs="Times New Roman"/>
                <w:color w:val="FF0000"/>
                <w:u w:val="single"/>
              </w:rPr>
            </w:pPr>
            <w:r>
              <w:rPr>
                <w:rFonts w:hint="eastAsia" w:cs="Times New Roman"/>
                <w:color w:val="FF0000"/>
                <w:u w:val="single"/>
              </w:rPr>
              <w:t>5.04</w:t>
            </w:r>
          </w:p>
        </w:tc>
        <w:tc>
          <w:tcPr>
            <w:tcW w:w="1249" w:type="pct"/>
            <w:vAlign w:val="center"/>
          </w:tcPr>
          <w:p>
            <w:pPr>
              <w:pStyle w:val="49"/>
              <w:rPr>
                <w:rFonts w:cs="Times New Roman"/>
                <w:color w:val="FF0000"/>
                <w:u w:val="single"/>
              </w:rPr>
            </w:pPr>
            <w:r>
              <w:rPr>
                <w:rFonts w:cs="Times New Roman"/>
                <w:color w:val="FF0000"/>
                <w:u w:val="singl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continue"/>
            <w:vAlign w:val="center"/>
          </w:tcPr>
          <w:p>
            <w:pPr>
              <w:pStyle w:val="49"/>
              <w:rPr>
                <w:rFonts w:cs="Times New Roman"/>
                <w:color w:val="FF0000"/>
                <w:kern w:val="0"/>
                <w:u w:val="single"/>
              </w:rPr>
            </w:pPr>
          </w:p>
        </w:tc>
        <w:tc>
          <w:tcPr>
            <w:tcW w:w="1250"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1250" w:type="pct"/>
            <w:vAlign w:val="center"/>
          </w:tcPr>
          <w:p>
            <w:pPr>
              <w:pStyle w:val="49"/>
              <w:rPr>
                <w:rFonts w:cs="Times New Roman"/>
                <w:color w:val="FF0000"/>
                <w:u w:val="single"/>
              </w:rPr>
            </w:pPr>
            <w:r>
              <w:rPr>
                <w:rFonts w:hint="eastAsia" w:cs="Times New Roman"/>
                <w:color w:val="FF0000"/>
                <w:u w:val="single"/>
              </w:rPr>
              <w:t>1.22</w:t>
            </w:r>
          </w:p>
        </w:tc>
        <w:tc>
          <w:tcPr>
            <w:tcW w:w="1249" w:type="pct"/>
            <w:vAlign w:val="center"/>
          </w:tcPr>
          <w:p>
            <w:pPr>
              <w:pStyle w:val="49"/>
              <w:rPr>
                <w:rFonts w:cs="Times New Roman"/>
                <w:color w:val="FF0000"/>
                <w:u w:val="single"/>
              </w:rPr>
            </w:pPr>
            <w:r>
              <w:rPr>
                <w:rFonts w:cs="Times New Roman"/>
                <w:color w:val="FF0000"/>
                <w:u w:val="singl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restart"/>
            <w:vAlign w:val="center"/>
          </w:tcPr>
          <w:p>
            <w:pPr>
              <w:pStyle w:val="49"/>
              <w:rPr>
                <w:rFonts w:cs="Times New Roman"/>
                <w:color w:val="FF0000"/>
                <w:kern w:val="0"/>
                <w:u w:val="single"/>
              </w:rPr>
            </w:pPr>
            <w:r>
              <w:rPr>
                <w:rFonts w:cs="Times New Roman"/>
                <w:color w:val="FF0000"/>
                <w:kern w:val="0"/>
                <w:u w:val="single"/>
              </w:rPr>
              <w:t>粪污处理区</w:t>
            </w:r>
          </w:p>
        </w:tc>
        <w:tc>
          <w:tcPr>
            <w:tcW w:w="1250"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1250" w:type="pct"/>
            <w:vAlign w:val="center"/>
          </w:tcPr>
          <w:p>
            <w:pPr>
              <w:pStyle w:val="49"/>
              <w:rPr>
                <w:rFonts w:cs="Times New Roman"/>
                <w:color w:val="FF0000"/>
                <w:u w:val="single"/>
              </w:rPr>
            </w:pPr>
            <w:r>
              <w:rPr>
                <w:rFonts w:hint="eastAsia" w:cs="Times New Roman"/>
                <w:color w:val="FF0000"/>
                <w:u w:val="single"/>
              </w:rPr>
              <w:t>9.57</w:t>
            </w:r>
          </w:p>
        </w:tc>
        <w:tc>
          <w:tcPr>
            <w:tcW w:w="1249" w:type="pct"/>
            <w:vAlign w:val="center"/>
          </w:tcPr>
          <w:p>
            <w:pPr>
              <w:pStyle w:val="49"/>
              <w:rPr>
                <w:rFonts w:cs="Times New Roman"/>
                <w:color w:val="FF0000"/>
                <w:u w:val="single"/>
              </w:rPr>
            </w:pPr>
            <w:r>
              <w:rPr>
                <w:rFonts w:cs="Times New Roman"/>
                <w:color w:val="FF0000"/>
                <w:u w:val="singl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vMerge w:val="continue"/>
            <w:vAlign w:val="center"/>
          </w:tcPr>
          <w:p>
            <w:pPr>
              <w:pStyle w:val="49"/>
              <w:rPr>
                <w:rFonts w:cs="Times New Roman"/>
                <w:color w:val="FF0000"/>
                <w:kern w:val="0"/>
                <w:u w:val="single"/>
              </w:rPr>
            </w:pPr>
          </w:p>
        </w:tc>
        <w:tc>
          <w:tcPr>
            <w:tcW w:w="1250"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1250" w:type="pct"/>
            <w:vAlign w:val="center"/>
          </w:tcPr>
          <w:p>
            <w:pPr>
              <w:pStyle w:val="49"/>
              <w:rPr>
                <w:rFonts w:cs="Times New Roman"/>
                <w:color w:val="FF0000"/>
                <w:u w:val="single"/>
              </w:rPr>
            </w:pPr>
            <w:r>
              <w:rPr>
                <w:rFonts w:hint="eastAsia" w:cs="Times New Roman"/>
                <w:color w:val="FF0000"/>
                <w:u w:val="single"/>
              </w:rPr>
              <w:t>7.37</w:t>
            </w:r>
          </w:p>
        </w:tc>
        <w:tc>
          <w:tcPr>
            <w:tcW w:w="1249" w:type="pct"/>
            <w:vAlign w:val="center"/>
          </w:tcPr>
          <w:p>
            <w:pPr>
              <w:pStyle w:val="49"/>
              <w:rPr>
                <w:rFonts w:cs="Times New Roman"/>
                <w:color w:val="FF0000"/>
                <w:u w:val="single"/>
              </w:rPr>
            </w:pPr>
            <w:r>
              <w:rPr>
                <w:rFonts w:cs="Times New Roman"/>
                <w:color w:val="FF0000"/>
                <w:u w:val="single"/>
              </w:rPr>
              <w:t>二级</w:t>
            </w:r>
          </w:p>
        </w:tc>
      </w:tr>
    </w:tbl>
    <w:p>
      <w:pPr>
        <w:pStyle w:val="3"/>
        <w:ind w:firstLine="480"/>
        <w:rPr>
          <w:color w:val="FF0000"/>
          <w:u w:val="single"/>
        </w:rPr>
      </w:pPr>
      <w:r>
        <w:rPr>
          <w:rFonts w:hint="eastAsia"/>
          <w:color w:val="FF0000"/>
          <w:u w:val="single"/>
        </w:rPr>
        <w:t>由表2.6-6 可知，本项目废气主要污染物最大占标率Pmax=9.67%＜10%，源于</w:t>
      </w:r>
      <w:r>
        <w:rPr>
          <w:rFonts w:cs="Times New Roman"/>
          <w:color w:val="FF0000"/>
          <w:kern w:val="0"/>
          <w:u w:val="single"/>
        </w:rPr>
        <w:t>牛屠宰、待宰区</w:t>
      </w:r>
      <w:r>
        <w:rPr>
          <w:rFonts w:hint="eastAsia"/>
          <w:color w:val="FF0000"/>
          <w:u w:val="single"/>
        </w:rPr>
        <w:t>无组织排放的NH</w:t>
      </w:r>
      <w:r>
        <w:rPr>
          <w:rFonts w:hint="eastAsia"/>
          <w:color w:val="FF0000"/>
          <w:u w:val="single"/>
          <w:vertAlign w:val="subscript"/>
        </w:rPr>
        <w:t>3</w:t>
      </w:r>
      <w:r>
        <w:rPr>
          <w:rFonts w:hint="eastAsia"/>
          <w:color w:val="FF0000"/>
          <w:u w:val="single"/>
        </w:rPr>
        <w:t>。根据HJ2.2-2018，本项目大气环境评价工作等级为二级。根据《环境影响评价技术导则大气环境》（HJ2.2-2018）中“8.1.2二级评价不进行进一步预测与评价，只对污染物排放量进行核算”，项目评价范围为边长5km的范围。</w:t>
      </w:r>
    </w:p>
    <w:p>
      <w:pPr>
        <w:pStyle w:val="3"/>
        <w:ind w:firstLine="0" w:firstLineChars="0"/>
        <w:outlineLvl w:val="2"/>
        <w:rPr>
          <w:rFonts w:eastAsia="黑体" w:cstheme="majorBidi"/>
          <w:bCs/>
          <w:szCs w:val="32"/>
        </w:rPr>
      </w:pPr>
      <w:r>
        <w:rPr>
          <w:rFonts w:hint="eastAsia"/>
        </w:rPr>
        <w:t xml:space="preserve">2.6.2  </w:t>
      </w:r>
      <w:r>
        <w:rPr>
          <w:rFonts w:hint="eastAsia" w:eastAsia="黑体" w:cstheme="majorBidi"/>
          <w:bCs/>
          <w:szCs w:val="32"/>
        </w:rPr>
        <w:t>地表水评价等级与评价范围</w:t>
      </w:r>
    </w:p>
    <w:p>
      <w:pPr>
        <w:pStyle w:val="3"/>
        <w:ind w:firstLine="480"/>
      </w:pPr>
      <w:r>
        <w:rPr>
          <w:rFonts w:hint="eastAsia"/>
        </w:rPr>
        <w:t>根据《环境影响评价技术导则-地表水环境》（HJ2.3-2018）中的评价级别划分方法进行确定，其判据详见下表 2.6</w:t>
      </w:r>
      <w:r>
        <w:t>-</w:t>
      </w:r>
      <w:r>
        <w:rPr>
          <w:rFonts w:hint="eastAsia"/>
        </w:rPr>
        <w:t>7。</w:t>
      </w:r>
    </w:p>
    <w:p>
      <w:pPr>
        <w:pStyle w:val="3"/>
        <w:spacing w:line="240" w:lineRule="auto"/>
        <w:ind w:firstLine="0" w:firstLineChars="0"/>
        <w:jc w:val="center"/>
        <w:rPr>
          <w:b/>
        </w:rPr>
      </w:pPr>
      <w:r>
        <w:rPr>
          <w:rFonts w:cs="Times New Roman" w:eastAsiaTheme="minorEastAsia"/>
          <w:b/>
        </w:rPr>
        <w:t>表2.</w:t>
      </w:r>
      <w:r>
        <w:rPr>
          <w:rFonts w:hint="eastAsia" w:cs="Times New Roman" w:eastAsiaTheme="minorEastAsia"/>
          <w:b/>
        </w:rPr>
        <w:t>6</w:t>
      </w:r>
      <w:r>
        <w:rPr>
          <w:rFonts w:cs="Times New Roman" w:eastAsiaTheme="minorEastAsia"/>
          <w:b/>
        </w:rPr>
        <w:t>-</w:t>
      </w:r>
      <w:r>
        <w:rPr>
          <w:rFonts w:hint="eastAsia" w:cs="Times New Roman" w:eastAsiaTheme="minorEastAsia"/>
          <w:b/>
        </w:rPr>
        <w:t>7</w:t>
      </w:r>
      <w:r>
        <w:rPr>
          <w:rFonts w:cs="Times New Roman" w:eastAsiaTheme="minorEastAsia"/>
          <w:b/>
        </w:rPr>
        <w:t xml:space="preserve">  </w:t>
      </w:r>
      <w:r>
        <w:rPr>
          <w:rFonts w:hint="eastAsia" w:cs="Times New Roman" w:eastAsiaTheme="minorEastAsia"/>
          <w:b/>
        </w:rPr>
        <w:t xml:space="preserve"> 水污染物影响型建设项目评价等级确定</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3069"/>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Merge w:val="restart"/>
            <w:vAlign w:val="center"/>
          </w:tcPr>
          <w:p>
            <w:pPr>
              <w:pStyle w:val="55"/>
              <w:rPr>
                <w:rFonts w:cs="Times New Roman"/>
              </w:rPr>
            </w:pPr>
            <w:r>
              <w:rPr>
                <w:rFonts w:cs="Times New Roman"/>
              </w:rPr>
              <w:t>项目</w:t>
            </w:r>
          </w:p>
        </w:tc>
        <w:tc>
          <w:tcPr>
            <w:tcW w:w="3709" w:type="pct"/>
            <w:gridSpan w:val="2"/>
            <w:vAlign w:val="center"/>
          </w:tcPr>
          <w:p>
            <w:pPr>
              <w:pStyle w:val="55"/>
              <w:rPr>
                <w:rFonts w:cs="Times New Roman"/>
              </w:rPr>
            </w:pPr>
            <w:r>
              <w:rPr>
                <w:rFonts w:cs="Times New Roman"/>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Merge w:val="continue"/>
            <w:vAlign w:val="center"/>
          </w:tcPr>
          <w:p>
            <w:pPr>
              <w:pStyle w:val="55"/>
              <w:rPr>
                <w:rFonts w:cs="Times New Roman"/>
              </w:rPr>
            </w:pPr>
          </w:p>
        </w:tc>
        <w:tc>
          <w:tcPr>
            <w:tcW w:w="1673" w:type="pct"/>
            <w:vAlign w:val="center"/>
          </w:tcPr>
          <w:p>
            <w:pPr>
              <w:pStyle w:val="55"/>
              <w:rPr>
                <w:rFonts w:cs="Times New Roman"/>
              </w:rPr>
            </w:pPr>
            <w:r>
              <w:rPr>
                <w:rFonts w:cs="Times New Roman"/>
              </w:rPr>
              <w:t>排放方式</w:t>
            </w:r>
          </w:p>
        </w:tc>
        <w:tc>
          <w:tcPr>
            <w:tcW w:w="2036" w:type="pct"/>
            <w:vAlign w:val="center"/>
          </w:tcPr>
          <w:p>
            <w:pPr>
              <w:pStyle w:val="55"/>
              <w:rPr>
                <w:rFonts w:cs="Times New Roman"/>
              </w:rPr>
            </w:pPr>
            <w:r>
              <w:rPr>
                <w:rFonts w:cs="Times New Roman"/>
              </w:rPr>
              <w:t>废水排放量Q/（m</w:t>
            </w:r>
            <w:r>
              <w:rPr>
                <w:rFonts w:cs="Times New Roman"/>
                <w:vertAlign w:val="superscript"/>
              </w:rPr>
              <w:t>3</w:t>
            </w:r>
            <w:r>
              <w:rPr>
                <w:rFonts w:cs="Times New Roman"/>
              </w:rPr>
              <w:t>/d）；</w:t>
            </w:r>
          </w:p>
          <w:p>
            <w:pPr>
              <w:pStyle w:val="55"/>
              <w:rPr>
                <w:rFonts w:cs="Times New Roman"/>
              </w:rPr>
            </w:pPr>
            <w:r>
              <w:rPr>
                <w:rFonts w:cs="Times New Roman"/>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Align w:val="center"/>
          </w:tcPr>
          <w:p>
            <w:pPr>
              <w:pStyle w:val="55"/>
              <w:rPr>
                <w:rFonts w:cs="Times New Roman"/>
              </w:rPr>
            </w:pPr>
            <w:r>
              <w:rPr>
                <w:rFonts w:cs="Times New Roman"/>
              </w:rPr>
              <w:t>一级</w:t>
            </w:r>
          </w:p>
        </w:tc>
        <w:tc>
          <w:tcPr>
            <w:tcW w:w="1673" w:type="pct"/>
            <w:vAlign w:val="center"/>
          </w:tcPr>
          <w:p>
            <w:pPr>
              <w:pStyle w:val="55"/>
              <w:rPr>
                <w:rFonts w:cs="Times New Roman"/>
              </w:rPr>
            </w:pPr>
            <w:r>
              <w:rPr>
                <w:rFonts w:cs="Times New Roman"/>
              </w:rPr>
              <w:t>直接排放</w:t>
            </w:r>
          </w:p>
        </w:tc>
        <w:tc>
          <w:tcPr>
            <w:tcW w:w="2036" w:type="pct"/>
            <w:vAlign w:val="center"/>
          </w:tcPr>
          <w:p>
            <w:pPr>
              <w:pStyle w:val="55"/>
              <w:rPr>
                <w:rFonts w:cs="Times New Roman"/>
              </w:rPr>
            </w:pPr>
            <w:r>
              <w:rPr>
                <w:rFonts w:cs="Times New Roman"/>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Align w:val="center"/>
          </w:tcPr>
          <w:p>
            <w:pPr>
              <w:pStyle w:val="55"/>
              <w:rPr>
                <w:rFonts w:cs="Times New Roman"/>
              </w:rPr>
            </w:pPr>
            <w:r>
              <w:rPr>
                <w:rFonts w:cs="Times New Roman"/>
              </w:rPr>
              <w:t>二级</w:t>
            </w:r>
          </w:p>
        </w:tc>
        <w:tc>
          <w:tcPr>
            <w:tcW w:w="1673" w:type="pct"/>
            <w:vAlign w:val="center"/>
          </w:tcPr>
          <w:p>
            <w:pPr>
              <w:pStyle w:val="55"/>
              <w:rPr>
                <w:rFonts w:cs="Times New Roman"/>
              </w:rPr>
            </w:pPr>
            <w:r>
              <w:rPr>
                <w:rFonts w:cs="Times New Roman"/>
              </w:rPr>
              <w:t>直接排放</w:t>
            </w:r>
          </w:p>
        </w:tc>
        <w:tc>
          <w:tcPr>
            <w:tcW w:w="2036" w:type="pct"/>
            <w:vAlign w:val="center"/>
          </w:tcPr>
          <w:p>
            <w:pPr>
              <w:pStyle w:val="55"/>
              <w:rPr>
                <w:rFonts w:cs="Times New Roman"/>
              </w:rPr>
            </w:pPr>
            <w:r>
              <w:rPr>
                <w:rFonts w:cs="Times New Roma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Align w:val="center"/>
          </w:tcPr>
          <w:p>
            <w:pPr>
              <w:pStyle w:val="55"/>
              <w:rPr>
                <w:rFonts w:cs="Times New Roman"/>
              </w:rPr>
            </w:pPr>
            <w:r>
              <w:rPr>
                <w:rFonts w:cs="Times New Roman"/>
              </w:rPr>
              <w:t>三级A</w:t>
            </w:r>
          </w:p>
        </w:tc>
        <w:tc>
          <w:tcPr>
            <w:tcW w:w="1673" w:type="pct"/>
            <w:vAlign w:val="center"/>
          </w:tcPr>
          <w:p>
            <w:pPr>
              <w:pStyle w:val="55"/>
              <w:rPr>
                <w:rFonts w:cs="Times New Roman"/>
              </w:rPr>
            </w:pPr>
            <w:r>
              <w:rPr>
                <w:rFonts w:cs="Times New Roman"/>
              </w:rPr>
              <w:t>直接排放</w:t>
            </w:r>
          </w:p>
        </w:tc>
        <w:tc>
          <w:tcPr>
            <w:tcW w:w="2036" w:type="pct"/>
            <w:vAlign w:val="center"/>
          </w:tcPr>
          <w:p>
            <w:pPr>
              <w:pStyle w:val="55"/>
              <w:rPr>
                <w:rFonts w:cs="Times New Roman"/>
              </w:rPr>
            </w:pPr>
            <w:r>
              <w:rPr>
                <w:rFonts w:cs="Times New Roman"/>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pct"/>
            <w:vAlign w:val="center"/>
          </w:tcPr>
          <w:p>
            <w:pPr>
              <w:pStyle w:val="55"/>
              <w:rPr>
                <w:rFonts w:cs="Times New Roman"/>
              </w:rPr>
            </w:pPr>
            <w:r>
              <w:rPr>
                <w:rFonts w:cs="Times New Roman"/>
              </w:rPr>
              <w:t>三级B</w:t>
            </w:r>
          </w:p>
        </w:tc>
        <w:tc>
          <w:tcPr>
            <w:tcW w:w="1673" w:type="pct"/>
            <w:vAlign w:val="center"/>
          </w:tcPr>
          <w:p>
            <w:pPr>
              <w:pStyle w:val="55"/>
              <w:rPr>
                <w:rFonts w:cs="Times New Roman"/>
              </w:rPr>
            </w:pPr>
            <w:r>
              <w:rPr>
                <w:rFonts w:cs="Times New Roman"/>
              </w:rPr>
              <w:t>间接排放</w:t>
            </w:r>
          </w:p>
        </w:tc>
        <w:tc>
          <w:tcPr>
            <w:tcW w:w="2036" w:type="pct"/>
            <w:vAlign w:val="center"/>
          </w:tcPr>
          <w:p>
            <w:pPr>
              <w:pStyle w:val="55"/>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vAlign w:val="center"/>
          </w:tcPr>
          <w:p>
            <w:pPr>
              <w:pStyle w:val="55"/>
              <w:jc w:val="left"/>
              <w:rPr>
                <w:rFonts w:cs="Times New Roman"/>
              </w:rPr>
            </w:pPr>
            <w:r>
              <w:rPr>
                <w:rFonts w:cs="Times New Roman"/>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55"/>
              <w:jc w:val="left"/>
              <w:rPr>
                <w:rFonts w:cs="Times New Roman"/>
              </w:rPr>
            </w:pPr>
            <w:r>
              <w:rPr>
                <w:rFonts w:cs="Times New Roman"/>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55"/>
              <w:jc w:val="left"/>
              <w:rPr>
                <w:rFonts w:cs="Times New Roman"/>
              </w:rPr>
            </w:pPr>
            <w:r>
              <w:rPr>
                <w:rFonts w:cs="Times New Roman"/>
              </w:rPr>
              <w:t>注3：厂区存在堆积物（露天堆放的原料、燃料、废渣等以及垃圾堆放场）、降尘污染的，应将初期雨污水纳入废水排放量，相应的主要污染物纳入水污染当量计算。</w:t>
            </w:r>
          </w:p>
          <w:p>
            <w:pPr>
              <w:pStyle w:val="55"/>
              <w:jc w:val="left"/>
              <w:rPr>
                <w:rFonts w:cs="Times New Roman"/>
              </w:rPr>
            </w:pPr>
            <w:r>
              <w:rPr>
                <w:rFonts w:cs="Times New Roman"/>
              </w:rPr>
              <w:t>注4：建设项目直接排放第一类污染物的，其评价等级为一级；建设项目直接排放的污染物为受纳水体超标因子的，评价等级不低于二级。</w:t>
            </w:r>
          </w:p>
          <w:p>
            <w:pPr>
              <w:pStyle w:val="55"/>
              <w:jc w:val="left"/>
              <w:rPr>
                <w:rFonts w:cs="Times New Roman"/>
              </w:rPr>
            </w:pPr>
            <w:r>
              <w:rPr>
                <w:rFonts w:cs="Times New Roman"/>
              </w:rPr>
              <w:t>注5：直接排放受纳水体影响范围涉及饮用水水源保护区、饮用水取水口、重点保护与珍稀水生生物的栖息地、重要水生生物的自然产卵场等保护目标时，评价等级不低于二级。</w:t>
            </w:r>
          </w:p>
          <w:p>
            <w:pPr>
              <w:pStyle w:val="55"/>
              <w:jc w:val="left"/>
              <w:rPr>
                <w:rFonts w:cs="Times New Roman"/>
              </w:rPr>
            </w:pPr>
            <w:r>
              <w:rPr>
                <w:rFonts w:cs="Times New Roman"/>
              </w:rPr>
              <w:t>注6：建设项目向河流、湖库排放温排水引起受纳水体水温变化超过水环境质量标准要求，且评价范围有水温敏感目标时，评价等级为一级。</w:t>
            </w:r>
          </w:p>
          <w:p>
            <w:pPr>
              <w:pStyle w:val="55"/>
              <w:jc w:val="left"/>
              <w:rPr>
                <w:rFonts w:cs="Times New Roman"/>
              </w:rPr>
            </w:pPr>
            <w:r>
              <w:rPr>
                <w:rFonts w:cs="Times New Roman"/>
              </w:rPr>
              <w:t>注7：建设项目利用海水作为调节温度介质，排水量≥500万m</w:t>
            </w:r>
            <w:r>
              <w:rPr>
                <w:rFonts w:cs="Times New Roman"/>
                <w:vertAlign w:val="superscript"/>
              </w:rPr>
              <w:t>3</w:t>
            </w:r>
            <w:r>
              <w:rPr>
                <w:rFonts w:cs="Times New Roman"/>
              </w:rPr>
              <w:t>/d，评价等级为一级；排水量＜500万m</w:t>
            </w:r>
            <w:r>
              <w:rPr>
                <w:rFonts w:cs="Times New Roman"/>
                <w:vertAlign w:val="superscript"/>
              </w:rPr>
              <w:t>3</w:t>
            </w:r>
            <w:r>
              <w:rPr>
                <w:rFonts w:cs="Times New Roman"/>
              </w:rPr>
              <w:t>/d，评价等级为二级。</w:t>
            </w:r>
          </w:p>
          <w:p>
            <w:pPr>
              <w:pStyle w:val="55"/>
              <w:jc w:val="left"/>
              <w:rPr>
                <w:rFonts w:cs="Times New Roman"/>
              </w:rPr>
            </w:pPr>
            <w:r>
              <w:rPr>
                <w:rFonts w:cs="Times New Roman"/>
              </w:rPr>
              <w:t>注8：仅涉及清净下水排放的，如其排放水质满足受纳水体水环境质量标准要求的，评价等级为三级 A。</w:t>
            </w:r>
          </w:p>
          <w:p>
            <w:pPr>
              <w:pStyle w:val="55"/>
              <w:jc w:val="left"/>
              <w:rPr>
                <w:rFonts w:cs="Times New Roman"/>
              </w:rPr>
            </w:pPr>
            <w:r>
              <w:rPr>
                <w:rFonts w:cs="Times New Roman"/>
              </w:rPr>
              <w:t>注9：依托现有排放口，且对外环境未新增排放污染物的直接排放建设项目，评价等级参照间接排放，定为三级B。</w:t>
            </w:r>
          </w:p>
          <w:p>
            <w:pPr>
              <w:pStyle w:val="55"/>
              <w:jc w:val="left"/>
              <w:rPr>
                <w:rFonts w:cs="Times New Roman"/>
              </w:rPr>
            </w:pPr>
            <w:r>
              <w:rPr>
                <w:rFonts w:cs="Times New Roman"/>
              </w:rPr>
              <w:t>注10：建设项目生产工艺中有废水产生，但作为回水利用，不排放到外环境的，按三级B评价。</w:t>
            </w:r>
          </w:p>
        </w:tc>
      </w:tr>
    </w:tbl>
    <w:p>
      <w:pPr>
        <w:pStyle w:val="3"/>
        <w:ind w:firstLine="480"/>
        <w:rPr>
          <w:rFonts w:cs="Times New Roman"/>
          <w:kern w:val="0"/>
          <w:szCs w:val="24"/>
        </w:rPr>
      </w:pPr>
      <w:r>
        <w:rPr>
          <w:rFonts w:cs="Times New Roman"/>
          <w:kern w:val="0"/>
          <w:szCs w:val="24"/>
        </w:rPr>
        <w:t>本项目生产废水、地面冲洗废水、生活污水，经自建污水处理设施处理后满足《农田灌溉水质标准》（GB5084-2021）表1 中</w:t>
      </w:r>
      <w:r>
        <w:rPr>
          <w:rFonts w:hint="eastAsia" w:cs="Times New Roman"/>
          <w:kern w:val="0"/>
          <w:szCs w:val="24"/>
        </w:rPr>
        <w:t>“旱作”</w:t>
      </w:r>
      <w:r>
        <w:rPr>
          <w:rFonts w:cs="Times New Roman"/>
          <w:kern w:val="0"/>
          <w:szCs w:val="24"/>
        </w:rPr>
        <w:t>标准</w:t>
      </w:r>
      <w:r>
        <w:rPr>
          <w:rFonts w:hint="eastAsia" w:cs="Times New Roman"/>
          <w:kern w:val="0"/>
          <w:szCs w:val="24"/>
        </w:rPr>
        <w:t>作为农田灌溉，不排入受纳水体，在农田中以土地吸收和蒸发方式消纳，实现生态型“废水零排放”，对当地地表水水体影响较小。</w:t>
      </w:r>
    </w:p>
    <w:p>
      <w:pPr>
        <w:pStyle w:val="3"/>
        <w:ind w:firstLine="480"/>
        <w:rPr>
          <w:rFonts w:cs="Times New Roman"/>
          <w:kern w:val="0"/>
          <w:szCs w:val="24"/>
        </w:rPr>
      </w:pPr>
      <w:r>
        <w:rPr>
          <w:rFonts w:hint="eastAsia" w:cs="Times New Roman"/>
          <w:kern w:val="0"/>
          <w:szCs w:val="24"/>
        </w:rPr>
        <w:t>根据《环境影响评价技术导则地表水环境》（HJ2.3-2018）中5.2 的相关要求，本项目废水不直接排入地表水体，因此确定本项目地表水评价等级为三级B，亦不设定评价范围。重点论证废水处理工艺以及农田灌溉的可行性。</w:t>
      </w:r>
    </w:p>
    <w:p>
      <w:pPr>
        <w:pStyle w:val="3"/>
        <w:ind w:firstLine="0" w:firstLineChars="0"/>
        <w:outlineLvl w:val="2"/>
        <w:rPr>
          <w:rFonts w:eastAsia="黑体" w:cstheme="majorBidi"/>
          <w:bCs/>
          <w:szCs w:val="32"/>
        </w:rPr>
      </w:pPr>
      <w:r>
        <w:rPr>
          <w:rFonts w:hint="eastAsia"/>
        </w:rPr>
        <w:t xml:space="preserve">2.6.3  </w:t>
      </w:r>
      <w:r>
        <w:rPr>
          <w:rFonts w:hint="eastAsia" w:eastAsia="黑体" w:cstheme="majorBidi"/>
          <w:bCs/>
          <w:szCs w:val="32"/>
        </w:rPr>
        <w:t>噪声评价等级与评价范围</w:t>
      </w:r>
    </w:p>
    <w:p>
      <w:pPr>
        <w:pStyle w:val="3"/>
        <w:ind w:firstLine="480"/>
        <w:rPr>
          <w:rFonts w:cs="Times New Roman"/>
          <w:kern w:val="0"/>
          <w:szCs w:val="24"/>
        </w:rPr>
      </w:pPr>
      <w:r>
        <w:rPr>
          <w:rFonts w:hint="eastAsia" w:cs="Times New Roman"/>
          <w:kern w:val="0"/>
          <w:szCs w:val="24"/>
        </w:rPr>
        <w:t>本项目所处的声环境功能区为《声环境质量标准》（</w:t>
      </w:r>
      <w:r>
        <w:rPr>
          <w:rFonts w:cs="Times New Roman"/>
          <w:kern w:val="0"/>
          <w:szCs w:val="24"/>
        </w:rPr>
        <w:t>GB3096-2008</w:t>
      </w:r>
      <w:r>
        <w:rPr>
          <w:rFonts w:hint="eastAsia" w:cs="Times New Roman"/>
          <w:kern w:val="0"/>
          <w:szCs w:val="24"/>
        </w:rPr>
        <w:t>）中规定的</w:t>
      </w:r>
      <w:r>
        <w:rPr>
          <w:rFonts w:cs="Times New Roman"/>
          <w:kern w:val="0"/>
          <w:szCs w:val="24"/>
        </w:rPr>
        <w:t xml:space="preserve">2 </w:t>
      </w:r>
      <w:r>
        <w:rPr>
          <w:rFonts w:hint="eastAsia" w:cs="Times New Roman"/>
          <w:kern w:val="0"/>
          <w:szCs w:val="24"/>
        </w:rPr>
        <w:t>类区，建设项目建设前后评价范围内敏感目标噪声级增高量在</w:t>
      </w:r>
      <w:r>
        <w:rPr>
          <w:rFonts w:cs="Times New Roman"/>
          <w:kern w:val="0"/>
          <w:szCs w:val="24"/>
        </w:rPr>
        <w:t>3dB(A)</w:t>
      </w:r>
      <w:r>
        <w:rPr>
          <w:rFonts w:hint="eastAsia" w:cs="Times New Roman"/>
          <w:kern w:val="0"/>
          <w:szCs w:val="24"/>
        </w:rPr>
        <w:t>以下，且受影响人口数量变化不大。根据《环境影响评价技术导则声环境》（</w:t>
      </w:r>
      <w:r>
        <w:rPr>
          <w:rFonts w:cs="Times New Roman"/>
          <w:kern w:val="0"/>
          <w:szCs w:val="24"/>
        </w:rPr>
        <w:t>HJ2.4-20</w:t>
      </w:r>
      <w:r>
        <w:rPr>
          <w:rFonts w:hint="eastAsia" w:cs="Times New Roman"/>
          <w:kern w:val="0"/>
          <w:szCs w:val="24"/>
        </w:rPr>
        <w:t>21）要求，本项目噪声影响评价工作等级确定为二级。</w:t>
      </w:r>
    </w:p>
    <w:p>
      <w:pPr>
        <w:pStyle w:val="3"/>
        <w:ind w:firstLine="480"/>
        <w:rPr>
          <w:rFonts w:cs="Times New Roman"/>
          <w:kern w:val="0"/>
          <w:szCs w:val="24"/>
        </w:rPr>
      </w:pPr>
      <w:r>
        <w:rPr>
          <w:rFonts w:hint="eastAsia" w:cs="Times New Roman"/>
          <w:kern w:val="0"/>
          <w:szCs w:val="24"/>
        </w:rPr>
        <w:t>综合本项目所在区域声环境功能区划以及敏感目标分布情况，项目声环境影响评价范围为厂界外</w:t>
      </w:r>
      <w:r>
        <w:rPr>
          <w:rFonts w:cs="Times New Roman"/>
          <w:kern w:val="0"/>
          <w:szCs w:val="24"/>
        </w:rPr>
        <w:t xml:space="preserve">200 </w:t>
      </w:r>
      <w:r>
        <w:rPr>
          <w:rFonts w:hint="eastAsia" w:cs="Times New Roman"/>
          <w:kern w:val="0"/>
          <w:szCs w:val="24"/>
        </w:rPr>
        <w:t>米。</w:t>
      </w:r>
    </w:p>
    <w:p>
      <w:pPr>
        <w:pStyle w:val="3"/>
        <w:ind w:firstLine="0" w:firstLineChars="0"/>
        <w:outlineLvl w:val="2"/>
        <w:rPr>
          <w:rFonts w:eastAsia="黑体" w:cstheme="majorBidi"/>
          <w:bCs/>
          <w:szCs w:val="32"/>
        </w:rPr>
      </w:pPr>
      <w:r>
        <w:rPr>
          <w:rFonts w:hint="eastAsia"/>
        </w:rPr>
        <w:t xml:space="preserve">2.6.4  </w:t>
      </w:r>
      <w:r>
        <w:rPr>
          <w:rFonts w:hint="eastAsia" w:eastAsia="黑体" w:cstheme="majorBidi"/>
          <w:bCs/>
          <w:szCs w:val="32"/>
        </w:rPr>
        <w:t>地下水评价等级与评价范围</w:t>
      </w:r>
    </w:p>
    <w:p>
      <w:pPr>
        <w:pStyle w:val="3"/>
        <w:ind w:firstLine="480"/>
        <w:rPr>
          <w:rFonts w:cs="Times New Roman"/>
          <w:kern w:val="0"/>
          <w:szCs w:val="24"/>
        </w:rPr>
      </w:pPr>
      <w:r>
        <w:rPr>
          <w:rFonts w:hint="eastAsia" w:cs="Times New Roman"/>
          <w:kern w:val="0"/>
          <w:szCs w:val="24"/>
        </w:rPr>
        <w:t>根据《环境影响评价技术导则—地下水环境》（HJ610-2016）对建设项目地下水环境评价的要求，并根据附录A 确定本项目属于“N 轻工—98、屠宰—年屠宰10 万头畜类（或100 万只禽类）及以上”的，地下水环境影响评价类别为Ⅲ类。根据现场调查，评价范围内没有地下水集中式供水水源地，不存在与地下水相关的其它保护区，项目周边部分居民取用地下水作为饮用水。因此地下水环境敏感程度为“较敏感”。详见下表2.6-8。</w:t>
      </w:r>
    </w:p>
    <w:p>
      <w:pPr>
        <w:pStyle w:val="3"/>
        <w:spacing w:line="240" w:lineRule="auto"/>
        <w:ind w:firstLine="0" w:firstLineChars="0"/>
        <w:jc w:val="center"/>
        <w:rPr>
          <w:rFonts w:cs="Times New Roman" w:eastAsiaTheme="minorEastAsia"/>
          <w:b/>
        </w:rPr>
      </w:pPr>
      <w:r>
        <w:rPr>
          <w:rFonts w:cs="Times New Roman" w:eastAsiaTheme="minorEastAsia"/>
          <w:b/>
        </w:rPr>
        <w:t>表2.6-</w:t>
      </w:r>
      <w:r>
        <w:rPr>
          <w:rFonts w:hint="eastAsia" w:cs="Times New Roman" w:eastAsiaTheme="minorEastAsia"/>
          <w:b/>
        </w:rPr>
        <w:t>8</w:t>
      </w:r>
      <w:r>
        <w:rPr>
          <w:rFonts w:cs="Times New Roman" w:eastAsiaTheme="minorEastAsia"/>
          <w:b/>
        </w:rPr>
        <w:t xml:space="preserve">  项目地下水环境敏感程度分级</w:t>
      </w:r>
    </w:p>
    <w:tbl>
      <w:tblPr>
        <w:tblStyle w:val="30"/>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163"/>
        <w:gridCol w:w="4880"/>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39" w:type="dxa"/>
            <w:vAlign w:val="center"/>
          </w:tcPr>
          <w:p>
            <w:pPr>
              <w:spacing w:line="360" w:lineRule="exact"/>
              <w:jc w:val="center"/>
              <w:rPr>
                <w:rFonts w:ascii="Times New Roman" w:hAnsi="Times New Roman" w:cs="Times New Roman"/>
              </w:rPr>
            </w:pPr>
            <w:r>
              <w:rPr>
                <w:rFonts w:ascii="Times New Roman" w:hAnsi="Times New Roman" w:cs="Times New Roman"/>
              </w:rPr>
              <w:t>项目</w:t>
            </w:r>
          </w:p>
        </w:tc>
        <w:tc>
          <w:tcPr>
            <w:tcW w:w="1163" w:type="dxa"/>
            <w:vAlign w:val="center"/>
          </w:tcPr>
          <w:p>
            <w:pPr>
              <w:spacing w:line="360" w:lineRule="exact"/>
              <w:jc w:val="center"/>
              <w:rPr>
                <w:rFonts w:ascii="Times New Roman" w:hAnsi="Times New Roman" w:cs="Times New Roman"/>
              </w:rPr>
            </w:pPr>
            <w:r>
              <w:rPr>
                <w:rFonts w:ascii="Times New Roman" w:hAnsi="Times New Roman" w:cs="Times New Roman"/>
              </w:rPr>
              <w:t>敏感程度</w:t>
            </w:r>
          </w:p>
        </w:tc>
        <w:tc>
          <w:tcPr>
            <w:tcW w:w="4880" w:type="dxa"/>
            <w:vAlign w:val="center"/>
          </w:tcPr>
          <w:p>
            <w:pPr>
              <w:spacing w:line="360" w:lineRule="exact"/>
              <w:jc w:val="center"/>
              <w:rPr>
                <w:rFonts w:ascii="Times New Roman" w:hAnsi="Times New Roman" w:cs="Times New Roman"/>
              </w:rPr>
            </w:pPr>
            <w:r>
              <w:rPr>
                <w:rFonts w:ascii="Times New Roman" w:hAnsi="Times New Roman" w:cs="Times New Roman"/>
              </w:rPr>
              <w:t>地下水敏感特性</w:t>
            </w:r>
          </w:p>
        </w:tc>
        <w:tc>
          <w:tcPr>
            <w:tcW w:w="2291" w:type="dxa"/>
            <w:vAlign w:val="center"/>
          </w:tcPr>
          <w:p>
            <w:pPr>
              <w:spacing w:line="360" w:lineRule="exact"/>
              <w:jc w:val="center"/>
              <w:rPr>
                <w:rFonts w:ascii="Times New Roman" w:hAnsi="Times New Roman" w:cs="Times New Roman"/>
              </w:rPr>
            </w:pPr>
            <w:r>
              <w:rPr>
                <w:rFonts w:ascii="Times New Roman" w:hAnsi="Times New Roman" w:cs="Times New Roma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9" w:type="dxa"/>
            <w:vMerge w:val="restart"/>
            <w:vAlign w:val="center"/>
          </w:tcPr>
          <w:p>
            <w:pPr>
              <w:spacing w:line="360" w:lineRule="exact"/>
              <w:jc w:val="center"/>
              <w:rPr>
                <w:rFonts w:ascii="Times New Roman" w:hAnsi="Times New Roman" w:cs="Times New Roman"/>
              </w:rPr>
            </w:pPr>
            <w:r>
              <w:rPr>
                <w:rFonts w:ascii="Times New Roman" w:hAnsi="Times New Roman" w:cs="Times New Roman"/>
              </w:rPr>
              <w:t>地下水环境敏感程度分级</w:t>
            </w:r>
          </w:p>
        </w:tc>
        <w:tc>
          <w:tcPr>
            <w:tcW w:w="1163" w:type="dxa"/>
            <w:vAlign w:val="center"/>
          </w:tcPr>
          <w:p>
            <w:pPr>
              <w:pStyle w:val="3"/>
              <w:spacing w:line="360" w:lineRule="exact"/>
              <w:ind w:firstLine="0" w:firstLineChars="0"/>
              <w:jc w:val="center"/>
              <w:rPr>
                <w:rFonts w:cs="Times New Roman"/>
                <w:sz w:val="21"/>
              </w:rPr>
            </w:pPr>
            <w:r>
              <w:rPr>
                <w:rFonts w:cs="Times New Roman"/>
                <w:sz w:val="21"/>
              </w:rPr>
              <w:t>敏感</w:t>
            </w:r>
          </w:p>
        </w:tc>
        <w:tc>
          <w:tcPr>
            <w:tcW w:w="4880" w:type="dxa"/>
            <w:vAlign w:val="center"/>
          </w:tcPr>
          <w:p>
            <w:pPr>
              <w:spacing w:line="360" w:lineRule="exact"/>
              <w:jc w:val="center"/>
              <w:rPr>
                <w:rFonts w:ascii="Times New Roman" w:hAnsi="Times New Roman" w:cs="Times New Roman"/>
              </w:rPr>
            </w:pPr>
            <w:r>
              <w:rPr>
                <w:rFonts w:ascii="Times New Roman" w:hAnsi="Times New Roman" w:cs="Times New Roma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c>
          <w:tcPr>
            <w:tcW w:w="2291" w:type="dxa"/>
            <w:vMerge w:val="restart"/>
            <w:vAlign w:val="center"/>
          </w:tcPr>
          <w:p>
            <w:pPr>
              <w:autoSpaceDE w:val="0"/>
              <w:autoSpaceDN w:val="0"/>
              <w:jc w:val="center"/>
              <w:rPr>
                <w:rFonts w:ascii="Times New Roman" w:hAnsi="Times New Roman" w:cs="Times New Roman"/>
                <w:sz w:val="24"/>
              </w:rPr>
            </w:pPr>
            <w:r>
              <w:rPr>
                <w:rFonts w:hint="eastAsia"/>
                <w:kern w:val="0"/>
              </w:rPr>
              <w:t>不涉及集中式的饮用水源地，周边部分居民取用地下水作为饮用水；</w:t>
            </w:r>
            <w:r>
              <w:rPr>
                <w:kern w:val="0"/>
              </w:rPr>
              <w:t>地下水</w:t>
            </w:r>
            <w:r>
              <w:rPr>
                <w:rFonts w:hint="eastAsia"/>
                <w:kern w:val="0"/>
              </w:rPr>
              <w:t>较敏感</w:t>
            </w:r>
            <w: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9" w:type="dxa"/>
            <w:vMerge w:val="continue"/>
            <w:vAlign w:val="center"/>
          </w:tcPr>
          <w:p>
            <w:pPr>
              <w:spacing w:line="360" w:lineRule="exact"/>
              <w:jc w:val="center"/>
              <w:rPr>
                <w:rFonts w:ascii="Times New Roman" w:hAnsi="Times New Roman" w:cs="Times New Roman"/>
              </w:rPr>
            </w:pPr>
          </w:p>
        </w:tc>
        <w:tc>
          <w:tcPr>
            <w:tcW w:w="1163" w:type="dxa"/>
            <w:vAlign w:val="center"/>
          </w:tcPr>
          <w:p>
            <w:pPr>
              <w:spacing w:line="360" w:lineRule="exact"/>
              <w:jc w:val="center"/>
              <w:rPr>
                <w:rFonts w:ascii="Times New Roman" w:hAnsi="Times New Roman" w:cs="Times New Roman"/>
              </w:rPr>
            </w:pPr>
            <w:r>
              <w:rPr>
                <w:rFonts w:ascii="Times New Roman" w:hAnsi="Times New Roman" w:cs="Times New Roman"/>
              </w:rPr>
              <w:t>较敏感</w:t>
            </w:r>
          </w:p>
        </w:tc>
        <w:tc>
          <w:tcPr>
            <w:tcW w:w="4880" w:type="dxa"/>
            <w:vAlign w:val="center"/>
          </w:tcPr>
          <w:p>
            <w:pPr>
              <w:spacing w:line="360" w:lineRule="exact"/>
              <w:jc w:val="center"/>
              <w:rPr>
                <w:rFonts w:ascii="Times New Roman" w:hAnsi="Times New Roman" w:cs="Times New Roman"/>
              </w:rPr>
            </w:pPr>
            <w:r>
              <w:rPr>
                <w:rFonts w:ascii="Times New Roman" w:hAnsi="Times New Roman" w:cs="Times New Roma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不清等其他未列入上述敏感分级的环境敏感区</w:t>
            </w:r>
          </w:p>
        </w:tc>
        <w:tc>
          <w:tcPr>
            <w:tcW w:w="2291" w:type="dxa"/>
            <w:vMerge w:val="continue"/>
            <w:vAlign w:val="center"/>
          </w:tcPr>
          <w:p>
            <w:pPr>
              <w:pStyle w:val="3"/>
              <w:spacing w:line="520" w:lineRule="exact"/>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9" w:type="dxa"/>
            <w:vMerge w:val="continue"/>
            <w:vAlign w:val="center"/>
          </w:tcPr>
          <w:p>
            <w:pPr>
              <w:spacing w:line="360" w:lineRule="exact"/>
              <w:jc w:val="center"/>
              <w:rPr>
                <w:rFonts w:ascii="Times New Roman" w:hAnsi="Times New Roman" w:cs="Times New Roman"/>
              </w:rPr>
            </w:pPr>
          </w:p>
        </w:tc>
        <w:tc>
          <w:tcPr>
            <w:tcW w:w="1163" w:type="dxa"/>
            <w:vAlign w:val="center"/>
          </w:tcPr>
          <w:p>
            <w:pPr>
              <w:spacing w:line="360" w:lineRule="exact"/>
              <w:jc w:val="center"/>
              <w:rPr>
                <w:rFonts w:ascii="Times New Roman" w:hAnsi="Times New Roman" w:cs="Times New Roman"/>
              </w:rPr>
            </w:pPr>
            <w:r>
              <w:rPr>
                <w:rFonts w:ascii="Times New Roman" w:hAnsi="Times New Roman" w:cs="Times New Roman"/>
              </w:rPr>
              <w:t>不敏感</w:t>
            </w:r>
          </w:p>
        </w:tc>
        <w:tc>
          <w:tcPr>
            <w:tcW w:w="4880" w:type="dxa"/>
            <w:vAlign w:val="center"/>
          </w:tcPr>
          <w:p>
            <w:pPr>
              <w:spacing w:line="360" w:lineRule="exact"/>
              <w:jc w:val="center"/>
              <w:rPr>
                <w:rFonts w:ascii="Times New Roman" w:hAnsi="Times New Roman" w:cs="Times New Roman"/>
              </w:rPr>
            </w:pPr>
            <w:r>
              <w:rPr>
                <w:rFonts w:ascii="Times New Roman" w:hAnsi="Times New Roman" w:cs="Times New Roman"/>
              </w:rPr>
              <w:t>上述地区之外的其它地区</w:t>
            </w:r>
          </w:p>
        </w:tc>
        <w:tc>
          <w:tcPr>
            <w:tcW w:w="2291" w:type="dxa"/>
            <w:vMerge w:val="continue"/>
            <w:vAlign w:val="center"/>
          </w:tcPr>
          <w:p>
            <w:pPr>
              <w:pStyle w:val="3"/>
              <w:spacing w:line="520" w:lineRule="exact"/>
              <w:ind w:firstLine="0" w:firstLineChars="0"/>
              <w:jc w:val="center"/>
              <w:rPr>
                <w:rFonts w:cs="Times New Roman"/>
              </w:rPr>
            </w:pPr>
          </w:p>
        </w:tc>
      </w:tr>
    </w:tbl>
    <w:p>
      <w:pPr>
        <w:pStyle w:val="3"/>
        <w:spacing w:line="240" w:lineRule="auto"/>
        <w:ind w:firstLine="0" w:firstLineChars="0"/>
        <w:jc w:val="center"/>
        <w:rPr>
          <w:rFonts w:cs="Times New Roman" w:eastAsiaTheme="minorEastAsia"/>
          <w:b/>
        </w:rPr>
      </w:pPr>
      <w:r>
        <w:rPr>
          <w:rFonts w:cs="Times New Roman" w:eastAsiaTheme="minorEastAsia"/>
          <w:b/>
        </w:rPr>
        <w:t>表2.6-</w:t>
      </w:r>
      <w:r>
        <w:rPr>
          <w:rFonts w:hint="eastAsia" w:cs="Times New Roman" w:eastAsiaTheme="minorEastAsia"/>
          <w:b/>
        </w:rPr>
        <w:t>9</w:t>
      </w:r>
      <w:r>
        <w:rPr>
          <w:rFonts w:cs="Times New Roman" w:eastAsiaTheme="minorEastAsia"/>
          <w:b/>
        </w:rPr>
        <w:t xml:space="preserve">  </w:t>
      </w:r>
      <w:r>
        <w:rPr>
          <w:rFonts w:hint="eastAsia" w:cs="Times New Roman" w:eastAsiaTheme="minorEastAsia"/>
          <w:b/>
        </w:rPr>
        <w:t>地下水评价等级判别表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81"/>
        <w:gridCol w:w="1699"/>
        <w:gridCol w:w="2346"/>
        <w:gridCol w:w="23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6" w:type="pct"/>
            <w:tcBorders>
              <w:top w:val="single" w:color="auto" w:sz="4" w:space="0"/>
              <w:left w:val="single" w:color="auto" w:sz="4" w:space="0"/>
              <w:bottom w:val="single" w:color="auto" w:sz="4" w:space="0"/>
              <w:right w:val="single" w:color="auto" w:sz="4" w:space="0"/>
              <w:tl2br w:val="single" w:color="auto" w:sz="6" w:space="0"/>
            </w:tcBorders>
            <w:vAlign w:val="center"/>
          </w:tcPr>
          <w:p>
            <w:pPr>
              <w:pStyle w:val="49"/>
              <w:rPr>
                <w:rFonts w:cs="Times New Roman"/>
              </w:rPr>
            </w:pPr>
            <w:r>
              <w:rPr>
                <w:rFonts w:cs="Times New Roman"/>
              </w:rPr>
              <w:t xml:space="preserve">                   类别</w:t>
            </w:r>
          </w:p>
          <w:p>
            <w:pPr>
              <w:pStyle w:val="49"/>
              <w:jc w:val="left"/>
              <w:rPr>
                <w:rFonts w:cs="Times New Roman"/>
              </w:rPr>
            </w:pPr>
            <w:r>
              <w:rPr>
                <w:rFonts w:cs="Times New Roman"/>
              </w:rPr>
              <w:t>环境敏感程度</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ascii="宋体" w:hAnsi="宋体" w:cs="宋体"/>
              </w:rPr>
              <w:t>Ⅰ</w:t>
            </w:r>
            <w:r>
              <w:rPr>
                <w:rFonts w:cs="Times New Roman"/>
              </w:rPr>
              <w:t>类项目</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ascii="宋体" w:hAnsi="宋体" w:cs="宋体"/>
              </w:rPr>
              <w:t>Ⅱ</w:t>
            </w:r>
            <w:r>
              <w:rPr>
                <w:rFonts w:cs="Times New Roman"/>
              </w:rPr>
              <w:t>类项目</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ascii="宋体" w:hAnsi="宋体" w:cs="宋体"/>
              </w:rPr>
              <w:t>Ⅲ</w:t>
            </w:r>
            <w:r>
              <w:rPr>
                <w:rFonts w:cs="Times New Roman"/>
              </w:rPr>
              <w:t>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敏感</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一</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一</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较敏感</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一</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二</w:t>
            </w:r>
          </w:p>
        </w:tc>
        <w:tc>
          <w:tcPr>
            <w:tcW w:w="127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9"/>
              <w:rPr>
                <w:rFonts w:cs="Times New Roman"/>
              </w:rPr>
            </w:pPr>
            <w:r>
              <w:rPr>
                <w:rFonts w:cs="Times New Roman"/>
                <w:b/>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不敏感</w:t>
            </w:r>
          </w:p>
        </w:tc>
        <w:tc>
          <w:tcPr>
            <w:tcW w:w="9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二</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三</w:t>
            </w:r>
          </w:p>
        </w:tc>
        <w:tc>
          <w:tcPr>
            <w:tcW w:w="127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eastAsia="黑体" w:cs="Times New Roman"/>
              </w:rPr>
              <w:t>三</w:t>
            </w:r>
          </w:p>
        </w:tc>
      </w:tr>
    </w:tbl>
    <w:p>
      <w:pPr>
        <w:pStyle w:val="3"/>
        <w:ind w:firstLine="480"/>
      </w:pPr>
      <w:r>
        <w:rPr>
          <w:rFonts w:hint="eastAsia"/>
        </w:rPr>
        <w:t>根据上表地下水评价等级判别表确定本项目地下水评价等级为“三级”，根据导则要求，以能说明地下水环境的基本情况，并满足环境影响预测和分析的要求为原则确定调查评价范围，本次地下水评价范围确定为以项目所在地为中心，长</w:t>
      </w:r>
      <w:r>
        <w:t>2.5km</w:t>
      </w:r>
      <w:r>
        <w:rPr>
          <w:rFonts w:hint="eastAsia"/>
        </w:rPr>
        <w:t>、宽</w:t>
      </w:r>
      <w:r>
        <w:t xml:space="preserve">2.4km </w:t>
      </w:r>
      <w:r>
        <w:rPr>
          <w:rFonts w:hint="eastAsia"/>
        </w:rPr>
        <w:t>的矩形范围，评价面积为</w:t>
      </w:r>
      <w:r>
        <w:t>6km</w:t>
      </w:r>
      <w:r>
        <w:rPr>
          <w:vertAlign w:val="superscript"/>
        </w:rPr>
        <w:t>2</w:t>
      </w:r>
      <w:r>
        <w:rPr>
          <w:rFonts w:hint="eastAsia"/>
        </w:rPr>
        <w:t>。</w:t>
      </w:r>
    </w:p>
    <w:p>
      <w:pPr>
        <w:pStyle w:val="3"/>
        <w:ind w:firstLine="0" w:firstLineChars="0"/>
        <w:outlineLvl w:val="2"/>
        <w:rPr>
          <w:rFonts w:eastAsia="黑体" w:cstheme="majorBidi"/>
          <w:bCs/>
          <w:szCs w:val="32"/>
        </w:rPr>
      </w:pPr>
      <w:r>
        <w:rPr>
          <w:rFonts w:hint="eastAsia"/>
        </w:rPr>
        <w:t xml:space="preserve">2.6.5  </w:t>
      </w:r>
      <w:r>
        <w:rPr>
          <w:rFonts w:hint="eastAsia" w:eastAsia="黑体" w:cstheme="majorBidi"/>
          <w:bCs/>
          <w:szCs w:val="32"/>
        </w:rPr>
        <w:t>土壤评价等级与评价范围</w:t>
      </w:r>
    </w:p>
    <w:p>
      <w:pPr>
        <w:pStyle w:val="3"/>
        <w:ind w:firstLine="480"/>
        <w:rPr>
          <w:rFonts w:cs="Times New Roman"/>
        </w:rPr>
      </w:pPr>
      <w:r>
        <w:rPr>
          <w:rFonts w:cs="Times New Roman"/>
        </w:rPr>
        <w:t>本项目为畜、禽类屠宰项目，对应《环境影响评价技术导则土壤环境（试行）》（HJ964-2018）附录A 表A.1 土壤环境影响评价项目类别，本项目属于表A.1 中的“其他行业”，属</w:t>
      </w:r>
      <w:r>
        <w:rPr>
          <w:rFonts w:hint="eastAsia" w:ascii="宋体" w:hAnsi="宋体" w:cs="宋体"/>
        </w:rPr>
        <w:t>Ⅳ</w:t>
      </w:r>
      <w:r>
        <w:rPr>
          <w:rFonts w:cs="Times New Roman"/>
        </w:rPr>
        <w:t>类项目。根据《环境影响评价技术导则土壤环境（试行）》（HJ964-2018）4.2.2 可知，</w:t>
      </w:r>
      <w:r>
        <w:rPr>
          <w:rFonts w:hint="eastAsia" w:ascii="宋体" w:hAnsi="宋体" w:cs="宋体"/>
        </w:rPr>
        <w:t>Ⅳ</w:t>
      </w:r>
      <w:r>
        <w:rPr>
          <w:rFonts w:cs="Times New Roman"/>
        </w:rPr>
        <w:t>类建设项目可不开展土壤环境影响评价。</w:t>
      </w:r>
    </w:p>
    <w:p>
      <w:pPr>
        <w:pStyle w:val="3"/>
        <w:ind w:firstLine="0" w:firstLineChars="0"/>
        <w:outlineLvl w:val="2"/>
        <w:rPr>
          <w:rFonts w:eastAsia="黑体" w:cstheme="majorBidi"/>
          <w:bCs/>
          <w:szCs w:val="32"/>
        </w:rPr>
      </w:pPr>
      <w:r>
        <w:rPr>
          <w:rFonts w:hint="eastAsia"/>
        </w:rPr>
        <w:t xml:space="preserve">2.6.6  </w:t>
      </w:r>
      <w:r>
        <w:rPr>
          <w:rFonts w:hint="eastAsia" w:eastAsia="黑体" w:cstheme="majorBidi"/>
          <w:bCs/>
          <w:szCs w:val="32"/>
        </w:rPr>
        <w:t>生态评价等级与评价范围</w:t>
      </w:r>
    </w:p>
    <w:p>
      <w:pPr>
        <w:pStyle w:val="3"/>
        <w:ind w:firstLine="480"/>
        <w:rPr>
          <w:rFonts w:cs="Times New Roman"/>
          <w:kern w:val="0"/>
          <w:szCs w:val="24"/>
        </w:rPr>
      </w:pPr>
      <w:r>
        <w:rPr>
          <w:rFonts w:hint="eastAsia" w:cs="Times New Roman"/>
          <w:kern w:val="0"/>
          <w:szCs w:val="24"/>
        </w:rPr>
        <w:t>本项目总占地面积为13.02亩（8678</w:t>
      </w:r>
      <w:r>
        <w:rPr>
          <w:rFonts w:cs="Times New Roman"/>
          <w:kern w:val="0"/>
          <w:szCs w:val="24"/>
        </w:rPr>
        <w:t>m</w:t>
      </w:r>
      <w:r>
        <w:rPr>
          <w:rFonts w:cs="Times New Roman"/>
          <w:kern w:val="0"/>
          <w:szCs w:val="24"/>
          <w:vertAlign w:val="superscript"/>
        </w:rPr>
        <w:t>2</w:t>
      </w:r>
      <w:r>
        <w:rPr>
          <w:rFonts w:hint="eastAsia" w:cs="Times New Roman"/>
          <w:kern w:val="0"/>
          <w:szCs w:val="24"/>
        </w:rPr>
        <w:t>），改扩建区域不新增占地，工程影响范围小于</w:t>
      </w:r>
      <w:r>
        <w:rPr>
          <w:rFonts w:cs="Times New Roman"/>
          <w:kern w:val="0"/>
          <w:szCs w:val="24"/>
        </w:rPr>
        <w:t>2km</w:t>
      </w:r>
      <w:r>
        <w:rPr>
          <w:rFonts w:cs="Times New Roman"/>
          <w:kern w:val="0"/>
          <w:szCs w:val="24"/>
          <w:vertAlign w:val="superscript"/>
        </w:rPr>
        <w:t>2</w:t>
      </w:r>
      <w:r>
        <w:rPr>
          <w:rFonts w:hint="eastAsia" w:cs="Times New Roman"/>
          <w:kern w:val="0"/>
          <w:szCs w:val="24"/>
        </w:rPr>
        <w:t>，初步调查项目所在区域内无珍稀、濒危物种，影响区域生态敏感性为一般区域。因此，按照《环境影响评价技术导则生态影响》（</w:t>
      </w:r>
      <w:r>
        <w:rPr>
          <w:rFonts w:cs="Times New Roman"/>
          <w:kern w:val="0"/>
          <w:szCs w:val="24"/>
        </w:rPr>
        <w:t>HJ 19-20</w:t>
      </w:r>
      <w:r>
        <w:rPr>
          <w:rFonts w:hint="eastAsia" w:cs="Times New Roman"/>
          <w:kern w:val="0"/>
          <w:szCs w:val="24"/>
        </w:rPr>
        <w:t>22）的等级划分标准，本项目的生态环境影响评价工作等级定为三级。</w:t>
      </w:r>
    </w:p>
    <w:p>
      <w:pPr>
        <w:pStyle w:val="3"/>
        <w:ind w:firstLine="0" w:firstLineChars="0"/>
        <w:outlineLvl w:val="2"/>
        <w:rPr>
          <w:rFonts w:eastAsia="黑体" w:cstheme="majorBidi"/>
          <w:bCs/>
          <w:szCs w:val="32"/>
        </w:rPr>
      </w:pPr>
      <w:r>
        <w:rPr>
          <w:rFonts w:hint="eastAsia"/>
        </w:rPr>
        <w:t xml:space="preserve">2.6.7  </w:t>
      </w:r>
      <w:r>
        <w:rPr>
          <w:rFonts w:hint="eastAsia" w:eastAsia="黑体" w:cstheme="majorBidi"/>
          <w:bCs/>
          <w:szCs w:val="32"/>
        </w:rPr>
        <w:t>风险评价工作等级及评价范围</w:t>
      </w:r>
    </w:p>
    <w:p>
      <w:pPr>
        <w:pStyle w:val="3"/>
        <w:ind w:firstLine="480"/>
        <w:rPr>
          <w:rFonts w:cs="Times New Roman"/>
          <w:kern w:val="0"/>
          <w:szCs w:val="24"/>
        </w:rPr>
      </w:pPr>
      <w:r>
        <w:rPr>
          <w:rFonts w:hint="eastAsia" w:cs="Times New Roman"/>
          <w:kern w:val="0"/>
          <w:szCs w:val="24"/>
        </w:rPr>
        <w:t>依据《建设项目环境风险评价技术导则》（HJ 169-2018）中关于风险评价等级的判定依据。计算所涉及的每种危险物质在厂界内的最大存在总量与其在附录B 中对于临界量的比值Q。在不同厂区的同一种物质，按其在厂界内的最大存在总量计算。</w:t>
      </w:r>
    </w:p>
    <w:p>
      <w:pPr>
        <w:pStyle w:val="3"/>
        <w:ind w:firstLine="480"/>
        <w:rPr>
          <w:rFonts w:cs="Times New Roman"/>
          <w:kern w:val="0"/>
          <w:szCs w:val="24"/>
        </w:rPr>
      </w:pPr>
      <w:r>
        <w:rPr>
          <w:rFonts w:hint="eastAsia" w:cs="Times New Roman"/>
          <w:kern w:val="0"/>
          <w:szCs w:val="24"/>
        </w:rPr>
        <w:t>当只涉及一种危险物质时，计算该物质的总量与其临界量比值，即为Q；</w:t>
      </w:r>
    </w:p>
    <w:p>
      <w:pPr>
        <w:pStyle w:val="3"/>
        <w:ind w:firstLine="480"/>
        <w:rPr>
          <w:rFonts w:cs="Times New Roman"/>
          <w:kern w:val="0"/>
          <w:szCs w:val="24"/>
        </w:rPr>
      </w:pPr>
      <w:r>
        <w:rPr>
          <w:rFonts w:hint="eastAsia" w:cs="Times New Roman"/>
          <w:kern w:val="0"/>
          <w:szCs w:val="24"/>
        </w:rPr>
        <w:t>当存在多种危险物质时，按下述公式计算物质总量与其临界量比值（Q）；</w:t>
      </w:r>
    </w:p>
    <w:p>
      <w:pPr>
        <w:pStyle w:val="3"/>
        <w:ind w:firstLine="480"/>
        <w:jc w:val="center"/>
        <w:rPr>
          <w:rFonts w:cs="Times New Roman"/>
          <w:kern w:val="0"/>
          <w:szCs w:val="24"/>
        </w:rPr>
      </w:pPr>
      <w:r>
        <w:rPr>
          <w:rFonts w:cs="Times New Roman"/>
        </w:rPr>
        <w:drawing>
          <wp:inline distT="0" distB="0" distL="0" distR="0">
            <wp:extent cx="1696085" cy="467995"/>
            <wp:effectExtent l="0" t="0" r="0" b="825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1"/>
                    <a:stretch>
                      <a:fillRect/>
                    </a:stretch>
                  </pic:blipFill>
                  <pic:spPr>
                    <a:xfrm>
                      <a:off x="0" y="0"/>
                      <a:ext cx="1696500" cy="468000"/>
                    </a:xfrm>
                    <a:prstGeom prst="rect">
                      <a:avLst/>
                    </a:prstGeom>
                  </pic:spPr>
                </pic:pic>
              </a:graphicData>
            </a:graphic>
          </wp:inline>
        </w:drawing>
      </w:r>
    </w:p>
    <w:p>
      <w:pPr>
        <w:pStyle w:val="3"/>
        <w:ind w:firstLine="480"/>
        <w:rPr>
          <w:rFonts w:cs="Times New Roman"/>
        </w:rPr>
      </w:pPr>
      <w:r>
        <w:rPr>
          <w:rFonts w:cs="Times New Roman"/>
        </w:rPr>
        <w:t>式中：</w:t>
      </w:r>
      <w:r>
        <w:rPr>
          <w:rFonts w:cs="Times New Roman"/>
          <w:i/>
        </w:rPr>
        <w:t>q</w:t>
      </w:r>
      <w:r>
        <w:rPr>
          <w:rFonts w:cs="Times New Roman"/>
          <w:vertAlign w:val="subscript"/>
        </w:rPr>
        <w:t>1</w:t>
      </w:r>
      <w:r>
        <w:rPr>
          <w:rFonts w:cs="Times New Roman"/>
        </w:rPr>
        <w:t>，</w:t>
      </w:r>
      <w:r>
        <w:rPr>
          <w:rFonts w:cs="Times New Roman"/>
          <w:i/>
        </w:rPr>
        <w:t>q</w:t>
      </w:r>
      <w:r>
        <w:rPr>
          <w:rFonts w:cs="Times New Roman"/>
          <w:vertAlign w:val="subscript"/>
        </w:rPr>
        <w:t>2</w:t>
      </w:r>
      <w:r>
        <w:rPr>
          <w:rFonts w:cs="Times New Roman"/>
        </w:rPr>
        <w:t>，……，</w:t>
      </w:r>
      <w:r>
        <w:rPr>
          <w:rFonts w:cs="Times New Roman"/>
          <w:i/>
        </w:rPr>
        <w:t>q</w:t>
      </w:r>
      <w:r>
        <w:rPr>
          <w:rFonts w:cs="Times New Roman"/>
          <w:vertAlign w:val="subscript"/>
        </w:rPr>
        <w:t>n</w:t>
      </w:r>
      <w:r>
        <w:rPr>
          <w:rFonts w:cs="Times New Roman"/>
        </w:rPr>
        <w:t>为每种危险物质实际存在量，t；</w:t>
      </w:r>
    </w:p>
    <w:p>
      <w:pPr>
        <w:pStyle w:val="3"/>
        <w:ind w:firstLine="1200" w:firstLineChars="500"/>
        <w:rPr>
          <w:rFonts w:cs="Times New Roman"/>
        </w:rPr>
      </w:pPr>
      <w:r>
        <w:rPr>
          <w:rFonts w:cs="Times New Roman"/>
          <w:i/>
        </w:rPr>
        <w:t>Q</w:t>
      </w:r>
      <w:r>
        <w:rPr>
          <w:rFonts w:cs="Times New Roman"/>
          <w:vertAlign w:val="subscript"/>
        </w:rPr>
        <w:t>1</w:t>
      </w:r>
      <w:r>
        <w:rPr>
          <w:rFonts w:cs="Times New Roman"/>
        </w:rPr>
        <w:t>，</w:t>
      </w:r>
      <w:r>
        <w:rPr>
          <w:rFonts w:cs="Times New Roman"/>
          <w:i/>
        </w:rPr>
        <w:t>Q</w:t>
      </w:r>
      <w:r>
        <w:rPr>
          <w:rFonts w:cs="Times New Roman"/>
          <w:vertAlign w:val="subscript"/>
        </w:rPr>
        <w:t>2</w:t>
      </w:r>
      <w:r>
        <w:rPr>
          <w:rFonts w:cs="Times New Roman"/>
        </w:rPr>
        <w:t>，……，</w:t>
      </w:r>
      <w:r>
        <w:rPr>
          <w:rFonts w:cs="Times New Roman"/>
          <w:i/>
        </w:rPr>
        <w:t>Q</w:t>
      </w:r>
      <w:r>
        <w:rPr>
          <w:rFonts w:cs="Times New Roman"/>
          <w:vertAlign w:val="subscript"/>
        </w:rPr>
        <w:t>n</w:t>
      </w:r>
      <w:r>
        <w:rPr>
          <w:rFonts w:cs="Times New Roman"/>
        </w:rPr>
        <w:t>为与各危险物质相对应的临界量，t。</w:t>
      </w:r>
    </w:p>
    <w:p>
      <w:pPr>
        <w:pStyle w:val="3"/>
        <w:ind w:firstLine="480"/>
        <w:jc w:val="center"/>
        <w:rPr>
          <w:rFonts w:cs="Times New Roman"/>
        </w:rPr>
      </w:pPr>
      <w:r>
        <w:rPr>
          <w:rFonts w:cs="Times New Roman"/>
        </w:rPr>
        <w:t>当</w:t>
      </w:r>
      <w:r>
        <w:rPr>
          <w:rFonts w:cs="Times New Roman"/>
          <w:i/>
        </w:rPr>
        <w:t>Q</w:t>
      </w:r>
      <w:r>
        <w:rPr>
          <w:rFonts w:cs="Times New Roman"/>
        </w:rPr>
        <w:t>＜1时，该项目环境风险潜势为I；</w:t>
      </w:r>
    </w:p>
    <w:p>
      <w:pPr>
        <w:pStyle w:val="3"/>
        <w:ind w:firstLine="480"/>
        <w:rPr>
          <w:rFonts w:cs="Times New Roman"/>
        </w:rPr>
      </w:pPr>
      <w:r>
        <w:rPr>
          <w:rFonts w:cs="Times New Roman"/>
        </w:rPr>
        <w:t>当</w:t>
      </w:r>
      <w:r>
        <w:rPr>
          <w:rFonts w:cs="Times New Roman"/>
          <w:i/>
        </w:rPr>
        <w:t>Q</w:t>
      </w:r>
      <w:r>
        <w:rPr>
          <w:rFonts w:cs="Times New Roman"/>
        </w:rPr>
        <w:t>≥1时，将</w:t>
      </w:r>
      <w:r>
        <w:rPr>
          <w:rFonts w:cs="Times New Roman"/>
          <w:i/>
        </w:rPr>
        <w:t>Q</w:t>
      </w:r>
      <w:r>
        <w:rPr>
          <w:rFonts w:cs="Times New Roman"/>
        </w:rPr>
        <w:t>值分为：（1）1≤</w:t>
      </w:r>
      <w:r>
        <w:rPr>
          <w:rFonts w:cs="Times New Roman"/>
          <w:i/>
        </w:rPr>
        <w:t>Q</w:t>
      </w:r>
      <w:r>
        <w:rPr>
          <w:rFonts w:cs="Times New Roman"/>
        </w:rPr>
        <w:t>＜10；（2）10≤</w:t>
      </w:r>
      <w:r>
        <w:rPr>
          <w:rFonts w:cs="Times New Roman"/>
          <w:i/>
        </w:rPr>
        <w:t>Q</w:t>
      </w:r>
      <w:r>
        <w:rPr>
          <w:rFonts w:cs="Times New Roman"/>
        </w:rPr>
        <w:t>＜100；（3）</w:t>
      </w:r>
      <w:r>
        <w:rPr>
          <w:rFonts w:cs="Times New Roman"/>
          <w:i/>
        </w:rPr>
        <w:t>Q</w:t>
      </w:r>
      <w:r>
        <w:rPr>
          <w:rFonts w:cs="Times New Roman"/>
        </w:rPr>
        <w:t>≥100。</w:t>
      </w:r>
    </w:p>
    <w:p>
      <w:pPr>
        <w:pStyle w:val="3"/>
        <w:ind w:firstLine="480"/>
        <w:rPr>
          <w:rFonts w:cs="Times New Roman"/>
        </w:rPr>
      </w:pPr>
      <w:r>
        <w:rPr>
          <w:rFonts w:hint="eastAsia" w:cs="Times New Roman"/>
        </w:rPr>
        <w:t>本项目涉及有毒有害危险物质主要为废冷冻机油、</w:t>
      </w:r>
      <w:r>
        <w:rPr>
          <w:rFonts w:hint="eastAsia" w:ascii="宋体" w:cs="宋体"/>
        </w:rPr>
        <w:t>检疫废物、</w:t>
      </w:r>
      <w:r>
        <w:rPr>
          <w:rFonts w:cs="Times New Roman"/>
        </w:rPr>
        <w:t>CH</w:t>
      </w:r>
      <w:r>
        <w:rPr>
          <w:rFonts w:cs="Times New Roman"/>
          <w:vertAlign w:val="subscript"/>
        </w:rPr>
        <w:t>4</w:t>
      </w:r>
      <w:r>
        <w:rPr>
          <w:rFonts w:hint="eastAsia" w:cs="Times New Roman"/>
        </w:rPr>
        <w:t>和硫化氢。根据《建设项目环境风险评价技术导则》（HJ 169-2018）附录B 所界定的突发环境事件风险物质及临界量， 其中附录B 中未体现的物质按《危险化学品重大危险源辨识》（GB18218-2018）中临界量取值，则本项目Q 值计算见2.6-10</w:t>
      </w:r>
    </w:p>
    <w:p>
      <w:pPr>
        <w:pStyle w:val="3"/>
        <w:spacing w:line="240" w:lineRule="auto"/>
        <w:ind w:firstLine="0" w:firstLineChars="0"/>
        <w:jc w:val="center"/>
        <w:rPr>
          <w:rFonts w:cs="Times New Roman" w:eastAsiaTheme="minorEastAsia"/>
          <w:b/>
        </w:rPr>
      </w:pPr>
      <w:r>
        <w:rPr>
          <w:rFonts w:cs="Times New Roman" w:eastAsiaTheme="minorEastAsia"/>
          <w:b/>
        </w:rPr>
        <w:t>表2.6-</w:t>
      </w:r>
      <w:r>
        <w:rPr>
          <w:rFonts w:hint="eastAsia" w:cs="Times New Roman" w:eastAsiaTheme="minorEastAsia"/>
          <w:b/>
        </w:rPr>
        <w:t>10</w:t>
      </w:r>
      <w:r>
        <w:rPr>
          <w:rFonts w:cs="Times New Roman" w:eastAsiaTheme="minorEastAsia"/>
          <w:b/>
        </w:rPr>
        <w:t xml:space="preserve">   项目主要风险物质及其临界量</w:t>
      </w:r>
    </w:p>
    <w:tbl>
      <w:tblPr>
        <w:tblStyle w:val="30"/>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638"/>
        <w:gridCol w:w="1011"/>
        <w:gridCol w:w="760"/>
        <w:gridCol w:w="961"/>
        <w:gridCol w:w="4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名称</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类别</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最大存放量</w:t>
            </w:r>
          </w:p>
        </w:tc>
        <w:tc>
          <w:tcPr>
            <w:tcW w:w="4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存放方式</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附录中临界量（</w:t>
            </w:r>
            <w:r>
              <w:t>t</w:t>
            </w:r>
            <w:r>
              <w:rPr>
                <w:rFonts w:hint="eastAsia"/>
              </w:rPr>
              <w:t>）</w:t>
            </w:r>
          </w:p>
        </w:tc>
        <w:tc>
          <w:tcPr>
            <w:tcW w:w="2717"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ascii="宋体" w:cs="宋体"/>
              </w:rPr>
              <w:t>废冷冻机油</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油类物质</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t>0.5t</w:t>
            </w:r>
          </w:p>
        </w:tc>
        <w:tc>
          <w:tcPr>
            <w:tcW w:w="4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桶装</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2500</w:t>
            </w:r>
          </w:p>
        </w:tc>
        <w:tc>
          <w:tcPr>
            <w:tcW w:w="2717" w:type="pct"/>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0.0002+0.006+0.0128+0.000036</w:t>
            </w:r>
            <w:r>
              <w:t>=</w:t>
            </w:r>
            <w:r>
              <w:rPr>
                <w:rFonts w:hint="eastAsia"/>
              </w:rPr>
              <w:t>0.019036＜</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46" w:type="pct"/>
            <w:tcBorders>
              <w:top w:val="single" w:color="auto" w:sz="4" w:space="0"/>
              <w:left w:val="single" w:color="auto" w:sz="4" w:space="0"/>
              <w:right w:val="single" w:color="auto" w:sz="4" w:space="0"/>
            </w:tcBorders>
            <w:vAlign w:val="center"/>
          </w:tcPr>
          <w:p>
            <w:pPr>
              <w:pStyle w:val="49"/>
            </w:pPr>
            <w:r>
              <w:rPr>
                <w:rFonts w:hint="eastAsia" w:ascii="宋体" w:cs="宋体"/>
              </w:rPr>
              <w:t>检疫废物</w:t>
            </w:r>
          </w:p>
        </w:tc>
        <w:tc>
          <w:tcPr>
            <w:tcW w:w="348" w:type="pct"/>
            <w:tcBorders>
              <w:top w:val="single" w:color="auto" w:sz="4" w:space="0"/>
              <w:left w:val="single" w:color="auto" w:sz="4" w:space="0"/>
              <w:right w:val="single" w:color="auto" w:sz="4" w:space="0"/>
            </w:tcBorders>
            <w:vAlign w:val="center"/>
          </w:tcPr>
          <w:p>
            <w:pPr>
              <w:pStyle w:val="49"/>
            </w:pPr>
            <w:r>
              <w:rPr>
                <w:rFonts w:hint="eastAsia"/>
              </w:rPr>
              <w:t>/</w:t>
            </w:r>
          </w:p>
        </w:tc>
        <w:tc>
          <w:tcPr>
            <w:tcW w:w="551" w:type="pct"/>
            <w:tcBorders>
              <w:top w:val="single" w:color="auto" w:sz="4" w:space="0"/>
              <w:left w:val="single" w:color="auto" w:sz="4" w:space="0"/>
              <w:right w:val="single" w:color="auto" w:sz="4" w:space="0"/>
            </w:tcBorders>
            <w:vAlign w:val="center"/>
          </w:tcPr>
          <w:p>
            <w:pPr>
              <w:pStyle w:val="49"/>
            </w:pPr>
            <w:r>
              <w:rPr>
                <w:rFonts w:hint="eastAsia"/>
              </w:rPr>
              <w:t>0.3</w:t>
            </w:r>
          </w:p>
        </w:tc>
        <w:tc>
          <w:tcPr>
            <w:tcW w:w="414" w:type="pct"/>
            <w:tcBorders>
              <w:top w:val="single" w:color="auto" w:sz="4" w:space="0"/>
              <w:left w:val="single" w:color="auto" w:sz="4" w:space="0"/>
              <w:right w:val="single" w:color="auto" w:sz="4" w:space="0"/>
            </w:tcBorders>
            <w:vAlign w:val="center"/>
          </w:tcPr>
          <w:p>
            <w:pPr>
              <w:pStyle w:val="49"/>
            </w:pPr>
            <w:r>
              <w:rPr>
                <w:rFonts w:hint="eastAsia"/>
              </w:rPr>
              <w:t>桶装</w:t>
            </w:r>
          </w:p>
        </w:tc>
        <w:tc>
          <w:tcPr>
            <w:tcW w:w="524" w:type="pct"/>
            <w:tcBorders>
              <w:top w:val="single" w:color="auto" w:sz="4" w:space="0"/>
              <w:left w:val="single" w:color="auto" w:sz="4" w:space="0"/>
              <w:right w:val="single" w:color="auto" w:sz="4" w:space="0"/>
            </w:tcBorders>
            <w:vAlign w:val="center"/>
          </w:tcPr>
          <w:p>
            <w:pPr>
              <w:pStyle w:val="49"/>
            </w:pPr>
            <w:r>
              <w:rPr>
                <w:rFonts w:hint="eastAsia"/>
              </w:rPr>
              <w:t>50</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t>CH</w:t>
            </w:r>
            <w:r>
              <w:rPr>
                <w:vertAlign w:val="subscript"/>
              </w:rPr>
              <w:t>4</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易燃易爆</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0.128</w:t>
            </w:r>
            <w:r>
              <w:t>t</w:t>
            </w:r>
          </w:p>
        </w:tc>
        <w:tc>
          <w:tcPr>
            <w:tcW w:w="414" w:type="pct"/>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沼气池</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t>10</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t>H</w:t>
            </w:r>
            <w:r>
              <w:rPr>
                <w:vertAlign w:val="subscript"/>
              </w:rPr>
              <w:t>2</w:t>
            </w:r>
            <w:r>
              <w:t>S</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急性剧毒</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t>0.000</w:t>
            </w:r>
            <w:r>
              <w:rPr>
                <w:rFonts w:hint="eastAsia"/>
              </w:rPr>
              <w:t>18</w:t>
            </w:r>
            <w:r>
              <w:t>t</w:t>
            </w:r>
          </w:p>
        </w:tc>
        <w:tc>
          <w:tcPr>
            <w:tcW w:w="414"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rPr>
            </w:pP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t>5</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bl>
    <w:p>
      <w:pPr>
        <w:pStyle w:val="3"/>
        <w:ind w:firstLine="480"/>
        <w:rPr>
          <w:rFonts w:cs="Times New Roman"/>
        </w:rPr>
      </w:pPr>
      <w:r>
        <w:rPr>
          <w:rFonts w:hint="eastAsia" w:cs="Times New Roman"/>
        </w:rPr>
        <w:t>根据上表，本项目Q=0.019036＜1。故本项目环境风险潜势为Ⅰ。根据《建设项目环境风险评价技术导则》（HJ169-2018），按建设项目涉及的物质及工艺系统危险性和所在地的环境敏感性确定环境风险潜势，本次环境风险评价等级确定为简单分析。</w:t>
      </w:r>
    </w:p>
    <w:p>
      <w:pPr>
        <w:pStyle w:val="3"/>
        <w:ind w:firstLine="480"/>
        <w:rPr>
          <w:rFonts w:cs="Times New Roman"/>
        </w:rPr>
      </w:pPr>
      <w:r>
        <w:rPr>
          <w:rFonts w:hint="eastAsia" w:cs="Times New Roman"/>
        </w:rPr>
        <w:t>根据《建设项目环境风险评价技术导则》（HJ169-2018）可知，本项目风险评价范围为厂界范围以内。</w:t>
      </w:r>
    </w:p>
    <w:p>
      <w:pPr>
        <w:pStyle w:val="5"/>
      </w:pPr>
      <w:bookmarkStart w:id="14" w:name="_Toc116993060"/>
      <w:r>
        <w:rPr>
          <w:rFonts w:hint="eastAsia"/>
        </w:rPr>
        <w:t>环境保护</w:t>
      </w:r>
      <w:r>
        <w:t>目标</w:t>
      </w:r>
      <w:bookmarkEnd w:id="14"/>
    </w:p>
    <w:p>
      <w:pPr>
        <w:pStyle w:val="3"/>
        <w:ind w:firstLine="480"/>
      </w:pPr>
      <w:r>
        <w:rPr>
          <w:rFonts w:hint="eastAsia"/>
        </w:rPr>
        <w:t>本项目生态环境保护目标见表2.7</w:t>
      </w:r>
      <w:r>
        <w:t>-</w:t>
      </w:r>
      <w:r>
        <w:rPr>
          <w:rFonts w:hint="eastAsia"/>
        </w:rPr>
        <w:t>1。</w:t>
      </w:r>
    </w:p>
    <w:p>
      <w:pPr>
        <w:pStyle w:val="3"/>
        <w:spacing w:line="240" w:lineRule="auto"/>
        <w:ind w:firstLine="0" w:firstLineChars="0"/>
        <w:jc w:val="center"/>
        <w:rPr>
          <w:rFonts w:cs="Times New Roman" w:eastAsiaTheme="minorEastAsia"/>
          <w:b/>
        </w:rPr>
      </w:pPr>
      <w:r>
        <w:rPr>
          <w:rFonts w:hint="eastAsia" w:cs="Times New Roman" w:eastAsiaTheme="minorEastAsia"/>
          <w:b/>
        </w:rPr>
        <w:t>2.7-1   生态环境保护目标一览表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471"/>
        <w:gridCol w:w="1743"/>
        <w:gridCol w:w="1598"/>
        <w:gridCol w:w="169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类别</w:t>
            </w: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目标名称</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坐标/m（X，Y）</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功能及规模</w:t>
            </w:r>
          </w:p>
        </w:tc>
        <w:tc>
          <w:tcPr>
            <w:tcW w:w="92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厂区方位及距离</w:t>
            </w:r>
          </w:p>
        </w:tc>
        <w:tc>
          <w:tcPr>
            <w:tcW w:w="116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restar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环境空气</w:t>
            </w:r>
          </w:p>
        </w:tc>
        <w:tc>
          <w:tcPr>
            <w:tcW w:w="80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（349，244）</w:t>
            </w:r>
          </w:p>
        </w:tc>
        <w:tc>
          <w:tcPr>
            <w:tcW w:w="871"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3户约12人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NW358-445m</w:t>
            </w:r>
          </w:p>
        </w:tc>
        <w:tc>
          <w:tcPr>
            <w:tcW w:w="1161" w:type="pct"/>
            <w:vMerge w:val="restart"/>
            <w:vAlign w:val="center"/>
          </w:tcPr>
          <w:p>
            <w:pPr>
              <w:pStyle w:val="49"/>
              <w:rPr>
                <w:rFonts w:cs="Times New Roman"/>
                <w:color w:val="FF0000"/>
                <w:u w:val="single"/>
              </w:rPr>
            </w:pPr>
            <w:r>
              <w:rPr>
                <w:rFonts w:cs="Times New Roman"/>
                <w:color w:val="FF0000"/>
                <w:u w:val="single"/>
              </w:rPr>
              <w:t>《环境空气质量标准》</w:t>
            </w:r>
          </w:p>
          <w:p>
            <w:pPr>
              <w:pStyle w:val="49"/>
              <w:rPr>
                <w:rFonts w:cs="Times New Roman"/>
                <w:color w:val="FF0000"/>
                <w:u w:val="single"/>
              </w:rPr>
            </w:pPr>
            <w:r>
              <w:rPr>
                <w:rFonts w:cs="Times New Roman"/>
                <w:color w:val="FF0000"/>
                <w:u w:val="single"/>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contextualSpacing/>
              <w:jc w:val="center"/>
              <w:rPr>
                <w:rFonts w:ascii="Times New Roman" w:hAnsi="Times New Roman" w:cs="Times New Roman"/>
                <w:color w:val="FF0000"/>
                <w:u w:val="single"/>
              </w:rPr>
            </w:pPr>
            <w:r>
              <w:rPr>
                <w:rFonts w:ascii="Times New Roman" w:hAnsi="Times New Roman" w:cs="Times New Roman"/>
                <w:color w:val="FF0000"/>
                <w:u w:val="single"/>
              </w:rPr>
              <w:t>（264，23）</w:t>
            </w:r>
          </w:p>
        </w:tc>
        <w:tc>
          <w:tcPr>
            <w:tcW w:w="871" w:type="pct"/>
            <w:vAlign w:val="center"/>
          </w:tcPr>
          <w:p>
            <w:pPr>
              <w:contextualSpacing/>
              <w:jc w:val="center"/>
              <w:rPr>
                <w:rFonts w:ascii="Times New Roman" w:hAnsi="Times New Roman" w:cs="Times New Roman"/>
                <w:color w:val="FF0000"/>
                <w:u w:val="single"/>
              </w:rPr>
            </w:pPr>
            <w:r>
              <w:rPr>
                <w:rFonts w:ascii="Times New Roman" w:hAnsi="Times New Roman" w:cs="Times New Roman"/>
                <w:color w:val="FF0000"/>
                <w:u w:val="single"/>
              </w:rPr>
              <w:t>2户约8人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NW184-288m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（-236，-296）</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10户约35人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SW383-600m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（-196，-70）</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2户约8人</w:t>
            </w:r>
          </w:p>
        </w:tc>
        <w:tc>
          <w:tcPr>
            <w:tcW w:w="922" w:type="pct"/>
            <w:vAlign w:val="center"/>
          </w:tcPr>
          <w:p>
            <w:pPr>
              <w:pStyle w:val="16"/>
              <w:jc w:val="center"/>
              <w:rPr>
                <w:rFonts w:ascii="Times New Roman" w:hAnsi="Times New Roman" w:cs="Times New Roman"/>
                <w:color w:val="FF0000"/>
                <w:u w:val="single"/>
              </w:rPr>
            </w:pPr>
            <w:r>
              <w:rPr>
                <w:rFonts w:ascii="Times New Roman" w:hAnsi="Times New Roman" w:cs="Times New Roman"/>
                <w:color w:val="FF0000"/>
                <w:u w:val="single"/>
              </w:rPr>
              <w:t>SW164-300m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（-44，-16）</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S</w:t>
            </w:r>
            <w:r>
              <w:rPr>
                <w:rFonts w:hint="eastAsia" w:ascii="Times New Roman" w:hAnsi="Times New Roman" w:cs="Times New Roman"/>
                <w:color w:val="FF0000"/>
                <w:u w:val="single"/>
              </w:rPr>
              <w:t>E</w:t>
            </w:r>
            <w:r>
              <w:rPr>
                <w:rFonts w:ascii="Times New Roman" w:hAnsi="Times New Roman" w:cs="Times New Roman"/>
                <w:color w:val="FF0000"/>
                <w:u w:val="single"/>
              </w:rPr>
              <w:t>75m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（73，234）</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4户约16人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E232-312m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（56，97）</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2户约8人</w:t>
            </w:r>
          </w:p>
        </w:tc>
        <w:tc>
          <w:tcPr>
            <w:tcW w:w="922" w:type="pct"/>
            <w:vAlign w:val="center"/>
          </w:tcPr>
          <w:p>
            <w:pPr>
              <w:pStyle w:val="4"/>
              <w:spacing w:after="0"/>
              <w:jc w:val="center"/>
              <w:rPr>
                <w:rFonts w:ascii="Times New Roman" w:hAnsi="Times New Roman" w:cs="Times New Roman"/>
                <w:color w:val="FF0000"/>
                <w:u w:val="single"/>
              </w:rPr>
            </w:pPr>
            <w:r>
              <w:rPr>
                <w:rFonts w:hint="eastAsia" w:ascii="Times New Roman" w:hAnsi="Times New Roman" w:cs="Times New Roman"/>
                <w:color w:val="FF0000"/>
                <w:u w:val="single"/>
              </w:rPr>
              <w:t>S</w:t>
            </w:r>
            <w:r>
              <w:rPr>
                <w:rFonts w:ascii="Times New Roman" w:hAnsi="Times New Roman" w:cs="Times New Roman"/>
                <w:color w:val="FF0000"/>
                <w:u w:val="single"/>
              </w:rPr>
              <w:t>126m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（12，73）</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N130m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（39，335）</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3户约12人</w:t>
            </w:r>
          </w:p>
        </w:tc>
        <w:tc>
          <w:tcPr>
            <w:tcW w:w="922" w:type="pct"/>
            <w:vAlign w:val="center"/>
          </w:tcPr>
          <w:p>
            <w:pPr>
              <w:pStyle w:val="16"/>
              <w:jc w:val="center"/>
              <w:rPr>
                <w:rFonts w:ascii="Times New Roman" w:hAnsi="Times New Roman" w:cs="Times New Roman"/>
                <w:color w:val="FF0000"/>
                <w:u w:val="single"/>
              </w:rPr>
            </w:pPr>
            <w:r>
              <w:rPr>
                <w:rFonts w:ascii="Times New Roman" w:hAnsi="Times New Roman" w:cs="Times New Roman"/>
                <w:color w:val="FF0000"/>
                <w:u w:val="single"/>
              </w:rPr>
              <w:t>N300-340</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（-55，3）</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16"/>
              <w:jc w:val="center"/>
              <w:rPr>
                <w:rFonts w:ascii="Times New Roman" w:hAnsi="Times New Roman" w:cs="Times New Roman"/>
                <w:color w:val="FF0000"/>
                <w:u w:val="single"/>
              </w:rPr>
            </w:pPr>
            <w:r>
              <w:rPr>
                <w:rFonts w:hint="eastAsia" w:ascii="Times New Roman" w:hAnsi="Times New Roman" w:cs="Times New Roman"/>
                <w:color w:val="FF0000"/>
                <w:u w:val="single"/>
              </w:rPr>
              <w:t>W55-60m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（10，-65）</w:t>
            </w:r>
          </w:p>
        </w:tc>
        <w:tc>
          <w:tcPr>
            <w:tcW w:w="87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1</w:t>
            </w:r>
            <w:r>
              <w:rPr>
                <w:rFonts w:ascii="Times New Roman" w:hAnsi="Times New Roman" w:cs="Times New Roman"/>
                <w:color w:val="FF0000"/>
                <w:u w:val="single"/>
              </w:rPr>
              <w:t>户约4人</w:t>
            </w:r>
          </w:p>
        </w:tc>
        <w:tc>
          <w:tcPr>
            <w:tcW w:w="922" w:type="pct"/>
            <w:vAlign w:val="center"/>
          </w:tcPr>
          <w:p>
            <w:pPr>
              <w:pStyle w:val="16"/>
              <w:jc w:val="center"/>
              <w:rPr>
                <w:rFonts w:ascii="Times New Roman" w:hAnsi="Times New Roman" w:cs="Times New Roman"/>
                <w:color w:val="FF0000"/>
                <w:u w:val="single"/>
              </w:rPr>
            </w:pPr>
            <w:r>
              <w:rPr>
                <w:rFonts w:hint="eastAsia" w:ascii="Times New Roman" w:hAnsi="Times New Roman" w:cs="Times New Roman"/>
                <w:color w:val="FF0000"/>
                <w:u w:val="single"/>
              </w:rPr>
              <w:t>SE65-108</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restar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地表水</w:t>
            </w: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农灌沟渠</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农田灌溉</w:t>
            </w:r>
          </w:p>
        </w:tc>
        <w:tc>
          <w:tcPr>
            <w:tcW w:w="922" w:type="pct"/>
            <w:vAlign w:val="center"/>
          </w:tcPr>
          <w:p>
            <w:pPr>
              <w:pStyle w:val="16"/>
              <w:jc w:val="center"/>
              <w:rPr>
                <w:rFonts w:ascii="Times New Roman" w:hAnsi="Times New Roman" w:cs="Times New Roman"/>
                <w:color w:val="FF0000"/>
                <w:u w:val="single"/>
              </w:rPr>
            </w:pPr>
            <w:r>
              <w:rPr>
                <w:rFonts w:ascii="Times New Roman" w:hAnsi="Times New Roman" w:cs="Times New Roman"/>
                <w:color w:val="FF0000"/>
                <w:u w:val="single"/>
              </w:rPr>
              <w:t>WS 1.9km</w:t>
            </w:r>
          </w:p>
        </w:tc>
        <w:tc>
          <w:tcPr>
            <w:tcW w:w="1161" w:type="pct"/>
            <w:vAlign w:val="center"/>
          </w:tcPr>
          <w:p>
            <w:pPr>
              <w:pStyle w:val="49"/>
              <w:rPr>
                <w:rFonts w:cs="Times New Roman"/>
                <w:color w:val="FF0000"/>
                <w:u w:val="single"/>
              </w:rPr>
            </w:pPr>
            <w:r>
              <w:rPr>
                <w:rFonts w:hint="eastAsia" w:cs="Times New Roman"/>
                <w:color w:val="FF0000"/>
                <w:u w:val="single"/>
              </w:rPr>
              <w:t>《农田灌溉水质标准》（GB5084-2021）旱作类标准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蒸水河</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渔业用水区</w:t>
            </w:r>
          </w:p>
        </w:tc>
        <w:tc>
          <w:tcPr>
            <w:tcW w:w="922" w:type="pct"/>
            <w:vAlign w:val="center"/>
          </w:tcPr>
          <w:p>
            <w:pPr>
              <w:pStyle w:val="16"/>
              <w:jc w:val="center"/>
              <w:rPr>
                <w:rFonts w:ascii="Times New Roman" w:hAnsi="Times New Roman" w:cs="Times New Roman"/>
                <w:color w:val="FF0000"/>
                <w:u w:val="single"/>
              </w:rPr>
            </w:pPr>
            <w:r>
              <w:rPr>
                <w:rFonts w:ascii="Times New Roman" w:hAnsi="Times New Roman" w:cs="Times New Roman"/>
                <w:color w:val="FF0000"/>
                <w:u w:val="single"/>
              </w:rPr>
              <w:t>ES 6.5km</w:t>
            </w:r>
          </w:p>
        </w:tc>
        <w:tc>
          <w:tcPr>
            <w:tcW w:w="1161" w:type="pct"/>
            <w:vAlign w:val="center"/>
          </w:tcPr>
          <w:p>
            <w:pPr>
              <w:jc w:val="center"/>
              <w:rPr>
                <w:rFonts w:ascii="Times New Roman" w:hAnsi="Times New Roman" w:cs="Times New Roman"/>
                <w:color w:val="FF0000"/>
                <w:u w:val="single"/>
              </w:rPr>
            </w:pPr>
            <w:r>
              <w:rPr>
                <w:rFonts w:cs="Times New Roman"/>
                <w:color w:val="FF0000"/>
                <w:u w:val="single"/>
              </w:rPr>
              <w:t>《地表水环境质量标准》（GB3838-2002）</w:t>
            </w:r>
            <w:r>
              <w:rPr>
                <w:rFonts w:hint="eastAsia" w:ascii="宋体" w:hAnsi="宋体" w:cs="宋体"/>
                <w:color w:val="FF0000"/>
                <w:u w:val="single"/>
              </w:rPr>
              <w:t>Ⅲ</w:t>
            </w:r>
            <w:r>
              <w:rPr>
                <w:rFonts w:cs="Times New Roman"/>
                <w:color w:val="FF0000"/>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地下水</w:t>
            </w: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区域地下水</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871" w:type="pct"/>
            <w:vAlign w:val="center"/>
          </w:tcPr>
          <w:p>
            <w:pPr>
              <w:jc w:val="center"/>
              <w:rPr>
                <w:rFonts w:ascii="Times New Roman" w:hAnsi="Times New Roman" w:cs="Times New Roman"/>
                <w:color w:val="FF0000"/>
                <w:kern w:val="0"/>
                <w:sz w:val="18"/>
                <w:szCs w:val="18"/>
                <w:u w:val="single"/>
              </w:rPr>
            </w:pPr>
            <w:r>
              <w:rPr>
                <w:rFonts w:ascii="Times New Roman" w:hAnsi="Times New Roman" w:cs="Times New Roman"/>
                <w:color w:val="FF0000"/>
                <w:u w:val="single"/>
              </w:rPr>
              <w:t>6km</w:t>
            </w:r>
            <w:r>
              <w:rPr>
                <w:rFonts w:ascii="Times New Roman" w:hAnsi="Times New Roman" w:cs="Times New Roman"/>
                <w:color w:val="FF0000"/>
                <w:u w:val="single"/>
                <w:vertAlign w:val="superscript"/>
              </w:rPr>
              <w:t>2</w:t>
            </w:r>
            <w:r>
              <w:rPr>
                <w:rFonts w:ascii="Times New Roman" w:hAnsi="Times New Roman" w:cs="Times New Roman"/>
                <w:color w:val="FF0000"/>
                <w:u w:val="single"/>
              </w:rPr>
              <w:t>范围内地下水</w:t>
            </w:r>
          </w:p>
        </w:tc>
        <w:tc>
          <w:tcPr>
            <w:tcW w:w="922" w:type="pct"/>
            <w:vAlign w:val="center"/>
          </w:tcPr>
          <w:p>
            <w:pPr>
              <w:jc w:val="center"/>
              <w:textAlignment w:val="center"/>
              <w:rPr>
                <w:rFonts w:ascii="Times New Roman" w:hAnsi="Times New Roman" w:cs="Times New Roman"/>
                <w:color w:val="FF0000"/>
                <w:kern w:val="0"/>
                <w:sz w:val="18"/>
                <w:szCs w:val="18"/>
                <w:u w:val="single"/>
              </w:rPr>
            </w:pPr>
            <w:r>
              <w:rPr>
                <w:rFonts w:ascii="Times New Roman" w:hAnsi="Times New Roman" w:cs="Times New Roman"/>
                <w:color w:val="FF0000"/>
                <w:kern w:val="0"/>
                <w:sz w:val="18"/>
                <w:szCs w:val="18"/>
                <w:u w:val="single"/>
              </w:rPr>
              <w:t>/</w:t>
            </w:r>
          </w:p>
        </w:tc>
        <w:tc>
          <w:tcPr>
            <w:tcW w:w="1161" w:type="pct"/>
            <w:vAlign w:val="center"/>
          </w:tcPr>
          <w:p>
            <w:pPr>
              <w:pStyle w:val="49"/>
              <w:rPr>
                <w:rFonts w:cs="Times New Roman"/>
                <w:color w:val="FF0000"/>
                <w:u w:val="single"/>
              </w:rPr>
            </w:pPr>
            <w:r>
              <w:rPr>
                <w:rFonts w:cs="Times New Roman"/>
                <w:color w:val="FF0000"/>
                <w:u w:val="single"/>
              </w:rPr>
              <w:t>《地下水质量标准》（GB/T14848-2017）中的</w:t>
            </w:r>
            <w:r>
              <w:rPr>
                <w:rFonts w:hint="eastAsia" w:cs="Times New Roman"/>
                <w:color w:val="FF0000"/>
                <w:u w:val="single"/>
              </w:rPr>
              <w:t>Ⅲ</w:t>
            </w:r>
            <w:r>
              <w:rPr>
                <w:rFonts w:cs="Times New Roman"/>
                <w:color w:val="FF0000"/>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restar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声环境</w:t>
            </w: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（-44，-16）</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S</w:t>
            </w:r>
            <w:r>
              <w:rPr>
                <w:rFonts w:hint="eastAsia" w:ascii="Times New Roman" w:hAnsi="Times New Roman" w:cs="Times New Roman"/>
                <w:color w:val="FF0000"/>
                <w:u w:val="single"/>
              </w:rPr>
              <w:t>E</w:t>
            </w:r>
            <w:r>
              <w:rPr>
                <w:rFonts w:ascii="Times New Roman" w:hAnsi="Times New Roman" w:cs="Times New Roman"/>
                <w:color w:val="FF0000"/>
                <w:u w:val="single"/>
              </w:rPr>
              <w:t>75m</w:t>
            </w:r>
          </w:p>
        </w:tc>
        <w:tc>
          <w:tcPr>
            <w:tcW w:w="1161" w:type="pct"/>
            <w:vMerge w:val="restar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（56，97）</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2户约8人</w:t>
            </w:r>
          </w:p>
        </w:tc>
        <w:tc>
          <w:tcPr>
            <w:tcW w:w="922" w:type="pct"/>
            <w:vAlign w:val="center"/>
          </w:tcPr>
          <w:p>
            <w:pPr>
              <w:pStyle w:val="4"/>
              <w:spacing w:after="0"/>
              <w:jc w:val="center"/>
              <w:rPr>
                <w:rFonts w:ascii="Times New Roman" w:hAnsi="Times New Roman" w:cs="Times New Roman"/>
                <w:color w:val="FF0000"/>
                <w:u w:val="single"/>
              </w:rPr>
            </w:pPr>
            <w:r>
              <w:rPr>
                <w:rFonts w:hint="eastAsia" w:ascii="Times New Roman" w:hAnsi="Times New Roman" w:cs="Times New Roman"/>
                <w:color w:val="FF0000"/>
                <w:u w:val="single"/>
              </w:rPr>
              <w:t>S</w:t>
            </w:r>
            <w:r>
              <w:rPr>
                <w:rFonts w:ascii="Times New Roman" w:hAnsi="Times New Roman" w:cs="Times New Roman"/>
                <w:color w:val="FF0000"/>
                <w:u w:val="single"/>
              </w:rPr>
              <w:t>126m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（12，73）</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4"/>
              <w:spacing w:after="0"/>
              <w:jc w:val="center"/>
              <w:rPr>
                <w:rFonts w:ascii="Times New Roman" w:hAnsi="Times New Roman" w:cs="Times New Roman"/>
                <w:color w:val="FF0000"/>
                <w:u w:val="single"/>
              </w:rPr>
            </w:pPr>
            <w:r>
              <w:rPr>
                <w:rFonts w:ascii="Times New Roman" w:hAnsi="Times New Roman" w:cs="Times New Roman"/>
                <w:color w:val="FF0000"/>
                <w:u w:val="single"/>
              </w:rPr>
              <w:t>N130m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（-55，3）</w:t>
            </w:r>
          </w:p>
        </w:tc>
        <w:tc>
          <w:tcPr>
            <w:tcW w:w="87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1户约4人</w:t>
            </w:r>
          </w:p>
        </w:tc>
        <w:tc>
          <w:tcPr>
            <w:tcW w:w="922" w:type="pct"/>
            <w:vAlign w:val="center"/>
          </w:tcPr>
          <w:p>
            <w:pPr>
              <w:pStyle w:val="4"/>
              <w:spacing w:after="0"/>
              <w:jc w:val="center"/>
              <w:rPr>
                <w:rFonts w:ascii="Times New Roman" w:hAnsi="Times New Roman" w:cs="Times New Roman"/>
                <w:color w:val="FF0000"/>
                <w:u w:val="single"/>
              </w:rPr>
            </w:pPr>
            <w:r>
              <w:rPr>
                <w:rFonts w:hint="eastAsia" w:ascii="Times New Roman" w:hAnsi="Times New Roman" w:cs="Times New Roman"/>
                <w:color w:val="FF0000"/>
                <w:u w:val="single"/>
              </w:rPr>
              <w:t>W55-60m</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jc w:val="center"/>
              <w:rPr>
                <w:rFonts w:ascii="Times New Roman" w:hAnsi="Times New Roman" w:cs="Times New Roman"/>
                <w:color w:val="FF0000"/>
                <w:u w:val="single"/>
              </w:rPr>
            </w:pPr>
          </w:p>
        </w:tc>
        <w:tc>
          <w:tcPr>
            <w:tcW w:w="80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大利村散户</w:t>
            </w:r>
          </w:p>
        </w:tc>
        <w:tc>
          <w:tcPr>
            <w:tcW w:w="95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（10，-65）</w:t>
            </w:r>
          </w:p>
        </w:tc>
        <w:tc>
          <w:tcPr>
            <w:tcW w:w="87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1</w:t>
            </w:r>
            <w:r>
              <w:rPr>
                <w:rFonts w:ascii="Times New Roman" w:hAnsi="Times New Roman" w:cs="Times New Roman"/>
                <w:color w:val="FF0000"/>
                <w:u w:val="single"/>
              </w:rPr>
              <w:t>户约4人</w:t>
            </w:r>
          </w:p>
        </w:tc>
        <w:tc>
          <w:tcPr>
            <w:tcW w:w="922" w:type="pct"/>
            <w:vAlign w:val="center"/>
          </w:tcPr>
          <w:p>
            <w:pPr>
              <w:pStyle w:val="4"/>
              <w:spacing w:after="0"/>
              <w:jc w:val="center"/>
              <w:rPr>
                <w:rFonts w:ascii="Times New Roman" w:hAnsi="Times New Roman" w:cs="Times New Roman"/>
                <w:color w:val="FF0000"/>
                <w:u w:val="single"/>
              </w:rPr>
            </w:pPr>
            <w:r>
              <w:rPr>
                <w:rFonts w:hint="eastAsia" w:ascii="Times New Roman" w:hAnsi="Times New Roman" w:cs="Times New Roman"/>
                <w:color w:val="FF0000"/>
                <w:u w:val="single"/>
              </w:rPr>
              <w:t>SE65-108</w:t>
            </w:r>
          </w:p>
        </w:tc>
        <w:tc>
          <w:tcPr>
            <w:tcW w:w="1161" w:type="pct"/>
            <w:vMerge w:val="continue"/>
            <w:vAlign w:val="center"/>
          </w:tcPr>
          <w:p>
            <w:pPr>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9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土壤环境</w:t>
            </w:r>
          </w:p>
        </w:tc>
        <w:tc>
          <w:tcPr>
            <w:tcW w:w="4706" w:type="pct"/>
            <w:gridSpan w:val="5"/>
            <w:vAlign w:val="center"/>
          </w:tcPr>
          <w:p>
            <w:pPr>
              <w:jc w:val="center"/>
              <w:rPr>
                <w:rFonts w:ascii="Times New Roman" w:hAnsi="Times New Roman" w:cs="Times New Roman"/>
                <w:color w:val="FF0000"/>
                <w:u w:val="single"/>
              </w:rPr>
            </w:pPr>
            <w:r>
              <w:rPr>
                <w:rFonts w:ascii="Times New Roman" w:hAnsi="Times New Roman" w:cs="Times New Roman"/>
                <w:color w:val="FF0000"/>
                <w:kern w:val="0"/>
                <w:u w:val="single"/>
              </w:rPr>
              <w:t>厂区占地范围内及周边土壤环境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生态环境</w:t>
            </w:r>
          </w:p>
        </w:tc>
        <w:tc>
          <w:tcPr>
            <w:tcW w:w="4706" w:type="pct"/>
            <w:gridSpan w:val="5"/>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项目周界500m 范围内动植物、土壤</w:t>
            </w:r>
          </w:p>
        </w:tc>
      </w:tr>
    </w:tbl>
    <w:p>
      <w:pPr>
        <w:pStyle w:val="3"/>
        <w:ind w:firstLine="420"/>
        <w:rPr>
          <w:sz w:val="21"/>
        </w:rPr>
      </w:pPr>
      <w:r>
        <w:rPr>
          <w:rFonts w:hint="eastAsia"/>
          <w:sz w:val="21"/>
        </w:rPr>
        <w:t>注：本次评价以厂区中心</w:t>
      </w:r>
      <w:r>
        <w:rPr>
          <w:sz w:val="21"/>
        </w:rPr>
        <w:t>26.98298938</w:t>
      </w:r>
      <w:r>
        <w:rPr>
          <w:rFonts w:hint="eastAsia"/>
          <w:sz w:val="21"/>
        </w:rPr>
        <w:t>°N，</w:t>
      </w:r>
      <w:r>
        <w:rPr>
          <w:sz w:val="21"/>
        </w:rPr>
        <w:t>112.52680063</w:t>
      </w:r>
      <w:r>
        <w:rPr>
          <w:rFonts w:hint="eastAsia"/>
          <w:sz w:val="21"/>
        </w:rPr>
        <w:t>°E 为原点坐标（0，0），正东X 轴为正方向，正北Y 轴为正方向建立直角坐标系给出大气环境、声环境保护目标对应坐标。</w:t>
      </w:r>
    </w:p>
    <w:p>
      <w:pPr>
        <w:pStyle w:val="3"/>
        <w:ind w:firstLine="480"/>
      </w:pPr>
      <w:r>
        <w:br w:type="page"/>
      </w:r>
    </w:p>
    <w:p>
      <w:pPr>
        <w:pStyle w:val="2"/>
        <w:ind w:left="0"/>
      </w:pPr>
      <w:bookmarkStart w:id="15" w:name="_Toc116993061"/>
      <w:r>
        <w:rPr>
          <w:rFonts w:hint="eastAsia"/>
        </w:rPr>
        <w:t>工程</w:t>
      </w:r>
      <w:r>
        <w:t>概况</w:t>
      </w:r>
      <w:bookmarkEnd w:id="15"/>
    </w:p>
    <w:p>
      <w:pPr>
        <w:pStyle w:val="5"/>
      </w:pPr>
      <w:bookmarkStart w:id="16" w:name="_Toc116993062"/>
      <w:r>
        <w:rPr>
          <w:rFonts w:hint="eastAsia"/>
        </w:rPr>
        <w:t>现有工程概况</w:t>
      </w:r>
      <w:bookmarkEnd w:id="16"/>
    </w:p>
    <w:p>
      <w:pPr>
        <w:pStyle w:val="3"/>
        <w:ind w:firstLine="0" w:firstLineChars="0"/>
        <w:outlineLvl w:val="2"/>
        <w:rPr>
          <w:rFonts w:eastAsia="黑体" w:cstheme="majorBidi"/>
          <w:bCs/>
          <w:szCs w:val="32"/>
        </w:rPr>
      </w:pPr>
      <w:r>
        <w:rPr>
          <w:rFonts w:hint="eastAsia"/>
        </w:rPr>
        <w:t xml:space="preserve">3.1.1 </w:t>
      </w:r>
      <w:r>
        <w:rPr>
          <w:rFonts w:hint="eastAsia" w:eastAsia="黑体" w:cstheme="majorBidi"/>
          <w:bCs/>
          <w:szCs w:val="32"/>
        </w:rPr>
        <w:t xml:space="preserve"> 公司概况</w:t>
      </w:r>
    </w:p>
    <w:p>
      <w:pPr>
        <w:pStyle w:val="3"/>
        <w:ind w:firstLine="480"/>
        <w:rPr>
          <w:color w:val="FF0000"/>
          <w:u w:val="single"/>
        </w:rPr>
      </w:pPr>
      <w:r>
        <w:rPr>
          <w:color w:val="FF0000"/>
          <w:u w:val="single"/>
        </w:rPr>
        <w:t>2017年6月27日注册成立衡阳县鸿福牛羊屠宰场（个人经营），并于2018年9月5日取得相应屠宰厂屠宰资格。根据湖南省推进个人工商户转型升级为企业的若干政策措施，于2020年12月7日转型为衡阳鸿福畜禽综合屠宰有限公司。</w:t>
      </w:r>
    </w:p>
    <w:p>
      <w:pPr>
        <w:pStyle w:val="3"/>
        <w:ind w:firstLine="480"/>
        <w:rPr>
          <w:color w:val="FF0000"/>
          <w:u w:val="single"/>
        </w:rPr>
      </w:pPr>
      <w:r>
        <w:rPr>
          <w:color w:val="FF0000"/>
          <w:u w:val="single"/>
        </w:rPr>
        <w:t>湖南喜耕田农业科技发展有限公司在衡阳市衡阳县集兵镇建设一条牛羊屠宰生产线，于2017年8月委托长沙振华环境保护开发有限公司承担《湖南喜耕田农业科技发展有限公司建设项目》的环境影响评价工作，并于2017年8月26日取得衡阳县环境保护局对其环评批复文件，文号为：蒸环评函[2017]38号（详见附件）</w:t>
      </w:r>
      <w:r>
        <w:rPr>
          <w:rFonts w:eastAsiaTheme="minorEastAsia"/>
          <w:color w:val="FF0000"/>
          <w:u w:val="single"/>
        </w:rPr>
        <w:t>目前相关验收资料已丢失，项目于2018年办理排污许可证明（详见附件）</w:t>
      </w:r>
      <w:r>
        <w:rPr>
          <w:color w:val="FF0000"/>
          <w:u w:val="single"/>
        </w:rPr>
        <w:t>。</w:t>
      </w:r>
    </w:p>
    <w:p>
      <w:pPr>
        <w:pStyle w:val="3"/>
        <w:ind w:firstLine="480"/>
      </w:pPr>
      <w:r>
        <w:rPr>
          <w:color w:val="FF0000"/>
          <w:u w:val="single"/>
        </w:rPr>
        <w:t>2018年11月1日，湖南喜耕田农业科技发展有限公司将屠宰经营权转交</w:t>
      </w:r>
      <w:r>
        <w:rPr>
          <w:rFonts w:hint="eastAsia"/>
          <w:color w:val="FF0000"/>
          <w:u w:val="single"/>
        </w:rPr>
        <w:t>衡阳鸿福畜禽综合屠宰有限公司。原</w:t>
      </w:r>
      <w:r>
        <w:rPr>
          <w:color w:val="FF0000"/>
          <w:u w:val="single"/>
        </w:rPr>
        <w:t>喜耕田农业科技发展有限公司</w:t>
      </w:r>
      <w:r>
        <w:rPr>
          <w:rFonts w:hint="eastAsia"/>
          <w:color w:val="FF0000"/>
          <w:u w:val="single"/>
        </w:rPr>
        <w:t>厂区屠宰车间为牛羊混宰，经营权转交给衡阳鸿福畜禽综合屠宰有限公司后，现厂区只屠宰肉牛。</w:t>
      </w:r>
    </w:p>
    <w:p>
      <w:pPr>
        <w:pStyle w:val="3"/>
        <w:ind w:firstLine="0" w:firstLineChars="0"/>
        <w:outlineLvl w:val="2"/>
      </w:pPr>
      <w:r>
        <w:rPr>
          <w:rFonts w:hint="eastAsia"/>
        </w:rPr>
        <w:t xml:space="preserve">3.1.2  </w:t>
      </w:r>
      <w:r>
        <w:rPr>
          <w:rFonts w:hint="eastAsia" w:eastAsia="黑体" w:cstheme="majorBidi"/>
          <w:bCs/>
          <w:szCs w:val="32"/>
        </w:rPr>
        <w:t>现有厂区地理位置及占地</w:t>
      </w:r>
    </w:p>
    <w:p>
      <w:pPr>
        <w:pStyle w:val="3"/>
        <w:ind w:firstLine="480"/>
      </w:pPr>
      <w:r>
        <w:t>衡阳县鸿福牛羊屠宰场</w:t>
      </w:r>
      <w:r>
        <w:rPr>
          <w:rFonts w:hint="eastAsia"/>
        </w:rPr>
        <w:t>位于衡阳县集兵镇大利村欧老屋组，占地面积8678 m</w:t>
      </w:r>
      <w:r>
        <w:rPr>
          <w:rFonts w:hint="eastAsia"/>
          <w:vertAlign w:val="superscript"/>
        </w:rPr>
        <w:t>2</w:t>
      </w:r>
      <w:r>
        <w:rPr>
          <w:rFonts w:hint="eastAsia"/>
        </w:rPr>
        <w:t>，项目位于农村地区，周边仅有少量大利村散户居民。</w:t>
      </w:r>
    </w:p>
    <w:p>
      <w:pPr>
        <w:pStyle w:val="3"/>
        <w:ind w:firstLine="0" w:firstLineChars="0"/>
        <w:outlineLvl w:val="2"/>
      </w:pPr>
      <w:r>
        <w:rPr>
          <w:rFonts w:hint="eastAsia"/>
        </w:rPr>
        <w:t xml:space="preserve">3.1.3  </w:t>
      </w:r>
      <w:r>
        <w:rPr>
          <w:rFonts w:hint="eastAsia" w:eastAsia="黑体" w:cstheme="majorBidi"/>
          <w:bCs/>
          <w:szCs w:val="32"/>
        </w:rPr>
        <w:t>现有产品和产能</w:t>
      </w:r>
    </w:p>
    <w:p>
      <w:pPr>
        <w:pStyle w:val="3"/>
        <w:ind w:firstLine="480"/>
      </w:pPr>
      <w:r>
        <w:rPr>
          <w:rFonts w:hint="eastAsia"/>
        </w:rPr>
        <w:t>现有的</w:t>
      </w:r>
      <w:r>
        <w:t>衡阳县鸿福牛羊屠宰场</w:t>
      </w:r>
      <w:r>
        <w:rPr>
          <w:rFonts w:hint="eastAsia"/>
        </w:rPr>
        <w:t>设置有标准肉牛屠宰线一条，总计年屠宰肉牛2000头，肉牛平均毛量按600kg/头计，则年屠宰肉牛1200t/a。项目现有产品方案见表3.1-1。</w:t>
      </w:r>
    </w:p>
    <w:p>
      <w:pPr>
        <w:pStyle w:val="3"/>
        <w:spacing w:line="240" w:lineRule="auto"/>
        <w:ind w:firstLine="0" w:firstLineChars="0"/>
        <w:jc w:val="center"/>
        <w:rPr>
          <w:rFonts w:cs="Times New Roman" w:eastAsiaTheme="minorEastAsia"/>
          <w:b/>
        </w:rPr>
      </w:pPr>
      <w:r>
        <w:rPr>
          <w:rFonts w:cs="Times New Roman" w:eastAsiaTheme="minorEastAsia"/>
          <w:b/>
        </w:rPr>
        <w:t>表</w:t>
      </w:r>
      <w:r>
        <w:rPr>
          <w:rFonts w:hint="eastAsia" w:cs="Times New Roman" w:eastAsiaTheme="minorEastAsia"/>
          <w:b/>
        </w:rPr>
        <w:t>3.1-1   肉牛</w:t>
      </w:r>
      <w:r>
        <w:rPr>
          <w:rFonts w:cs="Times New Roman" w:eastAsiaTheme="minorEastAsia"/>
          <w:b/>
        </w:rPr>
        <w:t>产品方案一览表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2723"/>
        <w:gridCol w:w="1181"/>
        <w:gridCol w:w="961"/>
        <w:gridCol w:w="2291"/>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Align w:val="center"/>
          </w:tcPr>
          <w:p>
            <w:pPr>
              <w:pStyle w:val="49"/>
            </w:pPr>
            <w:r>
              <w:rPr>
                <w:rFonts w:hint="eastAsia"/>
              </w:rPr>
              <w:t>车间</w:t>
            </w:r>
          </w:p>
        </w:tc>
        <w:tc>
          <w:tcPr>
            <w:tcW w:w="1484" w:type="pct"/>
            <w:vAlign w:val="center"/>
          </w:tcPr>
          <w:p>
            <w:pPr>
              <w:pStyle w:val="49"/>
            </w:pPr>
            <w:r>
              <w:t>产品名称</w:t>
            </w:r>
          </w:p>
        </w:tc>
        <w:tc>
          <w:tcPr>
            <w:tcW w:w="644" w:type="pct"/>
            <w:vAlign w:val="center"/>
          </w:tcPr>
          <w:p>
            <w:pPr>
              <w:pStyle w:val="49"/>
            </w:pPr>
            <w:r>
              <w:t>单位</w:t>
            </w:r>
          </w:p>
        </w:tc>
        <w:tc>
          <w:tcPr>
            <w:tcW w:w="524" w:type="pct"/>
            <w:vAlign w:val="center"/>
          </w:tcPr>
          <w:p>
            <w:pPr>
              <w:pStyle w:val="49"/>
            </w:pPr>
            <w:r>
              <w:t>数量</w:t>
            </w:r>
          </w:p>
        </w:tc>
        <w:tc>
          <w:tcPr>
            <w:tcW w:w="1915" w:type="pct"/>
            <w:gridSpan w:val="2"/>
            <w:vAlign w:val="center"/>
          </w:tcPr>
          <w:p>
            <w:pPr>
              <w:pStyle w:val="49"/>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restart"/>
            <w:vAlign w:val="center"/>
          </w:tcPr>
          <w:p>
            <w:pPr>
              <w:pStyle w:val="49"/>
            </w:pPr>
            <w:r>
              <w:rPr>
                <w:rFonts w:hint="eastAsia"/>
              </w:rPr>
              <w:t>屠宰车间</w:t>
            </w:r>
          </w:p>
        </w:tc>
        <w:tc>
          <w:tcPr>
            <w:tcW w:w="1484" w:type="pct"/>
            <w:vAlign w:val="center"/>
          </w:tcPr>
          <w:p>
            <w:pPr>
              <w:pStyle w:val="49"/>
            </w:pPr>
            <w:r>
              <w:rPr>
                <w:rFonts w:hint="eastAsia"/>
              </w:rPr>
              <w:t>牛</w:t>
            </w:r>
            <w:r>
              <w:t>肉</w:t>
            </w:r>
          </w:p>
        </w:tc>
        <w:tc>
          <w:tcPr>
            <w:tcW w:w="644" w:type="pct"/>
            <w:vAlign w:val="center"/>
          </w:tcPr>
          <w:p>
            <w:pPr>
              <w:pStyle w:val="49"/>
            </w:pPr>
            <w:r>
              <w:t>t/a</w:t>
            </w:r>
          </w:p>
        </w:tc>
        <w:tc>
          <w:tcPr>
            <w:tcW w:w="524" w:type="pct"/>
            <w:vAlign w:val="center"/>
          </w:tcPr>
          <w:p>
            <w:pPr>
              <w:pStyle w:val="49"/>
            </w:pPr>
            <w:r>
              <w:rPr>
                <w:rFonts w:hint="eastAsia"/>
              </w:rPr>
              <w:t>600</w:t>
            </w:r>
          </w:p>
        </w:tc>
        <w:tc>
          <w:tcPr>
            <w:tcW w:w="1249" w:type="pct"/>
            <w:vAlign w:val="center"/>
          </w:tcPr>
          <w:p>
            <w:pPr>
              <w:pStyle w:val="49"/>
            </w:pPr>
            <w:r>
              <w:rPr>
                <w:rFonts w:hint="eastAsia"/>
              </w:rPr>
              <w:t>300kg/头</w:t>
            </w:r>
          </w:p>
        </w:tc>
        <w:tc>
          <w:tcPr>
            <w:tcW w:w="666" w:type="pct"/>
            <w:vMerge w:val="restart"/>
            <w:vAlign w:val="center"/>
          </w:tcPr>
          <w:p>
            <w:pPr>
              <w:pStyle w:val="49"/>
            </w:pPr>
            <w:r>
              <w:rPr>
                <w:spacing w:val="-20"/>
              </w:rPr>
              <w:t>肉</w:t>
            </w:r>
            <w:r>
              <w:rPr>
                <w:rFonts w:hint="eastAsia"/>
                <w:spacing w:val="-20"/>
              </w:rPr>
              <w:t>牛</w:t>
            </w:r>
            <w:r>
              <w:rPr>
                <w:spacing w:val="-20"/>
              </w:rPr>
              <w:t>平均出栏重</w:t>
            </w:r>
            <w:r>
              <w:rPr>
                <w:rFonts w:hint="eastAsia"/>
                <w:spacing w:val="-20"/>
              </w:rPr>
              <w:t>600</w:t>
            </w:r>
            <w:r>
              <w:rPr>
                <w:spacing w:val="-20"/>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牛骨</w:t>
            </w:r>
          </w:p>
        </w:tc>
        <w:tc>
          <w:tcPr>
            <w:tcW w:w="644" w:type="pct"/>
            <w:vAlign w:val="center"/>
          </w:tcPr>
          <w:p>
            <w:pPr>
              <w:pStyle w:val="49"/>
            </w:pPr>
            <w:r>
              <w:rPr>
                <w:rFonts w:hint="eastAsia"/>
              </w:rPr>
              <w:t>t/a</w:t>
            </w:r>
          </w:p>
        </w:tc>
        <w:tc>
          <w:tcPr>
            <w:tcW w:w="524" w:type="pct"/>
            <w:vAlign w:val="center"/>
          </w:tcPr>
          <w:p>
            <w:pPr>
              <w:pStyle w:val="49"/>
            </w:pPr>
            <w:r>
              <w:rPr>
                <w:rFonts w:hint="eastAsia"/>
              </w:rPr>
              <w:t>140</w:t>
            </w:r>
          </w:p>
        </w:tc>
        <w:tc>
          <w:tcPr>
            <w:tcW w:w="1249" w:type="pct"/>
            <w:vAlign w:val="center"/>
          </w:tcPr>
          <w:p>
            <w:pPr>
              <w:pStyle w:val="49"/>
            </w:pPr>
            <w:r>
              <w:rPr>
                <w:rFonts w:hint="eastAsia"/>
              </w:rPr>
              <w:t>70kg/头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牛鞭、牛肾、牛宝、腰油</w:t>
            </w:r>
          </w:p>
        </w:tc>
        <w:tc>
          <w:tcPr>
            <w:tcW w:w="644" w:type="pct"/>
            <w:vAlign w:val="center"/>
          </w:tcPr>
          <w:p>
            <w:pPr>
              <w:pStyle w:val="49"/>
            </w:pPr>
            <w:r>
              <w:rPr>
                <w:rFonts w:hint="eastAsia"/>
              </w:rPr>
              <w:t>t/a</w:t>
            </w:r>
          </w:p>
        </w:tc>
        <w:tc>
          <w:tcPr>
            <w:tcW w:w="524" w:type="pct"/>
            <w:vAlign w:val="center"/>
          </w:tcPr>
          <w:p>
            <w:pPr>
              <w:pStyle w:val="49"/>
            </w:pPr>
            <w:r>
              <w:rPr>
                <w:rFonts w:hint="eastAsia"/>
              </w:rPr>
              <w:t>100</w:t>
            </w:r>
          </w:p>
        </w:tc>
        <w:tc>
          <w:tcPr>
            <w:tcW w:w="1249" w:type="pct"/>
            <w:vAlign w:val="center"/>
          </w:tcPr>
          <w:p>
            <w:pPr>
              <w:pStyle w:val="49"/>
            </w:pPr>
            <w:r>
              <w:rPr>
                <w:rFonts w:hint="eastAsia"/>
              </w:rPr>
              <w:t>50kg/头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牛头</w:t>
            </w:r>
          </w:p>
        </w:tc>
        <w:tc>
          <w:tcPr>
            <w:tcW w:w="644" w:type="pct"/>
            <w:vAlign w:val="center"/>
          </w:tcPr>
          <w:p>
            <w:pPr>
              <w:pStyle w:val="49"/>
            </w:pPr>
            <w:r>
              <w:rPr>
                <w:rFonts w:hint="eastAsia"/>
              </w:rPr>
              <w:t>万个</w:t>
            </w:r>
            <w:r>
              <w:t>/a</w:t>
            </w:r>
          </w:p>
        </w:tc>
        <w:tc>
          <w:tcPr>
            <w:tcW w:w="524" w:type="pct"/>
            <w:vAlign w:val="center"/>
          </w:tcPr>
          <w:p>
            <w:pPr>
              <w:pStyle w:val="49"/>
            </w:pPr>
            <w:r>
              <w:rPr>
                <w:rFonts w:hint="eastAsia"/>
              </w:rPr>
              <w:t>0.2</w:t>
            </w:r>
          </w:p>
        </w:tc>
        <w:tc>
          <w:tcPr>
            <w:tcW w:w="1249" w:type="pct"/>
            <w:vAlign w:val="center"/>
          </w:tcPr>
          <w:p>
            <w:pPr>
              <w:pStyle w:val="49"/>
            </w:pPr>
            <w:r>
              <w:rPr>
                <w:rFonts w:hint="eastAsia"/>
              </w:rPr>
              <w:t>30</w:t>
            </w:r>
            <w:r>
              <w:t>kg/</w:t>
            </w:r>
            <w:r>
              <w:rPr>
                <w:rFonts w:hint="eastAsia"/>
              </w:rPr>
              <w:t>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w:t>
            </w:r>
            <w:r>
              <w:t>皮</w:t>
            </w:r>
          </w:p>
        </w:tc>
        <w:tc>
          <w:tcPr>
            <w:tcW w:w="644" w:type="pct"/>
            <w:vAlign w:val="center"/>
          </w:tcPr>
          <w:p>
            <w:pPr>
              <w:pStyle w:val="49"/>
            </w:pPr>
            <w:r>
              <w:t>万张/a</w:t>
            </w:r>
          </w:p>
        </w:tc>
        <w:tc>
          <w:tcPr>
            <w:tcW w:w="524" w:type="pct"/>
            <w:vAlign w:val="center"/>
          </w:tcPr>
          <w:p>
            <w:pPr>
              <w:pStyle w:val="49"/>
            </w:pPr>
            <w:r>
              <w:rPr>
                <w:rFonts w:hint="eastAsia"/>
              </w:rPr>
              <w:t>0.2</w:t>
            </w:r>
          </w:p>
        </w:tc>
        <w:tc>
          <w:tcPr>
            <w:tcW w:w="1249" w:type="pct"/>
            <w:vAlign w:val="center"/>
          </w:tcPr>
          <w:p>
            <w:pPr>
              <w:pStyle w:val="49"/>
            </w:pPr>
            <w:r>
              <w:rPr>
                <w:rFonts w:hint="eastAsia"/>
              </w:rPr>
              <w:t>30</w:t>
            </w:r>
            <w:r>
              <w:t>kg/张</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红内脏</w:t>
            </w:r>
          </w:p>
        </w:tc>
        <w:tc>
          <w:tcPr>
            <w:tcW w:w="644" w:type="pct"/>
            <w:vAlign w:val="center"/>
          </w:tcPr>
          <w:p>
            <w:pPr>
              <w:pStyle w:val="49"/>
            </w:pPr>
            <w:r>
              <w:t>t/a</w:t>
            </w:r>
          </w:p>
        </w:tc>
        <w:tc>
          <w:tcPr>
            <w:tcW w:w="524" w:type="pct"/>
            <w:vAlign w:val="center"/>
          </w:tcPr>
          <w:p>
            <w:pPr>
              <w:pStyle w:val="49"/>
            </w:pPr>
            <w:r>
              <w:rPr>
                <w:rFonts w:hint="eastAsia"/>
              </w:rPr>
              <w:t>60</w:t>
            </w:r>
          </w:p>
        </w:tc>
        <w:tc>
          <w:tcPr>
            <w:tcW w:w="1249" w:type="pct"/>
            <w:vAlign w:val="center"/>
          </w:tcPr>
          <w:p>
            <w:pPr>
              <w:pStyle w:val="49"/>
            </w:pPr>
            <w:r>
              <w:rPr>
                <w:rFonts w:hint="eastAsia"/>
              </w:rPr>
              <w:t>30</w:t>
            </w:r>
            <w:r>
              <w:t>kg/</w:t>
            </w:r>
            <w:r>
              <w:rPr>
                <w:rFonts w:hint="eastAsia"/>
              </w:rPr>
              <w:t>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白内脏</w:t>
            </w:r>
          </w:p>
        </w:tc>
        <w:tc>
          <w:tcPr>
            <w:tcW w:w="644" w:type="pct"/>
            <w:vAlign w:val="center"/>
          </w:tcPr>
          <w:p>
            <w:pPr>
              <w:pStyle w:val="49"/>
            </w:pPr>
            <w:r>
              <w:rPr>
                <w:rFonts w:hint="eastAsia"/>
              </w:rPr>
              <w:t>t/a</w:t>
            </w:r>
          </w:p>
        </w:tc>
        <w:tc>
          <w:tcPr>
            <w:tcW w:w="524" w:type="pct"/>
            <w:vAlign w:val="center"/>
          </w:tcPr>
          <w:p>
            <w:pPr>
              <w:pStyle w:val="49"/>
            </w:pPr>
            <w:r>
              <w:rPr>
                <w:rFonts w:hint="eastAsia"/>
              </w:rPr>
              <w:t>60</w:t>
            </w:r>
          </w:p>
        </w:tc>
        <w:tc>
          <w:tcPr>
            <w:tcW w:w="1249" w:type="pct"/>
            <w:vAlign w:val="center"/>
          </w:tcPr>
          <w:p>
            <w:pPr>
              <w:pStyle w:val="49"/>
            </w:pPr>
            <w:r>
              <w:rPr>
                <w:rFonts w:hint="eastAsia"/>
              </w:rPr>
              <w:t>30kg/头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w:t>
            </w:r>
            <w:r>
              <w:t>血</w:t>
            </w:r>
          </w:p>
        </w:tc>
        <w:tc>
          <w:tcPr>
            <w:tcW w:w="644" w:type="pct"/>
            <w:vAlign w:val="center"/>
          </w:tcPr>
          <w:p>
            <w:pPr>
              <w:pStyle w:val="49"/>
            </w:pPr>
            <w:r>
              <w:t>t/a</w:t>
            </w:r>
          </w:p>
        </w:tc>
        <w:tc>
          <w:tcPr>
            <w:tcW w:w="524" w:type="pct"/>
            <w:vAlign w:val="center"/>
          </w:tcPr>
          <w:p>
            <w:pPr>
              <w:pStyle w:val="49"/>
            </w:pPr>
            <w:r>
              <w:rPr>
                <w:rFonts w:hint="eastAsia"/>
              </w:rPr>
              <w:t>20</w:t>
            </w:r>
          </w:p>
        </w:tc>
        <w:tc>
          <w:tcPr>
            <w:tcW w:w="1249" w:type="pct"/>
            <w:vAlign w:val="center"/>
          </w:tcPr>
          <w:p>
            <w:pPr>
              <w:pStyle w:val="49"/>
            </w:pPr>
            <w:r>
              <w:rPr>
                <w:rFonts w:hint="eastAsia"/>
              </w:rPr>
              <w:t>10</w:t>
            </w:r>
            <w:r>
              <w:t>kg/</w:t>
            </w:r>
            <w:r>
              <w:rPr>
                <w:rFonts w:hint="eastAsia"/>
              </w:rPr>
              <w:t>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牛</w:t>
            </w:r>
            <w:r>
              <w:t>蹄</w:t>
            </w:r>
          </w:p>
        </w:tc>
        <w:tc>
          <w:tcPr>
            <w:tcW w:w="644" w:type="pct"/>
            <w:vAlign w:val="center"/>
          </w:tcPr>
          <w:p>
            <w:pPr>
              <w:pStyle w:val="49"/>
            </w:pPr>
            <w:r>
              <w:t>t/a</w:t>
            </w:r>
          </w:p>
        </w:tc>
        <w:tc>
          <w:tcPr>
            <w:tcW w:w="524" w:type="pct"/>
            <w:vAlign w:val="center"/>
          </w:tcPr>
          <w:p>
            <w:pPr>
              <w:pStyle w:val="49"/>
            </w:pPr>
            <w:r>
              <w:rPr>
                <w:rFonts w:hint="eastAsia"/>
              </w:rPr>
              <w:t>20</w:t>
            </w:r>
          </w:p>
        </w:tc>
        <w:tc>
          <w:tcPr>
            <w:tcW w:w="1249" w:type="pct"/>
            <w:vAlign w:val="center"/>
          </w:tcPr>
          <w:p>
            <w:pPr>
              <w:pStyle w:val="49"/>
            </w:pPr>
            <w:r>
              <w:rPr>
                <w:rFonts w:hint="eastAsia"/>
              </w:rPr>
              <w:t>10</w:t>
            </w:r>
            <w:r>
              <w:t>kg/</w:t>
            </w:r>
            <w:r>
              <w:rPr>
                <w:rFonts w:hint="eastAsia"/>
              </w:rPr>
              <w:t>头</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肠容物</w:t>
            </w:r>
          </w:p>
        </w:tc>
        <w:tc>
          <w:tcPr>
            <w:tcW w:w="644" w:type="pct"/>
            <w:vAlign w:val="center"/>
          </w:tcPr>
          <w:p>
            <w:pPr>
              <w:pStyle w:val="49"/>
            </w:pPr>
            <w:r>
              <w:rPr>
                <w:rFonts w:hint="eastAsia"/>
              </w:rPr>
              <w:t>t/a</w:t>
            </w:r>
          </w:p>
        </w:tc>
        <w:tc>
          <w:tcPr>
            <w:tcW w:w="524" w:type="pct"/>
            <w:vAlign w:val="center"/>
          </w:tcPr>
          <w:p>
            <w:pPr>
              <w:pStyle w:val="49"/>
            </w:pPr>
            <w:r>
              <w:rPr>
                <w:rFonts w:hint="eastAsia"/>
              </w:rPr>
              <w:t>40</w:t>
            </w:r>
          </w:p>
        </w:tc>
        <w:tc>
          <w:tcPr>
            <w:tcW w:w="1249" w:type="pct"/>
            <w:vAlign w:val="center"/>
          </w:tcPr>
          <w:p>
            <w:pPr>
              <w:pStyle w:val="49"/>
            </w:pPr>
            <w:r>
              <w:rPr>
                <w:rFonts w:hint="eastAsia"/>
              </w:rPr>
              <w:t>20kg/头（含牛粪等）</w:t>
            </w:r>
          </w:p>
        </w:tc>
        <w:tc>
          <w:tcPr>
            <w:tcW w:w="666" w:type="pct"/>
            <w:vMerge w:val="continue"/>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vAlign w:val="center"/>
          </w:tcPr>
          <w:p>
            <w:pPr>
              <w:pStyle w:val="49"/>
            </w:pPr>
          </w:p>
        </w:tc>
        <w:tc>
          <w:tcPr>
            <w:tcW w:w="1484" w:type="pct"/>
            <w:vAlign w:val="center"/>
          </w:tcPr>
          <w:p>
            <w:pPr>
              <w:pStyle w:val="49"/>
            </w:pPr>
            <w:r>
              <w:rPr>
                <w:rFonts w:hint="eastAsia"/>
              </w:rPr>
              <w:t>分割碎骨、碎肉</w:t>
            </w:r>
          </w:p>
        </w:tc>
        <w:tc>
          <w:tcPr>
            <w:tcW w:w="644" w:type="pct"/>
            <w:vAlign w:val="center"/>
          </w:tcPr>
          <w:p>
            <w:pPr>
              <w:pStyle w:val="49"/>
            </w:pPr>
            <w:r>
              <w:rPr>
                <w:rFonts w:hint="eastAsia"/>
              </w:rPr>
              <w:t>t/a</w:t>
            </w:r>
          </w:p>
        </w:tc>
        <w:tc>
          <w:tcPr>
            <w:tcW w:w="524" w:type="pct"/>
            <w:vAlign w:val="center"/>
          </w:tcPr>
          <w:p>
            <w:pPr>
              <w:pStyle w:val="49"/>
            </w:pPr>
            <w:r>
              <w:rPr>
                <w:rFonts w:hint="eastAsia"/>
              </w:rPr>
              <w:t>20</w:t>
            </w:r>
          </w:p>
        </w:tc>
        <w:tc>
          <w:tcPr>
            <w:tcW w:w="1249" w:type="pct"/>
            <w:vAlign w:val="center"/>
          </w:tcPr>
          <w:p>
            <w:pPr>
              <w:pStyle w:val="49"/>
            </w:pPr>
            <w:r>
              <w:rPr>
                <w:rFonts w:hint="eastAsia"/>
              </w:rPr>
              <w:t>10kg/头</w:t>
            </w:r>
          </w:p>
        </w:tc>
        <w:tc>
          <w:tcPr>
            <w:tcW w:w="666" w:type="pct"/>
            <w:vMerge w:val="continue"/>
            <w:vAlign w:val="center"/>
          </w:tcPr>
          <w:p>
            <w:pPr>
              <w:pStyle w:val="49"/>
            </w:pPr>
          </w:p>
        </w:tc>
      </w:tr>
    </w:tbl>
    <w:p>
      <w:pPr>
        <w:pStyle w:val="3"/>
        <w:ind w:firstLine="0" w:firstLineChars="0"/>
        <w:outlineLvl w:val="2"/>
      </w:pPr>
      <w:r>
        <w:rPr>
          <w:rFonts w:hint="eastAsia"/>
        </w:rPr>
        <w:t xml:space="preserve">3.1.4  </w:t>
      </w:r>
      <w:r>
        <w:rPr>
          <w:rFonts w:hint="eastAsia" w:eastAsia="黑体" w:cstheme="majorBidi"/>
          <w:bCs/>
          <w:szCs w:val="32"/>
        </w:rPr>
        <w:t>现有工程组成</w:t>
      </w:r>
    </w:p>
    <w:p>
      <w:pPr>
        <w:pStyle w:val="3"/>
        <w:ind w:firstLine="480"/>
      </w:pPr>
      <w:r>
        <w:rPr>
          <w:rFonts w:hint="eastAsia"/>
        </w:rPr>
        <w:t>现有厂区总占地面积8678m</w:t>
      </w:r>
      <w:r>
        <w:rPr>
          <w:rFonts w:hint="eastAsia"/>
          <w:vertAlign w:val="superscript"/>
        </w:rPr>
        <w:t>2</w:t>
      </w:r>
      <w:r>
        <w:rPr>
          <w:rFonts w:hint="eastAsia"/>
        </w:rPr>
        <w:t>，</w:t>
      </w:r>
      <w:r>
        <w:t>厂区内设置有办公生活区、冻库</w:t>
      </w:r>
      <w:r>
        <w:rPr>
          <w:rFonts w:hint="eastAsia"/>
        </w:rPr>
        <w:t>、</w:t>
      </w:r>
      <w:r>
        <w:t>屠宰车间、</w:t>
      </w:r>
      <w:r>
        <w:rPr>
          <w:rFonts w:hint="eastAsia"/>
        </w:rPr>
        <w:t>待宰间</w:t>
      </w:r>
      <w:r>
        <w:t>以及污水处理设施等。</w:t>
      </w:r>
      <w:r>
        <w:rPr>
          <w:rFonts w:hint="eastAsia"/>
        </w:rPr>
        <w:t>主要由主体工程、辅助工程、公用工程及环保工程组成。</w:t>
      </w:r>
    </w:p>
    <w:p>
      <w:pPr>
        <w:pStyle w:val="3"/>
        <w:ind w:firstLine="480"/>
        <w:rPr>
          <w:rFonts w:hAnsi="宋体"/>
          <w:szCs w:val="24"/>
        </w:rPr>
      </w:pPr>
      <w:r>
        <w:rPr>
          <w:rFonts w:hint="eastAsia" w:hAnsi="宋体"/>
          <w:szCs w:val="24"/>
        </w:rPr>
        <w:t>现有工程组成见表</w:t>
      </w:r>
      <w:r>
        <w:rPr>
          <w:rFonts w:hint="eastAsia"/>
          <w:szCs w:val="24"/>
        </w:rPr>
        <w:t>3</w:t>
      </w:r>
      <w:r>
        <w:rPr>
          <w:szCs w:val="24"/>
        </w:rPr>
        <w:t>.1-</w:t>
      </w:r>
      <w:r>
        <w:rPr>
          <w:rFonts w:hint="eastAsia"/>
          <w:szCs w:val="24"/>
        </w:rPr>
        <w:t>2</w:t>
      </w:r>
      <w:r>
        <w:rPr>
          <w:rFonts w:hint="eastAsia" w:hAnsi="宋体"/>
          <w:szCs w:val="24"/>
        </w:rPr>
        <w:t>。</w:t>
      </w:r>
    </w:p>
    <w:p>
      <w:pPr>
        <w:pStyle w:val="3"/>
        <w:spacing w:line="240" w:lineRule="auto"/>
        <w:ind w:firstLine="0" w:firstLineChars="0"/>
        <w:jc w:val="center"/>
        <w:rPr>
          <w:rFonts w:cs="Times New Roman" w:eastAsiaTheme="minorEastAsia"/>
          <w:b/>
        </w:rPr>
      </w:pPr>
      <w:r>
        <w:rPr>
          <w:rFonts w:cs="Times New Roman" w:eastAsiaTheme="minorEastAsia"/>
          <w:b/>
        </w:rPr>
        <w:t>表</w:t>
      </w:r>
      <w:r>
        <w:rPr>
          <w:rFonts w:hint="eastAsia" w:cs="Times New Roman" w:eastAsiaTheme="minorEastAsia"/>
          <w:b/>
        </w:rPr>
        <w:t>3.1-2   现有工程项目组成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783"/>
        <w:gridCol w:w="4031"/>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Align w:val="center"/>
          </w:tcPr>
          <w:p>
            <w:pPr>
              <w:pStyle w:val="49"/>
            </w:pPr>
            <w:r>
              <w:t>名称</w:t>
            </w:r>
          </w:p>
        </w:tc>
        <w:tc>
          <w:tcPr>
            <w:tcW w:w="3169" w:type="pct"/>
            <w:gridSpan w:val="2"/>
            <w:vAlign w:val="center"/>
          </w:tcPr>
          <w:p>
            <w:pPr>
              <w:pStyle w:val="49"/>
            </w:pPr>
            <w:r>
              <w:t>工程内容及规模</w:t>
            </w:r>
          </w:p>
        </w:tc>
        <w:tc>
          <w:tcPr>
            <w:tcW w:w="1078" w:type="pct"/>
            <w:vAlign w:val="center"/>
          </w:tcPr>
          <w:p>
            <w:pPr>
              <w:pStyle w:val="49"/>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restart"/>
            <w:vAlign w:val="center"/>
          </w:tcPr>
          <w:p>
            <w:pPr>
              <w:pStyle w:val="49"/>
            </w:pPr>
            <w:r>
              <w:t>主体</w:t>
            </w:r>
          </w:p>
          <w:p>
            <w:pPr>
              <w:pStyle w:val="49"/>
            </w:pPr>
            <w:r>
              <w:t>工程</w:t>
            </w:r>
          </w:p>
        </w:tc>
        <w:tc>
          <w:tcPr>
            <w:tcW w:w="972" w:type="pct"/>
            <w:vAlign w:val="center"/>
          </w:tcPr>
          <w:p>
            <w:pPr>
              <w:pStyle w:val="49"/>
            </w:pPr>
            <w:r>
              <w:t>待宰间</w:t>
            </w:r>
          </w:p>
        </w:tc>
        <w:tc>
          <w:tcPr>
            <w:tcW w:w="2197" w:type="pct"/>
            <w:vAlign w:val="center"/>
          </w:tcPr>
          <w:p>
            <w:pPr>
              <w:pStyle w:val="49"/>
            </w:pPr>
            <w:r>
              <w:rPr>
                <w:rFonts w:hint="eastAsia"/>
              </w:rPr>
              <w:t>900</w:t>
            </w:r>
            <w:r>
              <w:t>m</w:t>
            </w:r>
            <w:r>
              <w:rPr>
                <w:vertAlign w:val="superscript"/>
              </w:rPr>
              <w:t>2</w:t>
            </w:r>
            <w:r>
              <w:t>，用于存放待宰</w:t>
            </w:r>
            <w:r>
              <w:rPr>
                <w:rFonts w:hint="eastAsia"/>
              </w:rPr>
              <w:t>牛</w:t>
            </w:r>
          </w:p>
        </w:tc>
        <w:tc>
          <w:tcPr>
            <w:tcW w:w="1078" w:type="pct"/>
            <w:shd w:val="clear" w:color="auto" w:fill="auto"/>
            <w:vAlign w:val="center"/>
          </w:tcPr>
          <w:p>
            <w:pPr>
              <w:pStyle w:val="49"/>
            </w:pPr>
            <w:r>
              <w:rPr>
                <w:rFonts w:hint="eastAsia"/>
              </w:rPr>
              <w:t>共3个，1个200m</w:t>
            </w:r>
            <w:r>
              <w:rPr>
                <w:rFonts w:hint="eastAsia"/>
                <w:vertAlign w:val="superscript"/>
              </w:rPr>
              <w:t>2</w:t>
            </w:r>
            <w:r>
              <w:rPr>
                <w:rFonts w:hint="eastAsia"/>
              </w:rPr>
              <w:t>，1个300m</w:t>
            </w:r>
            <w:r>
              <w:rPr>
                <w:rFonts w:hint="eastAsia"/>
                <w:vertAlign w:val="superscript"/>
              </w:rPr>
              <w:t>2</w:t>
            </w:r>
            <w:r>
              <w:rPr>
                <w:rFonts w:hint="eastAsia"/>
              </w:rPr>
              <w:t>，一个400m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t>屠宰车间</w:t>
            </w:r>
          </w:p>
        </w:tc>
        <w:tc>
          <w:tcPr>
            <w:tcW w:w="2197" w:type="pct"/>
            <w:vAlign w:val="center"/>
          </w:tcPr>
          <w:p>
            <w:pPr>
              <w:pStyle w:val="49"/>
            </w:pPr>
            <w:r>
              <w:rPr>
                <w:rFonts w:hint="eastAsia"/>
              </w:rPr>
              <w:t>580m</w:t>
            </w:r>
            <w:r>
              <w:rPr>
                <w:rFonts w:hint="eastAsia"/>
                <w:vertAlign w:val="superscript"/>
              </w:rPr>
              <w:t>2</w:t>
            </w:r>
            <w:r>
              <w:t>，用于对</w:t>
            </w:r>
            <w:r>
              <w:rPr>
                <w:rFonts w:hint="eastAsia"/>
              </w:rPr>
              <w:t>牛</w:t>
            </w:r>
            <w:r>
              <w:t>的宰杀，</w:t>
            </w:r>
            <w:r>
              <w:rPr>
                <w:rFonts w:hint="eastAsia"/>
              </w:rPr>
              <w:t>剥</w:t>
            </w:r>
            <w:r>
              <w:t>皮</w:t>
            </w:r>
          </w:p>
        </w:tc>
        <w:tc>
          <w:tcPr>
            <w:tcW w:w="1078" w:type="pct"/>
            <w:shd w:val="clear" w:color="auto" w:fill="auto"/>
            <w:vAlign w:val="center"/>
          </w:tcPr>
          <w:p>
            <w:pPr>
              <w:pStyle w:val="49"/>
            </w:pPr>
            <w:r>
              <w:rPr>
                <w:rFonts w:hint="eastAsia"/>
              </w:rPr>
              <w:t>半机械化生产线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rPr>
                <w:rFonts w:hint="eastAsia"/>
              </w:rPr>
              <w:t>检疫室</w:t>
            </w:r>
          </w:p>
        </w:tc>
        <w:tc>
          <w:tcPr>
            <w:tcW w:w="2197" w:type="pct"/>
            <w:vAlign w:val="center"/>
          </w:tcPr>
          <w:p>
            <w:pPr>
              <w:pStyle w:val="49"/>
            </w:pPr>
            <w:r>
              <w:rPr>
                <w:rFonts w:hint="eastAsia"/>
              </w:rPr>
              <w:t>40m</w:t>
            </w:r>
            <w:r>
              <w:rPr>
                <w:rFonts w:hint="eastAsia"/>
                <w:vertAlign w:val="superscript"/>
              </w:rPr>
              <w:t>2</w:t>
            </w:r>
            <w:r>
              <w:t>，</w:t>
            </w:r>
            <w:r>
              <w:rPr>
                <w:rFonts w:hint="eastAsia"/>
              </w:rPr>
              <w:t>对牛屠宰前的检疫</w:t>
            </w:r>
          </w:p>
        </w:tc>
        <w:tc>
          <w:tcPr>
            <w:tcW w:w="1078" w:type="pct"/>
            <w:shd w:val="clear" w:color="auto" w:fill="auto"/>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rPr>
                <w:rFonts w:hint="eastAsia"/>
              </w:rPr>
              <w:t>分割冷冻车间</w:t>
            </w:r>
          </w:p>
        </w:tc>
        <w:tc>
          <w:tcPr>
            <w:tcW w:w="2197" w:type="pct"/>
            <w:vAlign w:val="center"/>
          </w:tcPr>
          <w:p>
            <w:pPr>
              <w:pStyle w:val="49"/>
            </w:pPr>
            <w:r>
              <w:rPr>
                <w:rFonts w:hint="eastAsia"/>
              </w:rPr>
              <w:t>600m</w:t>
            </w:r>
            <w:r>
              <w:rPr>
                <w:rFonts w:hint="eastAsia"/>
                <w:vertAlign w:val="superscript"/>
              </w:rPr>
              <w:t>2</w:t>
            </w:r>
            <w:r>
              <w:t>，</w:t>
            </w:r>
            <w:r>
              <w:rPr>
                <w:rFonts w:hint="eastAsia"/>
              </w:rPr>
              <w:t>冷冻设备采用R404A制冷剂</w:t>
            </w:r>
          </w:p>
        </w:tc>
        <w:tc>
          <w:tcPr>
            <w:tcW w:w="1078" w:type="pct"/>
            <w:shd w:val="clear" w:color="auto" w:fill="auto"/>
            <w:vAlign w:val="center"/>
          </w:tcPr>
          <w:p>
            <w:pPr>
              <w:pStyle w:val="49"/>
            </w:pPr>
            <w:r>
              <w:rPr>
                <w:rFonts w:hint="eastAsia"/>
              </w:rPr>
              <w:t>该制冷剂不含氟利昂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rPr>
                <w:rFonts w:hint="eastAsia"/>
              </w:rPr>
              <w:t>协议养殖牛催肥栏舍</w:t>
            </w:r>
          </w:p>
        </w:tc>
        <w:tc>
          <w:tcPr>
            <w:tcW w:w="2197" w:type="pct"/>
            <w:vAlign w:val="center"/>
          </w:tcPr>
          <w:p>
            <w:pPr>
              <w:pStyle w:val="49"/>
            </w:pPr>
            <w:r>
              <w:rPr>
                <w:rFonts w:hint="eastAsia"/>
              </w:rPr>
              <w:t>1500m</w:t>
            </w:r>
            <w:r>
              <w:rPr>
                <w:rFonts w:hint="eastAsia"/>
                <w:vertAlign w:val="superscript"/>
              </w:rPr>
              <w:t>2</w:t>
            </w:r>
          </w:p>
        </w:tc>
        <w:tc>
          <w:tcPr>
            <w:tcW w:w="1078" w:type="pct"/>
            <w:shd w:val="clear" w:color="auto" w:fill="auto"/>
            <w:vAlign w:val="center"/>
          </w:tcPr>
          <w:p>
            <w:pPr>
              <w:pStyle w:val="49"/>
            </w:pPr>
            <w:r>
              <w:rPr>
                <w:rFonts w:hint="eastAsia"/>
              </w:rPr>
              <w:t>催肥时间为1个月，催肥量为100头牛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restart"/>
            <w:vAlign w:val="center"/>
          </w:tcPr>
          <w:p>
            <w:pPr>
              <w:pStyle w:val="49"/>
            </w:pPr>
            <w:r>
              <w:t>辅助</w:t>
            </w:r>
          </w:p>
          <w:p>
            <w:pPr>
              <w:pStyle w:val="49"/>
            </w:pPr>
            <w:r>
              <w:t>工程</w:t>
            </w:r>
          </w:p>
        </w:tc>
        <w:tc>
          <w:tcPr>
            <w:tcW w:w="972" w:type="pct"/>
            <w:vAlign w:val="center"/>
          </w:tcPr>
          <w:p>
            <w:pPr>
              <w:pStyle w:val="49"/>
            </w:pPr>
            <w:r>
              <w:rPr>
                <w:rFonts w:hint="eastAsia"/>
              </w:rPr>
              <w:t>外来牛观察栏舍</w:t>
            </w:r>
          </w:p>
        </w:tc>
        <w:tc>
          <w:tcPr>
            <w:tcW w:w="2197" w:type="pct"/>
            <w:vAlign w:val="center"/>
          </w:tcPr>
          <w:p>
            <w:pPr>
              <w:pStyle w:val="49"/>
            </w:pPr>
            <w:r>
              <w:rPr>
                <w:rFonts w:hint="eastAsia"/>
              </w:rPr>
              <w:t>230m</w:t>
            </w:r>
            <w:r>
              <w:rPr>
                <w:rFonts w:hint="eastAsia"/>
                <w:vertAlign w:val="superscript"/>
              </w:rPr>
              <w:t>2</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rPr>
                <w:rFonts w:hint="eastAsia"/>
              </w:rPr>
              <w:t>草料仓库</w:t>
            </w:r>
          </w:p>
        </w:tc>
        <w:tc>
          <w:tcPr>
            <w:tcW w:w="2197" w:type="pct"/>
            <w:vAlign w:val="center"/>
          </w:tcPr>
          <w:p>
            <w:pPr>
              <w:pStyle w:val="49"/>
            </w:pPr>
            <w:r>
              <w:rPr>
                <w:rFonts w:hint="eastAsia"/>
              </w:rPr>
              <w:t>300m</w:t>
            </w:r>
            <w:r>
              <w:rPr>
                <w:rFonts w:hint="eastAsia"/>
                <w:vertAlign w:val="superscript"/>
              </w:rPr>
              <w:t>2</w:t>
            </w:r>
            <w:r>
              <w:rPr>
                <w:rFonts w:hint="eastAsia"/>
              </w:rPr>
              <w:t>，存放架子牛催肥的草料</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rPr>
                <w:rFonts w:hint="eastAsia"/>
              </w:rPr>
              <w:t>病牛隔离间</w:t>
            </w:r>
          </w:p>
        </w:tc>
        <w:tc>
          <w:tcPr>
            <w:tcW w:w="2197" w:type="pct"/>
            <w:vAlign w:val="center"/>
          </w:tcPr>
          <w:p>
            <w:pPr>
              <w:pStyle w:val="49"/>
            </w:pPr>
            <w:r>
              <w:rPr>
                <w:rFonts w:hint="eastAsia"/>
              </w:rPr>
              <w:t>200m</w:t>
            </w:r>
            <w:r>
              <w:rPr>
                <w:rFonts w:hint="eastAsia"/>
                <w:vertAlign w:val="superscript"/>
              </w:rPr>
              <w:t>2</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restart"/>
            <w:vAlign w:val="center"/>
          </w:tcPr>
          <w:p>
            <w:pPr>
              <w:pStyle w:val="49"/>
            </w:pPr>
            <w:r>
              <w:t>公用</w:t>
            </w:r>
          </w:p>
          <w:p>
            <w:pPr>
              <w:pStyle w:val="49"/>
            </w:pPr>
            <w:r>
              <w:t>工程</w:t>
            </w:r>
          </w:p>
        </w:tc>
        <w:tc>
          <w:tcPr>
            <w:tcW w:w="972" w:type="pct"/>
            <w:vAlign w:val="center"/>
          </w:tcPr>
          <w:p>
            <w:pPr>
              <w:pStyle w:val="49"/>
            </w:pPr>
            <w:r>
              <w:t>供配电</w:t>
            </w:r>
          </w:p>
        </w:tc>
        <w:tc>
          <w:tcPr>
            <w:tcW w:w="2197" w:type="pct"/>
            <w:vAlign w:val="center"/>
          </w:tcPr>
          <w:p>
            <w:pPr>
              <w:pStyle w:val="49"/>
            </w:pPr>
            <w:r>
              <w:t>当地电网供电</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t>供水</w:t>
            </w:r>
          </w:p>
        </w:tc>
        <w:tc>
          <w:tcPr>
            <w:tcW w:w="2197" w:type="pct"/>
            <w:vAlign w:val="center"/>
          </w:tcPr>
          <w:p>
            <w:pPr>
              <w:pStyle w:val="49"/>
            </w:pPr>
            <w:r>
              <w:rPr>
                <w:rFonts w:hint="eastAsia"/>
              </w:rPr>
              <w:t>井水</w:t>
            </w:r>
          </w:p>
        </w:tc>
        <w:tc>
          <w:tcPr>
            <w:tcW w:w="1078" w:type="pct"/>
            <w:vAlign w:val="center"/>
          </w:tcPr>
          <w:p>
            <w:pPr>
              <w:pStyle w:val="4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vAlign w:val="center"/>
          </w:tcPr>
          <w:p>
            <w:pPr>
              <w:pStyle w:val="49"/>
            </w:pPr>
          </w:p>
        </w:tc>
        <w:tc>
          <w:tcPr>
            <w:tcW w:w="972" w:type="pct"/>
            <w:vAlign w:val="center"/>
          </w:tcPr>
          <w:p>
            <w:pPr>
              <w:pStyle w:val="49"/>
            </w:pPr>
            <w:r>
              <w:t>办公生活区</w:t>
            </w:r>
          </w:p>
        </w:tc>
        <w:tc>
          <w:tcPr>
            <w:tcW w:w="2197" w:type="pct"/>
            <w:shd w:val="clear" w:color="auto" w:fill="auto"/>
            <w:vAlign w:val="center"/>
          </w:tcPr>
          <w:p>
            <w:pPr>
              <w:pStyle w:val="49"/>
            </w:pPr>
            <w:r>
              <w:rPr>
                <w:rFonts w:hint="eastAsia"/>
              </w:rPr>
              <w:t>540m</w:t>
            </w:r>
            <w:r>
              <w:rPr>
                <w:rFonts w:hint="eastAsia"/>
                <w:vertAlign w:val="superscript"/>
              </w:rPr>
              <w:t>2</w:t>
            </w:r>
            <w:r>
              <w:rPr>
                <w:rFonts w:hint="eastAsia"/>
              </w:rPr>
              <w:t>，</w:t>
            </w:r>
            <w:r>
              <w:t>混砖、</w:t>
            </w:r>
            <w:r>
              <w:rPr>
                <w:rFonts w:hint="eastAsia"/>
              </w:rPr>
              <w:t>3</w:t>
            </w:r>
            <w:r>
              <w:t>层</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restart"/>
            <w:vAlign w:val="center"/>
          </w:tcPr>
          <w:p>
            <w:pPr>
              <w:pStyle w:val="49"/>
            </w:pPr>
            <w:r>
              <w:t>环保</w:t>
            </w:r>
          </w:p>
          <w:p>
            <w:pPr>
              <w:pStyle w:val="49"/>
            </w:pPr>
            <w:r>
              <w:t>工程</w:t>
            </w:r>
          </w:p>
        </w:tc>
        <w:tc>
          <w:tcPr>
            <w:tcW w:w="972" w:type="pct"/>
            <w:vAlign w:val="center"/>
          </w:tcPr>
          <w:p>
            <w:pPr>
              <w:pStyle w:val="49"/>
            </w:pPr>
            <w:r>
              <w:rPr>
                <w:rFonts w:hint="eastAsia"/>
              </w:rPr>
              <w:t>三级沉淀池</w:t>
            </w:r>
          </w:p>
        </w:tc>
        <w:tc>
          <w:tcPr>
            <w:tcW w:w="2197" w:type="pct"/>
            <w:vAlign w:val="center"/>
          </w:tcPr>
          <w:p>
            <w:pPr>
              <w:pStyle w:val="49"/>
            </w:pPr>
            <w:r>
              <w:rPr>
                <w:rFonts w:hint="eastAsia"/>
              </w:rPr>
              <w:t>沉淀池计3个，每个500m</w:t>
            </w:r>
            <w:r>
              <w:rPr>
                <w:rFonts w:hint="eastAsia"/>
                <w:vertAlign w:val="superscript"/>
              </w:rPr>
              <w:t>3</w:t>
            </w:r>
          </w:p>
        </w:tc>
        <w:tc>
          <w:tcPr>
            <w:tcW w:w="1078" w:type="pct"/>
            <w:vAlign w:val="center"/>
          </w:tcPr>
          <w:p>
            <w:pPr>
              <w:pStyle w:val="49"/>
            </w:pPr>
            <w:r>
              <w:rPr>
                <w:rFonts w:hint="eastAsia"/>
              </w:rPr>
              <w:t>共计1500m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shd w:val="clear" w:color="auto" w:fill="auto"/>
            <w:vAlign w:val="center"/>
          </w:tcPr>
          <w:p>
            <w:pPr>
              <w:pStyle w:val="49"/>
            </w:pPr>
          </w:p>
        </w:tc>
        <w:tc>
          <w:tcPr>
            <w:tcW w:w="972" w:type="pct"/>
            <w:vAlign w:val="center"/>
          </w:tcPr>
          <w:p>
            <w:pPr>
              <w:pStyle w:val="49"/>
            </w:pPr>
            <w:r>
              <w:rPr>
                <w:rFonts w:hint="eastAsia"/>
              </w:rPr>
              <w:t>干粪池</w:t>
            </w:r>
          </w:p>
        </w:tc>
        <w:tc>
          <w:tcPr>
            <w:tcW w:w="2197" w:type="pct"/>
            <w:vAlign w:val="center"/>
          </w:tcPr>
          <w:p>
            <w:pPr>
              <w:pStyle w:val="49"/>
            </w:pPr>
            <w:r>
              <w:rPr>
                <w:rFonts w:hint="eastAsia"/>
              </w:rPr>
              <w:t>200m</w:t>
            </w:r>
            <w:r>
              <w:rPr>
                <w:rFonts w:hint="eastAsia"/>
                <w:vertAlign w:val="superscript"/>
              </w:rPr>
              <w:t>3</w:t>
            </w:r>
          </w:p>
        </w:tc>
        <w:tc>
          <w:tcPr>
            <w:tcW w:w="1078" w:type="pct"/>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3" w:type="pct"/>
            <w:vMerge w:val="continue"/>
            <w:shd w:val="clear" w:color="auto" w:fill="auto"/>
            <w:vAlign w:val="center"/>
          </w:tcPr>
          <w:p>
            <w:pPr>
              <w:pStyle w:val="49"/>
            </w:pPr>
          </w:p>
        </w:tc>
        <w:tc>
          <w:tcPr>
            <w:tcW w:w="972" w:type="pct"/>
            <w:vAlign w:val="center"/>
          </w:tcPr>
          <w:p>
            <w:pPr>
              <w:pStyle w:val="49"/>
            </w:pPr>
            <w:r>
              <w:rPr>
                <w:rFonts w:hint="eastAsia"/>
              </w:rPr>
              <w:t>沼气池</w:t>
            </w:r>
          </w:p>
        </w:tc>
        <w:tc>
          <w:tcPr>
            <w:tcW w:w="2197" w:type="pct"/>
            <w:vAlign w:val="center"/>
          </w:tcPr>
          <w:p>
            <w:pPr>
              <w:pStyle w:val="49"/>
            </w:pPr>
            <w:r>
              <w:rPr>
                <w:rFonts w:hint="eastAsia"/>
              </w:rPr>
              <w:t>5000m</w:t>
            </w:r>
            <w:r>
              <w:rPr>
                <w:rFonts w:hint="eastAsia"/>
                <w:vertAlign w:val="superscript"/>
              </w:rPr>
              <w:t>3</w:t>
            </w:r>
          </w:p>
        </w:tc>
        <w:tc>
          <w:tcPr>
            <w:tcW w:w="1078" w:type="pct"/>
            <w:vAlign w:val="center"/>
          </w:tcPr>
          <w:p>
            <w:pPr>
              <w:pStyle w:val="49"/>
            </w:pPr>
            <w:r>
              <w:rPr>
                <w:rFonts w:hint="eastAsia"/>
              </w:rPr>
              <w:t>/</w:t>
            </w:r>
          </w:p>
        </w:tc>
      </w:tr>
    </w:tbl>
    <w:p>
      <w:pPr>
        <w:pStyle w:val="3"/>
        <w:ind w:firstLine="0" w:firstLineChars="0"/>
        <w:outlineLvl w:val="2"/>
      </w:pPr>
      <w:r>
        <w:rPr>
          <w:rFonts w:hint="eastAsia"/>
        </w:rPr>
        <w:t xml:space="preserve">3.1.5  </w:t>
      </w:r>
      <w:r>
        <w:rPr>
          <w:rFonts w:hint="eastAsia" w:eastAsia="黑体" w:cstheme="majorBidi"/>
          <w:bCs/>
          <w:szCs w:val="32"/>
        </w:rPr>
        <w:t>总平面布置</w:t>
      </w:r>
    </w:p>
    <w:p>
      <w:pPr>
        <w:pStyle w:val="3"/>
        <w:ind w:firstLine="480"/>
      </w:pPr>
      <w:r>
        <w:rPr>
          <w:rFonts w:hint="eastAsia"/>
        </w:rPr>
        <w:t>现有厂区场地呈长方形，厂区共设有1个入口，位于厂区南侧，紧邻大利村村道，方便人员出入以及货物运输。厂区由西往东依次布有办公楼、分割冷冻车间、屠宰车间、待宰区等，整体位于大利村村道北侧，在办公楼与屠宰车间设置有绿化地，厂区道路及车辆停放区均采用水泥硬化，满足场内调配运输和消防通道。</w:t>
      </w:r>
    </w:p>
    <w:p>
      <w:pPr>
        <w:pStyle w:val="3"/>
        <w:ind w:firstLine="0" w:firstLineChars="0"/>
        <w:outlineLvl w:val="2"/>
      </w:pPr>
      <w:r>
        <w:rPr>
          <w:rFonts w:hint="eastAsia"/>
        </w:rPr>
        <w:t xml:space="preserve">3.1.6  </w:t>
      </w:r>
      <w:r>
        <w:rPr>
          <w:rFonts w:hint="eastAsia" w:eastAsia="黑体" w:cstheme="majorBidi"/>
          <w:bCs/>
          <w:szCs w:val="32"/>
        </w:rPr>
        <w:t>现有生产设备</w:t>
      </w:r>
    </w:p>
    <w:p>
      <w:pPr>
        <w:pStyle w:val="3"/>
        <w:ind w:firstLine="480"/>
        <w:rPr>
          <w:rFonts w:hAnsi="宋体"/>
          <w:szCs w:val="24"/>
        </w:rPr>
      </w:pPr>
      <w:r>
        <w:rPr>
          <w:rFonts w:hint="eastAsia" w:hAnsi="宋体"/>
          <w:szCs w:val="24"/>
        </w:rPr>
        <w:t>现有生产设备主要集中于现有厂区肉牛屠宰车间，具体见表</w:t>
      </w:r>
      <w:r>
        <w:rPr>
          <w:rFonts w:hint="eastAsia"/>
          <w:szCs w:val="24"/>
        </w:rPr>
        <w:t>3.1-3</w:t>
      </w:r>
      <w:r>
        <w:rPr>
          <w:rFonts w:hint="eastAsia" w:hAnsi="宋体"/>
          <w:szCs w:val="24"/>
        </w:rPr>
        <w:t>。</w:t>
      </w:r>
    </w:p>
    <w:p>
      <w:pPr>
        <w:pStyle w:val="3"/>
        <w:spacing w:line="240" w:lineRule="auto"/>
        <w:ind w:firstLine="0" w:firstLineChars="0"/>
        <w:jc w:val="center"/>
        <w:rPr>
          <w:rFonts w:cs="Times New Roman" w:eastAsiaTheme="minorEastAsia"/>
          <w:b/>
        </w:rPr>
      </w:pPr>
      <w:r>
        <w:rPr>
          <w:rFonts w:hint="eastAsia" w:cs="Times New Roman" w:eastAsiaTheme="minorEastAsia"/>
          <w:b/>
        </w:rPr>
        <w:t>表3.1-3  现有主要生产设备一览表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3460"/>
        <w:gridCol w:w="2279"/>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pPr>
            <w:r>
              <w:t>序号</w:t>
            </w:r>
          </w:p>
        </w:tc>
        <w:tc>
          <w:tcPr>
            <w:tcW w:w="1886" w:type="pct"/>
            <w:vAlign w:val="center"/>
          </w:tcPr>
          <w:p>
            <w:pPr>
              <w:pStyle w:val="49"/>
            </w:pPr>
            <w:r>
              <w:t>设备各称</w:t>
            </w:r>
          </w:p>
        </w:tc>
        <w:tc>
          <w:tcPr>
            <w:tcW w:w="1242" w:type="pct"/>
            <w:vAlign w:val="center"/>
          </w:tcPr>
          <w:p>
            <w:pPr>
              <w:pStyle w:val="49"/>
            </w:pPr>
            <w:r>
              <w:t>单位</w:t>
            </w:r>
          </w:p>
        </w:tc>
        <w:tc>
          <w:tcPr>
            <w:tcW w:w="1258" w:type="pct"/>
            <w:vAlign w:val="center"/>
          </w:tcPr>
          <w:p>
            <w:pPr>
              <w:pStyle w:val="49"/>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w:t>
            </w:r>
          </w:p>
        </w:tc>
        <w:tc>
          <w:tcPr>
            <w:tcW w:w="1886" w:type="pct"/>
            <w:vAlign w:val="center"/>
          </w:tcPr>
          <w:p>
            <w:pPr>
              <w:pStyle w:val="49"/>
              <w:rPr>
                <w:kern w:val="0"/>
              </w:rPr>
            </w:pPr>
            <w:r>
              <w:rPr>
                <w:kern w:val="0"/>
              </w:rPr>
              <w:t>牵</w:t>
            </w:r>
            <w:r>
              <w:rPr>
                <w:rFonts w:hint="eastAsia"/>
                <w:kern w:val="0"/>
              </w:rPr>
              <w:t>引</w:t>
            </w:r>
            <w:r>
              <w:rPr>
                <w:kern w:val="0"/>
              </w:rPr>
              <w:t>机</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2</w:t>
            </w:r>
          </w:p>
        </w:tc>
        <w:tc>
          <w:tcPr>
            <w:tcW w:w="1886" w:type="pct"/>
            <w:vAlign w:val="center"/>
          </w:tcPr>
          <w:p>
            <w:pPr>
              <w:pStyle w:val="49"/>
              <w:rPr>
                <w:kern w:val="0"/>
              </w:rPr>
            </w:pPr>
            <w:r>
              <w:rPr>
                <w:kern w:val="0"/>
              </w:rPr>
              <w:t>击晕机</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3</w:t>
            </w:r>
          </w:p>
        </w:tc>
        <w:tc>
          <w:tcPr>
            <w:tcW w:w="1886" w:type="pct"/>
            <w:vAlign w:val="center"/>
          </w:tcPr>
          <w:p>
            <w:pPr>
              <w:pStyle w:val="49"/>
              <w:rPr>
                <w:kern w:val="0"/>
              </w:rPr>
            </w:pPr>
            <w:r>
              <w:rPr>
                <w:kern w:val="0"/>
              </w:rPr>
              <w:t>放血提升机</w:t>
            </w:r>
          </w:p>
        </w:tc>
        <w:tc>
          <w:tcPr>
            <w:tcW w:w="1242" w:type="pct"/>
            <w:vAlign w:val="center"/>
          </w:tcPr>
          <w:p>
            <w:pPr>
              <w:pStyle w:val="49"/>
              <w:rPr>
                <w:kern w:val="0"/>
              </w:rPr>
            </w:pPr>
            <w:r>
              <w:rPr>
                <w:kern w:val="0"/>
              </w:rPr>
              <w:t>台</w:t>
            </w:r>
          </w:p>
        </w:tc>
        <w:tc>
          <w:tcPr>
            <w:tcW w:w="1258" w:type="pct"/>
            <w:vAlign w:val="center"/>
          </w:tcPr>
          <w:p>
            <w:pPr>
              <w:pStyle w:val="49"/>
              <w:rPr>
                <w:kern w:val="0"/>
              </w:rPr>
            </w:pPr>
            <w:r>
              <w:rPr>
                <w:rFonts w:hint="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4</w:t>
            </w:r>
          </w:p>
        </w:tc>
        <w:tc>
          <w:tcPr>
            <w:tcW w:w="1886" w:type="pct"/>
            <w:vAlign w:val="center"/>
          </w:tcPr>
          <w:p>
            <w:pPr>
              <w:pStyle w:val="49"/>
              <w:rPr>
                <w:kern w:val="0"/>
              </w:rPr>
            </w:pPr>
            <w:r>
              <w:rPr>
                <w:kern w:val="0"/>
              </w:rPr>
              <w:t>转换平台</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5</w:t>
            </w:r>
          </w:p>
        </w:tc>
        <w:tc>
          <w:tcPr>
            <w:tcW w:w="1886" w:type="pct"/>
            <w:vAlign w:val="center"/>
          </w:tcPr>
          <w:p>
            <w:pPr>
              <w:pStyle w:val="49"/>
              <w:rPr>
                <w:kern w:val="0"/>
              </w:rPr>
            </w:pPr>
            <w:r>
              <w:rPr>
                <w:kern w:val="0"/>
              </w:rPr>
              <w:t>胴体加工输送机</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6</w:t>
            </w:r>
          </w:p>
        </w:tc>
        <w:tc>
          <w:tcPr>
            <w:tcW w:w="1886" w:type="pct"/>
            <w:vAlign w:val="center"/>
          </w:tcPr>
          <w:p>
            <w:pPr>
              <w:pStyle w:val="49"/>
              <w:rPr>
                <w:kern w:val="0"/>
              </w:rPr>
            </w:pPr>
            <w:r>
              <w:rPr>
                <w:kern w:val="0"/>
              </w:rPr>
              <w:t>固定式工作平台</w:t>
            </w:r>
          </w:p>
        </w:tc>
        <w:tc>
          <w:tcPr>
            <w:tcW w:w="1242" w:type="pct"/>
            <w:vAlign w:val="center"/>
          </w:tcPr>
          <w:p>
            <w:pPr>
              <w:pStyle w:val="49"/>
              <w:rPr>
                <w:kern w:val="0"/>
              </w:rPr>
            </w:pPr>
            <w:r>
              <w:rPr>
                <w:kern w:val="0"/>
              </w:rPr>
              <w:t>台</w:t>
            </w:r>
          </w:p>
        </w:tc>
        <w:tc>
          <w:tcPr>
            <w:tcW w:w="1258" w:type="pct"/>
            <w:vAlign w:val="center"/>
          </w:tcPr>
          <w:p>
            <w:pPr>
              <w:pStyle w:val="49"/>
              <w:rPr>
                <w:kern w:val="0"/>
              </w:rPr>
            </w:pPr>
            <w:r>
              <w:rPr>
                <w:rFonts w:hint="eastAsia"/>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7</w:t>
            </w:r>
          </w:p>
        </w:tc>
        <w:tc>
          <w:tcPr>
            <w:tcW w:w="1886" w:type="pct"/>
            <w:vAlign w:val="center"/>
          </w:tcPr>
          <w:p>
            <w:pPr>
              <w:pStyle w:val="49"/>
              <w:rPr>
                <w:kern w:val="0"/>
              </w:rPr>
            </w:pPr>
            <w:r>
              <w:rPr>
                <w:kern w:val="0"/>
              </w:rPr>
              <w:t>自动分装电子秤</w:t>
            </w:r>
          </w:p>
        </w:tc>
        <w:tc>
          <w:tcPr>
            <w:tcW w:w="1242" w:type="pct"/>
            <w:vAlign w:val="center"/>
          </w:tcPr>
          <w:p>
            <w:pPr>
              <w:pStyle w:val="49"/>
              <w:rPr>
                <w:kern w:val="0"/>
              </w:rPr>
            </w:pPr>
            <w:r>
              <w:rPr>
                <w:kern w:val="0"/>
              </w:rPr>
              <w:t>台</w:t>
            </w:r>
          </w:p>
        </w:tc>
        <w:tc>
          <w:tcPr>
            <w:tcW w:w="1258" w:type="pct"/>
            <w:vAlign w:val="center"/>
          </w:tcPr>
          <w:p>
            <w:pPr>
              <w:pStyle w:val="49"/>
              <w:rPr>
                <w:kern w:val="0"/>
              </w:rPr>
            </w:pPr>
            <w:r>
              <w:rPr>
                <w:rFonts w:hint="eastAsia"/>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8</w:t>
            </w:r>
          </w:p>
        </w:tc>
        <w:tc>
          <w:tcPr>
            <w:tcW w:w="1886" w:type="pct"/>
            <w:vAlign w:val="center"/>
          </w:tcPr>
          <w:p>
            <w:pPr>
              <w:pStyle w:val="49"/>
              <w:rPr>
                <w:kern w:val="0"/>
              </w:rPr>
            </w:pPr>
            <w:r>
              <w:rPr>
                <w:rFonts w:hint="eastAsia"/>
                <w:kern w:val="0"/>
              </w:rPr>
              <w:t>酮体输送线</w:t>
            </w:r>
          </w:p>
        </w:tc>
        <w:tc>
          <w:tcPr>
            <w:tcW w:w="1242" w:type="pct"/>
            <w:vAlign w:val="center"/>
          </w:tcPr>
          <w:p>
            <w:pPr>
              <w:pStyle w:val="49"/>
              <w:rPr>
                <w:kern w:val="0"/>
              </w:rPr>
            </w:pPr>
            <w:r>
              <w:rPr>
                <w:rFonts w:hint="eastAsia"/>
                <w:kern w:val="0"/>
              </w:rPr>
              <w:t>条</w:t>
            </w:r>
          </w:p>
        </w:tc>
        <w:tc>
          <w:tcPr>
            <w:tcW w:w="1258" w:type="pct"/>
            <w:vAlign w:val="center"/>
          </w:tcPr>
          <w:p>
            <w:pPr>
              <w:pStyle w:val="49"/>
              <w:rPr>
                <w:kern w:val="0"/>
              </w:rPr>
            </w:pPr>
            <w:r>
              <w:rPr>
                <w:rFonts w:hint="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9</w:t>
            </w:r>
          </w:p>
        </w:tc>
        <w:tc>
          <w:tcPr>
            <w:tcW w:w="1886" w:type="pct"/>
            <w:vAlign w:val="center"/>
          </w:tcPr>
          <w:p>
            <w:pPr>
              <w:pStyle w:val="49"/>
              <w:rPr>
                <w:kern w:val="0"/>
              </w:rPr>
            </w:pPr>
            <w:r>
              <w:rPr>
                <w:kern w:val="0"/>
              </w:rPr>
              <w:t>开胸锯骨</w:t>
            </w:r>
            <w:r>
              <w:rPr>
                <w:rFonts w:hint="eastAsia"/>
                <w:kern w:val="0"/>
              </w:rPr>
              <w:t>机</w:t>
            </w:r>
          </w:p>
        </w:tc>
        <w:tc>
          <w:tcPr>
            <w:tcW w:w="1242" w:type="pct"/>
            <w:vAlign w:val="center"/>
          </w:tcPr>
          <w:p>
            <w:pPr>
              <w:pStyle w:val="49"/>
              <w:rPr>
                <w:kern w:val="0"/>
              </w:rPr>
            </w:pPr>
            <w:r>
              <w:rPr>
                <w:kern w:val="0"/>
              </w:rPr>
              <w:t>台</w:t>
            </w:r>
          </w:p>
        </w:tc>
        <w:tc>
          <w:tcPr>
            <w:tcW w:w="1258" w:type="pct"/>
            <w:vAlign w:val="center"/>
          </w:tcPr>
          <w:p>
            <w:pPr>
              <w:pStyle w:val="49"/>
              <w:rPr>
                <w:kern w:val="0"/>
              </w:rPr>
            </w:pPr>
            <w:r>
              <w:rPr>
                <w:rFonts w:hint="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10</w:t>
            </w:r>
          </w:p>
        </w:tc>
        <w:tc>
          <w:tcPr>
            <w:tcW w:w="1886" w:type="pct"/>
            <w:vAlign w:val="center"/>
          </w:tcPr>
          <w:p>
            <w:pPr>
              <w:pStyle w:val="49"/>
              <w:rPr>
                <w:kern w:val="0"/>
              </w:rPr>
            </w:pPr>
            <w:r>
              <w:rPr>
                <w:kern w:val="0"/>
              </w:rPr>
              <w:t>带式劈半锯</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11</w:t>
            </w:r>
          </w:p>
        </w:tc>
        <w:tc>
          <w:tcPr>
            <w:tcW w:w="1886" w:type="pct"/>
            <w:vAlign w:val="center"/>
          </w:tcPr>
          <w:p>
            <w:pPr>
              <w:pStyle w:val="49"/>
              <w:rPr>
                <w:kern w:val="0"/>
              </w:rPr>
            </w:pPr>
            <w:r>
              <w:rPr>
                <w:kern w:val="0"/>
              </w:rPr>
              <w:t>食管结扎器</w:t>
            </w:r>
          </w:p>
        </w:tc>
        <w:tc>
          <w:tcPr>
            <w:tcW w:w="1242" w:type="pct"/>
            <w:vAlign w:val="center"/>
          </w:tcPr>
          <w:p>
            <w:pPr>
              <w:pStyle w:val="49"/>
              <w:rPr>
                <w:kern w:val="0"/>
              </w:rPr>
            </w:pPr>
            <w:r>
              <w:rPr>
                <w:kern w:val="0"/>
              </w:rPr>
              <w:t>台</w:t>
            </w:r>
          </w:p>
        </w:tc>
        <w:tc>
          <w:tcPr>
            <w:tcW w:w="1258" w:type="pct"/>
            <w:vAlign w:val="center"/>
          </w:tcPr>
          <w:p>
            <w:pPr>
              <w:pStyle w:val="49"/>
              <w:rPr>
                <w:kern w:val="0"/>
              </w:rPr>
            </w:pPr>
            <w:r>
              <w:rPr>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12</w:t>
            </w:r>
          </w:p>
        </w:tc>
        <w:tc>
          <w:tcPr>
            <w:tcW w:w="1886" w:type="pct"/>
            <w:vAlign w:val="center"/>
          </w:tcPr>
          <w:p>
            <w:pPr>
              <w:pStyle w:val="49"/>
              <w:rPr>
                <w:kern w:val="0"/>
              </w:rPr>
            </w:pPr>
            <w:r>
              <w:rPr>
                <w:rFonts w:hint="eastAsia"/>
                <w:kern w:val="0"/>
              </w:rPr>
              <w:t>血罐</w:t>
            </w:r>
          </w:p>
        </w:tc>
        <w:tc>
          <w:tcPr>
            <w:tcW w:w="1242" w:type="pct"/>
            <w:vAlign w:val="center"/>
          </w:tcPr>
          <w:p>
            <w:pPr>
              <w:pStyle w:val="49"/>
              <w:rPr>
                <w:kern w:val="0"/>
              </w:rPr>
            </w:pPr>
            <w:r>
              <w:rPr>
                <w:rFonts w:hint="eastAsia"/>
                <w:kern w:val="0"/>
              </w:rPr>
              <w:t>台</w:t>
            </w:r>
          </w:p>
        </w:tc>
        <w:tc>
          <w:tcPr>
            <w:tcW w:w="1258" w:type="pct"/>
            <w:vAlign w:val="center"/>
          </w:tcPr>
          <w:p>
            <w:pPr>
              <w:pStyle w:val="49"/>
              <w:rPr>
                <w:kern w:val="0"/>
              </w:rPr>
            </w:pPr>
            <w:r>
              <w:rPr>
                <w:rFonts w:hint="eastAsia"/>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13</w:t>
            </w:r>
          </w:p>
        </w:tc>
        <w:tc>
          <w:tcPr>
            <w:tcW w:w="1886" w:type="pct"/>
            <w:vAlign w:val="center"/>
          </w:tcPr>
          <w:p>
            <w:pPr>
              <w:pStyle w:val="49"/>
              <w:rPr>
                <w:kern w:val="0"/>
              </w:rPr>
            </w:pPr>
            <w:r>
              <w:rPr>
                <w:rFonts w:hint="eastAsia"/>
                <w:kern w:val="0"/>
              </w:rPr>
              <w:t>滑轮吊钩</w:t>
            </w:r>
          </w:p>
        </w:tc>
        <w:tc>
          <w:tcPr>
            <w:tcW w:w="1242" w:type="pct"/>
            <w:vAlign w:val="center"/>
          </w:tcPr>
          <w:p>
            <w:pPr>
              <w:pStyle w:val="49"/>
              <w:rPr>
                <w:kern w:val="0"/>
              </w:rPr>
            </w:pPr>
            <w:r>
              <w:rPr>
                <w:rFonts w:hint="eastAsia"/>
                <w:kern w:val="0"/>
              </w:rPr>
              <w:t>个</w:t>
            </w:r>
          </w:p>
        </w:tc>
        <w:tc>
          <w:tcPr>
            <w:tcW w:w="1258" w:type="pct"/>
            <w:vAlign w:val="center"/>
          </w:tcPr>
          <w:p>
            <w:pPr>
              <w:pStyle w:val="49"/>
              <w:rPr>
                <w:kern w:val="0"/>
              </w:rPr>
            </w:pPr>
            <w:r>
              <w:rPr>
                <w:rFonts w:hint="eastAsia"/>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14</w:t>
            </w:r>
          </w:p>
        </w:tc>
        <w:tc>
          <w:tcPr>
            <w:tcW w:w="1886" w:type="pct"/>
            <w:vAlign w:val="center"/>
          </w:tcPr>
          <w:p>
            <w:pPr>
              <w:pStyle w:val="49"/>
              <w:rPr>
                <w:kern w:val="0"/>
              </w:rPr>
            </w:pPr>
            <w:r>
              <w:rPr>
                <w:rFonts w:hint="eastAsia"/>
                <w:kern w:val="0"/>
              </w:rPr>
              <w:t>剥皮机</w:t>
            </w:r>
          </w:p>
        </w:tc>
        <w:tc>
          <w:tcPr>
            <w:tcW w:w="1242" w:type="pct"/>
            <w:vAlign w:val="center"/>
          </w:tcPr>
          <w:p>
            <w:pPr>
              <w:pStyle w:val="49"/>
              <w:rPr>
                <w:kern w:val="0"/>
              </w:rPr>
            </w:pPr>
            <w:r>
              <w:rPr>
                <w:rFonts w:hint="eastAsia"/>
                <w:kern w:val="0"/>
              </w:rPr>
              <w:t>台</w:t>
            </w:r>
          </w:p>
        </w:tc>
        <w:tc>
          <w:tcPr>
            <w:tcW w:w="1258" w:type="pct"/>
            <w:vAlign w:val="center"/>
          </w:tcPr>
          <w:p>
            <w:pPr>
              <w:pStyle w:val="49"/>
              <w:rPr>
                <w:kern w:val="0"/>
              </w:rPr>
            </w:pPr>
            <w:r>
              <w:rPr>
                <w:rFonts w:hint="eastAsia"/>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15</w:t>
            </w:r>
          </w:p>
        </w:tc>
        <w:tc>
          <w:tcPr>
            <w:tcW w:w="1886" w:type="pct"/>
            <w:vAlign w:val="center"/>
          </w:tcPr>
          <w:p>
            <w:pPr>
              <w:pStyle w:val="49"/>
              <w:rPr>
                <w:kern w:val="0"/>
              </w:rPr>
            </w:pPr>
            <w:r>
              <w:rPr>
                <w:rFonts w:hint="eastAsia"/>
                <w:kern w:val="0"/>
              </w:rPr>
              <w:t>高压清洗机</w:t>
            </w:r>
          </w:p>
        </w:tc>
        <w:tc>
          <w:tcPr>
            <w:tcW w:w="1242" w:type="pct"/>
            <w:vAlign w:val="center"/>
          </w:tcPr>
          <w:p>
            <w:pPr>
              <w:pStyle w:val="49"/>
              <w:rPr>
                <w:kern w:val="0"/>
              </w:rPr>
            </w:pPr>
            <w:r>
              <w:rPr>
                <w:rFonts w:hint="eastAsia"/>
                <w:kern w:val="0"/>
              </w:rPr>
              <w:t>台</w:t>
            </w:r>
          </w:p>
        </w:tc>
        <w:tc>
          <w:tcPr>
            <w:tcW w:w="1258" w:type="pct"/>
            <w:vAlign w:val="center"/>
          </w:tcPr>
          <w:p>
            <w:pPr>
              <w:pStyle w:val="49"/>
              <w:rPr>
                <w:kern w:val="0"/>
              </w:rPr>
            </w:pPr>
            <w:r>
              <w:rPr>
                <w:rFonts w:hint="eastAsia"/>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pPr>
              <w:pStyle w:val="49"/>
              <w:rPr>
                <w:kern w:val="0"/>
              </w:rPr>
            </w:pPr>
            <w:r>
              <w:rPr>
                <w:rFonts w:hint="eastAsia"/>
                <w:kern w:val="0"/>
              </w:rPr>
              <w:t>16</w:t>
            </w:r>
          </w:p>
        </w:tc>
        <w:tc>
          <w:tcPr>
            <w:tcW w:w="1886" w:type="pct"/>
            <w:vAlign w:val="center"/>
          </w:tcPr>
          <w:p>
            <w:pPr>
              <w:pStyle w:val="49"/>
              <w:rPr>
                <w:kern w:val="0"/>
              </w:rPr>
            </w:pPr>
            <w:r>
              <w:rPr>
                <w:rFonts w:hint="eastAsia"/>
                <w:kern w:val="0"/>
              </w:rPr>
              <w:t>电锅炉</w:t>
            </w:r>
          </w:p>
        </w:tc>
        <w:tc>
          <w:tcPr>
            <w:tcW w:w="1242" w:type="pct"/>
            <w:vAlign w:val="center"/>
          </w:tcPr>
          <w:p>
            <w:pPr>
              <w:pStyle w:val="49"/>
              <w:rPr>
                <w:kern w:val="0"/>
              </w:rPr>
            </w:pPr>
            <w:r>
              <w:rPr>
                <w:rFonts w:hint="eastAsia"/>
                <w:kern w:val="0"/>
              </w:rPr>
              <w:t>台</w:t>
            </w:r>
          </w:p>
        </w:tc>
        <w:tc>
          <w:tcPr>
            <w:tcW w:w="1258" w:type="pct"/>
            <w:vAlign w:val="center"/>
          </w:tcPr>
          <w:p>
            <w:pPr>
              <w:pStyle w:val="49"/>
              <w:rPr>
                <w:kern w:val="0"/>
              </w:rPr>
            </w:pPr>
            <w:r>
              <w:rPr>
                <w:rFonts w:hint="eastAsia"/>
                <w:kern w:val="0"/>
              </w:rPr>
              <w:t>1</w:t>
            </w:r>
          </w:p>
        </w:tc>
      </w:tr>
    </w:tbl>
    <w:p>
      <w:pPr>
        <w:pStyle w:val="3"/>
        <w:ind w:firstLine="0" w:firstLineChars="0"/>
        <w:outlineLvl w:val="2"/>
      </w:pPr>
      <w:r>
        <w:rPr>
          <w:rFonts w:hint="eastAsia"/>
        </w:rPr>
        <w:t xml:space="preserve">3.1.7  </w:t>
      </w:r>
      <w:r>
        <w:rPr>
          <w:rFonts w:hint="eastAsia" w:eastAsia="黑体" w:cstheme="majorBidi"/>
          <w:bCs/>
          <w:szCs w:val="32"/>
        </w:rPr>
        <w:t>主要原辅材料消耗</w:t>
      </w:r>
    </w:p>
    <w:p>
      <w:pPr>
        <w:pStyle w:val="3"/>
        <w:ind w:firstLine="480"/>
        <w:rPr>
          <w:rFonts w:hAnsi="宋体"/>
          <w:szCs w:val="24"/>
        </w:rPr>
      </w:pPr>
      <w:r>
        <w:rPr>
          <w:rFonts w:hint="eastAsia"/>
        </w:rPr>
        <w:t>现有工程</w:t>
      </w:r>
      <w:r>
        <w:rPr>
          <w:rFonts w:hint="eastAsia" w:hAnsi="宋体"/>
          <w:szCs w:val="24"/>
        </w:rPr>
        <w:t>原材料主要为肉牛。</w:t>
      </w:r>
    </w:p>
    <w:p>
      <w:pPr>
        <w:pStyle w:val="3"/>
        <w:spacing w:line="240" w:lineRule="auto"/>
        <w:ind w:firstLine="0" w:firstLineChars="0"/>
        <w:jc w:val="center"/>
      </w:pPr>
      <w:r>
        <w:rPr>
          <w:rFonts w:hint="eastAsia" w:cs="Times New Roman" w:eastAsiaTheme="minorEastAsia"/>
          <w:b/>
        </w:rPr>
        <w:t>表3.1-4  项目原辅材料消耗一览表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59"/>
        <w:gridCol w:w="1844"/>
        <w:gridCol w:w="4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pct"/>
            <w:shd w:val="clear" w:color="auto" w:fill="auto"/>
            <w:vAlign w:val="center"/>
          </w:tcPr>
          <w:p>
            <w:pPr>
              <w:pStyle w:val="49"/>
            </w:pPr>
            <w:r>
              <w:rPr>
                <w:rFonts w:hint="eastAsia"/>
              </w:rPr>
              <w:t>序号</w:t>
            </w:r>
          </w:p>
        </w:tc>
        <w:tc>
          <w:tcPr>
            <w:tcW w:w="850" w:type="pct"/>
            <w:shd w:val="clear" w:color="auto" w:fill="auto"/>
            <w:vAlign w:val="center"/>
          </w:tcPr>
          <w:p>
            <w:pPr>
              <w:pStyle w:val="49"/>
            </w:pPr>
            <w:r>
              <w:rPr>
                <w:rFonts w:hint="eastAsia"/>
              </w:rPr>
              <w:t>名称</w:t>
            </w:r>
          </w:p>
        </w:tc>
        <w:tc>
          <w:tcPr>
            <w:tcW w:w="1005" w:type="pct"/>
            <w:shd w:val="clear" w:color="auto" w:fill="auto"/>
            <w:vAlign w:val="center"/>
          </w:tcPr>
          <w:p>
            <w:pPr>
              <w:pStyle w:val="49"/>
            </w:pPr>
            <w:r>
              <w:rPr>
                <w:rFonts w:hint="eastAsia"/>
              </w:rPr>
              <w:t>年耗用量</w:t>
            </w:r>
          </w:p>
        </w:tc>
        <w:tc>
          <w:tcPr>
            <w:tcW w:w="2545" w:type="pct"/>
            <w:shd w:val="clear" w:color="auto" w:fill="auto"/>
            <w:vAlign w:val="center"/>
          </w:tcPr>
          <w:p>
            <w:pPr>
              <w:pStyle w:val="49"/>
            </w:pPr>
            <w:r>
              <w:rPr>
                <w:rFonts w:hint="eastAsi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pct"/>
            <w:shd w:val="clear" w:color="auto" w:fill="auto"/>
            <w:vAlign w:val="center"/>
          </w:tcPr>
          <w:p>
            <w:pPr>
              <w:pStyle w:val="49"/>
            </w:pPr>
            <w:r>
              <w:rPr>
                <w:rFonts w:hint="eastAsia"/>
              </w:rPr>
              <w:t>1</w:t>
            </w:r>
          </w:p>
        </w:tc>
        <w:tc>
          <w:tcPr>
            <w:tcW w:w="850" w:type="pct"/>
            <w:shd w:val="clear" w:color="auto" w:fill="auto"/>
            <w:vAlign w:val="center"/>
          </w:tcPr>
          <w:p>
            <w:pPr>
              <w:pStyle w:val="49"/>
            </w:pPr>
            <w:r>
              <w:rPr>
                <w:rFonts w:hint="eastAsia"/>
              </w:rPr>
              <w:t>牛</w:t>
            </w:r>
          </w:p>
        </w:tc>
        <w:tc>
          <w:tcPr>
            <w:tcW w:w="1005" w:type="pct"/>
            <w:shd w:val="clear" w:color="auto" w:fill="auto"/>
            <w:vAlign w:val="center"/>
          </w:tcPr>
          <w:p>
            <w:pPr>
              <w:pStyle w:val="49"/>
            </w:pPr>
            <w:r>
              <w:rPr>
                <w:rFonts w:hint="eastAsia"/>
              </w:rPr>
              <w:t>2000头</w:t>
            </w:r>
          </w:p>
        </w:tc>
        <w:tc>
          <w:tcPr>
            <w:tcW w:w="2545" w:type="pct"/>
            <w:shd w:val="clear" w:color="auto" w:fill="auto"/>
            <w:vAlign w:val="center"/>
          </w:tcPr>
          <w:p>
            <w:pPr>
              <w:pStyle w:val="49"/>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pct"/>
            <w:shd w:val="clear" w:color="auto" w:fill="auto"/>
            <w:vAlign w:val="center"/>
          </w:tcPr>
          <w:p>
            <w:pPr>
              <w:pStyle w:val="49"/>
            </w:pPr>
            <w:r>
              <w:rPr>
                <w:rFonts w:hint="eastAsia"/>
              </w:rPr>
              <w:t>2</w:t>
            </w:r>
          </w:p>
        </w:tc>
        <w:tc>
          <w:tcPr>
            <w:tcW w:w="850" w:type="pct"/>
            <w:shd w:val="clear" w:color="auto" w:fill="auto"/>
            <w:vAlign w:val="center"/>
          </w:tcPr>
          <w:p>
            <w:pPr>
              <w:pStyle w:val="49"/>
            </w:pPr>
            <w:r>
              <w:rPr>
                <w:rFonts w:hint="eastAsia"/>
              </w:rPr>
              <w:t>除臭剂</w:t>
            </w:r>
          </w:p>
        </w:tc>
        <w:tc>
          <w:tcPr>
            <w:tcW w:w="1005" w:type="pct"/>
            <w:shd w:val="clear" w:color="auto" w:fill="auto"/>
            <w:vAlign w:val="center"/>
          </w:tcPr>
          <w:p>
            <w:pPr>
              <w:pStyle w:val="49"/>
            </w:pPr>
            <w:r>
              <w:rPr>
                <w:rFonts w:hint="eastAsia"/>
              </w:rPr>
              <w:t>0.1</w:t>
            </w:r>
          </w:p>
        </w:tc>
        <w:tc>
          <w:tcPr>
            <w:tcW w:w="2545" w:type="pct"/>
            <w:shd w:val="clear" w:color="auto" w:fill="auto"/>
            <w:vAlign w:val="center"/>
          </w:tcPr>
          <w:p>
            <w:pPr>
              <w:pStyle w:val="49"/>
            </w:pPr>
            <w:r>
              <w:rPr>
                <w:rFonts w:hint="eastAsia"/>
              </w:rPr>
              <w:t>外购</w:t>
            </w:r>
          </w:p>
        </w:tc>
      </w:tr>
    </w:tbl>
    <w:p>
      <w:pPr>
        <w:pStyle w:val="3"/>
        <w:ind w:firstLine="0" w:firstLineChars="0"/>
        <w:outlineLvl w:val="2"/>
      </w:pPr>
      <w:r>
        <w:rPr>
          <w:rFonts w:hint="eastAsia"/>
        </w:rPr>
        <w:t xml:space="preserve">3.1.8  </w:t>
      </w:r>
      <w:r>
        <w:rPr>
          <w:rFonts w:hint="eastAsia" w:eastAsia="黑体" w:cstheme="majorBidi"/>
          <w:bCs/>
          <w:szCs w:val="32"/>
        </w:rPr>
        <w:t>给排水</w:t>
      </w:r>
    </w:p>
    <w:p>
      <w:pPr>
        <w:pStyle w:val="3"/>
        <w:ind w:firstLine="480"/>
      </w:pPr>
      <w:r>
        <w:rPr>
          <w:rFonts w:hint="eastAsia"/>
        </w:rPr>
        <w:t>（1）给水</w:t>
      </w:r>
    </w:p>
    <w:p>
      <w:pPr>
        <w:pStyle w:val="3"/>
        <w:ind w:firstLine="480"/>
      </w:pPr>
      <w:r>
        <w:rPr>
          <w:rFonts w:hint="eastAsia"/>
        </w:rPr>
        <w:t>现有工程生产总用水量为2616</w:t>
      </w:r>
      <w:r>
        <w:t>m</w:t>
      </w:r>
      <w:r>
        <w:rPr>
          <w:vertAlign w:val="superscript"/>
        </w:rPr>
        <w:t>3</w:t>
      </w:r>
      <w:r>
        <w:t>/a</w:t>
      </w:r>
      <w:r>
        <w:rPr>
          <w:rFonts w:hint="eastAsia"/>
        </w:rPr>
        <w:t>，采用自备水井供水。</w:t>
      </w:r>
    </w:p>
    <w:p>
      <w:pPr>
        <w:pStyle w:val="3"/>
        <w:ind w:firstLine="480"/>
      </w:pPr>
      <w:r>
        <w:rPr>
          <w:rFonts w:hint="eastAsia"/>
        </w:rPr>
        <w:t>（2）排水</w:t>
      </w:r>
    </w:p>
    <w:p>
      <w:pPr>
        <w:pStyle w:val="3"/>
        <w:ind w:firstLine="480"/>
      </w:pPr>
      <w:r>
        <w:rPr>
          <w:rFonts w:hint="eastAsia"/>
        </w:rPr>
        <w:t>现有工程</w:t>
      </w:r>
      <w:r>
        <w:t>产生的废水主要包括</w:t>
      </w:r>
      <w:r>
        <w:rPr>
          <w:rFonts w:hint="eastAsia"/>
        </w:rPr>
        <w:t>屠宰</w:t>
      </w:r>
      <w:r>
        <w:t>废水</w:t>
      </w:r>
      <w:r>
        <w:rPr>
          <w:rFonts w:hint="eastAsia"/>
        </w:rPr>
        <w:t>、</w:t>
      </w:r>
      <w:r>
        <w:t>生活污水产生系数按0.</w:t>
      </w:r>
      <w:r>
        <w:rPr>
          <w:rFonts w:hint="eastAsia"/>
        </w:rPr>
        <w:t>8</w:t>
      </w:r>
      <w:r>
        <w:t>计，</w:t>
      </w:r>
      <w:r>
        <w:rPr>
          <w:rFonts w:hint="eastAsia"/>
        </w:rPr>
        <w:t>废水总计为2092.8m</w:t>
      </w:r>
      <w:r>
        <w:rPr>
          <w:rFonts w:hint="eastAsia"/>
          <w:vertAlign w:val="superscript"/>
        </w:rPr>
        <w:t>3</w:t>
      </w:r>
      <w:r>
        <w:rPr>
          <w:rFonts w:hint="eastAsia"/>
        </w:rPr>
        <w:t>/a。屠宰废水经三级沉淀池、沼气池</w:t>
      </w:r>
      <w:r>
        <w:t>处理，处理后</w:t>
      </w:r>
      <w:r>
        <w:rPr>
          <w:rFonts w:hint="eastAsia"/>
        </w:rPr>
        <w:t>沼液、沼渣外售至附近生态农业基地灌溉和自建水塘水葫芦养殖；生活污水经隔油池+三级化粪池处理后作为农肥。</w:t>
      </w:r>
    </w:p>
    <w:p>
      <w:pPr>
        <w:pStyle w:val="3"/>
        <w:ind w:firstLine="0" w:firstLineChars="0"/>
        <w:outlineLvl w:val="2"/>
      </w:pPr>
      <w:r>
        <w:rPr>
          <w:rFonts w:hint="eastAsia"/>
        </w:rPr>
        <w:t xml:space="preserve">3.1.9  </w:t>
      </w:r>
      <w:r>
        <w:rPr>
          <w:rFonts w:hint="eastAsia" w:eastAsia="黑体" w:cstheme="majorBidi"/>
          <w:bCs/>
          <w:szCs w:val="32"/>
        </w:rPr>
        <w:t>现有工程生产工艺与产污环节</w:t>
      </w:r>
    </w:p>
    <w:p>
      <w:pPr>
        <w:pStyle w:val="3"/>
        <w:tabs>
          <w:tab w:val="left" w:pos="1680"/>
        </w:tabs>
        <w:ind w:firstLine="480"/>
      </w:pPr>
      <w:r>
        <w:rPr>
          <w:rFonts w:hint="eastAsia"/>
        </w:rPr>
        <w:t>工程现有肉牛屠宰的生产工艺流程如下，具体流程及产排污节点见图3.1-1。</w:t>
      </w:r>
    </w:p>
    <w:p>
      <w:pPr>
        <w:pStyle w:val="3"/>
        <w:tabs>
          <w:tab w:val="left" w:pos="1680"/>
        </w:tabs>
        <w:ind w:firstLine="480"/>
        <w:jc w:val="center"/>
      </w:pPr>
      <w:r>
        <w:drawing>
          <wp:inline distT="0" distB="0" distL="0" distR="0">
            <wp:extent cx="4772025" cy="6400800"/>
            <wp:effectExtent l="19050" t="19050" r="28575"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772025" cy="6400800"/>
                    </a:xfrm>
                    <a:prstGeom prst="rect">
                      <a:avLst/>
                    </a:prstGeom>
                    <a:ln>
                      <a:solidFill>
                        <a:schemeClr val="tx1"/>
                      </a:solidFill>
                    </a:ln>
                  </pic:spPr>
                </pic:pic>
              </a:graphicData>
            </a:graphic>
          </wp:inline>
        </w:drawing>
      </w:r>
    </w:p>
    <w:p>
      <w:pPr>
        <w:pStyle w:val="3"/>
        <w:spacing w:line="240" w:lineRule="auto"/>
        <w:ind w:firstLine="0" w:firstLineChars="0"/>
        <w:jc w:val="center"/>
        <w:rPr>
          <w:rFonts w:cs="Times New Roman" w:eastAsiaTheme="minorEastAsia"/>
          <w:b/>
        </w:rPr>
      </w:pPr>
      <w:r>
        <w:rPr>
          <w:rFonts w:hint="eastAsia" w:cs="Times New Roman" w:eastAsiaTheme="minorEastAsia"/>
          <w:b/>
        </w:rPr>
        <w:t>图 3.1-1  肉牛屠宰工艺与产污流程</w:t>
      </w:r>
    </w:p>
    <w:p>
      <w:pPr>
        <w:pStyle w:val="3"/>
        <w:ind w:firstLine="480"/>
      </w:pPr>
      <w:r>
        <w:rPr>
          <w:rFonts w:hint="eastAsia"/>
        </w:rPr>
        <w:t>生产工艺说明</w:t>
      </w:r>
    </w:p>
    <w:p>
      <w:pPr>
        <w:pStyle w:val="3"/>
        <w:ind w:firstLine="480"/>
      </w:pPr>
      <w:r>
        <w:t>（1）</w:t>
      </w:r>
      <w:r>
        <w:rPr>
          <w:rFonts w:hint="eastAsia"/>
        </w:rPr>
        <w:t>肉牛</w:t>
      </w:r>
      <w:r>
        <w:t>入厂</w:t>
      </w:r>
    </w:p>
    <w:p>
      <w:pPr>
        <w:pStyle w:val="3"/>
        <w:ind w:firstLine="480"/>
      </w:pPr>
      <w:r>
        <w:t>项目收购</w:t>
      </w:r>
      <w:r>
        <w:rPr>
          <w:rFonts w:hint="eastAsia"/>
        </w:rPr>
        <w:t>肉牛</w:t>
      </w:r>
      <w:r>
        <w:t>由车辆运输进厂。</w:t>
      </w:r>
      <w:r>
        <w:rPr>
          <w:rFonts w:hint="eastAsia"/>
        </w:rPr>
        <w:t>肉牛</w:t>
      </w:r>
      <w:r>
        <w:t>入厂后不进行喂食，并保证及时进行事杀，</w:t>
      </w:r>
      <w:r>
        <w:rPr>
          <w:rFonts w:hint="eastAsia"/>
        </w:rPr>
        <w:t>肉牛</w:t>
      </w:r>
      <w:r>
        <w:t>在厂内停留时间不超过24小时。</w:t>
      </w:r>
    </w:p>
    <w:p>
      <w:pPr>
        <w:pStyle w:val="3"/>
        <w:ind w:firstLine="480"/>
      </w:pPr>
      <w:r>
        <w:t>（2）检疫</w:t>
      </w:r>
    </w:p>
    <w:p>
      <w:pPr>
        <w:pStyle w:val="3"/>
        <w:ind w:firstLine="480"/>
      </w:pPr>
      <w:r>
        <w:rPr>
          <w:rFonts w:hint="eastAsia"/>
        </w:rPr>
        <w:t>肉牛</w:t>
      </w:r>
      <w:r>
        <w:t>进厂需进行宰前检疫，其目的在于控制各种疫病的传入和扩散，减少污染，维护产品质量。宰前检疫主要包括进厂检疫、候宰检查及宰前检疫。</w:t>
      </w:r>
    </w:p>
    <w:p>
      <w:pPr>
        <w:pStyle w:val="3"/>
        <w:ind w:firstLine="480"/>
      </w:pPr>
      <w:r>
        <w:t>进厂检疫是指在未卸车之前，由检疫员对运进</w:t>
      </w:r>
      <w:r>
        <w:rPr>
          <w:rFonts w:hint="eastAsia"/>
        </w:rPr>
        <w:t>肉牛</w:t>
      </w:r>
      <w:r>
        <w:t>进行检疫，直到认为没有可疑疫情时允许卸下。在</w:t>
      </w:r>
      <w:r>
        <w:rPr>
          <w:rFonts w:hint="eastAsia"/>
        </w:rPr>
        <w:t>肉牛</w:t>
      </w:r>
      <w:r>
        <w:t>卸下入待宰圈候宰时随时观察牲畜健康状态，对可疑</w:t>
      </w:r>
      <w:r>
        <w:rPr>
          <w:rFonts w:hint="eastAsia"/>
        </w:rPr>
        <w:t>肉牛</w:t>
      </w:r>
      <w:r>
        <w:t>应做进一步诊断，当确诊疫病时，及时封锁，上报疫情。同时立即采取措施，由厂区内专业人员处理，确保人畜的安全。评价要求病</w:t>
      </w:r>
      <w:r>
        <w:rPr>
          <w:rFonts w:hint="eastAsia"/>
        </w:rPr>
        <w:t>肉牛</w:t>
      </w:r>
      <w:r>
        <w:t>作无害化处理。</w:t>
      </w:r>
    </w:p>
    <w:p>
      <w:pPr>
        <w:pStyle w:val="3"/>
        <w:ind w:firstLine="480"/>
      </w:pPr>
      <w:r>
        <w:t>宰前检疫是临宰前对</w:t>
      </w:r>
      <w:r>
        <w:rPr>
          <w:rFonts w:hint="eastAsia"/>
        </w:rPr>
        <w:t>肉牛</w:t>
      </w:r>
      <w:r>
        <w:t>进行再一次普查，确保其健康，是避免屠宰过程中病牛与健康牛相互污染，保证产品质量的有效措施。</w:t>
      </w:r>
    </w:p>
    <w:p>
      <w:pPr>
        <w:pStyle w:val="3"/>
        <w:ind w:firstLine="480"/>
      </w:pPr>
      <w:r>
        <w:t>（3）喷淋消毒</w:t>
      </w:r>
    </w:p>
    <w:p>
      <w:pPr>
        <w:pStyle w:val="3"/>
        <w:ind w:firstLine="480"/>
      </w:pPr>
      <w:r>
        <w:t>对检疫合格的</w:t>
      </w:r>
      <w:r>
        <w:rPr>
          <w:rFonts w:hint="eastAsia"/>
        </w:rPr>
        <w:t>肉牛</w:t>
      </w:r>
      <w:r>
        <w:t>进行喷淋消毒。检疫合格之后由人沿着指定的通道将</w:t>
      </w:r>
      <w:r>
        <w:rPr>
          <w:rFonts w:hint="eastAsia"/>
        </w:rPr>
        <w:t>肉牛</w:t>
      </w:r>
      <w:r>
        <w:t>牵到消毒池。用消毒液进行喷淋，清洗全身，以减少屠宰过程中</w:t>
      </w:r>
      <w:r>
        <w:rPr>
          <w:rFonts w:hint="eastAsia"/>
        </w:rPr>
        <w:t>肉牛</w:t>
      </w:r>
      <w:r>
        <w:t>身上的附着物对</w:t>
      </w:r>
      <w:r>
        <w:rPr>
          <w:rFonts w:hint="eastAsia"/>
        </w:rPr>
        <w:t>肉牛</w:t>
      </w:r>
      <w:r>
        <w:t>体的污染。</w:t>
      </w:r>
    </w:p>
    <w:p>
      <w:pPr>
        <w:pStyle w:val="3"/>
        <w:ind w:firstLine="480"/>
      </w:pPr>
      <w:r>
        <w:t>（4）待宰</w:t>
      </w:r>
    </w:p>
    <w:p>
      <w:pPr>
        <w:pStyle w:val="3"/>
        <w:ind w:firstLine="480"/>
      </w:pPr>
      <w:r>
        <w:t>经喷淋消毒后的</w:t>
      </w:r>
      <w:r>
        <w:rPr>
          <w:rFonts w:hint="eastAsia"/>
        </w:rPr>
        <w:t>肉牛</w:t>
      </w:r>
      <w:r>
        <w:t>宰车间内设置的屠宰点待宰。</w:t>
      </w:r>
    </w:p>
    <w:p>
      <w:pPr>
        <w:pStyle w:val="3"/>
        <w:ind w:firstLine="480"/>
      </w:pPr>
      <w:r>
        <w:t>（5）电击至晕</w:t>
      </w:r>
    </w:p>
    <w:p>
      <w:pPr>
        <w:pStyle w:val="3"/>
        <w:ind w:firstLine="480"/>
      </w:pPr>
      <w:r>
        <w:t>在90V左右的电压下对</w:t>
      </w:r>
      <w:r>
        <w:rPr>
          <w:rFonts w:hint="eastAsia"/>
        </w:rPr>
        <w:t>肉牛</w:t>
      </w:r>
      <w:r>
        <w:t>约5-10s的电击，将其击晕。</w:t>
      </w:r>
    </w:p>
    <w:p>
      <w:pPr>
        <w:pStyle w:val="3"/>
        <w:ind w:firstLine="480"/>
      </w:pPr>
      <w:r>
        <w:t>（6）宰杀放血</w:t>
      </w:r>
    </w:p>
    <w:p>
      <w:pPr>
        <w:pStyle w:val="3"/>
        <w:ind w:firstLine="480"/>
      </w:pPr>
      <w:r>
        <w:t>本项目从</w:t>
      </w:r>
      <w:r>
        <w:rPr>
          <w:rFonts w:hint="eastAsia"/>
        </w:rPr>
        <w:t>肉牛</w:t>
      </w:r>
      <w:r>
        <w:t>喉部下刀割断食管、气管和血管进行放血，放血时间约为10分钟，同时收集牛血外售。再进入低压电刺激系统接受脉冲电压刺激，电压为25-80V，用以放松肌肉，加速肉排酸过程，提高肉嫩度。</w:t>
      </w:r>
    </w:p>
    <w:p>
      <w:pPr>
        <w:pStyle w:val="3"/>
        <w:ind w:firstLine="480"/>
      </w:pPr>
      <w:r>
        <w:t>（7）剥皮</w:t>
      </w:r>
    </w:p>
    <w:p>
      <w:pPr>
        <w:pStyle w:val="3"/>
        <w:ind w:firstLine="480"/>
      </w:pPr>
      <w:r>
        <w:t>采用人工将</w:t>
      </w:r>
      <w:r>
        <w:rPr>
          <w:rFonts w:hint="eastAsia"/>
        </w:rPr>
        <w:t>肉牛</w:t>
      </w:r>
      <w:r>
        <w:t>进行倒挂，然后对撑开双腿后的</w:t>
      </w:r>
      <w:r>
        <w:rPr>
          <w:rFonts w:hint="eastAsia"/>
        </w:rPr>
        <w:t>肉牛</w:t>
      </w:r>
      <w:r>
        <w:t>进行预剥，用剥皮刀进行后腿、胸部、前腿的预剥；预剥皮完成后，再人工进行扯皮，</w:t>
      </w:r>
      <w:r>
        <w:rPr>
          <w:rFonts w:hint="eastAsia"/>
        </w:rPr>
        <w:t>肉牛</w:t>
      </w:r>
      <w:r>
        <w:t>皮毛暂存于生产车间北部暂存间。</w:t>
      </w:r>
    </w:p>
    <w:p>
      <w:pPr>
        <w:pStyle w:val="3"/>
        <w:ind w:firstLine="480"/>
      </w:pPr>
      <w:r>
        <w:t>（8）清洗</w:t>
      </w:r>
    </w:p>
    <w:p>
      <w:pPr>
        <w:pStyle w:val="3"/>
        <w:ind w:firstLine="480"/>
      </w:pPr>
      <w:r>
        <w:t>扯皮之后，对胴体再次进行清洗。</w:t>
      </w:r>
    </w:p>
    <w:p>
      <w:pPr>
        <w:pStyle w:val="3"/>
        <w:ind w:firstLine="480"/>
      </w:pPr>
      <w:r>
        <w:t>（9）胸体加工</w:t>
      </w:r>
    </w:p>
    <w:p>
      <w:pPr>
        <w:pStyle w:val="3"/>
        <w:ind w:firstLine="480"/>
      </w:pPr>
      <w:r>
        <w:t>胸体加工工序主要为切头、扎食管、开胸、取白内脏、取红内脏、劈半。胴体检验、胴体修割等。切下头，将其挂在屠宰点的挂钩上，把牛的舌头割出来，再对牛头进行清洗；</w:t>
      </w:r>
    </w:p>
    <w:p>
      <w:pPr>
        <w:pStyle w:val="3"/>
        <w:ind w:firstLine="480"/>
      </w:pPr>
      <w:r>
        <w:t>用食管结扎器将牛的食管扎住，防止胃容物流下，污染牛肉；</w:t>
      </w:r>
    </w:p>
    <w:p>
      <w:pPr>
        <w:pStyle w:val="3"/>
        <w:ind w:firstLine="480"/>
      </w:pPr>
      <w:r>
        <w:t>再对牛胴体进行开胸，从牛的胸膛里扒下白内脏，即肠、肚等;再取出红内脏，即心、肝肺等。将取出的内脏清洗后置于屠宰车间的牛肉、内脏挂存处进行暂时挂存。</w:t>
      </w:r>
    </w:p>
    <w:p>
      <w:pPr>
        <w:pStyle w:val="3"/>
        <w:ind w:firstLine="480"/>
      </w:pPr>
      <w:r>
        <w:t>本项目产生的牛内脏等均为立即出厂处理，不会在厂区停留过长时间。</w:t>
      </w:r>
    </w:p>
    <w:p>
      <w:pPr>
        <w:pStyle w:val="3"/>
        <w:ind w:firstLine="480"/>
      </w:pPr>
      <w:r>
        <w:t>（10）清洗</w:t>
      </w:r>
    </w:p>
    <w:p>
      <w:pPr>
        <w:pStyle w:val="3"/>
        <w:ind w:firstLine="480"/>
      </w:pPr>
      <w:r>
        <w:t>对开膛、开边、劈半后的已宰肉牛，采用井水清洗。</w:t>
      </w:r>
    </w:p>
    <w:p>
      <w:pPr>
        <w:pStyle w:val="3"/>
        <w:ind w:firstLine="480"/>
      </w:pPr>
      <w:r>
        <w:t>（11）复检盖章</w:t>
      </w:r>
    </w:p>
    <w:p>
      <w:pPr>
        <w:pStyle w:val="3"/>
        <w:ind w:firstLine="480"/>
      </w:pPr>
      <w:r>
        <w:t>将牛的胴体、内脏等实施同步卫生检验。根据《中华人民共和国动物防疫法》和《</w:t>
      </w:r>
      <w:r>
        <w:rPr>
          <w:rFonts w:hint="eastAsia"/>
        </w:rPr>
        <w:t>中华人民共和国进出境动植物检疫法</w:t>
      </w:r>
      <w:r>
        <w:t>》中的有关规定</w:t>
      </w:r>
      <w:bookmarkStart w:id="70" w:name="_GoBack"/>
      <w:bookmarkEnd w:id="70"/>
      <w:r>
        <w:t>，卫生检验后屠体的处理如下：检验合格经盖章后方能交由牛肉供应商作为食品出售；不合格的收集后作无害化处理。</w:t>
      </w:r>
    </w:p>
    <w:p>
      <w:pPr>
        <w:pStyle w:val="3"/>
        <w:ind w:firstLine="480"/>
      </w:pPr>
      <w:r>
        <w:t>（12）分割冷冻或称量上市</w:t>
      </w:r>
    </w:p>
    <w:p>
      <w:pPr>
        <w:pStyle w:val="3"/>
        <w:ind w:firstLine="480"/>
      </w:pPr>
      <w:r>
        <w:t>项目屠宰肉进行复检后，一部分肉分割后于冷库冷藏，另外一部分交由牛肉供应商直接送至市场出售。</w:t>
      </w:r>
    </w:p>
    <w:p>
      <w:pPr>
        <w:pStyle w:val="3"/>
        <w:ind w:firstLine="0" w:firstLineChars="0"/>
        <w:outlineLvl w:val="2"/>
      </w:pPr>
      <w:r>
        <w:rPr>
          <w:rFonts w:hint="eastAsia"/>
        </w:rPr>
        <w:t xml:space="preserve">3.1.10  </w:t>
      </w:r>
      <w:r>
        <w:rPr>
          <w:rFonts w:hint="eastAsia" w:eastAsia="黑体" w:cstheme="majorBidi"/>
          <w:bCs/>
          <w:szCs w:val="32"/>
        </w:rPr>
        <w:t>工作制度与劳动定员</w:t>
      </w:r>
    </w:p>
    <w:p>
      <w:pPr>
        <w:pStyle w:val="3"/>
        <w:ind w:firstLine="480"/>
      </w:pPr>
      <w:r>
        <w:rPr>
          <w:rFonts w:hint="eastAsia"/>
        </w:rPr>
        <w:t>现有工程劳动定员20人，年工作天数为300天，生产班制为1班制，屠宰时间一般在凌晨2-5点之间。</w:t>
      </w:r>
    </w:p>
    <w:p>
      <w:pPr>
        <w:pStyle w:val="3"/>
        <w:ind w:firstLine="0" w:firstLineChars="0"/>
        <w:outlineLvl w:val="2"/>
      </w:pPr>
      <w:r>
        <w:rPr>
          <w:rFonts w:hint="eastAsia"/>
        </w:rPr>
        <w:t xml:space="preserve">3.1.11  </w:t>
      </w:r>
      <w:r>
        <w:rPr>
          <w:rFonts w:hint="eastAsia" w:eastAsia="黑体" w:cstheme="majorBidi"/>
          <w:bCs/>
          <w:szCs w:val="32"/>
        </w:rPr>
        <w:t>现有工程污染物的产生、处理与排放</w:t>
      </w:r>
    </w:p>
    <w:p>
      <w:pPr>
        <w:pStyle w:val="3"/>
        <w:ind w:firstLine="480"/>
      </w:pPr>
      <w:r>
        <w:t>根据现有环评、批复，现有项目污染物排放情况如下：</w:t>
      </w:r>
    </w:p>
    <w:p>
      <w:pPr>
        <w:pStyle w:val="3"/>
        <w:ind w:firstLine="480"/>
      </w:pPr>
      <w:r>
        <w:t>（1）废气</w:t>
      </w:r>
    </w:p>
    <w:p>
      <w:pPr>
        <w:pStyle w:val="3"/>
        <w:ind w:firstLine="480"/>
      </w:pPr>
      <w:r>
        <w:t>现有项目主要废气为各圈舍牛粪便产生的恶臭、屠宰过程产生的恶臭、催肥牛栏产生的恶臭以及污水处理设施产生恶臭。</w:t>
      </w:r>
    </w:p>
    <w:p>
      <w:pPr>
        <w:pStyle w:val="3"/>
        <w:ind w:firstLine="480"/>
      </w:pPr>
      <w:r>
        <w:t>项目在屠宰车间、待宰间及催肥牛栏各设置一台小型排风扇，风量约850m</w:t>
      </w:r>
      <w:r>
        <w:rPr>
          <w:vertAlign w:val="superscript"/>
        </w:rPr>
        <w:t>3</w:t>
      </w:r>
      <w:r>
        <w:t>/h，并定期喷洒除臭剂等措施降低臭气浓度60%。经处理后待宰和屠宰过程NH</w:t>
      </w:r>
      <w:r>
        <w:rPr>
          <w:vertAlign w:val="subscript"/>
        </w:rPr>
        <w:t>3</w:t>
      </w:r>
      <w:r>
        <w:t>产生量约0.013kg/h，H</w:t>
      </w:r>
      <w:r>
        <w:rPr>
          <w:vertAlign w:val="subscript"/>
        </w:rPr>
        <w:t>2</w:t>
      </w:r>
      <w:r>
        <w:t>S产生量约0.003kg/h；催肥牛栏NH</w:t>
      </w:r>
      <w:r>
        <w:rPr>
          <w:vertAlign w:val="subscript"/>
        </w:rPr>
        <w:t>3</w:t>
      </w:r>
      <w:r>
        <w:t>产生量约0.01kg/h，H</w:t>
      </w:r>
      <w:r>
        <w:rPr>
          <w:vertAlign w:val="subscript"/>
        </w:rPr>
        <w:t>2</w:t>
      </w:r>
      <w:r>
        <w:t>S产生量约0.002kg/h；污水处理设施恶臭NH</w:t>
      </w:r>
      <w:r>
        <w:rPr>
          <w:vertAlign w:val="subscript"/>
        </w:rPr>
        <w:t>3</w:t>
      </w:r>
      <w:r>
        <w:t>的浓度约8mg/m</w:t>
      </w:r>
      <w:r>
        <w:rPr>
          <w:vertAlign w:val="superscript"/>
        </w:rPr>
        <w:t>3</w:t>
      </w:r>
      <w:r>
        <w:t>，H</w:t>
      </w:r>
      <w:r>
        <w:rPr>
          <w:vertAlign w:val="subscript"/>
        </w:rPr>
        <w:t>2</w:t>
      </w:r>
      <w:r>
        <w:t>S产生量约2mg/m</w:t>
      </w:r>
      <w:r>
        <w:rPr>
          <w:vertAlign w:val="superscript"/>
        </w:rPr>
        <w:t>3</w:t>
      </w:r>
      <w:r>
        <w:t>。</w:t>
      </w:r>
    </w:p>
    <w:p>
      <w:pPr>
        <w:pStyle w:val="3"/>
        <w:ind w:firstLine="480"/>
      </w:pPr>
      <w:r>
        <w:rPr>
          <w:rFonts w:hint="eastAsia"/>
        </w:rPr>
        <w:t>根据</w:t>
      </w:r>
      <w:r>
        <w:rPr>
          <w:szCs w:val="22"/>
          <w:lang w:val="zh-CN" w:bidi="zh-CN"/>
        </w:rPr>
        <w:t>衡阳鸿福畜禽综合屠宰有限公司</w:t>
      </w:r>
      <w:r>
        <w:rPr>
          <w:rFonts w:hint="eastAsia"/>
          <w:szCs w:val="22"/>
          <w:lang w:val="zh-CN" w:bidi="zh-CN"/>
        </w:rPr>
        <w:t>2021年5月10日委托湖南德环检测中心对厂区的大气环境质量检测报告可知，监测期间厂区氨、硫化氢、臭气浓度均达到《环境空气质量标准》（GB3095-2012）二级标准要求。</w:t>
      </w:r>
    </w:p>
    <w:p>
      <w:pPr>
        <w:pStyle w:val="3"/>
        <w:ind w:firstLine="480"/>
      </w:pPr>
      <w:r>
        <w:t>（2）废水</w:t>
      </w:r>
    </w:p>
    <w:p>
      <w:pPr>
        <w:pStyle w:val="3"/>
        <w:ind w:firstLine="480"/>
      </w:pPr>
      <w:r>
        <w:t>现有项目主要废水为生活污水、屠宰废水。企业自建污水处理设施，生活污水经</w:t>
      </w:r>
      <w:r>
        <w:rPr>
          <w:rFonts w:hint="eastAsia"/>
        </w:rPr>
        <w:t>隔油池+三级</w:t>
      </w:r>
      <w:r>
        <w:t>化粪池处理后作为农肥；屠宰废水通过沉淀池+沼气池处理后作为蓝莓基地有机肥和水葫芦种植，无废水外排。</w:t>
      </w:r>
    </w:p>
    <w:p>
      <w:pPr>
        <w:pStyle w:val="59"/>
        <w:spacing w:line="360" w:lineRule="auto"/>
        <w:ind w:firstLine="480" w:firstLineChars="200"/>
        <w:rPr>
          <w:rFonts w:ascii="Times New Roman" w:hAnsi="Times New Roman" w:cs="Times New Roman"/>
        </w:rPr>
      </w:pPr>
      <w:r>
        <w:rPr>
          <w:rFonts w:ascii="Times New Roman" w:hAnsi="Times New Roman" w:cs="Times New Roman"/>
        </w:rPr>
        <w:t>（3）噪声</w:t>
      </w:r>
    </w:p>
    <w:p>
      <w:pPr>
        <w:pStyle w:val="59"/>
        <w:spacing w:line="360" w:lineRule="auto"/>
        <w:ind w:firstLine="480" w:firstLineChars="200"/>
        <w:rPr>
          <w:rFonts w:ascii="Times New Roman" w:hAnsi="Times New Roman" w:cs="Times New Roman"/>
        </w:rPr>
      </w:pPr>
      <w:r>
        <w:rPr>
          <w:rFonts w:ascii="Times New Roman" w:hAnsi="Times New Roman" w:cs="Times New Roman"/>
        </w:rPr>
        <w:t>现有项目宰杀时采取电击方式，因此叫声对周边环境影响较小，并选用低噪声设备，采取合理布局等有效的减振、隔声、降噪措施，项目厂界噪声达到GB12348-2008《工业企业厂界环境噪声排放标准》中2类标准。</w:t>
      </w:r>
    </w:p>
    <w:p>
      <w:pPr>
        <w:pStyle w:val="59"/>
        <w:spacing w:line="360" w:lineRule="auto"/>
        <w:ind w:firstLine="480" w:firstLineChars="200"/>
        <w:rPr>
          <w:rFonts w:ascii="Times New Roman" w:hAnsi="Times New Roman" w:cs="Times New Roman"/>
        </w:rPr>
      </w:pPr>
      <w:r>
        <w:rPr>
          <w:rFonts w:ascii="Times New Roman" w:hAnsi="Times New Roman" w:cs="Times New Roman"/>
        </w:rPr>
        <w:t>（4）固废</w:t>
      </w:r>
    </w:p>
    <w:p>
      <w:pPr>
        <w:pStyle w:val="3"/>
        <w:ind w:firstLine="480"/>
        <w:rPr>
          <w:rFonts w:cs="Times New Roman"/>
        </w:rPr>
      </w:pPr>
      <w:r>
        <w:rPr>
          <w:rFonts w:cs="Times New Roman"/>
        </w:rPr>
        <w:t>现有项目主要固体废物有屠宰间牛羊肠胃里未消化的食物及粪便、待宰间粪便、催肥栏牛粪、沼渣、不合格酮体及病死牛羊、生活垃圾；按照“减量化、资源化、无害化”的处理原则，落实各类固体废物的收集、处置和综合利用措施。</w:t>
      </w:r>
    </w:p>
    <w:p>
      <w:pPr>
        <w:pStyle w:val="3"/>
        <w:ind w:firstLine="480"/>
        <w:rPr>
          <w:rFonts w:cs="Times New Roman"/>
        </w:rPr>
      </w:pPr>
      <w:r>
        <w:rPr>
          <w:rFonts w:cs="Times New Roman"/>
        </w:rPr>
        <w:t>（5）原项目污染物排放情况汇总</w:t>
      </w:r>
    </w:p>
    <w:p>
      <w:pPr>
        <w:pStyle w:val="3"/>
        <w:ind w:firstLine="480"/>
        <w:rPr>
          <w:rFonts w:cs="Times New Roman"/>
        </w:rPr>
      </w:pPr>
      <w:r>
        <w:rPr>
          <w:rFonts w:cs="Times New Roman"/>
        </w:rPr>
        <w:t>参照原项目环评文件，以及企业提供的相关资料，类比同类型项目并根据产排污系数进行核算，</w:t>
      </w:r>
      <w:r>
        <w:rPr>
          <w:rFonts w:hint="eastAsia" w:cs="Times New Roman"/>
        </w:rPr>
        <w:t>现有工程</w:t>
      </w:r>
      <w:r>
        <w:rPr>
          <w:rFonts w:cs="Times New Roman"/>
        </w:rPr>
        <w:t>污染物排放情况及治理措施汇总见表</w:t>
      </w:r>
      <w:r>
        <w:rPr>
          <w:rFonts w:hint="eastAsia" w:cs="Times New Roman"/>
        </w:rPr>
        <w:t>3.1-5</w:t>
      </w:r>
      <w:r>
        <w:rPr>
          <w:rFonts w:cs="Times New Roman"/>
        </w:rPr>
        <w:t>。</w:t>
      </w:r>
    </w:p>
    <w:p>
      <w:pPr>
        <w:pStyle w:val="3"/>
        <w:spacing w:line="240" w:lineRule="auto"/>
        <w:ind w:firstLine="0" w:firstLineChars="0"/>
        <w:jc w:val="center"/>
        <w:rPr>
          <w:rFonts w:cs="Times New Roman" w:eastAsiaTheme="minorEastAsia"/>
          <w:b/>
        </w:rPr>
      </w:pPr>
      <w:r>
        <w:rPr>
          <w:rFonts w:cs="Times New Roman" w:eastAsiaTheme="minorEastAsia"/>
          <w:b/>
        </w:rPr>
        <w:t>表</w:t>
      </w:r>
      <w:r>
        <w:rPr>
          <w:rFonts w:hint="eastAsia" w:cs="Times New Roman" w:eastAsiaTheme="minorEastAsia"/>
          <w:b/>
        </w:rPr>
        <w:t>3.1-5</w:t>
      </w:r>
      <w:r>
        <w:rPr>
          <w:rFonts w:cs="Times New Roman" w:eastAsiaTheme="minorEastAsia"/>
          <w:b/>
        </w:rPr>
        <w:t xml:space="preserve">  扩建前污染物排放汇总表    单位：t/a</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056"/>
        <w:gridCol w:w="1577"/>
        <w:gridCol w:w="1441"/>
        <w:gridCol w:w="2930"/>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Align w:val="center"/>
          </w:tcPr>
          <w:p>
            <w:pPr>
              <w:autoSpaceDE w:val="0"/>
              <w:jc w:val="center"/>
              <w:rPr>
                <w:rFonts w:ascii="Times New Roman" w:hAnsi="Times New Roman"/>
              </w:rPr>
            </w:pPr>
            <w:r>
              <w:rPr>
                <w:rFonts w:ascii="Times New Roman" w:hAnsi="Times New Roman"/>
              </w:rPr>
              <w:t>类别</w:t>
            </w:r>
          </w:p>
        </w:tc>
        <w:tc>
          <w:tcPr>
            <w:tcW w:w="576" w:type="pct"/>
            <w:vAlign w:val="center"/>
          </w:tcPr>
          <w:p>
            <w:pPr>
              <w:autoSpaceDE w:val="0"/>
              <w:jc w:val="center"/>
              <w:rPr>
                <w:rFonts w:ascii="Times New Roman" w:hAnsi="Times New Roman"/>
              </w:rPr>
            </w:pPr>
            <w:r>
              <w:rPr>
                <w:rFonts w:ascii="Times New Roman" w:hAnsi="Times New Roman"/>
              </w:rPr>
              <w:t>污染源</w:t>
            </w:r>
          </w:p>
        </w:tc>
        <w:tc>
          <w:tcPr>
            <w:tcW w:w="860" w:type="pct"/>
            <w:vAlign w:val="center"/>
          </w:tcPr>
          <w:p>
            <w:pPr>
              <w:autoSpaceDE w:val="0"/>
              <w:jc w:val="center"/>
              <w:rPr>
                <w:rFonts w:ascii="Times New Roman" w:hAnsi="Times New Roman"/>
              </w:rPr>
            </w:pPr>
            <w:r>
              <w:rPr>
                <w:rFonts w:ascii="Times New Roman" w:hAnsi="Times New Roman"/>
              </w:rPr>
              <w:t>污染物名称</w:t>
            </w:r>
          </w:p>
        </w:tc>
        <w:tc>
          <w:tcPr>
            <w:tcW w:w="786" w:type="pct"/>
            <w:vAlign w:val="center"/>
          </w:tcPr>
          <w:p>
            <w:pPr>
              <w:autoSpaceDE w:val="0"/>
              <w:jc w:val="center"/>
              <w:rPr>
                <w:rFonts w:ascii="Times New Roman" w:hAnsi="Times New Roman"/>
              </w:rPr>
            </w:pPr>
            <w:r>
              <w:rPr>
                <w:rFonts w:hint="eastAsia" w:ascii="Times New Roman" w:hAnsi="Times New Roman"/>
              </w:rPr>
              <w:t>现有</w:t>
            </w:r>
            <w:r>
              <w:rPr>
                <w:rFonts w:ascii="Times New Roman" w:hAnsi="Times New Roman"/>
              </w:rPr>
              <w:t>工程产生量</w:t>
            </w:r>
          </w:p>
        </w:tc>
        <w:tc>
          <w:tcPr>
            <w:tcW w:w="1598" w:type="pct"/>
            <w:vAlign w:val="center"/>
          </w:tcPr>
          <w:p>
            <w:pPr>
              <w:autoSpaceDE w:val="0"/>
              <w:jc w:val="center"/>
              <w:rPr>
                <w:rFonts w:ascii="Times New Roman" w:hAnsi="Times New Roman"/>
              </w:rPr>
            </w:pPr>
            <w:r>
              <w:rPr>
                <w:rFonts w:ascii="Times New Roman" w:hAnsi="Times New Roman"/>
              </w:rPr>
              <w:t>污染防治措施及现状</w:t>
            </w:r>
          </w:p>
        </w:tc>
        <w:tc>
          <w:tcPr>
            <w:tcW w:w="788" w:type="pct"/>
            <w:vAlign w:val="center"/>
          </w:tcPr>
          <w:p>
            <w:pPr>
              <w:autoSpaceDE w:val="0"/>
              <w:jc w:val="center"/>
              <w:rPr>
                <w:rFonts w:ascii="Times New Roman" w:hAnsi="Times New Roman"/>
              </w:rPr>
            </w:pPr>
            <w:r>
              <w:rPr>
                <w:rFonts w:hint="eastAsia" w:ascii="Times New Roman" w:hAnsi="Times New Roman"/>
              </w:rPr>
              <w:t>现有</w:t>
            </w:r>
            <w:r>
              <w:rPr>
                <w:rFonts w:ascii="Times New Roman" w:hAnsi="Times New Roman"/>
              </w:rPr>
              <w:t>工程排放量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vAlign w:val="center"/>
          </w:tcPr>
          <w:p>
            <w:pPr>
              <w:autoSpaceDE w:val="0"/>
              <w:jc w:val="center"/>
              <w:rPr>
                <w:rFonts w:ascii="Times New Roman" w:hAnsi="Times New Roman"/>
              </w:rPr>
            </w:pPr>
            <w:r>
              <w:rPr>
                <w:rFonts w:ascii="Times New Roman" w:hAnsi="Times New Roman"/>
              </w:rPr>
              <w:t>废气</w:t>
            </w:r>
          </w:p>
        </w:tc>
        <w:tc>
          <w:tcPr>
            <w:tcW w:w="576" w:type="pct"/>
            <w:vMerge w:val="restart"/>
            <w:vAlign w:val="center"/>
          </w:tcPr>
          <w:p>
            <w:pPr>
              <w:autoSpaceDE w:val="0"/>
              <w:jc w:val="center"/>
              <w:rPr>
                <w:rFonts w:ascii="Times New Roman" w:hAnsi="Times New Roman"/>
              </w:rPr>
            </w:pPr>
            <w:r>
              <w:rPr>
                <w:rFonts w:ascii="Times New Roman" w:hAnsi="Times New Roman"/>
              </w:rPr>
              <w:t>待宰和屠宰过程</w:t>
            </w:r>
          </w:p>
        </w:tc>
        <w:tc>
          <w:tcPr>
            <w:tcW w:w="860" w:type="pct"/>
            <w:vAlign w:val="center"/>
          </w:tcPr>
          <w:p>
            <w:pPr>
              <w:autoSpaceDE w:val="0"/>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786" w:type="pct"/>
            <w:vAlign w:val="center"/>
          </w:tcPr>
          <w:p>
            <w:pPr>
              <w:autoSpaceDE w:val="0"/>
              <w:jc w:val="center"/>
              <w:rPr>
                <w:rFonts w:ascii="Times New Roman" w:hAnsi="Times New Roman"/>
              </w:rPr>
            </w:pPr>
            <w:r>
              <w:rPr>
                <w:rFonts w:ascii="Times New Roman" w:hAnsi="Times New Roman"/>
              </w:rPr>
              <w:t>0.0078kg/h</w:t>
            </w:r>
          </w:p>
        </w:tc>
        <w:tc>
          <w:tcPr>
            <w:tcW w:w="1598" w:type="pct"/>
            <w:vMerge w:val="restart"/>
            <w:vAlign w:val="center"/>
          </w:tcPr>
          <w:p>
            <w:pPr>
              <w:autoSpaceDE w:val="0"/>
              <w:jc w:val="center"/>
              <w:rPr>
                <w:rFonts w:ascii="Times New Roman" w:hAnsi="Times New Roman"/>
              </w:rPr>
            </w:pPr>
            <w:r>
              <w:rPr>
                <w:rFonts w:ascii="Times New Roman" w:hAnsi="Times New Roman"/>
              </w:rPr>
              <w:t>各设置一台小型排风扇，并定期喷洒除臭剂等措施降低臭气浓度60%</w:t>
            </w:r>
          </w:p>
        </w:tc>
        <w:tc>
          <w:tcPr>
            <w:tcW w:w="788" w:type="pct"/>
            <w:vAlign w:val="center"/>
          </w:tcPr>
          <w:p>
            <w:pPr>
              <w:autoSpaceDE w:val="0"/>
              <w:jc w:val="center"/>
              <w:rPr>
                <w:rFonts w:ascii="Times New Roman" w:hAnsi="Times New Roman"/>
              </w:rPr>
            </w:pPr>
            <w:r>
              <w:rPr>
                <w:rFonts w:ascii="Times New Roman" w:hAnsi="Times New Roman"/>
              </w:rPr>
              <w:t>0.003kg/h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NH</w:t>
            </w:r>
            <w:r>
              <w:rPr>
                <w:rFonts w:ascii="Times New Roman" w:hAnsi="Times New Roman"/>
                <w:vertAlign w:val="subscript"/>
              </w:rPr>
              <w:t>3</w:t>
            </w:r>
          </w:p>
        </w:tc>
        <w:tc>
          <w:tcPr>
            <w:tcW w:w="786" w:type="pct"/>
            <w:vAlign w:val="center"/>
          </w:tcPr>
          <w:p>
            <w:pPr>
              <w:autoSpaceDE w:val="0"/>
              <w:jc w:val="center"/>
              <w:rPr>
                <w:rFonts w:ascii="Times New Roman" w:hAnsi="Times New Roman"/>
              </w:rPr>
            </w:pPr>
            <w:r>
              <w:rPr>
                <w:rFonts w:ascii="Times New Roman" w:hAnsi="Times New Roman"/>
              </w:rPr>
              <w:t>0.0325kg/h</w:t>
            </w:r>
          </w:p>
        </w:tc>
        <w:tc>
          <w:tcPr>
            <w:tcW w:w="1598" w:type="pct"/>
            <w:vMerge w:val="continue"/>
            <w:vAlign w:val="center"/>
          </w:tcPr>
          <w:p>
            <w:pPr>
              <w:jc w:val="center"/>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0.013kg/h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Merge w:val="continue"/>
            <w:vAlign w:val="center"/>
          </w:tcPr>
          <w:p>
            <w:pPr>
              <w:jc w:val="left"/>
              <w:rPr>
                <w:rFonts w:ascii="Times New Roman" w:hAnsi="Times New Roman"/>
              </w:rPr>
            </w:pPr>
          </w:p>
        </w:tc>
        <w:tc>
          <w:tcPr>
            <w:tcW w:w="576" w:type="pct"/>
            <w:vMerge w:val="restart"/>
            <w:vAlign w:val="center"/>
          </w:tcPr>
          <w:p>
            <w:pPr>
              <w:autoSpaceDE w:val="0"/>
              <w:jc w:val="center"/>
              <w:rPr>
                <w:rFonts w:ascii="Times New Roman" w:hAnsi="Times New Roman"/>
              </w:rPr>
            </w:pPr>
            <w:r>
              <w:rPr>
                <w:rFonts w:ascii="Times New Roman" w:hAnsi="Times New Roman"/>
              </w:rPr>
              <w:t>污水处理设施</w:t>
            </w:r>
          </w:p>
        </w:tc>
        <w:tc>
          <w:tcPr>
            <w:tcW w:w="860" w:type="pct"/>
            <w:vAlign w:val="center"/>
          </w:tcPr>
          <w:p>
            <w:pPr>
              <w:autoSpaceDE w:val="0"/>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786" w:type="pct"/>
            <w:vAlign w:val="center"/>
          </w:tcPr>
          <w:p>
            <w:pPr>
              <w:autoSpaceDE w:val="0"/>
              <w:jc w:val="center"/>
              <w:rPr>
                <w:rFonts w:ascii="Times New Roman" w:hAnsi="Times New Roman"/>
              </w:rPr>
            </w:pPr>
            <w:r>
              <w:rPr>
                <w:rFonts w:ascii="Times New Roman" w:hAnsi="Times New Roman"/>
              </w:rPr>
              <w:t>5mg/m</w:t>
            </w:r>
            <w:r>
              <w:rPr>
                <w:rFonts w:ascii="Times New Roman" w:hAnsi="Times New Roman"/>
                <w:vertAlign w:val="superscript"/>
              </w:rPr>
              <w:t>3</w:t>
            </w:r>
          </w:p>
        </w:tc>
        <w:tc>
          <w:tcPr>
            <w:tcW w:w="1598" w:type="pct"/>
            <w:vMerge w:val="restart"/>
            <w:vAlign w:val="center"/>
          </w:tcPr>
          <w:p>
            <w:pPr>
              <w:jc w:val="center"/>
              <w:rPr>
                <w:rFonts w:ascii="Times New Roman" w:hAnsi="Times New Roman"/>
              </w:rPr>
            </w:pPr>
            <w:r>
              <w:rPr>
                <w:rFonts w:ascii="Times New Roman" w:hAnsi="Times New Roman"/>
              </w:rPr>
              <w:t>定期期喷洒除臭剂</w:t>
            </w:r>
          </w:p>
        </w:tc>
        <w:tc>
          <w:tcPr>
            <w:tcW w:w="788" w:type="pct"/>
            <w:vAlign w:val="center"/>
          </w:tcPr>
          <w:p>
            <w:pPr>
              <w:autoSpaceDE w:val="0"/>
              <w:jc w:val="center"/>
              <w:rPr>
                <w:rFonts w:ascii="Times New Roman" w:hAnsi="Times New Roman"/>
              </w:rPr>
            </w:pPr>
            <w:r>
              <w:rPr>
                <w:rFonts w:ascii="Times New Roman" w:hAnsi="Times New Roman"/>
              </w:rPr>
              <w:t>2mg/m</w:t>
            </w:r>
            <w:r>
              <w:rPr>
                <w:rFonts w:ascii="Times New Roman" w:hAnsi="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autoSpaceDE w:val="0"/>
              <w:jc w:val="center"/>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NH</w:t>
            </w:r>
            <w:r>
              <w:rPr>
                <w:rFonts w:ascii="Times New Roman" w:hAnsi="Times New Roman"/>
                <w:vertAlign w:val="subscript"/>
              </w:rPr>
              <w:t>3</w:t>
            </w:r>
          </w:p>
        </w:tc>
        <w:tc>
          <w:tcPr>
            <w:tcW w:w="786" w:type="pct"/>
            <w:vAlign w:val="center"/>
          </w:tcPr>
          <w:p>
            <w:pPr>
              <w:autoSpaceDE w:val="0"/>
              <w:jc w:val="center"/>
              <w:rPr>
                <w:rFonts w:ascii="Times New Roman" w:hAnsi="Times New Roman"/>
              </w:rPr>
            </w:pPr>
            <w:r>
              <w:rPr>
                <w:rFonts w:ascii="Times New Roman" w:hAnsi="Times New Roman"/>
              </w:rPr>
              <w:t>20mg/m</w:t>
            </w:r>
            <w:r>
              <w:rPr>
                <w:rFonts w:ascii="Times New Roman" w:hAnsi="Times New Roman"/>
                <w:vertAlign w:val="superscript"/>
              </w:rPr>
              <w:t>3</w:t>
            </w:r>
          </w:p>
        </w:tc>
        <w:tc>
          <w:tcPr>
            <w:tcW w:w="1598" w:type="pct"/>
            <w:vMerge w:val="continue"/>
            <w:vAlign w:val="center"/>
          </w:tcPr>
          <w:p>
            <w:pPr>
              <w:jc w:val="left"/>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8mg/m</w:t>
            </w:r>
            <w:r>
              <w:rPr>
                <w:rFonts w:ascii="Times New Roman" w:hAnsi="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92" w:type="pct"/>
            <w:vMerge w:val="restart"/>
            <w:vAlign w:val="center"/>
          </w:tcPr>
          <w:p>
            <w:pPr>
              <w:autoSpaceDE w:val="0"/>
              <w:jc w:val="center"/>
              <w:rPr>
                <w:rFonts w:ascii="Times New Roman" w:hAnsi="Times New Roman"/>
              </w:rPr>
            </w:pPr>
            <w:r>
              <w:rPr>
                <w:rFonts w:ascii="Times New Roman" w:hAnsi="Times New Roman"/>
              </w:rPr>
              <w:t>废水</w:t>
            </w:r>
          </w:p>
        </w:tc>
        <w:tc>
          <w:tcPr>
            <w:tcW w:w="576" w:type="pct"/>
            <w:vMerge w:val="restart"/>
            <w:vAlign w:val="center"/>
          </w:tcPr>
          <w:p>
            <w:pPr>
              <w:autoSpaceDE w:val="0"/>
              <w:jc w:val="center"/>
              <w:rPr>
                <w:rFonts w:ascii="Times New Roman" w:hAnsi="Times New Roman"/>
              </w:rPr>
            </w:pPr>
            <w:r>
              <w:rPr>
                <w:rFonts w:ascii="Times New Roman" w:hAnsi="Times New Roman"/>
              </w:rPr>
              <w:t>生活废水</w:t>
            </w:r>
          </w:p>
        </w:tc>
        <w:tc>
          <w:tcPr>
            <w:tcW w:w="860" w:type="pct"/>
            <w:vAlign w:val="center"/>
          </w:tcPr>
          <w:p>
            <w:pPr>
              <w:autoSpaceDE w:val="0"/>
              <w:jc w:val="center"/>
              <w:rPr>
                <w:rFonts w:ascii="Times New Roman" w:hAnsi="Times New Roman"/>
              </w:rPr>
            </w:pPr>
            <w:r>
              <w:rPr>
                <w:rFonts w:ascii="Times New Roman" w:hAnsi="Times New Roman"/>
              </w:rPr>
              <w:t>CODcr</w:t>
            </w:r>
          </w:p>
        </w:tc>
        <w:tc>
          <w:tcPr>
            <w:tcW w:w="786" w:type="pct"/>
            <w:vAlign w:val="center"/>
          </w:tcPr>
          <w:p>
            <w:pPr>
              <w:autoSpaceDE w:val="0"/>
              <w:jc w:val="center"/>
              <w:rPr>
                <w:rFonts w:ascii="Times New Roman" w:hAnsi="Times New Roman"/>
              </w:rPr>
            </w:pPr>
            <w:r>
              <w:rPr>
                <w:rFonts w:ascii="Times New Roman" w:hAnsi="Times New Roman"/>
              </w:rPr>
              <w:t>0.04</w:t>
            </w:r>
          </w:p>
        </w:tc>
        <w:tc>
          <w:tcPr>
            <w:tcW w:w="1598" w:type="pct"/>
            <w:vMerge w:val="restart"/>
            <w:vAlign w:val="center"/>
          </w:tcPr>
          <w:p>
            <w:pPr>
              <w:autoSpaceDE w:val="0"/>
              <w:jc w:val="center"/>
              <w:rPr>
                <w:rFonts w:ascii="Times New Roman" w:hAnsi="Times New Roman"/>
              </w:rPr>
            </w:pPr>
            <w:r>
              <w:rPr>
                <w:rFonts w:ascii="Times New Roman" w:hAnsi="Times New Roman"/>
              </w:rPr>
              <w:t>经</w:t>
            </w:r>
            <w:r>
              <w:rPr>
                <w:rFonts w:hint="eastAsia" w:ascii="Times New Roman" w:hAnsi="Times New Roman"/>
              </w:rPr>
              <w:t>隔油池+三级</w:t>
            </w:r>
            <w:r>
              <w:rPr>
                <w:rFonts w:ascii="Times New Roman" w:hAnsi="Times New Roman"/>
              </w:rPr>
              <w:t>化粪池处理后用于农肥</w:t>
            </w:r>
          </w:p>
        </w:tc>
        <w:tc>
          <w:tcPr>
            <w:tcW w:w="788" w:type="pct"/>
            <w:vAlign w:val="center"/>
          </w:tcPr>
          <w:p>
            <w:pPr>
              <w:autoSpaceDE w:val="0"/>
              <w:jc w:val="cente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BOD</w:t>
            </w:r>
            <w:r>
              <w:rPr>
                <w:rFonts w:ascii="Times New Roman" w:hAnsi="Times New Roman"/>
                <w:vertAlign w:val="subscript"/>
              </w:rPr>
              <w:t>5</w:t>
            </w:r>
          </w:p>
        </w:tc>
        <w:tc>
          <w:tcPr>
            <w:tcW w:w="786" w:type="pct"/>
            <w:vAlign w:val="center"/>
          </w:tcPr>
          <w:p>
            <w:pPr>
              <w:autoSpaceDE w:val="0"/>
              <w:jc w:val="center"/>
              <w:rPr>
                <w:rFonts w:ascii="Times New Roman" w:hAnsi="Times New Roman"/>
              </w:rPr>
            </w:pPr>
            <w:r>
              <w:rPr>
                <w:rFonts w:ascii="Times New Roman" w:hAnsi="Times New Roman"/>
              </w:rPr>
              <w:t>0.026</w:t>
            </w:r>
          </w:p>
        </w:tc>
        <w:tc>
          <w:tcPr>
            <w:tcW w:w="1598" w:type="pct"/>
            <w:vMerge w:val="continue"/>
            <w:vAlign w:val="center"/>
          </w:tcPr>
          <w:p>
            <w:pPr>
              <w:jc w:val="center"/>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786" w:type="pct"/>
            <w:vAlign w:val="center"/>
          </w:tcPr>
          <w:p>
            <w:pPr>
              <w:autoSpaceDE w:val="0"/>
              <w:jc w:val="center"/>
              <w:rPr>
                <w:rFonts w:ascii="Times New Roman" w:hAnsi="Times New Roman"/>
              </w:rPr>
            </w:pPr>
            <w:r>
              <w:rPr>
                <w:rFonts w:ascii="Times New Roman" w:hAnsi="Times New Roman"/>
              </w:rPr>
              <w:t>0.0052</w:t>
            </w:r>
          </w:p>
        </w:tc>
        <w:tc>
          <w:tcPr>
            <w:tcW w:w="1598" w:type="pct"/>
            <w:vMerge w:val="continue"/>
            <w:vAlign w:val="center"/>
          </w:tcPr>
          <w:p>
            <w:pPr>
              <w:jc w:val="center"/>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SS</w:t>
            </w:r>
          </w:p>
        </w:tc>
        <w:tc>
          <w:tcPr>
            <w:tcW w:w="786" w:type="pct"/>
            <w:vAlign w:val="center"/>
          </w:tcPr>
          <w:p>
            <w:pPr>
              <w:autoSpaceDE w:val="0"/>
              <w:jc w:val="center"/>
              <w:rPr>
                <w:rFonts w:ascii="Times New Roman" w:hAnsi="Times New Roman"/>
              </w:rPr>
            </w:pPr>
            <w:r>
              <w:rPr>
                <w:rFonts w:ascii="Times New Roman" w:hAnsi="Times New Roman"/>
              </w:rPr>
              <w:t>0.035</w:t>
            </w:r>
          </w:p>
        </w:tc>
        <w:tc>
          <w:tcPr>
            <w:tcW w:w="1598" w:type="pct"/>
            <w:vMerge w:val="continue"/>
            <w:vAlign w:val="center"/>
          </w:tcPr>
          <w:p>
            <w:pPr>
              <w:jc w:val="center"/>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动植物油</w:t>
            </w:r>
          </w:p>
        </w:tc>
        <w:tc>
          <w:tcPr>
            <w:tcW w:w="786" w:type="pct"/>
            <w:vAlign w:val="center"/>
          </w:tcPr>
          <w:p>
            <w:pPr>
              <w:autoSpaceDE w:val="0"/>
              <w:jc w:val="center"/>
              <w:rPr>
                <w:rFonts w:ascii="Times New Roman" w:hAnsi="Times New Roman"/>
              </w:rPr>
            </w:pPr>
            <w:r>
              <w:rPr>
                <w:rFonts w:ascii="Times New Roman" w:hAnsi="Times New Roman"/>
              </w:rPr>
              <w:t>0.012</w:t>
            </w:r>
          </w:p>
        </w:tc>
        <w:tc>
          <w:tcPr>
            <w:tcW w:w="1598" w:type="pct"/>
            <w:vMerge w:val="continue"/>
            <w:vAlign w:val="center"/>
          </w:tcPr>
          <w:p>
            <w:pPr>
              <w:jc w:val="center"/>
              <w:rPr>
                <w:rFonts w:ascii="Times New Roman" w:hAnsi="Times New Roman"/>
              </w:rPr>
            </w:pPr>
          </w:p>
        </w:tc>
        <w:tc>
          <w:tcPr>
            <w:tcW w:w="788" w:type="pct"/>
            <w:vAlign w:val="center"/>
          </w:tcPr>
          <w:p>
            <w:pPr>
              <w:autoSpaceDE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restart"/>
            <w:vAlign w:val="center"/>
          </w:tcPr>
          <w:p>
            <w:pPr>
              <w:jc w:val="left"/>
              <w:rPr>
                <w:rFonts w:ascii="Times New Roman" w:hAnsi="Times New Roman"/>
              </w:rPr>
            </w:pPr>
            <w:r>
              <w:rPr>
                <w:rFonts w:ascii="Times New Roman" w:hAnsi="Times New Roman"/>
              </w:rPr>
              <w:t>屠宰废水</w:t>
            </w:r>
          </w:p>
        </w:tc>
        <w:tc>
          <w:tcPr>
            <w:tcW w:w="860" w:type="pct"/>
            <w:vAlign w:val="center"/>
          </w:tcPr>
          <w:p>
            <w:pPr>
              <w:autoSpaceDE w:val="0"/>
              <w:jc w:val="center"/>
              <w:rPr>
                <w:rFonts w:ascii="Times New Roman" w:hAnsi="Times New Roman"/>
              </w:rPr>
            </w:pPr>
            <w:r>
              <w:rPr>
                <w:rFonts w:ascii="Times New Roman" w:hAnsi="Times New Roman"/>
              </w:rPr>
              <w:t>CODcr</w:t>
            </w:r>
          </w:p>
        </w:tc>
        <w:tc>
          <w:tcPr>
            <w:tcW w:w="786" w:type="pct"/>
            <w:vAlign w:val="center"/>
          </w:tcPr>
          <w:p>
            <w:pPr>
              <w:autoSpaceDE w:val="0"/>
              <w:jc w:val="center"/>
              <w:rPr>
                <w:rFonts w:ascii="Times New Roman" w:hAnsi="Times New Roman"/>
              </w:rPr>
            </w:pPr>
            <w:r>
              <w:rPr>
                <w:rFonts w:ascii="Times New Roman" w:hAnsi="Times New Roman"/>
              </w:rPr>
              <w:t>3.94</w:t>
            </w:r>
          </w:p>
        </w:tc>
        <w:tc>
          <w:tcPr>
            <w:tcW w:w="1598" w:type="pct"/>
            <w:vMerge w:val="restart"/>
            <w:vAlign w:val="center"/>
          </w:tcPr>
          <w:p>
            <w:pPr>
              <w:jc w:val="center"/>
              <w:rPr>
                <w:rFonts w:ascii="Times New Roman" w:hAnsi="Times New Roman"/>
              </w:rPr>
            </w:pPr>
            <w:r>
              <w:rPr>
                <w:rFonts w:ascii="Times New Roman" w:hAnsi="Times New Roman"/>
              </w:rPr>
              <w:t>通过沉淀池+沼气池处理后作为蓝莓基地有机肥和水葫芦种植</w:t>
            </w:r>
          </w:p>
        </w:tc>
        <w:tc>
          <w:tcPr>
            <w:tcW w:w="788" w:type="pct"/>
            <w:vAlign w:val="center"/>
          </w:tcPr>
          <w:p>
            <w:pPr>
              <w:autoSpaceDE w:val="0"/>
              <w:jc w:val="center"/>
              <w:rPr>
                <w:rFonts w:ascii="Times New Roman" w:hAnsi="Times New Roman"/>
              </w:rPr>
            </w:pPr>
            <w:r>
              <w:rPr>
                <w:rFonts w:ascii="Times New Roman" w:hAnsi="Times New Roman"/>
              </w:rPr>
              <w:t>0.4048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BOD</w:t>
            </w:r>
            <w:r>
              <w:rPr>
                <w:rFonts w:ascii="Times New Roman" w:hAnsi="Times New Roman"/>
                <w:vertAlign w:val="subscript"/>
              </w:rPr>
              <w:t>5</w:t>
            </w:r>
          </w:p>
        </w:tc>
        <w:tc>
          <w:tcPr>
            <w:tcW w:w="786" w:type="pct"/>
            <w:vAlign w:val="center"/>
          </w:tcPr>
          <w:p>
            <w:pPr>
              <w:autoSpaceDE w:val="0"/>
              <w:jc w:val="center"/>
              <w:rPr>
                <w:rFonts w:ascii="Times New Roman" w:hAnsi="Times New Roman"/>
              </w:rPr>
            </w:pPr>
            <w:r>
              <w:rPr>
                <w:rFonts w:ascii="Times New Roman" w:hAnsi="Times New Roman"/>
              </w:rPr>
              <w:t>1.62</w:t>
            </w:r>
          </w:p>
        </w:tc>
        <w:tc>
          <w:tcPr>
            <w:tcW w:w="1598" w:type="pct"/>
            <w:vMerge w:val="continue"/>
            <w:vAlign w:val="center"/>
          </w:tcPr>
          <w:p>
            <w:pPr>
              <w:jc w:val="left"/>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786" w:type="pct"/>
            <w:vAlign w:val="center"/>
          </w:tcPr>
          <w:p>
            <w:pPr>
              <w:autoSpaceDE w:val="0"/>
              <w:jc w:val="center"/>
              <w:rPr>
                <w:rFonts w:ascii="Times New Roman" w:hAnsi="Times New Roman"/>
              </w:rPr>
            </w:pPr>
            <w:r>
              <w:rPr>
                <w:rFonts w:ascii="Times New Roman" w:hAnsi="Times New Roman"/>
              </w:rPr>
              <w:t>0.173</w:t>
            </w:r>
          </w:p>
        </w:tc>
        <w:tc>
          <w:tcPr>
            <w:tcW w:w="1598" w:type="pct"/>
            <w:vMerge w:val="continue"/>
            <w:vAlign w:val="center"/>
          </w:tcPr>
          <w:p>
            <w:pPr>
              <w:jc w:val="left"/>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SS</w:t>
            </w:r>
          </w:p>
        </w:tc>
        <w:tc>
          <w:tcPr>
            <w:tcW w:w="786" w:type="pct"/>
            <w:vAlign w:val="center"/>
          </w:tcPr>
          <w:p>
            <w:pPr>
              <w:autoSpaceDE w:val="0"/>
              <w:jc w:val="center"/>
              <w:rPr>
                <w:rFonts w:ascii="Times New Roman" w:hAnsi="Times New Roman"/>
              </w:rPr>
            </w:pPr>
            <w:r>
              <w:rPr>
                <w:rFonts w:ascii="Times New Roman" w:hAnsi="Times New Roman"/>
              </w:rPr>
              <w:t>0.175</w:t>
            </w:r>
          </w:p>
        </w:tc>
        <w:tc>
          <w:tcPr>
            <w:tcW w:w="1598" w:type="pct"/>
            <w:vMerge w:val="continue"/>
            <w:vAlign w:val="center"/>
          </w:tcPr>
          <w:p>
            <w:pPr>
              <w:jc w:val="left"/>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0.04048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Merge w:val="continue"/>
            <w:vAlign w:val="center"/>
          </w:tcPr>
          <w:p>
            <w:pPr>
              <w:jc w:val="left"/>
              <w:rPr>
                <w:rFonts w:ascii="Times New Roman" w:hAnsi="Times New Roman"/>
              </w:rPr>
            </w:pPr>
          </w:p>
        </w:tc>
        <w:tc>
          <w:tcPr>
            <w:tcW w:w="860" w:type="pct"/>
            <w:vAlign w:val="center"/>
          </w:tcPr>
          <w:p>
            <w:pPr>
              <w:autoSpaceDE w:val="0"/>
              <w:jc w:val="center"/>
              <w:rPr>
                <w:rFonts w:ascii="Times New Roman" w:hAnsi="Times New Roman"/>
              </w:rPr>
            </w:pPr>
            <w:r>
              <w:rPr>
                <w:rFonts w:ascii="Times New Roman" w:hAnsi="Times New Roman"/>
              </w:rPr>
              <w:t>动植物油</w:t>
            </w:r>
          </w:p>
        </w:tc>
        <w:tc>
          <w:tcPr>
            <w:tcW w:w="786" w:type="pct"/>
            <w:vAlign w:val="center"/>
          </w:tcPr>
          <w:p>
            <w:pPr>
              <w:autoSpaceDE w:val="0"/>
              <w:jc w:val="center"/>
              <w:rPr>
                <w:rFonts w:ascii="Times New Roman" w:hAnsi="Times New Roman"/>
              </w:rPr>
            </w:pPr>
            <w:r>
              <w:rPr>
                <w:rFonts w:ascii="Times New Roman" w:hAnsi="Times New Roman"/>
              </w:rPr>
              <w:t>0.406</w:t>
            </w:r>
          </w:p>
        </w:tc>
        <w:tc>
          <w:tcPr>
            <w:tcW w:w="1598" w:type="pct"/>
            <w:vMerge w:val="continue"/>
            <w:vAlign w:val="center"/>
          </w:tcPr>
          <w:p>
            <w:pPr>
              <w:jc w:val="left"/>
              <w:rPr>
                <w:rFonts w:ascii="Times New Roman" w:hAnsi="Times New Roman"/>
              </w:rPr>
            </w:pPr>
          </w:p>
        </w:tc>
        <w:tc>
          <w:tcPr>
            <w:tcW w:w="788" w:type="pct"/>
            <w:vAlign w:val="center"/>
          </w:tcPr>
          <w:p>
            <w:pPr>
              <w:autoSpaceDE w:val="0"/>
              <w:jc w:val="center"/>
              <w:rPr>
                <w:rFonts w:ascii="Times New Roman" w:hAnsi="Times New Roman"/>
              </w:rPr>
            </w:pPr>
            <w:r>
              <w:rPr>
                <w:rFonts w:ascii="Times New Roman" w:hAnsi="Times New Roman"/>
              </w:rPr>
              <w:t>0.2024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92" w:type="pct"/>
            <w:vMerge w:val="restart"/>
            <w:vAlign w:val="center"/>
          </w:tcPr>
          <w:p>
            <w:pPr>
              <w:autoSpaceDE w:val="0"/>
              <w:jc w:val="center"/>
              <w:rPr>
                <w:rFonts w:ascii="Times New Roman" w:hAnsi="Times New Roman"/>
              </w:rPr>
            </w:pPr>
            <w:r>
              <w:rPr>
                <w:rFonts w:ascii="Times New Roman" w:hAnsi="Times New Roman"/>
              </w:rPr>
              <w:t>固废</w:t>
            </w:r>
          </w:p>
        </w:tc>
        <w:tc>
          <w:tcPr>
            <w:tcW w:w="576" w:type="pct"/>
            <w:vAlign w:val="center"/>
          </w:tcPr>
          <w:p>
            <w:pPr>
              <w:autoSpaceDE w:val="0"/>
              <w:jc w:val="center"/>
              <w:rPr>
                <w:rFonts w:ascii="Times New Roman" w:hAnsi="Times New Roman"/>
              </w:rPr>
            </w:pPr>
            <w:r>
              <w:rPr>
                <w:rFonts w:ascii="Times New Roman" w:hAnsi="Times New Roman"/>
              </w:rPr>
              <w:t>屠宰车间、待宰间、</w:t>
            </w:r>
          </w:p>
        </w:tc>
        <w:tc>
          <w:tcPr>
            <w:tcW w:w="860" w:type="pct"/>
            <w:vAlign w:val="center"/>
          </w:tcPr>
          <w:p>
            <w:pPr>
              <w:autoSpaceDE w:val="0"/>
              <w:jc w:val="center"/>
              <w:rPr>
                <w:rFonts w:ascii="Times New Roman" w:hAnsi="Times New Roman"/>
              </w:rPr>
            </w:pPr>
            <w:r>
              <w:rPr>
                <w:rFonts w:ascii="Times New Roman" w:hAnsi="Times New Roman"/>
              </w:rPr>
              <w:t>动物粪便及未消化的食物</w:t>
            </w:r>
          </w:p>
        </w:tc>
        <w:tc>
          <w:tcPr>
            <w:tcW w:w="786" w:type="pct"/>
            <w:vAlign w:val="center"/>
          </w:tcPr>
          <w:p>
            <w:pPr>
              <w:autoSpaceDE w:val="0"/>
              <w:jc w:val="center"/>
              <w:rPr>
                <w:rFonts w:ascii="Times New Roman" w:hAnsi="Times New Roman"/>
              </w:rPr>
            </w:pPr>
            <w:r>
              <w:rPr>
                <w:rFonts w:ascii="Times New Roman" w:hAnsi="Times New Roman"/>
              </w:rPr>
              <w:t>36t/a</w:t>
            </w:r>
          </w:p>
        </w:tc>
        <w:tc>
          <w:tcPr>
            <w:tcW w:w="1598" w:type="pct"/>
            <w:vAlign w:val="center"/>
          </w:tcPr>
          <w:p>
            <w:pPr>
              <w:autoSpaceDE w:val="0"/>
              <w:jc w:val="center"/>
              <w:rPr>
                <w:rFonts w:ascii="Times New Roman" w:hAnsi="Times New Roman"/>
              </w:rPr>
            </w:pPr>
            <w:r>
              <w:rPr>
                <w:rFonts w:ascii="Times New Roman" w:hAnsi="Times New Roman"/>
              </w:rPr>
              <w:t>外运至衡阳市绿荫生态农业基地及附近农田作为农肥</w:t>
            </w:r>
          </w:p>
        </w:tc>
        <w:tc>
          <w:tcPr>
            <w:tcW w:w="788" w:type="pct"/>
            <w:vAlign w:val="center"/>
          </w:tcPr>
          <w:p>
            <w:pPr>
              <w:autoSpaceDE w:val="0"/>
              <w:jc w:val="center"/>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92" w:type="pct"/>
            <w:vMerge w:val="continue"/>
            <w:vAlign w:val="center"/>
          </w:tcPr>
          <w:p>
            <w:pPr>
              <w:autoSpaceDE w:val="0"/>
              <w:jc w:val="center"/>
              <w:rPr>
                <w:rFonts w:ascii="Times New Roman" w:hAnsi="Times New Roman"/>
              </w:rPr>
            </w:pPr>
          </w:p>
        </w:tc>
        <w:tc>
          <w:tcPr>
            <w:tcW w:w="576" w:type="pct"/>
            <w:vAlign w:val="center"/>
          </w:tcPr>
          <w:p>
            <w:pPr>
              <w:autoSpaceDE w:val="0"/>
              <w:jc w:val="center"/>
              <w:rPr>
                <w:rFonts w:ascii="Times New Roman" w:hAnsi="Times New Roman"/>
              </w:rPr>
            </w:pPr>
            <w:r>
              <w:rPr>
                <w:rFonts w:ascii="Times New Roman" w:hAnsi="Times New Roman"/>
              </w:rPr>
              <w:t>污水处理站</w:t>
            </w:r>
          </w:p>
        </w:tc>
        <w:tc>
          <w:tcPr>
            <w:tcW w:w="860" w:type="pct"/>
            <w:vAlign w:val="center"/>
          </w:tcPr>
          <w:p>
            <w:pPr>
              <w:autoSpaceDE w:val="0"/>
              <w:jc w:val="center"/>
              <w:rPr>
                <w:rFonts w:ascii="Times New Roman" w:hAnsi="Times New Roman"/>
              </w:rPr>
            </w:pPr>
            <w:r>
              <w:rPr>
                <w:rFonts w:ascii="Times New Roman" w:hAnsi="Times New Roman"/>
              </w:rPr>
              <w:t>沼渣</w:t>
            </w:r>
          </w:p>
        </w:tc>
        <w:tc>
          <w:tcPr>
            <w:tcW w:w="786" w:type="pct"/>
            <w:vAlign w:val="center"/>
          </w:tcPr>
          <w:p>
            <w:pPr>
              <w:autoSpaceDE w:val="0"/>
              <w:jc w:val="center"/>
              <w:rPr>
                <w:rFonts w:ascii="Times New Roman" w:hAnsi="Times New Roman"/>
              </w:rPr>
            </w:pPr>
            <w:r>
              <w:rPr>
                <w:rFonts w:ascii="Times New Roman" w:hAnsi="Times New Roman"/>
              </w:rPr>
              <w:t>20</w:t>
            </w:r>
          </w:p>
        </w:tc>
        <w:tc>
          <w:tcPr>
            <w:tcW w:w="1598" w:type="pct"/>
            <w:vAlign w:val="center"/>
          </w:tcPr>
          <w:p>
            <w:pPr>
              <w:autoSpaceDE w:val="0"/>
              <w:jc w:val="center"/>
              <w:rPr>
                <w:rFonts w:ascii="Times New Roman" w:hAnsi="Times New Roman"/>
              </w:rPr>
            </w:pPr>
            <w:r>
              <w:rPr>
                <w:rFonts w:ascii="Times New Roman" w:hAnsi="Times New Roman"/>
              </w:rPr>
              <w:t>清运至项目协议单位蓝莓养殖基地作为农肥</w:t>
            </w:r>
          </w:p>
        </w:tc>
        <w:tc>
          <w:tcPr>
            <w:tcW w:w="788" w:type="pct"/>
            <w:vAlign w:val="center"/>
          </w:tcPr>
          <w:p>
            <w:pPr>
              <w:autoSpaceDE w:val="0"/>
              <w:jc w:val="center"/>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Align w:val="center"/>
          </w:tcPr>
          <w:p>
            <w:pPr>
              <w:autoSpaceDE w:val="0"/>
              <w:jc w:val="center"/>
              <w:rPr>
                <w:rFonts w:ascii="Times New Roman" w:hAnsi="Times New Roman"/>
              </w:rPr>
            </w:pPr>
            <w:r>
              <w:rPr>
                <w:rFonts w:ascii="Times New Roman" w:hAnsi="Times New Roman"/>
              </w:rPr>
              <w:t>职工宿舍</w:t>
            </w:r>
          </w:p>
        </w:tc>
        <w:tc>
          <w:tcPr>
            <w:tcW w:w="860" w:type="pct"/>
            <w:vAlign w:val="center"/>
          </w:tcPr>
          <w:p>
            <w:pPr>
              <w:autoSpaceDE w:val="0"/>
              <w:jc w:val="center"/>
              <w:rPr>
                <w:rFonts w:ascii="Times New Roman" w:hAnsi="Times New Roman"/>
              </w:rPr>
            </w:pPr>
            <w:r>
              <w:rPr>
                <w:rFonts w:ascii="Times New Roman" w:hAnsi="Times New Roman"/>
              </w:rPr>
              <w:t>生活垃圾</w:t>
            </w:r>
          </w:p>
        </w:tc>
        <w:tc>
          <w:tcPr>
            <w:tcW w:w="786" w:type="pct"/>
            <w:vAlign w:val="center"/>
          </w:tcPr>
          <w:p>
            <w:pPr>
              <w:autoSpaceDE w:val="0"/>
              <w:jc w:val="center"/>
              <w:rPr>
                <w:rFonts w:ascii="Times New Roman" w:hAnsi="Times New Roman"/>
              </w:rPr>
            </w:pPr>
            <w:r>
              <w:rPr>
                <w:rFonts w:ascii="Times New Roman" w:hAnsi="Times New Roman"/>
              </w:rPr>
              <w:t>0.9 t/a</w:t>
            </w:r>
          </w:p>
        </w:tc>
        <w:tc>
          <w:tcPr>
            <w:tcW w:w="1598" w:type="pct"/>
            <w:vAlign w:val="center"/>
          </w:tcPr>
          <w:p>
            <w:pPr>
              <w:autoSpaceDE w:val="0"/>
              <w:jc w:val="center"/>
              <w:rPr>
                <w:rFonts w:ascii="Times New Roman" w:hAnsi="Times New Roman"/>
              </w:rPr>
            </w:pPr>
            <w:r>
              <w:rPr>
                <w:rFonts w:ascii="Times New Roman" w:hAnsi="Times New Roman"/>
              </w:rPr>
              <w:t>收集后送至垃圾填埋场卫生填埋</w:t>
            </w:r>
          </w:p>
        </w:tc>
        <w:tc>
          <w:tcPr>
            <w:tcW w:w="788" w:type="pct"/>
            <w:vAlign w:val="center"/>
          </w:tcPr>
          <w:p>
            <w:pPr>
              <w:autoSpaceDE w:val="0"/>
              <w:jc w:val="center"/>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pPr>
              <w:jc w:val="left"/>
              <w:rPr>
                <w:rFonts w:ascii="Times New Roman" w:hAnsi="Times New Roman"/>
              </w:rPr>
            </w:pPr>
          </w:p>
        </w:tc>
        <w:tc>
          <w:tcPr>
            <w:tcW w:w="576" w:type="pct"/>
            <w:vAlign w:val="center"/>
          </w:tcPr>
          <w:p>
            <w:pPr>
              <w:autoSpaceDE w:val="0"/>
              <w:jc w:val="center"/>
              <w:rPr>
                <w:rFonts w:ascii="Times New Roman" w:hAnsi="Times New Roman"/>
              </w:rPr>
            </w:pPr>
            <w:r>
              <w:rPr>
                <w:rFonts w:ascii="Times New Roman" w:hAnsi="Times New Roman"/>
              </w:rPr>
              <w:t>待宰车间</w:t>
            </w:r>
          </w:p>
        </w:tc>
        <w:tc>
          <w:tcPr>
            <w:tcW w:w="860" w:type="pct"/>
            <w:vAlign w:val="center"/>
          </w:tcPr>
          <w:p>
            <w:pPr>
              <w:autoSpaceDE w:val="0"/>
              <w:jc w:val="center"/>
              <w:rPr>
                <w:rFonts w:ascii="Times New Roman" w:hAnsi="Times New Roman"/>
              </w:rPr>
            </w:pPr>
            <w:r>
              <w:rPr>
                <w:rFonts w:ascii="Times New Roman" w:hAnsi="Times New Roman"/>
              </w:rPr>
              <w:t>不合格酮体及病死禽</w:t>
            </w:r>
          </w:p>
        </w:tc>
        <w:tc>
          <w:tcPr>
            <w:tcW w:w="786" w:type="pct"/>
            <w:vAlign w:val="center"/>
          </w:tcPr>
          <w:p>
            <w:pPr>
              <w:autoSpaceDE w:val="0"/>
              <w:jc w:val="center"/>
              <w:rPr>
                <w:rFonts w:ascii="Times New Roman" w:hAnsi="Times New Roman"/>
              </w:rPr>
            </w:pPr>
            <w:r>
              <w:rPr>
                <w:rFonts w:ascii="Times New Roman" w:hAnsi="Times New Roman"/>
              </w:rPr>
              <w:t>少量</w:t>
            </w:r>
          </w:p>
        </w:tc>
        <w:tc>
          <w:tcPr>
            <w:tcW w:w="1598" w:type="pct"/>
            <w:vAlign w:val="center"/>
          </w:tcPr>
          <w:p>
            <w:pPr>
              <w:autoSpaceDE w:val="0"/>
              <w:jc w:val="center"/>
              <w:rPr>
                <w:rFonts w:ascii="Times New Roman" w:hAnsi="Times New Roman"/>
              </w:rPr>
            </w:pPr>
            <w:r>
              <w:rPr>
                <w:rFonts w:ascii="Times New Roman" w:hAnsi="Times New Roman"/>
              </w:rPr>
              <w:t>经收集后投入安全井销毁处理</w:t>
            </w:r>
          </w:p>
        </w:tc>
        <w:tc>
          <w:tcPr>
            <w:tcW w:w="788" w:type="pct"/>
            <w:vAlign w:val="center"/>
          </w:tcPr>
          <w:p>
            <w:pPr>
              <w:autoSpaceDE w:val="0"/>
              <w:jc w:val="center"/>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Align w:val="center"/>
          </w:tcPr>
          <w:p>
            <w:pPr>
              <w:autoSpaceDE w:val="0"/>
              <w:jc w:val="center"/>
              <w:rPr>
                <w:rFonts w:ascii="Times New Roman" w:hAnsi="Times New Roman"/>
              </w:rPr>
            </w:pPr>
            <w:r>
              <w:rPr>
                <w:rFonts w:ascii="Times New Roman" w:hAnsi="Times New Roman"/>
              </w:rPr>
              <w:t>噪声</w:t>
            </w:r>
          </w:p>
        </w:tc>
        <w:tc>
          <w:tcPr>
            <w:tcW w:w="4608" w:type="pct"/>
            <w:gridSpan w:val="5"/>
            <w:vAlign w:val="center"/>
          </w:tcPr>
          <w:p>
            <w:pPr>
              <w:autoSpaceDE w:val="0"/>
              <w:jc w:val="center"/>
              <w:rPr>
                <w:rFonts w:ascii="Times New Roman" w:hAnsi="Times New Roman"/>
              </w:rPr>
            </w:pPr>
            <w:r>
              <w:rPr>
                <w:rFonts w:ascii="Times New Roman" w:hAnsi="Times New Roman"/>
              </w:rPr>
              <w:t>项目宰杀时采取电击方式，因此叫声对周边环境影响较小，并选用低噪声设备，采取合理布局等有效的减振、隔声、降噪措施</w:t>
            </w:r>
          </w:p>
        </w:tc>
      </w:tr>
    </w:tbl>
    <w:p>
      <w:pPr>
        <w:pStyle w:val="3"/>
        <w:ind w:firstLine="0" w:firstLineChars="0"/>
        <w:outlineLvl w:val="2"/>
      </w:pPr>
      <w:r>
        <w:rPr>
          <w:rFonts w:hint="eastAsia"/>
        </w:rPr>
        <w:t xml:space="preserve">3.1.12  </w:t>
      </w:r>
      <w:r>
        <w:rPr>
          <w:rFonts w:hint="eastAsia" w:eastAsia="黑体" w:cstheme="majorBidi"/>
          <w:bCs/>
          <w:szCs w:val="32"/>
        </w:rPr>
        <w:t>现有工程环境问题</w:t>
      </w:r>
    </w:p>
    <w:p>
      <w:pPr>
        <w:pStyle w:val="3"/>
        <w:ind w:firstLine="480"/>
        <w:rPr>
          <w:rFonts w:cs="Times New Roman"/>
          <w:color w:val="FF0000"/>
          <w:u w:val="single"/>
        </w:rPr>
      </w:pPr>
      <w:r>
        <w:rPr>
          <w:rFonts w:hint="eastAsia" w:cs="Times New Roman"/>
          <w:color w:val="FF0000"/>
          <w:u w:val="single"/>
        </w:rPr>
        <w:t>本项目属改扩建项目，根据现场调查，项目在生产运营过程中存在的主要环境问题及拟整改措施如下：</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w:t>
      </w:r>
      <w:r>
        <w:rPr>
          <w:rFonts w:hint="eastAsia" w:cs="Times New Roman" w:eastAsiaTheme="minorEastAsia"/>
          <w:b/>
          <w:color w:val="FF0000"/>
          <w:u w:val="single"/>
        </w:rPr>
        <w:t>3.1-6</w:t>
      </w:r>
      <w:r>
        <w:rPr>
          <w:rFonts w:cs="Times New Roman" w:eastAsiaTheme="minorEastAsia"/>
          <w:b/>
          <w:color w:val="FF0000"/>
          <w:u w:val="single"/>
        </w:rPr>
        <w:t xml:space="preserve">  现有项目存在问题及拟整改措施</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981"/>
        <w:gridCol w:w="3627"/>
        <w:gridCol w:w="3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pPr>
              <w:jc w:val="center"/>
              <w:rPr>
                <w:rFonts w:ascii="Times New Roman" w:hAnsi="Times New Roman"/>
                <w:color w:val="FF0000"/>
                <w:u w:val="single"/>
              </w:rPr>
            </w:pPr>
            <w:r>
              <w:rPr>
                <w:rFonts w:ascii="Times New Roman" w:hAnsi="Times New Roman"/>
                <w:color w:val="FF0000"/>
                <w:u w:val="single"/>
              </w:rPr>
              <w:t>序号</w:t>
            </w:r>
          </w:p>
        </w:tc>
        <w:tc>
          <w:tcPr>
            <w:tcW w:w="981" w:type="dxa"/>
            <w:vAlign w:val="center"/>
          </w:tcPr>
          <w:p>
            <w:pPr>
              <w:jc w:val="center"/>
              <w:rPr>
                <w:rFonts w:ascii="Times New Roman" w:hAnsi="Times New Roman"/>
                <w:color w:val="FF0000"/>
                <w:u w:val="single"/>
              </w:rPr>
            </w:pPr>
            <w:r>
              <w:rPr>
                <w:rFonts w:ascii="Times New Roman" w:hAnsi="Times New Roman"/>
                <w:color w:val="FF0000"/>
                <w:u w:val="single"/>
              </w:rPr>
              <w:t>污染类型</w:t>
            </w:r>
          </w:p>
        </w:tc>
        <w:tc>
          <w:tcPr>
            <w:tcW w:w="3627" w:type="dxa"/>
            <w:vAlign w:val="center"/>
          </w:tcPr>
          <w:p>
            <w:pPr>
              <w:jc w:val="center"/>
              <w:rPr>
                <w:rFonts w:ascii="Times New Roman" w:hAnsi="Times New Roman"/>
                <w:color w:val="FF0000"/>
                <w:u w:val="single"/>
              </w:rPr>
            </w:pPr>
            <w:r>
              <w:rPr>
                <w:rFonts w:ascii="Times New Roman" w:hAnsi="Times New Roman"/>
                <w:color w:val="FF0000"/>
                <w:u w:val="single"/>
              </w:rPr>
              <w:t>存在问题</w:t>
            </w:r>
          </w:p>
        </w:tc>
        <w:tc>
          <w:tcPr>
            <w:tcW w:w="3731" w:type="dxa"/>
            <w:vAlign w:val="center"/>
          </w:tcPr>
          <w:p>
            <w:pPr>
              <w:jc w:val="center"/>
              <w:rPr>
                <w:rFonts w:ascii="Times New Roman" w:hAnsi="Times New Roman"/>
                <w:color w:val="FF0000"/>
                <w:u w:val="single"/>
              </w:rPr>
            </w:pPr>
            <w:r>
              <w:rPr>
                <w:rFonts w:ascii="Times New Roman" w:hAnsi="Times New Roman"/>
                <w:color w:val="FF0000"/>
                <w:u w:val="single"/>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pPr>
              <w:jc w:val="center"/>
              <w:rPr>
                <w:rFonts w:ascii="Times New Roman" w:hAnsi="Times New Roman"/>
                <w:color w:val="FF0000"/>
                <w:u w:val="single"/>
              </w:rPr>
            </w:pPr>
            <w:r>
              <w:rPr>
                <w:rFonts w:ascii="Times New Roman" w:hAnsi="Times New Roman"/>
                <w:color w:val="FF0000"/>
                <w:u w:val="single"/>
              </w:rPr>
              <w:t>1</w:t>
            </w:r>
          </w:p>
        </w:tc>
        <w:tc>
          <w:tcPr>
            <w:tcW w:w="981" w:type="dxa"/>
            <w:vAlign w:val="center"/>
          </w:tcPr>
          <w:p>
            <w:pPr>
              <w:jc w:val="center"/>
              <w:rPr>
                <w:rFonts w:ascii="Times New Roman" w:hAnsi="Times New Roman"/>
                <w:color w:val="FF0000"/>
                <w:u w:val="single"/>
              </w:rPr>
            </w:pPr>
            <w:r>
              <w:rPr>
                <w:rFonts w:ascii="Times New Roman" w:hAnsi="Times New Roman"/>
                <w:color w:val="FF0000"/>
                <w:u w:val="single"/>
              </w:rPr>
              <w:t>废水</w:t>
            </w:r>
          </w:p>
        </w:tc>
        <w:tc>
          <w:tcPr>
            <w:tcW w:w="3627" w:type="dxa"/>
            <w:vAlign w:val="center"/>
          </w:tcPr>
          <w:p>
            <w:pPr>
              <w:jc w:val="center"/>
              <w:rPr>
                <w:rFonts w:ascii="Times New Roman" w:hAnsi="Times New Roman"/>
                <w:color w:val="FF0000"/>
                <w:u w:val="single"/>
              </w:rPr>
            </w:pPr>
            <w:r>
              <w:rPr>
                <w:rFonts w:ascii="Times New Roman" w:hAnsi="Times New Roman"/>
                <w:color w:val="FF0000"/>
                <w:u w:val="single"/>
              </w:rPr>
              <w:t>现有项目生产废水经沉淀池+沼气池处理</w:t>
            </w:r>
            <w:r>
              <w:rPr>
                <w:rFonts w:hint="eastAsia" w:ascii="Times New Roman" w:hAnsi="Times New Roman"/>
                <w:color w:val="FF0000"/>
                <w:u w:val="single"/>
              </w:rPr>
              <w:t>设施不能满足项目改扩建要求</w:t>
            </w:r>
            <w:r>
              <w:rPr>
                <w:rFonts w:ascii="Times New Roman" w:hAnsi="Times New Roman"/>
                <w:color w:val="FF0000"/>
                <w:u w:val="single"/>
              </w:rPr>
              <w:t>。</w:t>
            </w:r>
          </w:p>
        </w:tc>
        <w:tc>
          <w:tcPr>
            <w:tcW w:w="3731" w:type="dxa"/>
            <w:vAlign w:val="center"/>
          </w:tcPr>
          <w:p>
            <w:pPr>
              <w:jc w:val="center"/>
              <w:rPr>
                <w:rFonts w:ascii="Times New Roman" w:hAnsi="Times New Roman"/>
                <w:color w:val="FF0000"/>
                <w:u w:val="single"/>
              </w:rPr>
            </w:pPr>
            <w:r>
              <w:rPr>
                <w:rFonts w:hint="eastAsia" w:ascii="宋体" w:hAnsi="宋体" w:cs="宋体"/>
                <w:color w:val="FF0000"/>
                <w:u w:val="single"/>
              </w:rPr>
              <w:t>根据“农办农【2021】10号”文件设计了最新的粪污处理工艺，项目生产废水及粪污通过</w:t>
            </w:r>
            <w:r>
              <w:rPr>
                <w:rFonts w:cs="Times New Roman"/>
                <w:color w:val="FF0000"/>
                <w:u w:val="single"/>
              </w:rPr>
              <w:t>隔栅→粪污调节池→固液分离→污水→沼气池→</w:t>
            </w:r>
            <w:r>
              <w:rPr>
                <w:rFonts w:hint="eastAsia" w:cs="Times New Roman"/>
                <w:color w:val="FF0000"/>
                <w:u w:val="single"/>
              </w:rPr>
              <w:t>三级曝气</w:t>
            </w:r>
            <w:r>
              <w:rPr>
                <w:rFonts w:cs="Times New Roman"/>
                <w:color w:val="FF0000"/>
                <w:u w:val="single"/>
              </w:rPr>
              <w:t>沉淀池→杀菌除臭→</w:t>
            </w:r>
            <w:r>
              <w:rPr>
                <w:rFonts w:hint="eastAsia" w:cs="Times New Roman"/>
                <w:color w:val="FF0000"/>
                <w:u w:val="single"/>
              </w:rPr>
              <w:t>交衡阳县喜耕田有机肥厂回收处理</w:t>
            </w:r>
            <w:r>
              <w:rPr>
                <w:rFonts w:hint="eastAsia" w:ascii="宋体" w:hAnsi="宋体" w:cs="宋体"/>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pPr>
              <w:jc w:val="center"/>
              <w:rPr>
                <w:rFonts w:ascii="Times New Roman" w:hAnsi="Times New Roman"/>
                <w:color w:val="FF0000"/>
                <w:u w:val="single"/>
              </w:rPr>
            </w:pPr>
            <w:r>
              <w:rPr>
                <w:rFonts w:ascii="Times New Roman" w:hAnsi="Times New Roman"/>
                <w:color w:val="FF0000"/>
                <w:u w:val="single"/>
              </w:rPr>
              <w:t>2</w:t>
            </w:r>
          </w:p>
        </w:tc>
        <w:tc>
          <w:tcPr>
            <w:tcW w:w="981" w:type="dxa"/>
            <w:vAlign w:val="center"/>
          </w:tcPr>
          <w:p>
            <w:pPr>
              <w:jc w:val="center"/>
              <w:rPr>
                <w:rFonts w:ascii="Times New Roman" w:hAnsi="Times New Roman"/>
                <w:color w:val="FF0000"/>
                <w:u w:val="single"/>
              </w:rPr>
            </w:pPr>
            <w:r>
              <w:rPr>
                <w:rFonts w:ascii="Times New Roman" w:hAnsi="Times New Roman"/>
                <w:color w:val="FF0000"/>
                <w:u w:val="single"/>
              </w:rPr>
              <w:t>废气</w:t>
            </w:r>
          </w:p>
        </w:tc>
        <w:tc>
          <w:tcPr>
            <w:tcW w:w="3627" w:type="dxa"/>
            <w:vAlign w:val="center"/>
          </w:tcPr>
          <w:p>
            <w:pPr>
              <w:jc w:val="center"/>
              <w:rPr>
                <w:rFonts w:ascii="Times New Roman" w:hAnsi="Times New Roman"/>
                <w:color w:val="FF0000"/>
                <w:u w:val="single"/>
              </w:rPr>
            </w:pPr>
            <w:r>
              <w:rPr>
                <w:rFonts w:ascii="Times New Roman" w:hAnsi="Times New Roman"/>
                <w:color w:val="FF0000"/>
                <w:u w:val="single"/>
              </w:rPr>
              <w:t>现有项目宰杀车间喷洒除臭剂次数较少，没有很好的控制恶臭，造成恶臭、蚊蝇较多，臭味明显。</w:t>
            </w:r>
          </w:p>
        </w:tc>
        <w:tc>
          <w:tcPr>
            <w:tcW w:w="3731" w:type="dxa"/>
            <w:vAlign w:val="center"/>
          </w:tcPr>
          <w:p>
            <w:pPr>
              <w:jc w:val="center"/>
              <w:rPr>
                <w:rFonts w:ascii="Times New Roman" w:hAnsi="Times New Roman"/>
                <w:color w:val="FF0000"/>
                <w:u w:val="single"/>
              </w:rPr>
            </w:pPr>
            <w:r>
              <w:rPr>
                <w:rFonts w:ascii="Times New Roman" w:hAnsi="Times New Roman"/>
                <w:color w:val="FF0000"/>
                <w:u w:val="single"/>
              </w:rPr>
              <w:t>建议规范化管理宰杀车间，对车间做到日产日清，并定时喷洒除臭剂，减少恶臭废气的排放。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pPr>
              <w:jc w:val="center"/>
              <w:rPr>
                <w:rFonts w:ascii="Times New Roman" w:hAnsi="Times New Roman"/>
                <w:color w:val="FF0000"/>
                <w:u w:val="single"/>
              </w:rPr>
            </w:pPr>
            <w:r>
              <w:rPr>
                <w:rFonts w:ascii="Times New Roman" w:hAnsi="Times New Roman"/>
                <w:color w:val="FF0000"/>
                <w:u w:val="single"/>
              </w:rPr>
              <w:t>3</w:t>
            </w:r>
          </w:p>
        </w:tc>
        <w:tc>
          <w:tcPr>
            <w:tcW w:w="981" w:type="dxa"/>
            <w:vMerge w:val="restart"/>
            <w:vAlign w:val="center"/>
          </w:tcPr>
          <w:p>
            <w:pPr>
              <w:jc w:val="center"/>
              <w:rPr>
                <w:rFonts w:ascii="Times New Roman" w:hAnsi="Times New Roman"/>
                <w:color w:val="FF0000"/>
                <w:u w:val="single"/>
              </w:rPr>
            </w:pPr>
            <w:r>
              <w:rPr>
                <w:rFonts w:ascii="Times New Roman" w:hAnsi="Times New Roman"/>
                <w:color w:val="FF0000"/>
                <w:u w:val="single"/>
              </w:rPr>
              <w:t>固废</w:t>
            </w:r>
          </w:p>
        </w:tc>
        <w:tc>
          <w:tcPr>
            <w:tcW w:w="3627" w:type="dxa"/>
            <w:vAlign w:val="center"/>
          </w:tcPr>
          <w:p>
            <w:pPr>
              <w:jc w:val="center"/>
              <w:rPr>
                <w:rFonts w:ascii="Times New Roman" w:hAnsi="Times New Roman"/>
                <w:color w:val="FF0000"/>
                <w:u w:val="single"/>
              </w:rPr>
            </w:pPr>
            <w:r>
              <w:rPr>
                <w:rFonts w:ascii="Times New Roman" w:hAnsi="Times New Roman"/>
                <w:color w:val="FF0000"/>
                <w:u w:val="single"/>
              </w:rPr>
              <w:t>项目宰杀放血，未收集只流污水处理设施。</w:t>
            </w:r>
          </w:p>
        </w:tc>
        <w:tc>
          <w:tcPr>
            <w:tcW w:w="3731" w:type="dxa"/>
            <w:vAlign w:val="center"/>
          </w:tcPr>
          <w:p>
            <w:pPr>
              <w:jc w:val="center"/>
              <w:rPr>
                <w:rFonts w:ascii="Times New Roman" w:hAnsi="Times New Roman"/>
                <w:color w:val="FF0000"/>
                <w:u w:val="single"/>
              </w:rPr>
            </w:pPr>
            <w:r>
              <w:rPr>
                <w:rFonts w:ascii="Times New Roman" w:hAnsi="Times New Roman"/>
                <w:color w:val="FF0000"/>
                <w:u w:val="single"/>
              </w:rPr>
              <w:t>建议现有项目在宰杀车间增设集血桶，对宰杀畜禽血收集外售。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 w:type="dxa"/>
            <w:vAlign w:val="center"/>
          </w:tcPr>
          <w:p>
            <w:pPr>
              <w:jc w:val="center"/>
              <w:rPr>
                <w:rFonts w:ascii="Times New Roman" w:hAnsi="Times New Roman"/>
                <w:color w:val="FF0000"/>
                <w:u w:val="single"/>
              </w:rPr>
            </w:pPr>
            <w:r>
              <w:rPr>
                <w:rFonts w:hint="eastAsia" w:ascii="Times New Roman" w:hAnsi="Times New Roman"/>
                <w:color w:val="FF0000"/>
                <w:u w:val="single"/>
              </w:rPr>
              <w:t>4</w:t>
            </w:r>
          </w:p>
        </w:tc>
        <w:tc>
          <w:tcPr>
            <w:tcW w:w="981" w:type="dxa"/>
            <w:vMerge w:val="continue"/>
            <w:vAlign w:val="center"/>
          </w:tcPr>
          <w:p>
            <w:pPr>
              <w:jc w:val="center"/>
              <w:rPr>
                <w:rFonts w:ascii="Times New Roman" w:hAnsi="Times New Roman"/>
                <w:color w:val="FF0000"/>
                <w:u w:val="single"/>
              </w:rPr>
            </w:pPr>
          </w:p>
        </w:tc>
        <w:tc>
          <w:tcPr>
            <w:tcW w:w="3627" w:type="dxa"/>
            <w:vAlign w:val="center"/>
          </w:tcPr>
          <w:p>
            <w:pPr>
              <w:jc w:val="center"/>
              <w:rPr>
                <w:rFonts w:ascii="Times New Roman" w:hAnsi="Times New Roman"/>
                <w:bCs/>
                <w:color w:val="FF0000"/>
                <w:u w:val="single"/>
              </w:rPr>
            </w:pPr>
            <w:r>
              <w:rPr>
                <w:rFonts w:ascii="Times New Roman" w:hAnsi="Times New Roman"/>
                <w:bCs/>
                <w:color w:val="FF0000"/>
                <w:u w:val="single"/>
              </w:rPr>
              <w:t>现有项目</w:t>
            </w:r>
            <w:r>
              <w:rPr>
                <w:rFonts w:ascii="Times New Roman" w:hAnsi="Times New Roman"/>
                <w:color w:val="FF0000"/>
                <w:u w:val="single"/>
              </w:rPr>
              <w:t>不合格酮体及病死</w:t>
            </w:r>
            <w:r>
              <w:rPr>
                <w:rFonts w:hint="eastAsia" w:ascii="Times New Roman" w:hAnsi="Times New Roman"/>
                <w:color w:val="FF0000"/>
                <w:u w:val="single"/>
              </w:rPr>
              <w:t>畜</w:t>
            </w:r>
            <w:r>
              <w:rPr>
                <w:rFonts w:ascii="Times New Roman" w:hAnsi="Times New Roman"/>
                <w:color w:val="FF0000"/>
                <w:u w:val="single"/>
              </w:rPr>
              <w:t>处置不规范，缺少无害化处置及承当单位。</w:t>
            </w:r>
          </w:p>
        </w:tc>
        <w:tc>
          <w:tcPr>
            <w:tcW w:w="3731" w:type="dxa"/>
            <w:vAlign w:val="center"/>
          </w:tcPr>
          <w:p>
            <w:pPr>
              <w:jc w:val="center"/>
              <w:rPr>
                <w:rFonts w:ascii="Times New Roman" w:hAnsi="Times New Roman"/>
                <w:color w:val="FF0000"/>
                <w:u w:val="single"/>
              </w:rPr>
            </w:pPr>
            <w:r>
              <w:rPr>
                <w:rFonts w:ascii="Times New Roman" w:hAnsi="Times New Roman"/>
                <w:color w:val="FF0000"/>
                <w:u w:val="single"/>
              </w:rPr>
              <w:t>建议增设冷库，将不合格酮体及病死禽存放后交由有资质无害化处理单位处置。</w:t>
            </w:r>
          </w:p>
        </w:tc>
      </w:tr>
    </w:tbl>
    <w:p>
      <w:pPr>
        <w:pStyle w:val="3"/>
        <w:ind w:firstLine="0" w:firstLineChars="0"/>
        <w:outlineLvl w:val="2"/>
      </w:pPr>
      <w:r>
        <w:rPr>
          <w:rFonts w:hint="eastAsia"/>
        </w:rPr>
        <w:t xml:space="preserve">3.1.12  </w:t>
      </w:r>
      <w:r>
        <w:rPr>
          <w:rFonts w:hint="eastAsia" w:eastAsia="黑体" w:cstheme="majorBidi"/>
          <w:bCs/>
          <w:szCs w:val="32"/>
        </w:rPr>
        <w:t>现有工程投诉情况</w:t>
      </w:r>
    </w:p>
    <w:p>
      <w:pPr>
        <w:spacing w:line="360" w:lineRule="auto"/>
        <w:ind w:firstLine="480" w:firstLineChars="200"/>
        <w:jc w:val="left"/>
        <w:rPr>
          <w:color w:val="FF0000"/>
          <w:u w:val="single"/>
        </w:rPr>
      </w:pPr>
      <w:r>
        <w:rPr>
          <w:rFonts w:hint="eastAsia" w:ascii="Times New Roman" w:hAnsi="Times New Roman"/>
          <w:color w:val="FF0000"/>
          <w:sz w:val="24"/>
          <w:u w:val="single"/>
        </w:rPr>
        <w:t>本项目自2017年9月施工建设开始到营运至今未收到任何相关的环保投诉。</w:t>
      </w:r>
    </w:p>
    <w:p>
      <w:pPr>
        <w:pStyle w:val="3"/>
        <w:ind w:firstLine="0" w:firstLineChars="0"/>
        <w:outlineLvl w:val="2"/>
      </w:pPr>
      <w:r>
        <w:rPr>
          <w:rFonts w:hint="eastAsia"/>
        </w:rPr>
        <w:t>3.1.14</w:t>
      </w:r>
      <w:r>
        <w:rPr>
          <w:rFonts w:hint="eastAsia" w:eastAsia="黑体" w:cstheme="majorBidi"/>
          <w:bCs/>
          <w:szCs w:val="32"/>
        </w:rPr>
        <w:t>“以新带老”措施</w:t>
      </w:r>
    </w:p>
    <w:p>
      <w:pPr>
        <w:spacing w:line="360" w:lineRule="auto"/>
        <w:ind w:firstLine="480" w:firstLineChars="200"/>
        <w:jc w:val="left"/>
        <w:rPr>
          <w:rFonts w:ascii="Times New Roman" w:hAnsi="Times New Roman"/>
          <w:color w:val="FF0000"/>
          <w:sz w:val="24"/>
          <w:u w:val="single"/>
        </w:rPr>
      </w:pPr>
      <w:r>
        <w:rPr>
          <w:rFonts w:ascii="Times New Roman" w:hAnsi="Times New Roman"/>
          <w:color w:val="FF0000"/>
          <w:sz w:val="24"/>
          <w:u w:val="single"/>
        </w:rPr>
        <w:t>为了减少废水污染物的产生量和排放量，本次评价提出的“以新带老”措施如下：</w:t>
      </w:r>
    </w:p>
    <w:p>
      <w:pPr>
        <w:pStyle w:val="3"/>
        <w:ind w:firstLine="480"/>
        <w:rPr>
          <w:rFonts w:eastAsiaTheme="minorEastAsia"/>
          <w:color w:val="FF0000"/>
          <w:u w:val="single"/>
        </w:rPr>
      </w:pPr>
      <w:r>
        <w:rPr>
          <w:rFonts w:hint="eastAsia" w:eastAsiaTheme="minorEastAsia"/>
          <w:color w:val="FF0000"/>
          <w:u w:val="single"/>
        </w:rPr>
        <w:t>根据“农办农【2021】10号”文件设计了最新的粪污处理工艺，项目生产废水及粪污通过</w:t>
      </w:r>
      <w:r>
        <w:rPr>
          <w:rFonts w:cs="Times New Roman"/>
          <w:color w:val="FF0000"/>
          <w:u w:val="single"/>
        </w:rPr>
        <w:t>隔栅→粪污调节池→固液分离→污水→沼气池→</w:t>
      </w:r>
      <w:r>
        <w:rPr>
          <w:rFonts w:hint="eastAsia" w:cs="Times New Roman"/>
          <w:color w:val="FF0000"/>
          <w:u w:val="single"/>
        </w:rPr>
        <w:t>三级曝气</w:t>
      </w:r>
      <w:r>
        <w:rPr>
          <w:rFonts w:cs="Times New Roman"/>
          <w:color w:val="FF0000"/>
          <w:u w:val="single"/>
        </w:rPr>
        <w:t>沉淀池→杀菌除臭→</w:t>
      </w:r>
      <w:r>
        <w:rPr>
          <w:rFonts w:hint="eastAsia" w:cs="Times New Roman"/>
          <w:color w:val="FF0000"/>
          <w:u w:val="single"/>
        </w:rPr>
        <w:t>交衡阳县喜耕田有机肥厂回收处理</w:t>
      </w:r>
      <w:r>
        <w:rPr>
          <w:rFonts w:eastAsiaTheme="minorEastAsia"/>
          <w:color w:val="FF0000"/>
          <w:u w:val="single"/>
        </w:rPr>
        <w:t>。</w:t>
      </w:r>
    </w:p>
    <w:p>
      <w:pPr>
        <w:pStyle w:val="3"/>
        <w:ind w:firstLine="480"/>
        <w:rPr>
          <w:rFonts w:cs="Times New Roman"/>
          <w:color w:val="FF0000"/>
          <w:u w:val="single"/>
        </w:rPr>
      </w:pPr>
      <w:r>
        <w:rPr>
          <w:rFonts w:hint="eastAsia" w:cs="Times New Roman"/>
          <w:color w:val="FF0000"/>
          <w:u w:val="single"/>
        </w:rPr>
        <w:t>新增冷库，对病死畜禽尸体冷柜贮存，交由有资质的集中病死畜禽无害化处理中心收集处理。</w:t>
      </w:r>
    </w:p>
    <w:p>
      <w:pPr>
        <w:pStyle w:val="5"/>
      </w:pPr>
      <w:bookmarkStart w:id="17" w:name="_Toc116993063"/>
      <w:r>
        <w:rPr>
          <w:rFonts w:hint="eastAsia"/>
        </w:rPr>
        <w:t>拟建工程概况</w:t>
      </w:r>
      <w:bookmarkEnd w:id="17"/>
    </w:p>
    <w:p>
      <w:pPr>
        <w:pStyle w:val="3"/>
        <w:ind w:firstLine="0" w:firstLineChars="0"/>
        <w:outlineLvl w:val="2"/>
      </w:pPr>
      <w:r>
        <w:rPr>
          <w:rFonts w:hint="eastAsia"/>
        </w:rPr>
        <w:t xml:space="preserve">3.2.1  </w:t>
      </w:r>
      <w:r>
        <w:rPr>
          <w:rFonts w:hint="eastAsia" w:eastAsia="黑体" w:cstheme="majorBidi"/>
          <w:bCs/>
          <w:szCs w:val="32"/>
        </w:rPr>
        <w:t>项目基本情况</w:t>
      </w:r>
    </w:p>
    <w:p>
      <w:pPr>
        <w:pStyle w:val="3"/>
        <w:ind w:firstLine="480"/>
        <w:rPr>
          <w:rFonts w:cs="Times New Roman"/>
        </w:rPr>
      </w:pPr>
      <w:r>
        <w:rPr>
          <w:rFonts w:hint="eastAsia" w:cs="Times New Roman"/>
        </w:rPr>
        <w:t>项目名称：衡阳鸿福畜禽综合屠宰有限公司年屠宰肉牛1万头、家禽1000万只改扩建项目。</w:t>
      </w:r>
    </w:p>
    <w:p>
      <w:pPr>
        <w:pStyle w:val="3"/>
        <w:ind w:firstLine="480"/>
        <w:rPr>
          <w:rFonts w:cs="Times New Roman"/>
        </w:rPr>
      </w:pPr>
      <w:r>
        <w:rPr>
          <w:rFonts w:hint="eastAsia" w:cs="Times New Roman"/>
        </w:rPr>
        <w:t>建设性质：改扩建。</w:t>
      </w:r>
    </w:p>
    <w:p>
      <w:pPr>
        <w:pStyle w:val="3"/>
        <w:ind w:firstLine="480"/>
        <w:rPr>
          <w:rFonts w:cs="Times New Roman"/>
        </w:rPr>
      </w:pPr>
      <w:r>
        <w:rPr>
          <w:rFonts w:hint="eastAsia" w:cs="Times New Roman"/>
        </w:rPr>
        <w:t>地理位置：衡阳县集兵镇大利村祝老屋组，地理坐标为东经112°52′18.82″、北纬26°98′61.66″。</w:t>
      </w:r>
    </w:p>
    <w:p>
      <w:pPr>
        <w:pStyle w:val="3"/>
        <w:ind w:firstLine="480"/>
        <w:rPr>
          <w:rFonts w:cs="Times New Roman"/>
        </w:rPr>
      </w:pPr>
      <w:r>
        <w:rPr>
          <w:rFonts w:hint="eastAsia" w:cs="Times New Roman"/>
        </w:rPr>
        <w:t>占地面积：</w:t>
      </w:r>
      <w:r>
        <w:rPr>
          <w:rFonts w:hint="eastAsia"/>
        </w:rPr>
        <w:t>8678</w:t>
      </w:r>
      <w:r>
        <w:rPr>
          <w:rFonts w:cs="Times New Roman"/>
        </w:rPr>
        <w:t xml:space="preserve"> m</w:t>
      </w:r>
      <w:r>
        <w:rPr>
          <w:rFonts w:cs="Times New Roman"/>
          <w:vertAlign w:val="superscript"/>
        </w:rPr>
        <w:t>2</w:t>
      </w:r>
      <w:r>
        <w:rPr>
          <w:rFonts w:hint="eastAsia" w:cs="Times New Roman"/>
        </w:rPr>
        <w:t>，（不新增建设用地）。</w:t>
      </w:r>
    </w:p>
    <w:p>
      <w:pPr>
        <w:pStyle w:val="3"/>
        <w:ind w:firstLine="480"/>
        <w:rPr>
          <w:rFonts w:cs="Times New Roman"/>
        </w:rPr>
      </w:pPr>
      <w:r>
        <w:rPr>
          <w:rFonts w:hint="eastAsia" w:cs="Times New Roman"/>
        </w:rPr>
        <w:t>行业类别：对照《国民经济行业分类》（</w:t>
      </w:r>
      <w:r>
        <w:rPr>
          <w:rFonts w:cs="Times New Roman"/>
        </w:rPr>
        <w:t>GB/T4754-2017</w:t>
      </w:r>
      <w:r>
        <w:rPr>
          <w:rFonts w:hint="eastAsia" w:cs="Times New Roman"/>
        </w:rPr>
        <w:t>）（</w:t>
      </w:r>
      <w:r>
        <w:rPr>
          <w:rFonts w:cs="Times New Roman"/>
        </w:rPr>
        <w:t xml:space="preserve">2019 </w:t>
      </w:r>
      <w:r>
        <w:rPr>
          <w:rFonts w:hint="eastAsia" w:cs="Times New Roman"/>
        </w:rPr>
        <w:t>修订），本项目属于农林牧渔业中“屠宰及肉类加工”类别，编号</w:t>
      </w:r>
      <w:r>
        <w:rPr>
          <w:rFonts w:cs="Times New Roman"/>
        </w:rPr>
        <w:t>C135</w:t>
      </w:r>
      <w:r>
        <w:rPr>
          <w:rFonts w:hint="eastAsia" w:cs="Times New Roman"/>
        </w:rPr>
        <w:t>。</w:t>
      </w:r>
    </w:p>
    <w:p>
      <w:pPr>
        <w:pStyle w:val="3"/>
        <w:ind w:firstLine="480"/>
        <w:rPr>
          <w:rFonts w:cs="Times New Roman"/>
        </w:rPr>
      </w:pPr>
      <w:r>
        <w:rPr>
          <w:rFonts w:hint="eastAsia" w:cs="Times New Roman"/>
        </w:rPr>
        <w:t>环评类别：《建设项目环境影响评价分类管理名录（</w:t>
      </w:r>
      <w:r>
        <w:rPr>
          <w:rFonts w:cs="Times New Roman"/>
        </w:rPr>
        <w:t xml:space="preserve">2021 </w:t>
      </w:r>
      <w:r>
        <w:rPr>
          <w:rFonts w:hint="eastAsia" w:cs="Times New Roman"/>
        </w:rPr>
        <w:t>年版）》中“十、农副食品加工业</w:t>
      </w:r>
      <w:r>
        <w:rPr>
          <w:rFonts w:cs="Times New Roman"/>
        </w:rPr>
        <w:t>13</w:t>
      </w:r>
      <w:r>
        <w:rPr>
          <w:rFonts w:hint="eastAsia" w:cs="Times New Roman"/>
        </w:rPr>
        <w:t>”中的“</w:t>
      </w:r>
      <w:r>
        <w:rPr>
          <w:rFonts w:cs="Times New Roman"/>
        </w:rPr>
        <w:t>18</w:t>
      </w:r>
      <w:r>
        <w:rPr>
          <w:rFonts w:hint="eastAsia" w:cs="Times New Roman"/>
        </w:rPr>
        <w:t>、屠宰及肉类加工</w:t>
      </w:r>
      <w:r>
        <w:rPr>
          <w:rFonts w:cs="Times New Roman"/>
        </w:rPr>
        <w:t>135*</w:t>
      </w:r>
      <w:r>
        <w:rPr>
          <w:rFonts w:hint="eastAsia" w:cs="Times New Roman"/>
        </w:rPr>
        <w:t>”——屠宰生猪</w:t>
      </w:r>
      <w:r>
        <w:rPr>
          <w:rFonts w:cs="Times New Roman"/>
        </w:rPr>
        <w:t xml:space="preserve">10 </w:t>
      </w:r>
      <w:r>
        <w:rPr>
          <w:rFonts w:hint="eastAsia" w:cs="Times New Roman"/>
        </w:rPr>
        <w:t>万头、肉牛</w:t>
      </w:r>
      <w:r>
        <w:rPr>
          <w:rFonts w:cs="Times New Roman"/>
        </w:rPr>
        <w:t xml:space="preserve">1 </w:t>
      </w:r>
      <w:r>
        <w:rPr>
          <w:rFonts w:hint="eastAsia" w:cs="Times New Roman"/>
        </w:rPr>
        <w:t>万头、肉羊</w:t>
      </w:r>
      <w:r>
        <w:rPr>
          <w:rFonts w:cs="Times New Roman"/>
        </w:rPr>
        <w:t xml:space="preserve">15 </w:t>
      </w:r>
      <w:r>
        <w:rPr>
          <w:rFonts w:hint="eastAsia" w:cs="Times New Roman"/>
        </w:rPr>
        <w:t>万只、禽类</w:t>
      </w:r>
      <w:r>
        <w:rPr>
          <w:rFonts w:cs="Times New Roman"/>
        </w:rPr>
        <w:t xml:space="preserve">1000 </w:t>
      </w:r>
      <w:r>
        <w:rPr>
          <w:rFonts w:hint="eastAsia" w:cs="Times New Roman"/>
        </w:rPr>
        <w:t>万只及以上”。</w:t>
      </w:r>
    </w:p>
    <w:p>
      <w:pPr>
        <w:pStyle w:val="3"/>
        <w:ind w:firstLine="480"/>
        <w:rPr>
          <w:rFonts w:cs="Times New Roman"/>
        </w:rPr>
      </w:pPr>
      <w:r>
        <w:rPr>
          <w:rFonts w:hint="eastAsia" w:cs="Times New Roman"/>
        </w:rPr>
        <w:t>总投资：本项目总投资1500万元，其中环保投资275万元，占总投资</w:t>
      </w:r>
      <w:r>
        <w:rPr>
          <w:rFonts w:cs="Times New Roman"/>
        </w:rPr>
        <w:t>18.33%</w:t>
      </w:r>
      <w:r>
        <w:rPr>
          <w:rFonts w:hint="eastAsia" w:cs="Times New Roman"/>
        </w:rPr>
        <w:t>。</w:t>
      </w:r>
    </w:p>
    <w:p>
      <w:pPr>
        <w:pStyle w:val="3"/>
        <w:ind w:firstLine="480"/>
        <w:rPr>
          <w:rFonts w:cs="Times New Roman"/>
        </w:rPr>
      </w:pPr>
      <w:r>
        <w:rPr>
          <w:rFonts w:hint="eastAsia" w:cs="Times New Roman"/>
        </w:rPr>
        <w:t>劳动定员：本项目劳动定员20人，均不在场区内食宿。</w:t>
      </w:r>
    </w:p>
    <w:p>
      <w:pPr>
        <w:pStyle w:val="3"/>
        <w:ind w:firstLine="480"/>
        <w:rPr>
          <w:rFonts w:cs="Times New Roman"/>
        </w:rPr>
      </w:pPr>
      <w:r>
        <w:rPr>
          <w:rFonts w:hint="eastAsia" w:cs="Times New Roman"/>
        </w:rPr>
        <w:t>工作制度：年工作天数为300天，生产班制为1班，每天工作8h。</w:t>
      </w:r>
    </w:p>
    <w:p>
      <w:pPr>
        <w:pStyle w:val="3"/>
        <w:ind w:firstLine="0" w:firstLineChars="0"/>
        <w:outlineLvl w:val="2"/>
      </w:pPr>
      <w:r>
        <w:rPr>
          <w:rFonts w:hint="eastAsia"/>
        </w:rPr>
        <w:t xml:space="preserve">3.2.2  </w:t>
      </w:r>
      <w:r>
        <w:rPr>
          <w:rFonts w:hint="eastAsia" w:eastAsia="黑体" w:cstheme="majorBidi"/>
          <w:bCs/>
          <w:szCs w:val="32"/>
        </w:rPr>
        <w:t>建设内容及规模</w:t>
      </w:r>
    </w:p>
    <w:p>
      <w:pPr>
        <w:pStyle w:val="3"/>
        <w:ind w:firstLine="480"/>
        <w:rPr>
          <w:rFonts w:cs="Times New Roman"/>
        </w:rPr>
      </w:pPr>
      <w:r>
        <w:rPr>
          <w:rFonts w:hint="eastAsia" w:cs="Times New Roman"/>
        </w:rPr>
        <w:t>（1）本项目与现有厂区依托关系</w:t>
      </w:r>
    </w:p>
    <w:p>
      <w:pPr>
        <w:pStyle w:val="3"/>
        <w:ind w:firstLine="480"/>
        <w:rPr>
          <w:rFonts w:cs="Times New Roman"/>
        </w:rPr>
      </w:pPr>
      <w:r>
        <w:rPr>
          <w:rFonts w:hint="eastAsia" w:cs="Times New Roman"/>
        </w:rPr>
        <w:t>本项目肉牛屠宰完全依托现有的厂房和设备，只增加产能。禽类屠宰依托厂区现有厂房新增设备，其中供水、供电完全依托厂区现有。</w:t>
      </w:r>
    </w:p>
    <w:p>
      <w:pPr>
        <w:pStyle w:val="3"/>
        <w:ind w:firstLine="480"/>
        <w:rPr>
          <w:rFonts w:cs="Times New Roman"/>
        </w:rPr>
      </w:pPr>
      <w:r>
        <w:rPr>
          <w:rFonts w:hint="eastAsia" w:cs="Times New Roman"/>
        </w:rPr>
        <w:t>（2）本项目主要建设内容</w:t>
      </w:r>
    </w:p>
    <w:p>
      <w:pPr>
        <w:pStyle w:val="3"/>
        <w:ind w:firstLine="480"/>
        <w:rPr>
          <w:rFonts w:cs="Times New Roman"/>
        </w:rPr>
      </w:pPr>
      <w:r>
        <w:rPr>
          <w:rFonts w:hint="eastAsia" w:cs="Times New Roman"/>
        </w:rPr>
        <w:t>项目在原有厂址的基础上，部分依托原有厂房，部分新建，不新增用地。项目占地面积为</w:t>
      </w:r>
      <w:r>
        <w:rPr>
          <w:rFonts w:cs="Times New Roman"/>
        </w:rPr>
        <w:t>8678m</w:t>
      </w:r>
      <w:r>
        <w:rPr>
          <w:rFonts w:cs="Times New Roman"/>
          <w:vertAlign w:val="superscript"/>
        </w:rPr>
        <w:t>2</w:t>
      </w:r>
      <w:r>
        <w:rPr>
          <w:rFonts w:hint="eastAsia" w:cs="Times New Roman"/>
        </w:rPr>
        <w:t>，主要建设内容包括：待宰车间、屠宰车间、办公楼、污水处理设施等，同时建设电力、绿化、给排水等配套工程，拟建项目建设内容详见表3.2-1。</w:t>
      </w:r>
    </w:p>
    <w:p>
      <w:pPr>
        <w:pStyle w:val="3"/>
        <w:spacing w:line="240" w:lineRule="auto"/>
        <w:ind w:firstLine="0" w:firstLineChars="0"/>
        <w:jc w:val="center"/>
        <w:rPr>
          <w:rFonts w:cs="Times New Roman" w:eastAsiaTheme="minorEastAsia"/>
          <w:b/>
        </w:rPr>
      </w:pPr>
      <w:r>
        <w:rPr>
          <w:rFonts w:hint="eastAsia" w:cs="Times New Roman" w:eastAsiaTheme="minorEastAsia"/>
          <w:b/>
        </w:rPr>
        <w:t>表3.2-1主要建设内容一览表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495"/>
        <w:gridCol w:w="1493"/>
        <w:gridCol w:w="347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名称</w:t>
            </w:r>
          </w:p>
        </w:tc>
        <w:tc>
          <w:tcPr>
            <w:tcW w:w="81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项目</w:t>
            </w:r>
          </w:p>
        </w:tc>
        <w:tc>
          <w:tcPr>
            <w:tcW w:w="2710" w:type="pct"/>
            <w:gridSpan w:val="2"/>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工程内容及规模</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restart"/>
            <w:tcBorders>
              <w:top w:val="single" w:color="auto" w:sz="4" w:space="0"/>
              <w:left w:val="single" w:color="auto" w:sz="4" w:space="0"/>
              <w:right w:val="single" w:color="auto" w:sz="4" w:space="0"/>
            </w:tcBorders>
            <w:vAlign w:val="center"/>
          </w:tcPr>
          <w:p>
            <w:pPr>
              <w:pStyle w:val="49"/>
              <w:rPr>
                <w:rFonts w:cs="Times New Roman"/>
              </w:rPr>
            </w:pPr>
            <w:r>
              <w:rPr>
                <w:rFonts w:hint="eastAsia"/>
              </w:rPr>
              <w:t>主体</w:t>
            </w:r>
          </w:p>
          <w:p>
            <w:pPr>
              <w:pStyle w:val="49"/>
            </w:pPr>
            <w:r>
              <w:rPr>
                <w:rFonts w:hint="eastAsia"/>
              </w:rPr>
              <w:t>工程</w:t>
            </w:r>
          </w:p>
        </w:tc>
        <w:tc>
          <w:tcPr>
            <w:tcW w:w="815" w:type="pct"/>
            <w:vMerge w:val="restart"/>
            <w:tcBorders>
              <w:top w:val="single" w:color="auto" w:sz="4" w:space="0"/>
              <w:left w:val="single" w:color="auto" w:sz="4" w:space="0"/>
              <w:right w:val="single" w:color="auto" w:sz="4" w:space="0"/>
            </w:tcBorders>
            <w:vAlign w:val="center"/>
          </w:tcPr>
          <w:p>
            <w:pPr>
              <w:pStyle w:val="49"/>
            </w:pPr>
            <w:r>
              <w:rPr>
                <w:rFonts w:hint="eastAsia"/>
              </w:rPr>
              <w:t>肉牛屠宰</w:t>
            </w: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待宰间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w:t>
            </w:r>
            <w:r>
              <w:t>00m</w:t>
            </w:r>
            <w:r>
              <w:rPr>
                <w:vertAlign w:val="superscript"/>
              </w:rPr>
              <w:t>2</w:t>
            </w:r>
            <w:r>
              <w:rPr>
                <w:rFonts w:hint="eastAsia"/>
              </w:rPr>
              <w:t>，共2个，</w:t>
            </w:r>
            <w:r>
              <w:t xml:space="preserve"> 1</w:t>
            </w:r>
            <w:r>
              <w:rPr>
                <w:rFonts w:hint="eastAsia"/>
              </w:rPr>
              <w:t>个</w:t>
            </w:r>
            <w:r>
              <w:t>300m</w:t>
            </w:r>
            <w:r>
              <w:rPr>
                <w:vertAlign w:val="superscript"/>
              </w:rPr>
              <w:t>2</w:t>
            </w:r>
            <w:r>
              <w:rPr>
                <w:rFonts w:hint="eastAsia"/>
              </w:rPr>
              <w:t>，一个</w:t>
            </w:r>
            <w:r>
              <w:t>400m</w:t>
            </w:r>
            <w:r>
              <w:rPr>
                <w:vertAlign w:val="superscript"/>
              </w:rPr>
              <w:t>2</w:t>
            </w:r>
            <w:r>
              <w:rPr>
                <w:rFonts w:hint="eastAsia"/>
              </w:rPr>
              <w:t>，用于存放待宰牛</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屠宰车间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w:t>
            </w:r>
            <w:r>
              <w:t>80m</w:t>
            </w:r>
            <w:r>
              <w:rPr>
                <w:vertAlign w:val="superscript"/>
              </w:rPr>
              <w:t>2</w:t>
            </w:r>
            <w:r>
              <w:rPr>
                <w:rFonts w:hint="eastAsia"/>
              </w:rPr>
              <w:t>，共2个，1个580</w:t>
            </w:r>
            <w:r>
              <w:t xml:space="preserve"> m</w:t>
            </w:r>
            <w:r>
              <w:rPr>
                <w:vertAlign w:val="superscript"/>
              </w:rPr>
              <w:t>2</w:t>
            </w:r>
            <w:r>
              <w:rPr>
                <w:rFonts w:hint="eastAsia"/>
              </w:rPr>
              <w:t>，一个200m</w:t>
            </w:r>
            <w:r>
              <w:rPr>
                <w:rFonts w:hint="eastAsia"/>
                <w:vertAlign w:val="superscript"/>
              </w:rPr>
              <w:t>2</w:t>
            </w:r>
            <w:r>
              <w:rPr>
                <w:rFonts w:hint="eastAsia"/>
              </w:rPr>
              <w:t>，用于对牛的宰杀，剥皮</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检疫室</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t>40m</w:t>
            </w:r>
            <w:r>
              <w:rPr>
                <w:vertAlign w:val="superscript"/>
              </w:rPr>
              <w:t>2</w:t>
            </w:r>
            <w:r>
              <w:rPr>
                <w:rFonts w:hint="eastAsia"/>
              </w:rPr>
              <w:t>，对牛屠宰前的检疫</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分割冷冻车间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t>600m</w:t>
            </w:r>
            <w:r>
              <w:rPr>
                <w:vertAlign w:val="superscript"/>
              </w:rPr>
              <w:t>2</w:t>
            </w:r>
            <w:r>
              <w:rPr>
                <w:rFonts w:hint="eastAsia"/>
              </w:rPr>
              <w:t>，冷冻设备采用</w:t>
            </w:r>
            <w:r>
              <w:t>R404A</w:t>
            </w:r>
            <w:r>
              <w:rPr>
                <w:rFonts w:hint="eastAsia"/>
              </w:rPr>
              <w:t>制冷剂（该制冷剂不含氟利昂）</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restart"/>
            <w:tcBorders>
              <w:left w:val="single" w:color="auto" w:sz="4" w:space="0"/>
              <w:right w:val="single" w:color="auto" w:sz="4" w:space="0"/>
            </w:tcBorders>
            <w:vAlign w:val="center"/>
          </w:tcPr>
          <w:p>
            <w:pPr>
              <w:pStyle w:val="49"/>
            </w:pPr>
            <w:r>
              <w:rPr>
                <w:rFonts w:hint="eastAsia"/>
              </w:rPr>
              <w:t>禽类屠宰</w:t>
            </w: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待宰车间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依托原厂房，用于存放待宰鸡鸭，钢结构，总面积为700m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屠宰车间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依托原厂房，主要对鸡鸭进行屠宰区域，钢结构，总面积为1150m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急宰车间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依托原厂房，主要对有病鸡鸭进行屠宰区域，钢结构，总面积为200m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冷冻库</w:t>
            </w:r>
          </w:p>
        </w:tc>
        <w:tc>
          <w:tcPr>
            <w:tcW w:w="18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rPr>
            </w:pPr>
            <w:r>
              <w:rPr>
                <w:rFonts w:hint="eastAsia" w:ascii="Times New Roman" w:hAnsi="Times New Roman" w:eastAsia="宋体"/>
              </w:rPr>
              <w:t>依托原厂房，钢结构，面积为</w:t>
            </w:r>
            <w:r>
              <w:rPr>
                <w:rFonts w:ascii="Times New Roman" w:hAnsi="Times New Roman" w:eastAsia="宋体"/>
              </w:rPr>
              <w:t>120m</w:t>
            </w:r>
            <w:r>
              <w:rPr>
                <w:rFonts w:ascii="Times New Roman" w:hAnsi="Times New Roman" w:eastAsia="宋体"/>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Cs w:val="24"/>
                <w:u w:val="single"/>
              </w:rPr>
            </w:pPr>
            <w:r>
              <w:rPr>
                <w:rFonts w:hint="eastAsia" w:ascii="Times New Roman" w:hAnsi="Times New Roman"/>
                <w:u w:val="single"/>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2" w:type="pct"/>
            <w:vMerge w:val="continue"/>
            <w:tcBorders>
              <w:left w:val="single" w:color="auto" w:sz="4" w:space="0"/>
              <w:right w:val="single" w:color="auto" w:sz="4" w:space="0"/>
            </w:tcBorders>
            <w:vAlign w:val="center"/>
          </w:tcPr>
          <w:p>
            <w:pPr>
              <w:adjustRightInd/>
              <w:snapToGrid/>
              <w:jc w:val="center"/>
              <w:rPr>
                <w:rFonts w:ascii="Times New Roman" w:hAnsi="Times New Roman"/>
              </w:rPr>
            </w:pPr>
          </w:p>
        </w:tc>
        <w:tc>
          <w:tcPr>
            <w:tcW w:w="815" w:type="pct"/>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冷藏库</w:t>
            </w:r>
          </w:p>
        </w:tc>
        <w:tc>
          <w:tcPr>
            <w:tcW w:w="18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rPr>
            </w:pPr>
            <w:r>
              <w:rPr>
                <w:rFonts w:hint="eastAsia" w:ascii="Times New Roman" w:hAnsi="Times New Roman" w:eastAsia="宋体"/>
              </w:rPr>
              <w:t>依托原厂房，钢结构，面积为</w:t>
            </w:r>
            <w:r>
              <w:rPr>
                <w:rFonts w:ascii="Times New Roman" w:hAnsi="Times New Roman" w:eastAsia="宋体"/>
              </w:rPr>
              <w:t>260m</w:t>
            </w:r>
            <w:r>
              <w:rPr>
                <w:rFonts w:ascii="Times New Roman" w:hAnsi="Times New Roman" w:eastAsia="宋体"/>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Cs w:val="24"/>
                <w:u w:val="single"/>
              </w:rPr>
            </w:pPr>
            <w:r>
              <w:rPr>
                <w:rFonts w:hint="eastAsia" w:ascii="Times New Roman" w:hAnsi="Times New Roman"/>
                <w:u w:val="single"/>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restart"/>
            <w:tcBorders>
              <w:top w:val="single" w:color="auto" w:sz="4" w:space="0"/>
              <w:left w:val="single" w:color="auto" w:sz="4" w:space="0"/>
              <w:right w:val="single" w:color="auto" w:sz="4" w:space="0"/>
            </w:tcBorders>
            <w:vAlign w:val="center"/>
          </w:tcPr>
          <w:p>
            <w:pPr>
              <w:pStyle w:val="49"/>
              <w:rPr>
                <w:rFonts w:cs="Times New Roman"/>
              </w:rPr>
            </w:pPr>
            <w:r>
              <w:rPr>
                <w:rFonts w:hint="eastAsia"/>
              </w:rPr>
              <w:t>辅助</w:t>
            </w:r>
          </w:p>
          <w:p>
            <w:pPr>
              <w:pStyle w:val="49"/>
            </w:pPr>
            <w:r>
              <w:rPr>
                <w:rFonts w:hint="eastAsia"/>
              </w:rPr>
              <w:t>工程</w:t>
            </w: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办公生活区</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t>540m</w:t>
            </w:r>
            <w:r>
              <w:rPr>
                <w:vertAlign w:val="superscript"/>
              </w:rPr>
              <w:t>2</w:t>
            </w:r>
            <w:r>
              <w:rPr>
                <w:rFonts w:hint="eastAsia"/>
              </w:rPr>
              <w:t>，混砖、</w:t>
            </w:r>
            <w:r>
              <w:t>3</w:t>
            </w:r>
            <w:r>
              <w:rPr>
                <w:rFonts w:hint="eastAsia"/>
              </w:rPr>
              <w:t>层</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更衣间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依托原厂房，钢结构，面积为40m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办公楼</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新建，3F，混砖结构，总面积为864m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冷库区</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cs="Times New Roman"/>
              </w:rPr>
              <w:t>对病死畜禽尸体冷柜贮存，畜、禽屠宰区各一间</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u w:val="single"/>
              </w:rPr>
            </w:pPr>
            <w:r>
              <w:rPr>
                <w:rFonts w:hint="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锅炉房</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依托原厂房，钢结构，面积为50m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依托现有厂房，设备新增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生物隔离带</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隔离禽类屠宰和肉牛屠宰区</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堆肥车间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畜禽粪污资源化利用</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u w:val="single"/>
              </w:rPr>
            </w:pPr>
            <w:r>
              <w:rPr>
                <w:rFonts w:hint="eastAsia"/>
              </w:rPr>
              <w:t>衡阳县喜耕田有机肥厂租用厂房用于堆肥发酵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沼气池</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5000m</w:t>
            </w:r>
            <w:r>
              <w:rPr>
                <w:rFonts w:hint="eastAsia"/>
                <w:vertAlign w:val="superscript"/>
              </w:rPr>
              <w:t>3</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u w:val="single"/>
              </w:rPr>
            </w:pPr>
            <w:r>
              <w:rPr>
                <w:rFonts w:hint="eastAsia"/>
                <w:u w:val="single"/>
              </w:rPr>
              <w:t>依托</w:t>
            </w:r>
            <w:r>
              <w:rPr>
                <w:rFonts w:hint="eastAsia"/>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bottom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危废暂存间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20m</w:t>
            </w:r>
            <w:r>
              <w:rPr>
                <w:rFonts w:hint="eastAsia"/>
                <w:vertAlign w:val="superscript"/>
              </w:rPr>
              <w:t>2</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restart"/>
            <w:tcBorders>
              <w:top w:val="single" w:color="auto" w:sz="4" w:space="0"/>
              <w:left w:val="single" w:color="auto" w:sz="4" w:space="0"/>
              <w:right w:val="single" w:color="auto" w:sz="4" w:space="0"/>
            </w:tcBorders>
            <w:vAlign w:val="center"/>
          </w:tcPr>
          <w:p>
            <w:pPr>
              <w:pStyle w:val="49"/>
            </w:pPr>
            <w:r>
              <w:rPr>
                <w:rFonts w:hint="eastAsia"/>
              </w:rPr>
              <w:t>公用</w:t>
            </w:r>
          </w:p>
          <w:p>
            <w:pPr>
              <w:pStyle w:val="49"/>
            </w:pPr>
            <w:r>
              <w:rPr>
                <w:rFonts w:hint="eastAsia"/>
              </w:rPr>
              <w:t>工程</w:t>
            </w: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供配电</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当地电网供电</w:t>
            </w:r>
            <w:r>
              <w:t xml:space="preserve"> </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供水</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井水</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447" w:type="pct"/>
            <w:gridSpan w:val="2"/>
            <w:vMerge w:val="continue"/>
            <w:tcBorders>
              <w:left w:val="single" w:color="auto" w:sz="4" w:space="0"/>
              <w:bottom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供热</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设置1台1t/h锅炉，采用生物质供热</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restart"/>
            <w:tcBorders>
              <w:top w:val="single" w:color="auto" w:sz="4" w:space="0"/>
              <w:left w:val="single" w:color="auto" w:sz="4" w:space="0"/>
              <w:right w:val="single" w:color="auto" w:sz="4" w:space="0"/>
            </w:tcBorders>
            <w:vAlign w:val="center"/>
          </w:tcPr>
          <w:p>
            <w:pPr>
              <w:pStyle w:val="49"/>
              <w:rPr>
                <w:rFonts w:cs="Times New Roman"/>
              </w:rPr>
            </w:pPr>
            <w:r>
              <w:rPr>
                <w:rFonts w:hint="eastAsia"/>
              </w:rPr>
              <w:t>环保</w:t>
            </w:r>
          </w:p>
          <w:p>
            <w:pPr>
              <w:pStyle w:val="49"/>
            </w:pPr>
            <w:r>
              <w:rPr>
                <w:rFonts w:hint="eastAsia"/>
              </w:rPr>
              <w:t>工程</w:t>
            </w:r>
          </w:p>
        </w:tc>
        <w:tc>
          <w:tcPr>
            <w:tcW w:w="814"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rPr>
              <w:t>废水处理</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eastAsiaTheme="minorEastAsia"/>
              </w:rPr>
              <w:t>新建一套粪污处理工艺，生产废水及粪污通过隔栅→粪污调节池→固液分离→污水→沼气池→三级曝气沉淀池→杀菌除臭→交衡阳县喜耕田有机肥厂回收处理。</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top w:val="single" w:color="auto" w:sz="4" w:space="0"/>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废气处理</w:t>
            </w:r>
          </w:p>
        </w:tc>
        <w:tc>
          <w:tcPr>
            <w:tcW w:w="1896"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jc w:val="left"/>
            </w:pPr>
            <w:r>
              <w:rPr>
                <w:rFonts w:hint="eastAsia" w:ascii="宋体" w:cs="宋体"/>
                <w:kern w:val="0"/>
              </w:rPr>
              <w:t>粪污处理区</w:t>
            </w:r>
            <w:r>
              <w:rPr>
                <w:rFonts w:hint="eastAsia" w:ascii="宋体" w:eastAsia="宋体" w:cs="宋体"/>
                <w:kern w:val="0"/>
              </w:rPr>
              <w:t>周边绿化</w:t>
            </w:r>
            <w:r>
              <w:rPr>
                <w:rFonts w:hint="eastAsia" w:ascii="宋体" w:cs="宋体"/>
                <w:kern w:val="0"/>
              </w:rPr>
              <w:t>，</w:t>
            </w:r>
            <w:r>
              <w:rPr>
                <w:rFonts w:hint="eastAsia" w:ascii="宋体" w:eastAsia="宋体" w:cs="宋体"/>
                <w:kern w:val="0"/>
              </w:rPr>
              <w:t>待宰车间喷洒除臭剂，及时清理粪</w:t>
            </w:r>
            <w:r>
              <w:rPr>
                <w:rFonts w:hint="eastAsia" w:ascii="宋体" w:cs="宋体"/>
                <w:kern w:val="0"/>
              </w:rPr>
              <w:t>污</w:t>
            </w:r>
            <w:r>
              <w:rPr>
                <w:rFonts w:hint="eastAsia" w:ascii="宋体" w:eastAsia="宋体" w:cs="宋体"/>
                <w:kern w:val="0"/>
              </w:rPr>
              <w:t>，通风；屠宰生产车间及时清除</w:t>
            </w:r>
            <w:r>
              <w:rPr>
                <w:rFonts w:hint="eastAsia" w:ascii="宋体" w:cs="宋体"/>
                <w:kern w:val="0"/>
              </w:rPr>
              <w:t>畜、禽</w:t>
            </w:r>
            <w:r>
              <w:rPr>
                <w:rFonts w:hint="eastAsia" w:ascii="宋体" w:eastAsia="宋体" w:cs="宋体"/>
                <w:kern w:val="0"/>
              </w:rPr>
              <w:t>内脏，通风等措施来减少恶臭。</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bCs/>
              </w:rPr>
              <w:t>噪声处理</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rPr>
              <w:t>采用低噪声设备、设备合理布局、高噪声设备安装减震基座、厂房隔声</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7" w:type="pct"/>
            <w:gridSpan w:val="2"/>
            <w:vMerge w:val="continue"/>
            <w:tcBorders>
              <w:left w:val="single" w:color="auto" w:sz="4" w:space="0"/>
              <w:bottom w:val="single" w:color="auto" w:sz="4" w:space="0"/>
              <w:right w:val="single" w:color="auto" w:sz="4" w:space="0"/>
            </w:tcBorders>
            <w:vAlign w:val="center"/>
          </w:tcPr>
          <w:p>
            <w:pPr>
              <w:pStyle w:val="49"/>
            </w:pPr>
          </w:p>
        </w:tc>
        <w:tc>
          <w:tcPr>
            <w:tcW w:w="8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固废处理</w:t>
            </w:r>
          </w:p>
        </w:tc>
        <w:tc>
          <w:tcPr>
            <w:tcW w:w="189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待宰间粪便采用袋装或密闭容器收集后交由衡阳县喜耕田有机肥厂回收处理；屠宰废物由密闭容器收集后，暂存于冷柜内一般固废暂存区，日产日清，由附近养殖户清运作为饲料；食用蜡由供应厂家回收；脱毛蜡由蜡供应公司回收；病死畜禽冷柜贮存，交由有资质的集中病死畜禽无害化处理中心收集处理；粪渣、沼渣交由衡阳县喜耕田有机肥厂回收处理</w:t>
            </w:r>
            <w:r>
              <w:rPr>
                <w:rFonts w:hint="eastAsia" w:eastAsiaTheme="minorEastAsia"/>
              </w:rPr>
              <w:t>，</w:t>
            </w:r>
            <w:r>
              <w:rPr>
                <w:rFonts w:hint="eastAsia" w:ascii="宋体" w:hAnsi="宋体" w:cs="宋体"/>
                <w:szCs w:val="24"/>
              </w:rPr>
              <w:t>废冷冻机油、检疫废物暂存在危废暂存间，定期交由有资质单位处理。</w:t>
            </w:r>
          </w:p>
        </w:tc>
        <w:tc>
          <w:tcPr>
            <w:tcW w:w="84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rPr>
              <w:t>新增</w:t>
            </w:r>
          </w:p>
        </w:tc>
      </w:tr>
    </w:tbl>
    <w:p>
      <w:pPr>
        <w:pStyle w:val="3"/>
        <w:ind w:firstLine="480"/>
        <w:rPr>
          <w:rFonts w:cs="Times New Roman"/>
          <w:color w:val="FF0000"/>
        </w:rPr>
      </w:pPr>
      <w:r>
        <w:rPr>
          <w:rFonts w:hint="eastAsia" w:cs="Times New Roman"/>
          <w:color w:val="FF0000"/>
        </w:rPr>
        <w:t>本项目</w:t>
      </w:r>
      <w:r>
        <w:rPr>
          <w:rFonts w:hint="eastAsia"/>
          <w:color w:val="FF0000"/>
        </w:rPr>
        <w:t>待宰间粪便、粪污处理系统的粪渣、沼渣均交由衡阳县喜耕田有机肥厂回收处理，衡阳县喜耕田有机肥厂租用本项目禽类屠宰区一个现有空置厂房用于堆肥发酵。</w:t>
      </w:r>
    </w:p>
    <w:p>
      <w:pPr>
        <w:pStyle w:val="3"/>
        <w:ind w:firstLine="0" w:firstLineChars="0"/>
        <w:outlineLvl w:val="2"/>
      </w:pPr>
      <w:r>
        <w:rPr>
          <w:rFonts w:hint="eastAsia"/>
        </w:rPr>
        <w:t xml:space="preserve">3.2.3  </w:t>
      </w:r>
      <w:r>
        <w:rPr>
          <w:rFonts w:hint="eastAsia" w:eastAsia="黑体" w:cstheme="majorBidi"/>
          <w:bCs/>
          <w:szCs w:val="32"/>
        </w:rPr>
        <w:t>主要产品及产能</w:t>
      </w:r>
    </w:p>
    <w:p>
      <w:pPr>
        <w:pStyle w:val="3"/>
        <w:ind w:firstLine="480"/>
        <w:rPr>
          <w:rFonts w:cs="Times New Roman"/>
        </w:rPr>
      </w:pPr>
      <w:r>
        <w:rPr>
          <w:rFonts w:hint="eastAsia" w:cs="Times New Roman"/>
        </w:rPr>
        <w:t>本项目为家畜、家禽屠宰，扩建1万头/年肉牛屠宰生产线、新建500万只</w:t>
      </w:r>
      <w:r>
        <w:rPr>
          <w:rFonts w:cs="Times New Roman"/>
        </w:rPr>
        <w:t>/</w:t>
      </w:r>
      <w:r>
        <w:rPr>
          <w:rFonts w:hint="eastAsia" w:cs="Times New Roman"/>
        </w:rPr>
        <w:t>年鸡屠宰生产线、5</w:t>
      </w:r>
      <w:r>
        <w:rPr>
          <w:rFonts w:cs="Times New Roman"/>
        </w:rPr>
        <w:t>00</w:t>
      </w:r>
      <w:r>
        <w:rPr>
          <w:rFonts w:hint="eastAsia" w:cs="Times New Roman"/>
        </w:rPr>
        <w:t>万只</w:t>
      </w:r>
      <w:r>
        <w:rPr>
          <w:rFonts w:cs="Times New Roman"/>
        </w:rPr>
        <w:t>/</w:t>
      </w:r>
      <w:r>
        <w:rPr>
          <w:rFonts w:hint="eastAsia" w:cs="Times New Roman"/>
        </w:rPr>
        <w:t>年鸭屠宰生产线。</w:t>
      </w:r>
    </w:p>
    <w:p>
      <w:pPr>
        <w:pStyle w:val="3"/>
        <w:ind w:firstLine="480"/>
        <w:rPr>
          <w:rFonts w:cs="Times New Roman"/>
        </w:rPr>
      </w:pPr>
      <w:r>
        <w:rPr>
          <w:rFonts w:hint="eastAsia" w:cs="Times New Roman"/>
        </w:rPr>
        <w:t>1、产品方案</w:t>
      </w:r>
    </w:p>
    <w:p>
      <w:pPr>
        <w:pStyle w:val="3"/>
        <w:ind w:firstLine="480"/>
        <w:rPr>
          <w:rFonts w:cs="Times New Roman"/>
        </w:rPr>
      </w:pPr>
      <w:r>
        <w:rPr>
          <w:rFonts w:hint="eastAsia" w:cs="Times New Roman"/>
        </w:rPr>
        <w:t>根据《污许可证申请与核发技术规范农副食品加工工业—屠宰及肉类加工工业》(HJ860.3-2018)，肉牛质量按500kg/头计，则年屠宰肉牛5000t/a，根据建设单位提供的经验数据肉牛的出肉率按54.3%计算。</w:t>
      </w:r>
    </w:p>
    <w:p>
      <w:pPr>
        <w:pStyle w:val="3"/>
        <w:ind w:firstLine="480"/>
        <w:rPr>
          <w:rFonts w:cs="Times New Roman"/>
        </w:rPr>
      </w:pPr>
      <w:r>
        <w:rPr>
          <w:rFonts w:hint="eastAsia" w:cs="Times New Roman"/>
        </w:rPr>
        <w:t>根据《排污许可证申请与核发技术规范农副食品加工工业—屠宰及肉类加工工业》、《135 屠宰及肉类加工行业系数手册》，按照鸭活屠重2.5kg/只计算，鸡活屠重1.75 kg/只计算，则年屠宰鸡8750</w:t>
      </w:r>
      <w:r>
        <w:rPr>
          <w:rFonts w:cs="Times New Roman"/>
        </w:rPr>
        <w:t>t</w:t>
      </w:r>
      <w:r>
        <w:rPr>
          <w:rFonts w:hint="eastAsia" w:cs="Times New Roman"/>
        </w:rPr>
        <w:t>，年屠宰鸭12500</w:t>
      </w:r>
      <w:r>
        <w:rPr>
          <w:rFonts w:cs="Times New Roman"/>
        </w:rPr>
        <w:t>t</w:t>
      </w:r>
      <w:r>
        <w:rPr>
          <w:rFonts w:hint="eastAsia" w:cs="Times New Roman"/>
        </w:rPr>
        <w:t>，根据建设单位提供的经验数据鸡的出肉率为65.0%，鸭的出肉率为63.0%，另有各类鸡、鸭副食品建成后产品方案详见表3.2-2。</w:t>
      </w:r>
    </w:p>
    <w:p>
      <w:pPr>
        <w:pStyle w:val="3"/>
        <w:spacing w:line="240" w:lineRule="auto"/>
        <w:ind w:firstLine="0" w:firstLineChars="0"/>
        <w:jc w:val="center"/>
        <w:rPr>
          <w:rFonts w:cs="Times New Roman" w:eastAsiaTheme="minorEastAsia"/>
          <w:b/>
        </w:rPr>
      </w:pPr>
      <w:r>
        <w:rPr>
          <w:rFonts w:hint="eastAsia" w:cs="Times New Roman" w:eastAsiaTheme="minorEastAsia"/>
          <w:b/>
        </w:rPr>
        <w:t>表3.2-2</w:t>
      </w:r>
      <w:r>
        <w:rPr>
          <w:rFonts w:cs="Times New Roman" w:eastAsiaTheme="minorEastAsia"/>
          <w:b/>
        </w:rPr>
        <w:t xml:space="preserve"> </w:t>
      </w:r>
      <w:r>
        <w:rPr>
          <w:rFonts w:hint="eastAsia" w:cs="Times New Roman" w:eastAsiaTheme="minorEastAsia"/>
          <w:b/>
        </w:rPr>
        <w:t>改扩建产品及产能一栏表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22"/>
        <w:gridCol w:w="1277"/>
        <w:gridCol w:w="2409"/>
        <w:gridCol w:w="1211"/>
        <w:gridCol w:w="1447"/>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cs="Times New Roman"/>
              </w:rPr>
            </w:pPr>
            <w:r>
              <w:rPr>
                <w:rFonts w:hint="eastAsia" w:ascii="Times New Roman" w:hAnsi="Times New Roman"/>
              </w:rPr>
              <w:t>序</w:t>
            </w:r>
            <w:r>
              <w:rPr>
                <w:rFonts w:ascii="Times New Roman" w:hAnsi="Times New Roman"/>
              </w:rPr>
              <w:t xml:space="preserve"> </w:t>
            </w:r>
            <w:r>
              <w:rPr>
                <w:rFonts w:hint="eastAsia" w:ascii="Times New Roman" w:hAnsi="Times New Roman"/>
              </w:rPr>
              <w:t>号</w:t>
            </w:r>
          </w:p>
        </w:tc>
        <w:tc>
          <w:tcPr>
            <w:tcW w:w="448" w:type="pct"/>
            <w:vAlign w:val="center"/>
          </w:tcPr>
          <w:p>
            <w:pPr>
              <w:widowControl w:val="0"/>
              <w:jc w:val="center"/>
              <w:rPr>
                <w:rFonts w:ascii="Times New Roman" w:hAnsi="Times New Roman"/>
              </w:rPr>
            </w:pPr>
            <w:r>
              <w:rPr>
                <w:rFonts w:hint="eastAsia" w:ascii="Times New Roman" w:hAnsi="Times New Roman"/>
              </w:rPr>
              <w:t>产品名称</w:t>
            </w:r>
          </w:p>
        </w:tc>
        <w:tc>
          <w:tcPr>
            <w:tcW w:w="696" w:type="pct"/>
            <w:vAlign w:val="center"/>
          </w:tcPr>
          <w:p>
            <w:pPr>
              <w:widowControl w:val="0"/>
              <w:jc w:val="center"/>
              <w:rPr>
                <w:rFonts w:ascii="Times New Roman" w:hAnsi="Times New Roman" w:cs="Times New Roman"/>
              </w:rPr>
            </w:pPr>
            <w:r>
              <w:rPr>
                <w:rFonts w:hint="eastAsia" w:ascii="Times New Roman" w:hAnsi="Times New Roman"/>
              </w:rPr>
              <w:t>产品类别</w:t>
            </w:r>
          </w:p>
        </w:tc>
        <w:tc>
          <w:tcPr>
            <w:tcW w:w="1313" w:type="pct"/>
            <w:vAlign w:val="center"/>
          </w:tcPr>
          <w:p>
            <w:pPr>
              <w:widowControl w:val="0"/>
              <w:jc w:val="center"/>
              <w:rPr>
                <w:rFonts w:ascii="Times New Roman" w:hAnsi="Times New Roman" w:cs="Times New Roman"/>
              </w:rPr>
            </w:pPr>
            <w:r>
              <w:rPr>
                <w:rFonts w:hint="eastAsia" w:ascii="Times New Roman" w:hAnsi="Times New Roman"/>
              </w:rPr>
              <w:t>产品</w:t>
            </w:r>
          </w:p>
        </w:tc>
        <w:tc>
          <w:tcPr>
            <w:tcW w:w="660" w:type="pct"/>
            <w:vAlign w:val="center"/>
          </w:tcPr>
          <w:p>
            <w:pPr>
              <w:widowControl w:val="0"/>
              <w:jc w:val="center"/>
              <w:rPr>
                <w:rFonts w:ascii="Times New Roman" w:hAnsi="Times New Roman" w:cs="Times New Roman"/>
              </w:rPr>
            </w:pPr>
            <w:r>
              <w:rPr>
                <w:rFonts w:hint="eastAsia" w:ascii="Times New Roman" w:hAnsi="Times New Roman"/>
              </w:rPr>
              <w:t>产量（</w:t>
            </w:r>
            <w:r>
              <w:rPr>
                <w:rFonts w:ascii="Times New Roman" w:hAnsi="Times New Roman"/>
              </w:rPr>
              <w:t>t/a</w:t>
            </w:r>
            <w:r>
              <w:rPr>
                <w:rFonts w:hint="eastAsia" w:ascii="Times New Roman" w:hAnsi="Times New Roman"/>
              </w:rPr>
              <w:t>）</w:t>
            </w:r>
          </w:p>
        </w:tc>
        <w:tc>
          <w:tcPr>
            <w:tcW w:w="789" w:type="pct"/>
            <w:vAlign w:val="center"/>
          </w:tcPr>
          <w:p>
            <w:pPr>
              <w:widowControl w:val="0"/>
              <w:jc w:val="center"/>
              <w:rPr>
                <w:rFonts w:ascii="Times New Roman" w:hAnsi="Times New Roman"/>
              </w:rPr>
            </w:pPr>
            <w:r>
              <w:rPr>
                <w:rFonts w:hint="eastAsia" w:ascii="Times New Roman" w:hAnsi="Times New Roman"/>
              </w:rPr>
              <w:t>质量占比</w:t>
            </w:r>
          </w:p>
        </w:tc>
        <w:tc>
          <w:tcPr>
            <w:tcW w:w="788" w:type="pct"/>
            <w:vAlign w:val="center"/>
          </w:tcPr>
          <w:p>
            <w:pPr>
              <w:widowControl w:val="0"/>
              <w:jc w:val="center"/>
              <w:rPr>
                <w:rFonts w:ascii="Times New Roman" w:hAnsi="Times New Roman"/>
              </w:rPr>
            </w:pPr>
            <w:r>
              <w:rPr>
                <w:rFonts w:hint="eastAsia" w:ascii="Times New Roman" w:hAnsi="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cs="Times New Roman"/>
              </w:rPr>
            </w:pPr>
            <w:r>
              <w:rPr>
                <w:rFonts w:ascii="Times New Roman" w:hAnsi="Times New Roman"/>
              </w:rPr>
              <w:t>1</w:t>
            </w:r>
          </w:p>
        </w:tc>
        <w:tc>
          <w:tcPr>
            <w:tcW w:w="448" w:type="pct"/>
            <w:vMerge w:val="restart"/>
            <w:vAlign w:val="center"/>
          </w:tcPr>
          <w:p>
            <w:pPr>
              <w:widowControl w:val="0"/>
              <w:jc w:val="center"/>
              <w:rPr>
                <w:rFonts w:ascii="Times New Roman" w:hAnsi="Times New Roman"/>
              </w:rPr>
            </w:pPr>
            <w:r>
              <w:rPr>
                <w:rFonts w:hint="eastAsia" w:ascii="Times New Roman" w:hAnsi="Times New Roman"/>
              </w:rPr>
              <w:t>肉牛</w:t>
            </w:r>
          </w:p>
        </w:tc>
        <w:tc>
          <w:tcPr>
            <w:tcW w:w="696" w:type="pct"/>
            <w:vAlign w:val="center"/>
          </w:tcPr>
          <w:p>
            <w:pPr>
              <w:widowControl w:val="0"/>
              <w:jc w:val="center"/>
              <w:rPr>
                <w:rFonts w:ascii="Times New Roman" w:hAnsi="Times New Roman" w:cs="Times New Roman"/>
              </w:rPr>
            </w:pPr>
            <w:r>
              <w:rPr>
                <w:rFonts w:hint="eastAsia" w:ascii="Times New Roman" w:hAnsi="Times New Roman"/>
              </w:rPr>
              <w:t>主产品</w:t>
            </w:r>
          </w:p>
        </w:tc>
        <w:tc>
          <w:tcPr>
            <w:tcW w:w="1313" w:type="pct"/>
            <w:vAlign w:val="center"/>
          </w:tcPr>
          <w:p>
            <w:pPr>
              <w:widowControl w:val="0"/>
              <w:jc w:val="center"/>
              <w:rPr>
                <w:rFonts w:ascii="Times New Roman" w:hAnsi="Times New Roman" w:cs="Times New Roman"/>
              </w:rPr>
            </w:pPr>
            <w:r>
              <w:rPr>
                <w:rFonts w:hint="eastAsia" w:ascii="Times New Roman" w:hAnsi="Times New Roman"/>
              </w:rPr>
              <w:t>牛肉</w:t>
            </w:r>
          </w:p>
        </w:tc>
        <w:tc>
          <w:tcPr>
            <w:tcW w:w="660" w:type="pct"/>
            <w:vAlign w:val="center"/>
          </w:tcPr>
          <w:p>
            <w:pPr>
              <w:widowControl w:val="0"/>
              <w:jc w:val="center"/>
              <w:rPr>
                <w:rFonts w:ascii="Times New Roman" w:hAnsi="Times New Roman" w:cs="Times New Roman"/>
              </w:rPr>
            </w:pPr>
            <w:r>
              <w:rPr>
                <w:rFonts w:hint="eastAsia" w:ascii="Times New Roman" w:hAnsi="Times New Roman" w:cs="Times New Roman"/>
              </w:rPr>
              <w:t>2715</w:t>
            </w:r>
          </w:p>
        </w:tc>
        <w:tc>
          <w:tcPr>
            <w:tcW w:w="789" w:type="pct"/>
            <w:vAlign w:val="center"/>
          </w:tcPr>
          <w:p>
            <w:pPr>
              <w:widowControl w:val="0"/>
              <w:jc w:val="center"/>
              <w:rPr>
                <w:rFonts w:ascii="Times New Roman" w:hAnsi="Times New Roman"/>
              </w:rPr>
            </w:pPr>
            <w:r>
              <w:rPr>
                <w:rFonts w:hint="eastAsia" w:ascii="Times New Roman" w:hAnsi="Times New Roman"/>
              </w:rPr>
              <w:t>54.3%</w:t>
            </w:r>
          </w:p>
        </w:tc>
        <w:tc>
          <w:tcPr>
            <w:tcW w:w="788" w:type="pct"/>
            <w:vMerge w:val="restart"/>
            <w:vAlign w:val="center"/>
          </w:tcPr>
          <w:p>
            <w:pPr>
              <w:widowControl w:val="0"/>
              <w:jc w:val="center"/>
              <w:rPr>
                <w:rFonts w:ascii="Times New Roman" w:hAnsi="Times New Roman"/>
              </w:rPr>
            </w:pPr>
            <w:r>
              <w:rPr>
                <w:rFonts w:hint="eastAsia" w:ascii="Times New Roman" w:hAnsi="Times New Roma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cs="Times New Roman"/>
              </w:rPr>
            </w:pPr>
            <w:r>
              <w:rPr>
                <w:rFonts w:hint="eastAsia" w:ascii="Times New Roman" w:hAnsi="Times New Roman"/>
              </w:rPr>
              <w:t>2</w:t>
            </w:r>
          </w:p>
        </w:tc>
        <w:tc>
          <w:tcPr>
            <w:tcW w:w="448" w:type="pct"/>
            <w:vMerge w:val="continue"/>
            <w:vAlign w:val="center"/>
          </w:tcPr>
          <w:p>
            <w:pPr>
              <w:widowControl w:val="0"/>
              <w:jc w:val="center"/>
              <w:rPr>
                <w:rFonts w:ascii="Times New Roman" w:hAnsi="Times New Roman"/>
              </w:rPr>
            </w:pPr>
          </w:p>
        </w:tc>
        <w:tc>
          <w:tcPr>
            <w:tcW w:w="696" w:type="pct"/>
            <w:vMerge w:val="restart"/>
            <w:vAlign w:val="center"/>
          </w:tcPr>
          <w:p>
            <w:pPr>
              <w:widowControl w:val="0"/>
              <w:jc w:val="center"/>
              <w:rPr>
                <w:rFonts w:ascii="Times New Roman" w:hAnsi="Times New Roman" w:cs="Times New Roman"/>
              </w:rPr>
            </w:pPr>
            <w:r>
              <w:rPr>
                <w:rFonts w:hint="eastAsia" w:ascii="Times New Roman" w:hAnsi="Times New Roman"/>
              </w:rPr>
              <w:t>副产品</w:t>
            </w:r>
          </w:p>
        </w:tc>
        <w:tc>
          <w:tcPr>
            <w:tcW w:w="1313" w:type="pct"/>
            <w:vAlign w:val="center"/>
          </w:tcPr>
          <w:p>
            <w:pPr>
              <w:widowControl w:val="0"/>
              <w:jc w:val="center"/>
              <w:rPr>
                <w:rFonts w:ascii="Times New Roman" w:hAnsi="Times New Roman" w:cs="Times New Roman"/>
              </w:rPr>
            </w:pPr>
            <w:r>
              <w:rPr>
                <w:rFonts w:hint="eastAsia" w:ascii="Times New Roman" w:hAnsi="Times New Roman"/>
              </w:rPr>
              <w:t>头、尾、蹄、骨、内脏</w:t>
            </w:r>
          </w:p>
        </w:tc>
        <w:tc>
          <w:tcPr>
            <w:tcW w:w="660" w:type="pct"/>
            <w:vAlign w:val="center"/>
          </w:tcPr>
          <w:p>
            <w:pPr>
              <w:widowControl w:val="0"/>
              <w:jc w:val="center"/>
              <w:rPr>
                <w:rFonts w:ascii="Times New Roman" w:hAnsi="Times New Roman" w:cs="Times New Roman"/>
              </w:rPr>
            </w:pPr>
            <w:r>
              <w:rPr>
                <w:rFonts w:hint="eastAsia" w:ascii="Times New Roman" w:hAnsi="Times New Roman" w:cs="Times New Roman"/>
              </w:rPr>
              <w:t>1620</w:t>
            </w:r>
          </w:p>
        </w:tc>
        <w:tc>
          <w:tcPr>
            <w:tcW w:w="789" w:type="pct"/>
            <w:vAlign w:val="center"/>
          </w:tcPr>
          <w:p>
            <w:pPr>
              <w:widowControl w:val="0"/>
              <w:jc w:val="center"/>
              <w:rPr>
                <w:rFonts w:ascii="Times New Roman" w:hAnsi="Times New Roman"/>
              </w:rPr>
            </w:pPr>
            <w:r>
              <w:rPr>
                <w:rFonts w:hint="eastAsia" w:ascii="Times New Roman" w:hAnsi="Times New Roman"/>
              </w:rPr>
              <w:t>32.4%</w:t>
            </w:r>
          </w:p>
        </w:tc>
        <w:tc>
          <w:tcPr>
            <w:tcW w:w="788" w:type="pct"/>
            <w:vMerge w:val="continue"/>
            <w:vAlign w:val="center"/>
          </w:tcPr>
          <w:p>
            <w:pPr>
              <w:widowControl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cs="Times New Roman"/>
              </w:rPr>
            </w:pPr>
            <w:r>
              <w:rPr>
                <w:rFonts w:hint="eastAsia" w:ascii="Times New Roman" w:hAnsi="Times New Roman"/>
              </w:rPr>
              <w:t>3</w:t>
            </w:r>
          </w:p>
        </w:tc>
        <w:tc>
          <w:tcPr>
            <w:tcW w:w="448" w:type="pct"/>
            <w:vMerge w:val="continue"/>
            <w:vAlign w:val="center"/>
          </w:tcPr>
          <w:p>
            <w:pPr>
              <w:jc w:val="center"/>
              <w:rPr>
                <w:rFonts w:ascii="Times New Roman" w:hAnsi="Times New Roman" w:cs="Times New Roman"/>
              </w:rPr>
            </w:pPr>
          </w:p>
        </w:tc>
        <w:tc>
          <w:tcPr>
            <w:tcW w:w="696" w:type="pct"/>
            <w:vMerge w:val="continue"/>
            <w:vAlign w:val="center"/>
          </w:tcPr>
          <w:p>
            <w:pPr>
              <w:jc w:val="center"/>
              <w:rPr>
                <w:rFonts w:ascii="Times New Roman" w:hAnsi="Times New Roman" w:cs="Times New Roman"/>
              </w:rPr>
            </w:pPr>
          </w:p>
        </w:tc>
        <w:tc>
          <w:tcPr>
            <w:tcW w:w="1313" w:type="pct"/>
            <w:vAlign w:val="center"/>
          </w:tcPr>
          <w:p>
            <w:pPr>
              <w:widowControl w:val="0"/>
              <w:jc w:val="center"/>
              <w:rPr>
                <w:rFonts w:ascii="Times New Roman" w:hAnsi="Times New Roman" w:cs="Times New Roman"/>
              </w:rPr>
            </w:pPr>
            <w:r>
              <w:rPr>
                <w:rFonts w:hint="eastAsia" w:ascii="Times New Roman" w:hAnsi="Times New Roman"/>
              </w:rPr>
              <w:t>牛血、牛皮</w:t>
            </w:r>
          </w:p>
        </w:tc>
        <w:tc>
          <w:tcPr>
            <w:tcW w:w="660" w:type="pct"/>
            <w:vAlign w:val="center"/>
          </w:tcPr>
          <w:p>
            <w:pPr>
              <w:widowControl w:val="0"/>
              <w:jc w:val="center"/>
              <w:rPr>
                <w:rFonts w:ascii="Times New Roman" w:hAnsi="Times New Roman" w:cs="Times New Roman"/>
              </w:rPr>
            </w:pPr>
            <w:r>
              <w:rPr>
                <w:rFonts w:hint="eastAsia" w:ascii="Times New Roman" w:hAnsi="Times New Roman" w:cs="Times New Roman"/>
              </w:rPr>
              <w:t>500</w:t>
            </w:r>
          </w:p>
        </w:tc>
        <w:tc>
          <w:tcPr>
            <w:tcW w:w="789" w:type="pct"/>
            <w:vAlign w:val="center"/>
          </w:tcPr>
          <w:p>
            <w:pPr>
              <w:widowControl w:val="0"/>
              <w:jc w:val="center"/>
              <w:rPr>
                <w:rFonts w:ascii="Times New Roman" w:hAnsi="Times New Roman"/>
              </w:rPr>
            </w:pPr>
            <w:r>
              <w:rPr>
                <w:rFonts w:hint="eastAsia" w:ascii="Times New Roman" w:hAnsi="Times New Roman"/>
              </w:rPr>
              <w:t>10.0%</w:t>
            </w:r>
          </w:p>
        </w:tc>
        <w:tc>
          <w:tcPr>
            <w:tcW w:w="788" w:type="pct"/>
            <w:vMerge w:val="continue"/>
            <w:vAlign w:val="center"/>
          </w:tcPr>
          <w:p>
            <w:pPr>
              <w:widowControl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rPr>
            </w:pPr>
            <w:r>
              <w:rPr>
                <w:rFonts w:hint="eastAsia" w:ascii="Times New Roman" w:hAnsi="Times New Roman"/>
              </w:rPr>
              <w:t>4</w:t>
            </w:r>
          </w:p>
        </w:tc>
        <w:tc>
          <w:tcPr>
            <w:tcW w:w="448" w:type="pct"/>
            <w:vMerge w:val="restart"/>
            <w:vAlign w:val="center"/>
          </w:tcPr>
          <w:p>
            <w:pPr>
              <w:jc w:val="center"/>
              <w:rPr>
                <w:rFonts w:ascii="Times New Roman" w:hAnsi="Times New Roman" w:cs="Times New Roman"/>
              </w:rPr>
            </w:pPr>
            <w:r>
              <w:rPr>
                <w:rFonts w:hint="eastAsia" w:ascii="Times New Roman" w:hAnsi="Times New Roman" w:cs="Times New Roman"/>
              </w:rPr>
              <w:t>鸡</w:t>
            </w:r>
          </w:p>
        </w:tc>
        <w:tc>
          <w:tcPr>
            <w:tcW w:w="696" w:type="pct"/>
            <w:vAlign w:val="center"/>
          </w:tcPr>
          <w:p>
            <w:pPr>
              <w:widowControl w:val="0"/>
              <w:jc w:val="center"/>
              <w:rPr>
                <w:rFonts w:ascii="Times New Roman" w:hAnsi="Times New Roman" w:cs="Times New Roman"/>
              </w:rPr>
            </w:pPr>
            <w:r>
              <w:rPr>
                <w:rFonts w:hint="eastAsia" w:ascii="Times New Roman" w:hAnsi="Times New Roman"/>
              </w:rPr>
              <w:t>主产品</w:t>
            </w:r>
          </w:p>
        </w:tc>
        <w:tc>
          <w:tcPr>
            <w:tcW w:w="1313" w:type="pct"/>
            <w:vAlign w:val="center"/>
          </w:tcPr>
          <w:p>
            <w:pPr>
              <w:widowControl w:val="0"/>
              <w:jc w:val="center"/>
              <w:rPr>
                <w:rFonts w:ascii="Times New Roman" w:hAnsi="Times New Roman"/>
              </w:rPr>
            </w:pPr>
            <w:r>
              <w:rPr>
                <w:rFonts w:hint="eastAsia" w:ascii="Times New Roman" w:hAnsi="Times New Roman"/>
              </w:rPr>
              <w:t>鸡肉</w:t>
            </w:r>
          </w:p>
        </w:tc>
        <w:tc>
          <w:tcPr>
            <w:tcW w:w="660" w:type="pct"/>
            <w:vAlign w:val="center"/>
          </w:tcPr>
          <w:p>
            <w:pPr>
              <w:widowControl w:val="0"/>
              <w:jc w:val="center"/>
              <w:rPr>
                <w:rFonts w:ascii="Times New Roman" w:hAnsi="Times New Roman"/>
              </w:rPr>
            </w:pPr>
            <w:r>
              <w:rPr>
                <w:rFonts w:hint="eastAsia" w:ascii="Times New Roman" w:hAnsi="Times New Roman"/>
              </w:rPr>
              <w:t>5687.5</w:t>
            </w:r>
          </w:p>
        </w:tc>
        <w:tc>
          <w:tcPr>
            <w:tcW w:w="789" w:type="pct"/>
            <w:vAlign w:val="center"/>
          </w:tcPr>
          <w:p>
            <w:pPr>
              <w:widowControl w:val="0"/>
              <w:jc w:val="center"/>
              <w:rPr>
                <w:rFonts w:ascii="Times New Roman" w:hAnsi="Times New Roman"/>
              </w:rPr>
            </w:pPr>
            <w:r>
              <w:rPr>
                <w:rFonts w:hint="eastAsia" w:ascii="Times New Roman" w:hAnsi="Times New Roman"/>
              </w:rPr>
              <w:t>65.0%</w:t>
            </w:r>
          </w:p>
        </w:tc>
        <w:tc>
          <w:tcPr>
            <w:tcW w:w="788" w:type="pct"/>
            <w:vMerge w:val="continue"/>
            <w:vAlign w:val="center"/>
          </w:tcPr>
          <w:p>
            <w:pPr>
              <w:widowControl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rPr>
            </w:pPr>
            <w:r>
              <w:rPr>
                <w:rFonts w:hint="eastAsia" w:ascii="Times New Roman" w:hAnsi="Times New Roman"/>
              </w:rPr>
              <w:t>5</w:t>
            </w:r>
          </w:p>
        </w:tc>
        <w:tc>
          <w:tcPr>
            <w:tcW w:w="448" w:type="pct"/>
            <w:vMerge w:val="continue"/>
            <w:vAlign w:val="center"/>
          </w:tcPr>
          <w:p>
            <w:pPr>
              <w:jc w:val="center"/>
              <w:rPr>
                <w:rFonts w:ascii="Times New Roman" w:hAnsi="Times New Roman" w:cs="Times New Roman"/>
              </w:rPr>
            </w:pPr>
          </w:p>
        </w:tc>
        <w:tc>
          <w:tcPr>
            <w:tcW w:w="696" w:type="pct"/>
            <w:vAlign w:val="center"/>
          </w:tcPr>
          <w:p>
            <w:pPr>
              <w:widowControl w:val="0"/>
              <w:jc w:val="center"/>
              <w:rPr>
                <w:rFonts w:ascii="Times New Roman" w:hAnsi="Times New Roman" w:cs="Times New Roman"/>
              </w:rPr>
            </w:pPr>
            <w:r>
              <w:rPr>
                <w:rFonts w:hint="eastAsia" w:ascii="Times New Roman" w:hAnsi="Times New Roman"/>
              </w:rPr>
              <w:t>副产品</w:t>
            </w:r>
          </w:p>
        </w:tc>
        <w:tc>
          <w:tcPr>
            <w:tcW w:w="1313" w:type="pct"/>
            <w:vAlign w:val="center"/>
          </w:tcPr>
          <w:p>
            <w:pPr>
              <w:widowControl w:val="0"/>
              <w:jc w:val="center"/>
              <w:rPr>
                <w:rFonts w:ascii="Times New Roman" w:hAnsi="Times New Roman"/>
              </w:rPr>
            </w:pPr>
            <w:r>
              <w:rPr>
                <w:rFonts w:hint="eastAsia" w:ascii="Times New Roman" w:hAnsi="Times New Roman"/>
              </w:rPr>
              <w:t>鸡血、鸡杂、鸡毛</w:t>
            </w:r>
          </w:p>
        </w:tc>
        <w:tc>
          <w:tcPr>
            <w:tcW w:w="660" w:type="pct"/>
            <w:vAlign w:val="center"/>
          </w:tcPr>
          <w:p>
            <w:pPr>
              <w:widowControl w:val="0"/>
              <w:jc w:val="center"/>
              <w:rPr>
                <w:rFonts w:ascii="Times New Roman" w:hAnsi="Times New Roman"/>
              </w:rPr>
            </w:pPr>
            <w:r>
              <w:rPr>
                <w:rFonts w:hint="eastAsia" w:ascii="Times New Roman" w:hAnsi="Times New Roman"/>
              </w:rPr>
              <w:t>2117.5</w:t>
            </w:r>
          </w:p>
        </w:tc>
        <w:tc>
          <w:tcPr>
            <w:tcW w:w="789" w:type="pct"/>
            <w:vAlign w:val="center"/>
          </w:tcPr>
          <w:p>
            <w:pPr>
              <w:widowControl w:val="0"/>
              <w:jc w:val="center"/>
              <w:rPr>
                <w:rFonts w:ascii="Times New Roman" w:hAnsi="Times New Roman"/>
              </w:rPr>
            </w:pPr>
            <w:r>
              <w:rPr>
                <w:rFonts w:hint="eastAsia" w:ascii="Times New Roman" w:hAnsi="Times New Roman"/>
              </w:rPr>
              <w:t>24.2%</w:t>
            </w:r>
          </w:p>
        </w:tc>
        <w:tc>
          <w:tcPr>
            <w:tcW w:w="788" w:type="pct"/>
            <w:vMerge w:val="continue"/>
            <w:vAlign w:val="center"/>
          </w:tcPr>
          <w:p>
            <w:pPr>
              <w:widowControl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rPr>
            </w:pPr>
            <w:r>
              <w:rPr>
                <w:rFonts w:hint="eastAsia" w:ascii="Times New Roman" w:hAnsi="Times New Roman"/>
              </w:rPr>
              <w:t>6</w:t>
            </w:r>
          </w:p>
        </w:tc>
        <w:tc>
          <w:tcPr>
            <w:tcW w:w="448" w:type="pct"/>
            <w:vMerge w:val="restart"/>
            <w:vAlign w:val="center"/>
          </w:tcPr>
          <w:p>
            <w:pPr>
              <w:jc w:val="center"/>
              <w:rPr>
                <w:rFonts w:ascii="Times New Roman" w:hAnsi="Times New Roman" w:cs="Times New Roman"/>
              </w:rPr>
            </w:pPr>
            <w:r>
              <w:rPr>
                <w:rFonts w:hint="eastAsia" w:ascii="Times New Roman" w:hAnsi="Times New Roman" w:cs="Times New Roman"/>
              </w:rPr>
              <w:t>鸭</w:t>
            </w:r>
          </w:p>
        </w:tc>
        <w:tc>
          <w:tcPr>
            <w:tcW w:w="696" w:type="pct"/>
            <w:vAlign w:val="center"/>
          </w:tcPr>
          <w:p>
            <w:pPr>
              <w:widowControl w:val="0"/>
              <w:jc w:val="center"/>
              <w:rPr>
                <w:rFonts w:ascii="Times New Roman" w:hAnsi="Times New Roman" w:cs="Times New Roman"/>
              </w:rPr>
            </w:pPr>
            <w:r>
              <w:rPr>
                <w:rFonts w:hint="eastAsia" w:ascii="Times New Roman" w:hAnsi="Times New Roman"/>
              </w:rPr>
              <w:t>主产品</w:t>
            </w:r>
          </w:p>
        </w:tc>
        <w:tc>
          <w:tcPr>
            <w:tcW w:w="1313" w:type="pct"/>
            <w:vAlign w:val="center"/>
          </w:tcPr>
          <w:p>
            <w:pPr>
              <w:widowControl w:val="0"/>
              <w:jc w:val="center"/>
              <w:rPr>
                <w:rFonts w:ascii="Times New Roman" w:hAnsi="Times New Roman"/>
              </w:rPr>
            </w:pPr>
            <w:r>
              <w:rPr>
                <w:rFonts w:hint="eastAsia" w:ascii="Times New Roman" w:hAnsi="Times New Roman"/>
              </w:rPr>
              <w:t>鸭肉</w:t>
            </w:r>
          </w:p>
        </w:tc>
        <w:tc>
          <w:tcPr>
            <w:tcW w:w="660" w:type="pct"/>
            <w:vAlign w:val="center"/>
          </w:tcPr>
          <w:p>
            <w:pPr>
              <w:widowControl w:val="0"/>
              <w:jc w:val="center"/>
              <w:rPr>
                <w:rFonts w:ascii="Times New Roman" w:hAnsi="Times New Roman"/>
              </w:rPr>
            </w:pPr>
            <w:r>
              <w:rPr>
                <w:rFonts w:hint="eastAsia" w:ascii="Times New Roman" w:hAnsi="Times New Roman"/>
              </w:rPr>
              <w:t>7875.0</w:t>
            </w:r>
          </w:p>
        </w:tc>
        <w:tc>
          <w:tcPr>
            <w:tcW w:w="789" w:type="pct"/>
            <w:vAlign w:val="center"/>
          </w:tcPr>
          <w:p>
            <w:pPr>
              <w:widowControl w:val="0"/>
              <w:jc w:val="center"/>
              <w:rPr>
                <w:rFonts w:ascii="Times New Roman" w:hAnsi="Times New Roman"/>
              </w:rPr>
            </w:pPr>
            <w:r>
              <w:rPr>
                <w:rFonts w:hint="eastAsia" w:ascii="Times New Roman" w:hAnsi="Times New Roman"/>
              </w:rPr>
              <w:t>63.0%</w:t>
            </w:r>
          </w:p>
        </w:tc>
        <w:tc>
          <w:tcPr>
            <w:tcW w:w="788" w:type="pct"/>
            <w:vMerge w:val="continue"/>
            <w:vAlign w:val="center"/>
          </w:tcPr>
          <w:p>
            <w:pPr>
              <w:widowControl w:val="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6" w:type="pct"/>
            <w:vAlign w:val="center"/>
          </w:tcPr>
          <w:p>
            <w:pPr>
              <w:widowControl w:val="0"/>
              <w:jc w:val="center"/>
              <w:rPr>
                <w:rFonts w:ascii="Times New Roman" w:hAnsi="Times New Roman"/>
              </w:rPr>
            </w:pPr>
            <w:r>
              <w:rPr>
                <w:rFonts w:hint="eastAsia" w:ascii="Times New Roman" w:hAnsi="Times New Roman"/>
              </w:rPr>
              <w:t>7</w:t>
            </w:r>
          </w:p>
        </w:tc>
        <w:tc>
          <w:tcPr>
            <w:tcW w:w="448" w:type="pct"/>
            <w:vMerge w:val="continue"/>
            <w:vAlign w:val="center"/>
          </w:tcPr>
          <w:p>
            <w:pPr>
              <w:jc w:val="center"/>
              <w:rPr>
                <w:rFonts w:ascii="Times New Roman" w:hAnsi="Times New Roman" w:cs="Times New Roman"/>
              </w:rPr>
            </w:pPr>
          </w:p>
        </w:tc>
        <w:tc>
          <w:tcPr>
            <w:tcW w:w="696" w:type="pct"/>
            <w:vAlign w:val="center"/>
          </w:tcPr>
          <w:p>
            <w:pPr>
              <w:widowControl w:val="0"/>
              <w:jc w:val="center"/>
              <w:rPr>
                <w:rFonts w:ascii="Times New Roman" w:hAnsi="Times New Roman" w:cs="Times New Roman"/>
              </w:rPr>
            </w:pPr>
            <w:r>
              <w:rPr>
                <w:rFonts w:hint="eastAsia" w:ascii="Times New Roman" w:hAnsi="Times New Roman"/>
              </w:rPr>
              <w:t>副产品</w:t>
            </w:r>
          </w:p>
        </w:tc>
        <w:tc>
          <w:tcPr>
            <w:tcW w:w="1313" w:type="pct"/>
            <w:vAlign w:val="center"/>
          </w:tcPr>
          <w:p>
            <w:pPr>
              <w:widowControl w:val="0"/>
              <w:jc w:val="center"/>
              <w:rPr>
                <w:rFonts w:ascii="Times New Roman" w:hAnsi="Times New Roman"/>
              </w:rPr>
            </w:pPr>
            <w:r>
              <w:rPr>
                <w:rFonts w:hint="eastAsia" w:ascii="Times New Roman" w:hAnsi="Times New Roman"/>
              </w:rPr>
              <w:t>鸭血、鸭杂、鸭毛</w:t>
            </w:r>
          </w:p>
        </w:tc>
        <w:tc>
          <w:tcPr>
            <w:tcW w:w="660" w:type="pct"/>
            <w:vAlign w:val="center"/>
          </w:tcPr>
          <w:p>
            <w:pPr>
              <w:widowControl w:val="0"/>
              <w:jc w:val="center"/>
              <w:rPr>
                <w:rFonts w:ascii="Times New Roman" w:hAnsi="Times New Roman"/>
              </w:rPr>
            </w:pPr>
            <w:r>
              <w:rPr>
                <w:rFonts w:hint="eastAsia" w:ascii="Times New Roman" w:hAnsi="Times New Roman"/>
              </w:rPr>
              <w:t>2712.5</w:t>
            </w:r>
          </w:p>
        </w:tc>
        <w:tc>
          <w:tcPr>
            <w:tcW w:w="789" w:type="pct"/>
            <w:vAlign w:val="center"/>
          </w:tcPr>
          <w:p>
            <w:pPr>
              <w:widowControl w:val="0"/>
              <w:jc w:val="center"/>
              <w:rPr>
                <w:rFonts w:ascii="Times New Roman" w:hAnsi="Times New Roman"/>
              </w:rPr>
            </w:pPr>
            <w:r>
              <w:rPr>
                <w:rFonts w:hint="eastAsia" w:ascii="Times New Roman" w:hAnsi="Times New Roman"/>
              </w:rPr>
              <w:t>21.7%</w:t>
            </w:r>
          </w:p>
        </w:tc>
        <w:tc>
          <w:tcPr>
            <w:tcW w:w="788" w:type="pct"/>
            <w:vMerge w:val="continue"/>
            <w:vAlign w:val="center"/>
          </w:tcPr>
          <w:p>
            <w:pPr>
              <w:widowControl w:val="0"/>
              <w:jc w:val="center"/>
              <w:rPr>
                <w:rFonts w:ascii="Times New Roman" w:hAnsi="Times New Roman"/>
              </w:rPr>
            </w:pPr>
          </w:p>
        </w:tc>
      </w:tr>
    </w:tbl>
    <w:p>
      <w:pPr>
        <w:pStyle w:val="3"/>
        <w:ind w:firstLine="480"/>
        <w:rPr>
          <w:rFonts w:cs="Times New Roman"/>
        </w:rPr>
      </w:pPr>
      <w:r>
        <w:rPr>
          <w:rFonts w:hint="eastAsia" w:cs="Times New Roman"/>
        </w:rPr>
        <w:t>2、产品指标</w:t>
      </w:r>
    </w:p>
    <w:p>
      <w:pPr>
        <w:pStyle w:val="3"/>
        <w:ind w:firstLine="480"/>
        <w:rPr>
          <w:rFonts w:cs="Times New Roman"/>
        </w:rPr>
      </w:pPr>
      <w:r>
        <w:rPr>
          <w:rFonts w:hint="eastAsia" w:cs="Times New Roman"/>
        </w:rPr>
        <w:t>冷藏牛肉、鸡肉、鸭肉感官要求、理化指标指标执行《食品安全国家标准鲜（冻）畜、禽产品》（GB 2707-2016），详见表3.2-3。</w:t>
      </w:r>
    </w:p>
    <w:p>
      <w:pPr>
        <w:pStyle w:val="3"/>
        <w:spacing w:line="240" w:lineRule="auto"/>
        <w:ind w:firstLine="0" w:firstLineChars="0"/>
        <w:jc w:val="center"/>
        <w:rPr>
          <w:rFonts w:cs="Times New Roman" w:eastAsiaTheme="minorEastAsia"/>
          <w:b/>
        </w:rPr>
      </w:pPr>
      <w:r>
        <w:rPr>
          <w:rFonts w:hint="eastAsia" w:cs="Times New Roman" w:eastAsiaTheme="minorEastAsia"/>
          <w:b/>
        </w:rPr>
        <w:t>表3.2-3《食品安全国家标准鲜（冻）畜、禽产品》（GB 2707-2016）感官要求</w:t>
      </w:r>
    </w:p>
    <w:p>
      <w:pPr>
        <w:pStyle w:val="3"/>
        <w:ind w:firstLine="0" w:firstLineChars="0"/>
        <w:jc w:val="center"/>
        <w:rPr>
          <w:rFonts w:cs="Times New Roman"/>
        </w:rPr>
      </w:pPr>
      <w:r>
        <w:drawing>
          <wp:inline distT="0" distB="0" distL="0" distR="0">
            <wp:extent cx="5486400" cy="1107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486400" cy="1107440"/>
                    </a:xfrm>
                    <a:prstGeom prst="rect">
                      <a:avLst/>
                    </a:prstGeom>
                  </pic:spPr>
                </pic:pic>
              </a:graphicData>
            </a:graphic>
          </wp:inline>
        </w:drawing>
      </w:r>
    </w:p>
    <w:p>
      <w:pPr>
        <w:pStyle w:val="3"/>
        <w:ind w:firstLine="0" w:firstLineChars="0"/>
        <w:jc w:val="center"/>
        <w:rPr>
          <w:rFonts w:cs="Times New Roman" w:eastAsiaTheme="minorEastAsia"/>
          <w:b/>
        </w:rPr>
      </w:pPr>
      <w:r>
        <w:rPr>
          <w:rFonts w:hint="eastAsia" w:cs="Times New Roman" w:eastAsiaTheme="minorEastAsia"/>
          <w:b/>
        </w:rPr>
        <w:t>表3.2-4《食品安全国家标准鲜（冻）畜、禽产品》（GB 2707-2016）理化指标</w:t>
      </w:r>
    </w:p>
    <w:p>
      <w:pPr>
        <w:pStyle w:val="3"/>
        <w:ind w:firstLine="0" w:firstLineChars="0"/>
        <w:jc w:val="center"/>
        <w:rPr>
          <w:rFonts w:cs="Times New Roman"/>
        </w:rPr>
      </w:pPr>
      <w:r>
        <w:drawing>
          <wp:inline distT="0" distB="0" distL="0" distR="0">
            <wp:extent cx="5486400" cy="4737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486400" cy="473710"/>
                    </a:xfrm>
                    <a:prstGeom prst="rect">
                      <a:avLst/>
                    </a:prstGeom>
                  </pic:spPr>
                </pic:pic>
              </a:graphicData>
            </a:graphic>
          </wp:inline>
        </w:drawing>
      </w:r>
    </w:p>
    <w:p>
      <w:pPr>
        <w:pStyle w:val="3"/>
        <w:ind w:firstLine="480"/>
        <w:rPr>
          <w:rFonts w:cs="Times New Roman"/>
          <w:color w:val="FF0000"/>
          <w:u w:val="single"/>
        </w:rPr>
      </w:pPr>
      <w:r>
        <w:rPr>
          <w:rFonts w:hint="eastAsia" w:cs="Times New Roman"/>
          <w:color w:val="FF0000"/>
          <w:u w:val="single"/>
        </w:rPr>
        <w:t>3、产能匹配性分析</w:t>
      </w:r>
    </w:p>
    <w:p>
      <w:pPr>
        <w:pStyle w:val="3"/>
        <w:ind w:firstLine="480"/>
        <w:rPr>
          <w:rFonts w:cs="Times New Roman"/>
          <w:color w:val="FF0000"/>
          <w:u w:val="single"/>
        </w:rPr>
      </w:pPr>
      <w:r>
        <w:rPr>
          <w:rFonts w:hint="eastAsia" w:cs="Times New Roman"/>
          <w:color w:val="FF0000"/>
          <w:u w:val="single"/>
        </w:rPr>
        <w:t>本项目禽类屠宰采用成套自动化屠宰生产线，根据建设单位提供的设备参数，禽类屠宰设备最大产能为2500~3000只/h，采取8小时一班工作制度，年生产天数为300d，最大产能为24000只/d、7200000万只/a，可满足本项目单条生产线500万只鸭、500万只鸡的屠宰产能能力。</w:t>
      </w:r>
    </w:p>
    <w:p>
      <w:pPr>
        <w:pStyle w:val="3"/>
        <w:ind w:firstLine="480"/>
        <w:rPr>
          <w:rFonts w:cs="Times New Roman"/>
          <w:color w:val="FF0000"/>
          <w:u w:val="single"/>
        </w:rPr>
      </w:pPr>
      <w:r>
        <w:rPr>
          <w:rFonts w:hint="eastAsia" w:cs="Times New Roman"/>
          <w:color w:val="FF0000"/>
          <w:u w:val="single"/>
        </w:rPr>
        <w:t>肉牛屠宰采用</w:t>
      </w:r>
      <w:r>
        <w:rPr>
          <w:rFonts w:hint="eastAsia"/>
          <w:color w:val="FF0000"/>
          <w:u w:val="single"/>
        </w:rPr>
        <w:t>半机械化生产线，依托现有设备进行生产，该套</w:t>
      </w:r>
      <w:r>
        <w:rPr>
          <w:rFonts w:hint="eastAsia" w:cs="Times New Roman"/>
          <w:color w:val="FF0000"/>
          <w:u w:val="single"/>
        </w:rPr>
        <w:t>设备最大产能为10头/h，则最大产能为80头/d、24000头/a，可满足本项目肉屠宰1万头/a的产能能力。因此，肉牛屠宰依托现有设备是可行的。</w:t>
      </w:r>
    </w:p>
    <w:p>
      <w:pPr>
        <w:pStyle w:val="3"/>
        <w:ind w:firstLine="0" w:firstLineChars="0"/>
        <w:outlineLvl w:val="2"/>
      </w:pPr>
      <w:r>
        <w:rPr>
          <w:rFonts w:hint="eastAsia"/>
        </w:rPr>
        <w:t xml:space="preserve">3.2.4  </w:t>
      </w:r>
      <w:r>
        <w:rPr>
          <w:rFonts w:hint="eastAsia" w:eastAsia="黑体" w:cstheme="majorBidi"/>
          <w:bCs/>
          <w:szCs w:val="32"/>
        </w:rPr>
        <w:t>主要原辅材料及燃料</w:t>
      </w:r>
    </w:p>
    <w:p>
      <w:pPr>
        <w:pStyle w:val="3"/>
        <w:ind w:firstLine="480"/>
        <w:rPr>
          <w:rFonts w:eastAsiaTheme="minorEastAsia"/>
          <w:lang w:bidi="ar"/>
        </w:rPr>
      </w:pPr>
      <w:r>
        <w:rPr>
          <w:rFonts w:hint="eastAsia" w:eastAsiaTheme="minorEastAsia"/>
          <w:lang w:bidi="ar"/>
        </w:rPr>
        <w:t>本项目主要原辅材料及燃料年用量见表3.2-5。</w:t>
      </w:r>
    </w:p>
    <w:p>
      <w:pPr>
        <w:pStyle w:val="3"/>
        <w:spacing w:line="240" w:lineRule="auto"/>
        <w:ind w:firstLine="0" w:firstLineChars="0"/>
        <w:jc w:val="center"/>
        <w:rPr>
          <w:rFonts w:cs="Times New Roman"/>
        </w:rPr>
      </w:pPr>
      <w:r>
        <w:rPr>
          <w:rFonts w:hint="eastAsia" w:cs="Times New Roman" w:eastAsiaTheme="minorEastAsia"/>
          <w:b/>
        </w:rPr>
        <w:t>表3.2-5本项目主要原辅材料一览表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953"/>
        <w:gridCol w:w="812"/>
        <w:gridCol w:w="1137"/>
        <w:gridCol w:w="130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b/>
                <w:kern w:val="0"/>
              </w:rPr>
            </w:pPr>
            <w:r>
              <w:rPr>
                <w:rFonts w:hint="eastAsia" w:ascii="Times New Roman" w:hAnsi="Times New Roman"/>
                <w:b/>
                <w:kern w:val="0"/>
              </w:rPr>
              <w:t>序号</w:t>
            </w:r>
          </w:p>
        </w:tc>
        <w:tc>
          <w:tcPr>
            <w:tcW w:w="1065" w:type="pct"/>
            <w:vAlign w:val="center"/>
          </w:tcPr>
          <w:p>
            <w:pPr>
              <w:widowControl w:val="0"/>
              <w:jc w:val="center"/>
              <w:rPr>
                <w:rFonts w:ascii="Times New Roman" w:hAnsi="Times New Roman" w:cs="Times New Roman"/>
                <w:b/>
                <w:kern w:val="0"/>
              </w:rPr>
            </w:pPr>
            <w:r>
              <w:rPr>
                <w:rFonts w:hint="eastAsia" w:ascii="Times New Roman" w:hAnsi="Times New Roman"/>
                <w:b/>
                <w:kern w:val="0"/>
              </w:rPr>
              <w:t>名称</w:t>
            </w:r>
          </w:p>
        </w:tc>
        <w:tc>
          <w:tcPr>
            <w:tcW w:w="443" w:type="pct"/>
            <w:vAlign w:val="center"/>
          </w:tcPr>
          <w:p>
            <w:pPr>
              <w:widowControl w:val="0"/>
              <w:jc w:val="center"/>
              <w:rPr>
                <w:rFonts w:ascii="Times New Roman" w:hAnsi="Times New Roman" w:cs="Times New Roman"/>
                <w:b/>
                <w:kern w:val="0"/>
              </w:rPr>
            </w:pPr>
            <w:r>
              <w:rPr>
                <w:rFonts w:hint="eastAsia" w:ascii="Times New Roman" w:hAnsi="Times New Roman"/>
                <w:b/>
                <w:kern w:val="0"/>
              </w:rPr>
              <w:t>单位</w:t>
            </w:r>
          </w:p>
        </w:tc>
        <w:tc>
          <w:tcPr>
            <w:tcW w:w="620" w:type="pct"/>
            <w:vAlign w:val="center"/>
          </w:tcPr>
          <w:p>
            <w:pPr>
              <w:widowControl w:val="0"/>
              <w:jc w:val="center"/>
              <w:rPr>
                <w:rFonts w:ascii="Times New Roman" w:hAnsi="Times New Roman" w:cs="Times New Roman"/>
                <w:b/>
                <w:kern w:val="0"/>
              </w:rPr>
            </w:pPr>
            <w:r>
              <w:rPr>
                <w:rFonts w:hint="eastAsia" w:ascii="Times New Roman" w:hAnsi="Times New Roman"/>
                <w:b/>
                <w:kern w:val="0"/>
              </w:rPr>
              <w:t>年用量</w:t>
            </w:r>
          </w:p>
        </w:tc>
        <w:tc>
          <w:tcPr>
            <w:tcW w:w="714" w:type="pct"/>
            <w:vAlign w:val="center"/>
          </w:tcPr>
          <w:p>
            <w:pPr>
              <w:widowControl w:val="0"/>
              <w:jc w:val="center"/>
              <w:rPr>
                <w:rFonts w:ascii="Times New Roman" w:hAnsi="Times New Roman" w:cs="Times New Roman"/>
                <w:b/>
                <w:kern w:val="0"/>
              </w:rPr>
            </w:pPr>
            <w:r>
              <w:rPr>
                <w:rFonts w:hint="eastAsia" w:ascii="Times New Roman" w:hAnsi="Times New Roman"/>
                <w:b/>
                <w:kern w:val="0"/>
              </w:rPr>
              <w:t>储存地点</w:t>
            </w:r>
          </w:p>
        </w:tc>
        <w:tc>
          <w:tcPr>
            <w:tcW w:w="1705" w:type="pct"/>
            <w:vAlign w:val="center"/>
          </w:tcPr>
          <w:p>
            <w:pPr>
              <w:widowControl w:val="0"/>
              <w:jc w:val="center"/>
              <w:rPr>
                <w:rFonts w:ascii="Times New Roman" w:hAnsi="Times New Roman" w:cs="Times New Roman"/>
                <w:b/>
                <w:kern w:val="0"/>
              </w:rPr>
            </w:pPr>
            <w:r>
              <w:rPr>
                <w:rFonts w:hint="eastAsia" w:ascii="Times New Roman" w:hAnsi="Times New Roman"/>
                <w:b/>
                <w:kern w:val="0"/>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b/>
                <w:kern w:val="0"/>
              </w:rPr>
            </w:pPr>
            <w:r>
              <w:rPr>
                <w:rFonts w:hint="eastAsia" w:ascii="Times New Roman" w:hAnsi="Times New Roman"/>
                <w:b/>
                <w:kern w:val="0"/>
              </w:rPr>
              <w:t>一</w:t>
            </w:r>
          </w:p>
        </w:tc>
        <w:tc>
          <w:tcPr>
            <w:tcW w:w="4547" w:type="pct"/>
            <w:gridSpan w:val="5"/>
            <w:vAlign w:val="center"/>
          </w:tcPr>
          <w:p>
            <w:pPr>
              <w:widowControl w:val="0"/>
              <w:jc w:val="center"/>
              <w:rPr>
                <w:rFonts w:ascii="Times New Roman" w:hAnsi="Times New Roman" w:cs="Times New Roman"/>
                <w:b/>
                <w:kern w:val="0"/>
              </w:rPr>
            </w:pPr>
            <w:r>
              <w:rPr>
                <w:rFonts w:hint="eastAsia" w:ascii="Times New Roman" w:hAnsi="Times New Roman"/>
                <w:b/>
                <w:kern w:val="0"/>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ascii="Times New Roman" w:hAnsi="Times New Roman"/>
                <w:kern w:val="0"/>
              </w:rPr>
              <w:t>1</w:t>
            </w:r>
          </w:p>
        </w:tc>
        <w:tc>
          <w:tcPr>
            <w:tcW w:w="1065" w:type="pct"/>
            <w:vAlign w:val="center"/>
          </w:tcPr>
          <w:p>
            <w:pPr>
              <w:widowControl w:val="0"/>
              <w:jc w:val="center"/>
              <w:rPr>
                <w:rFonts w:ascii="Times New Roman" w:hAnsi="Times New Roman" w:cs="Times New Roman"/>
                <w:kern w:val="0"/>
              </w:rPr>
            </w:pPr>
            <w:r>
              <w:rPr>
                <w:rFonts w:hint="eastAsia" w:ascii="Times New Roman" w:hAnsi="Times New Roman"/>
                <w:kern w:val="0"/>
              </w:rPr>
              <w:t>鸡</w:t>
            </w:r>
          </w:p>
        </w:tc>
        <w:tc>
          <w:tcPr>
            <w:tcW w:w="443" w:type="pct"/>
            <w:vAlign w:val="center"/>
          </w:tcPr>
          <w:p>
            <w:pPr>
              <w:widowControl w:val="0"/>
              <w:jc w:val="center"/>
              <w:rPr>
                <w:rFonts w:ascii="Times New Roman" w:hAnsi="Times New Roman" w:cs="Times New Roman"/>
                <w:kern w:val="0"/>
              </w:rPr>
            </w:pPr>
            <w:r>
              <w:rPr>
                <w:rFonts w:hint="eastAsia" w:ascii="Times New Roman" w:hAnsi="Times New Roman"/>
                <w:kern w:val="0"/>
              </w:rPr>
              <w:t>万只</w:t>
            </w:r>
          </w:p>
        </w:tc>
        <w:tc>
          <w:tcPr>
            <w:tcW w:w="620" w:type="pct"/>
            <w:vAlign w:val="center"/>
          </w:tcPr>
          <w:p>
            <w:pPr>
              <w:widowControl w:val="0"/>
              <w:jc w:val="center"/>
              <w:rPr>
                <w:rFonts w:ascii="Times New Roman" w:hAnsi="Times New Roman" w:cs="Times New Roman"/>
                <w:kern w:val="0"/>
              </w:rPr>
            </w:pPr>
            <w:r>
              <w:rPr>
                <w:rFonts w:hint="eastAsia" w:ascii="Times New Roman" w:hAnsi="Times New Roman"/>
                <w:kern w:val="0"/>
              </w:rPr>
              <w:t>500</w:t>
            </w:r>
          </w:p>
        </w:tc>
        <w:tc>
          <w:tcPr>
            <w:tcW w:w="714" w:type="pct"/>
            <w:vAlign w:val="center"/>
          </w:tcPr>
          <w:p>
            <w:pPr>
              <w:widowControl w:val="0"/>
              <w:jc w:val="center"/>
              <w:rPr>
                <w:rFonts w:ascii="Times New Roman" w:hAnsi="Times New Roman" w:cs="Times New Roman"/>
                <w:kern w:val="0"/>
              </w:rPr>
            </w:pPr>
            <w:r>
              <w:rPr>
                <w:rFonts w:hint="eastAsia" w:ascii="Times New Roman" w:hAnsi="Times New Roman"/>
                <w:kern w:val="0"/>
              </w:rPr>
              <w:t>待宰车间</w:t>
            </w:r>
          </w:p>
        </w:tc>
        <w:tc>
          <w:tcPr>
            <w:tcW w:w="1705" w:type="pct"/>
            <w:vAlign w:val="center"/>
          </w:tcPr>
          <w:p>
            <w:pPr>
              <w:widowControl w:val="0"/>
              <w:jc w:val="center"/>
              <w:rPr>
                <w:rFonts w:ascii="Times New Roman" w:hAnsi="Times New Roman" w:cs="Times New Roman"/>
              </w:rPr>
            </w:pPr>
            <w:r>
              <w:rPr>
                <w:rFonts w:hint="eastAsia" w:ascii="Times New Roman" w:hAnsi="Times New Roman"/>
              </w:rPr>
              <w:t>外购，均重按</w:t>
            </w:r>
            <w:r>
              <w:rPr>
                <w:rFonts w:ascii="Times New Roman" w:hAnsi="Times New Roman"/>
              </w:rPr>
              <w:t>1.</w:t>
            </w:r>
            <w:r>
              <w:rPr>
                <w:rFonts w:hint="eastAsia" w:ascii="Times New Roman" w:hAnsi="Times New Roman"/>
              </w:rPr>
              <w:t>75</w:t>
            </w:r>
            <w:r>
              <w:rPr>
                <w:rFonts w:ascii="Times New Roman" w:hAnsi="Times New Roman"/>
              </w:rPr>
              <w:t>kg</w:t>
            </w:r>
            <w:r>
              <w:rPr>
                <w:rFonts w:hint="eastAsia" w:ascii="Times New Roman" w:hAnsi="Times New Roma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ascii="Times New Roman" w:hAnsi="Times New Roman"/>
                <w:kern w:val="0"/>
              </w:rPr>
              <w:t>2</w:t>
            </w:r>
          </w:p>
        </w:tc>
        <w:tc>
          <w:tcPr>
            <w:tcW w:w="1065" w:type="pct"/>
            <w:vAlign w:val="center"/>
          </w:tcPr>
          <w:p>
            <w:pPr>
              <w:widowControl w:val="0"/>
              <w:jc w:val="center"/>
              <w:rPr>
                <w:rFonts w:ascii="Times New Roman" w:hAnsi="Times New Roman" w:cs="Times New Roman"/>
                <w:kern w:val="0"/>
              </w:rPr>
            </w:pPr>
            <w:r>
              <w:rPr>
                <w:rFonts w:hint="eastAsia" w:ascii="Times New Roman" w:hAnsi="Times New Roman"/>
                <w:kern w:val="0"/>
              </w:rPr>
              <w:t>鸭</w:t>
            </w:r>
          </w:p>
        </w:tc>
        <w:tc>
          <w:tcPr>
            <w:tcW w:w="443" w:type="pct"/>
            <w:vAlign w:val="center"/>
          </w:tcPr>
          <w:p>
            <w:pPr>
              <w:widowControl w:val="0"/>
              <w:jc w:val="center"/>
              <w:rPr>
                <w:rFonts w:ascii="Times New Roman" w:hAnsi="Times New Roman" w:cs="Times New Roman"/>
                <w:kern w:val="0"/>
              </w:rPr>
            </w:pPr>
            <w:r>
              <w:rPr>
                <w:rFonts w:hint="eastAsia" w:ascii="Times New Roman" w:hAnsi="Times New Roman"/>
                <w:kern w:val="0"/>
              </w:rPr>
              <w:t>万只</w:t>
            </w:r>
          </w:p>
        </w:tc>
        <w:tc>
          <w:tcPr>
            <w:tcW w:w="620" w:type="pct"/>
            <w:vAlign w:val="center"/>
          </w:tcPr>
          <w:p>
            <w:pPr>
              <w:widowControl w:val="0"/>
              <w:jc w:val="center"/>
              <w:rPr>
                <w:rFonts w:ascii="Times New Roman" w:hAnsi="Times New Roman" w:cs="Times New Roman"/>
                <w:kern w:val="0"/>
              </w:rPr>
            </w:pPr>
            <w:r>
              <w:rPr>
                <w:rFonts w:hint="eastAsia" w:ascii="Times New Roman" w:hAnsi="Times New Roman"/>
                <w:kern w:val="0"/>
              </w:rPr>
              <w:t>500</w:t>
            </w:r>
          </w:p>
        </w:tc>
        <w:tc>
          <w:tcPr>
            <w:tcW w:w="714" w:type="pct"/>
            <w:vAlign w:val="center"/>
          </w:tcPr>
          <w:p>
            <w:pPr>
              <w:widowControl w:val="0"/>
              <w:jc w:val="center"/>
              <w:rPr>
                <w:rFonts w:ascii="Times New Roman" w:hAnsi="Times New Roman" w:cs="Times New Roman"/>
                <w:kern w:val="0"/>
              </w:rPr>
            </w:pPr>
            <w:r>
              <w:rPr>
                <w:rFonts w:hint="eastAsia" w:ascii="Times New Roman" w:hAnsi="Times New Roman"/>
                <w:kern w:val="0"/>
              </w:rPr>
              <w:t>待宰车间</w:t>
            </w:r>
          </w:p>
        </w:tc>
        <w:tc>
          <w:tcPr>
            <w:tcW w:w="1705" w:type="pct"/>
            <w:vAlign w:val="center"/>
          </w:tcPr>
          <w:p>
            <w:pPr>
              <w:widowControl w:val="0"/>
              <w:jc w:val="center"/>
              <w:rPr>
                <w:rFonts w:ascii="Times New Roman" w:hAnsi="Times New Roman" w:cs="Times New Roman"/>
              </w:rPr>
            </w:pPr>
            <w:r>
              <w:rPr>
                <w:rFonts w:hint="eastAsia" w:ascii="Times New Roman" w:hAnsi="Times New Roman"/>
              </w:rPr>
              <w:t>外购，均重按2.5</w:t>
            </w:r>
            <w:r>
              <w:rPr>
                <w:rFonts w:ascii="Times New Roman" w:hAnsi="Times New Roman"/>
              </w:rPr>
              <w:t>kg</w:t>
            </w:r>
            <w:r>
              <w:rPr>
                <w:rFonts w:hint="eastAsia" w:ascii="Times New Roman" w:hAnsi="Times New Roma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kern w:val="0"/>
              </w:rPr>
            </w:pPr>
            <w:r>
              <w:rPr>
                <w:rFonts w:hint="eastAsia" w:ascii="Times New Roman" w:hAnsi="Times New Roman"/>
                <w:kern w:val="0"/>
              </w:rPr>
              <w:t>3</w:t>
            </w:r>
          </w:p>
        </w:tc>
        <w:tc>
          <w:tcPr>
            <w:tcW w:w="1065" w:type="pct"/>
            <w:vAlign w:val="center"/>
          </w:tcPr>
          <w:p>
            <w:pPr>
              <w:widowControl w:val="0"/>
              <w:jc w:val="center"/>
              <w:rPr>
                <w:rFonts w:ascii="Times New Roman" w:hAnsi="Times New Roman"/>
              </w:rPr>
            </w:pPr>
            <w:r>
              <w:rPr>
                <w:rFonts w:hint="eastAsia" w:ascii="Times New Roman" w:hAnsi="Times New Roman"/>
              </w:rPr>
              <w:t>肉牛</w:t>
            </w:r>
          </w:p>
        </w:tc>
        <w:tc>
          <w:tcPr>
            <w:tcW w:w="443" w:type="pct"/>
            <w:vAlign w:val="center"/>
          </w:tcPr>
          <w:p>
            <w:pPr>
              <w:widowControl w:val="0"/>
              <w:jc w:val="center"/>
              <w:rPr>
                <w:rFonts w:ascii="Times New Roman" w:hAnsi="Times New Roman"/>
              </w:rPr>
            </w:pPr>
            <w:r>
              <w:rPr>
                <w:rFonts w:hint="eastAsia" w:ascii="Times New Roman" w:hAnsi="Times New Roman"/>
              </w:rPr>
              <w:t>万头</w:t>
            </w:r>
          </w:p>
        </w:tc>
        <w:tc>
          <w:tcPr>
            <w:tcW w:w="620" w:type="pct"/>
            <w:vAlign w:val="center"/>
          </w:tcPr>
          <w:p>
            <w:pPr>
              <w:widowControl w:val="0"/>
              <w:jc w:val="center"/>
              <w:rPr>
                <w:rFonts w:ascii="Times New Roman" w:hAnsi="Times New Roman"/>
              </w:rPr>
            </w:pPr>
            <w:r>
              <w:rPr>
                <w:rFonts w:hint="eastAsia" w:ascii="Times New Roman" w:hAnsi="Times New Roman"/>
              </w:rPr>
              <w:t>1</w:t>
            </w:r>
          </w:p>
        </w:tc>
        <w:tc>
          <w:tcPr>
            <w:tcW w:w="714" w:type="pct"/>
            <w:vAlign w:val="center"/>
          </w:tcPr>
          <w:p>
            <w:pPr>
              <w:widowControl w:val="0"/>
              <w:jc w:val="center"/>
              <w:rPr>
                <w:rFonts w:ascii="Times New Roman" w:hAnsi="Times New Roman"/>
              </w:rPr>
            </w:pPr>
            <w:r>
              <w:rPr>
                <w:rFonts w:hint="eastAsia" w:ascii="Times New Roman" w:hAnsi="Times New Roman"/>
                <w:kern w:val="0"/>
              </w:rPr>
              <w:t>待宰车间</w:t>
            </w:r>
          </w:p>
        </w:tc>
        <w:tc>
          <w:tcPr>
            <w:tcW w:w="1705" w:type="pct"/>
            <w:vAlign w:val="center"/>
          </w:tcPr>
          <w:p>
            <w:pPr>
              <w:widowControl w:val="0"/>
              <w:jc w:val="center"/>
              <w:rPr>
                <w:rFonts w:ascii="Times New Roman" w:hAnsi="Times New Roman"/>
              </w:rPr>
            </w:pPr>
            <w:r>
              <w:rPr>
                <w:rFonts w:hint="eastAsia" w:ascii="Times New Roman" w:hAnsi="Times New Roman"/>
              </w:rPr>
              <w:t>外购，均重按500</w:t>
            </w:r>
            <w:r>
              <w:rPr>
                <w:rFonts w:ascii="Times New Roman" w:hAnsi="Times New Roman"/>
              </w:rPr>
              <w:t>kg</w:t>
            </w:r>
            <w:r>
              <w:rPr>
                <w:rFonts w:hint="eastAsia" w:ascii="Times New Roman" w:hAnsi="Times New Roma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hint="eastAsia" w:ascii="Times New Roman" w:hAnsi="Times New Roman"/>
                <w:kern w:val="0"/>
              </w:rPr>
              <w:t>4</w:t>
            </w:r>
          </w:p>
        </w:tc>
        <w:tc>
          <w:tcPr>
            <w:tcW w:w="1065" w:type="pct"/>
            <w:vAlign w:val="center"/>
          </w:tcPr>
          <w:p>
            <w:pPr>
              <w:widowControl w:val="0"/>
              <w:jc w:val="center"/>
              <w:rPr>
                <w:rFonts w:ascii="Times New Roman" w:hAnsi="Times New Roman" w:cs="Times New Roman"/>
              </w:rPr>
            </w:pPr>
            <w:r>
              <w:rPr>
                <w:rFonts w:hint="eastAsia" w:ascii="Times New Roman" w:hAnsi="Times New Roman"/>
              </w:rPr>
              <w:t>除臭剂</w:t>
            </w:r>
          </w:p>
        </w:tc>
        <w:tc>
          <w:tcPr>
            <w:tcW w:w="443" w:type="pct"/>
            <w:vAlign w:val="center"/>
          </w:tcPr>
          <w:p>
            <w:pPr>
              <w:widowControl w:val="0"/>
              <w:jc w:val="center"/>
              <w:rPr>
                <w:rFonts w:ascii="Times New Roman" w:hAnsi="Times New Roman" w:cs="Times New Roman"/>
              </w:rPr>
            </w:pPr>
            <w:r>
              <w:rPr>
                <w:rFonts w:ascii="Times New Roman" w:hAnsi="Times New Roman"/>
              </w:rPr>
              <w:t>t/a</w:t>
            </w:r>
          </w:p>
        </w:tc>
        <w:tc>
          <w:tcPr>
            <w:tcW w:w="620" w:type="pct"/>
            <w:vAlign w:val="center"/>
          </w:tcPr>
          <w:p>
            <w:pPr>
              <w:widowControl w:val="0"/>
              <w:jc w:val="center"/>
              <w:rPr>
                <w:rFonts w:ascii="Times New Roman" w:hAnsi="Times New Roman" w:cs="Times New Roman"/>
              </w:rPr>
            </w:pPr>
            <w:r>
              <w:rPr>
                <w:rFonts w:hint="eastAsia" w:ascii="Times New Roman" w:hAnsi="Times New Roman"/>
              </w:rPr>
              <w:t>4</w:t>
            </w:r>
          </w:p>
        </w:tc>
        <w:tc>
          <w:tcPr>
            <w:tcW w:w="714" w:type="pct"/>
            <w:vAlign w:val="center"/>
          </w:tcPr>
          <w:p>
            <w:pPr>
              <w:widowControl w:val="0"/>
              <w:jc w:val="center"/>
              <w:rPr>
                <w:rFonts w:ascii="Times New Roman" w:hAnsi="Times New Roman" w:cs="Times New Roman"/>
              </w:rPr>
            </w:pPr>
            <w:r>
              <w:rPr>
                <w:rFonts w:hint="eastAsia" w:ascii="Times New Roman" w:hAnsi="Times New Roman"/>
              </w:rPr>
              <w:t>原料仓库</w:t>
            </w:r>
          </w:p>
        </w:tc>
        <w:tc>
          <w:tcPr>
            <w:tcW w:w="1705" w:type="pct"/>
            <w:vAlign w:val="center"/>
          </w:tcPr>
          <w:p>
            <w:pPr>
              <w:widowControl w:val="0"/>
              <w:jc w:val="center"/>
              <w:rPr>
                <w:rFonts w:ascii="Times New Roman" w:hAnsi="Times New Roman" w:cs="Times New Roman"/>
              </w:rPr>
            </w:pPr>
            <w:r>
              <w:rPr>
                <w:rFonts w:hint="eastAsia" w:ascii="Times New Roman" w:hAnsi="Times New Roman"/>
              </w:rPr>
              <w:t>外购，用于待宰间、屠宰加工车间除臭，瓶装液体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hint="eastAsia" w:ascii="Times New Roman" w:hAnsi="Times New Roman"/>
                <w:kern w:val="0"/>
              </w:rPr>
              <w:t>5</w:t>
            </w:r>
          </w:p>
        </w:tc>
        <w:tc>
          <w:tcPr>
            <w:tcW w:w="1065" w:type="pct"/>
            <w:vAlign w:val="center"/>
          </w:tcPr>
          <w:p>
            <w:pPr>
              <w:widowControl w:val="0"/>
              <w:jc w:val="center"/>
              <w:rPr>
                <w:rFonts w:ascii="Times New Roman" w:hAnsi="Times New Roman" w:cs="Times New Roman"/>
                <w:szCs w:val="24"/>
              </w:rPr>
            </w:pPr>
            <w:r>
              <w:rPr>
                <w:rFonts w:hint="eastAsia" w:ascii="Times New Roman" w:hAnsi="Times New Roman"/>
              </w:rPr>
              <w:t>脱毛蜡（食用蜡）</w:t>
            </w:r>
          </w:p>
        </w:tc>
        <w:tc>
          <w:tcPr>
            <w:tcW w:w="443" w:type="pct"/>
            <w:vAlign w:val="center"/>
          </w:tcPr>
          <w:p>
            <w:pPr>
              <w:widowControl w:val="0"/>
              <w:jc w:val="center"/>
              <w:rPr>
                <w:rFonts w:ascii="Times New Roman" w:hAnsi="Times New Roman" w:cs="Times New Roman"/>
                <w:szCs w:val="24"/>
              </w:rPr>
            </w:pPr>
            <w:r>
              <w:rPr>
                <w:rFonts w:ascii="Times New Roman" w:hAnsi="Times New Roman"/>
              </w:rPr>
              <w:t>t/a</w:t>
            </w:r>
          </w:p>
        </w:tc>
        <w:tc>
          <w:tcPr>
            <w:tcW w:w="620" w:type="pct"/>
            <w:vAlign w:val="center"/>
          </w:tcPr>
          <w:p>
            <w:pPr>
              <w:widowControl w:val="0"/>
              <w:jc w:val="center"/>
              <w:rPr>
                <w:rFonts w:ascii="Times New Roman" w:hAnsi="Times New Roman" w:cs="Times New Roman"/>
                <w:szCs w:val="24"/>
              </w:rPr>
            </w:pPr>
            <w:r>
              <w:rPr>
                <w:rFonts w:hint="eastAsia" w:ascii="Times New Roman" w:hAnsi="Times New Roman"/>
              </w:rPr>
              <w:t>54</w:t>
            </w:r>
          </w:p>
        </w:tc>
        <w:tc>
          <w:tcPr>
            <w:tcW w:w="714" w:type="pct"/>
            <w:vAlign w:val="center"/>
          </w:tcPr>
          <w:p>
            <w:pPr>
              <w:widowControl w:val="0"/>
              <w:jc w:val="center"/>
              <w:rPr>
                <w:rFonts w:ascii="Times New Roman" w:hAnsi="Times New Roman" w:cs="Times New Roman"/>
              </w:rPr>
            </w:pPr>
            <w:r>
              <w:rPr>
                <w:rFonts w:hint="eastAsia" w:ascii="Times New Roman" w:hAnsi="Times New Roman"/>
              </w:rPr>
              <w:t>原料仓库</w:t>
            </w:r>
          </w:p>
        </w:tc>
        <w:tc>
          <w:tcPr>
            <w:tcW w:w="1705" w:type="pct"/>
            <w:vAlign w:val="center"/>
          </w:tcPr>
          <w:p>
            <w:pPr>
              <w:widowControl w:val="0"/>
              <w:jc w:val="center"/>
              <w:rPr>
                <w:rFonts w:ascii="Times New Roman" w:hAnsi="Times New Roman" w:cs="Times New Roman"/>
                <w:szCs w:val="24"/>
              </w:rPr>
            </w:pPr>
            <w:r>
              <w:rPr>
                <w:rFonts w:hint="eastAsia" w:ascii="Times New Roman" w:hAnsi="Times New Roman"/>
              </w:rPr>
              <w:t>外购，用于鸭脱毛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kern w:val="0"/>
              </w:rPr>
            </w:pPr>
            <w:r>
              <w:rPr>
                <w:rFonts w:hint="eastAsia" w:ascii="Times New Roman" w:hAnsi="Times New Roman"/>
                <w:kern w:val="0"/>
              </w:rPr>
              <w:t>6</w:t>
            </w:r>
          </w:p>
        </w:tc>
        <w:tc>
          <w:tcPr>
            <w:tcW w:w="1065" w:type="pct"/>
            <w:vAlign w:val="center"/>
          </w:tcPr>
          <w:p>
            <w:pPr>
              <w:widowControl w:val="0"/>
              <w:jc w:val="center"/>
              <w:rPr>
                <w:rFonts w:ascii="Times New Roman" w:hAnsi="Times New Roman"/>
              </w:rPr>
            </w:pPr>
            <w:r>
              <w:rPr>
                <w:rFonts w:hint="eastAsia" w:ascii="Times New Roman" w:hAnsi="Times New Roman"/>
              </w:rPr>
              <w:t>消毒剂</w:t>
            </w:r>
          </w:p>
        </w:tc>
        <w:tc>
          <w:tcPr>
            <w:tcW w:w="443" w:type="pct"/>
            <w:vAlign w:val="center"/>
          </w:tcPr>
          <w:p>
            <w:pPr>
              <w:widowControl w:val="0"/>
              <w:jc w:val="center"/>
              <w:rPr>
                <w:rFonts w:ascii="Times New Roman" w:hAnsi="Times New Roman"/>
              </w:rPr>
            </w:pPr>
            <w:r>
              <w:rPr>
                <w:rFonts w:ascii="Times New Roman" w:hAnsi="Times New Roman"/>
              </w:rPr>
              <w:t>t/a</w:t>
            </w:r>
          </w:p>
        </w:tc>
        <w:tc>
          <w:tcPr>
            <w:tcW w:w="620" w:type="pct"/>
            <w:vAlign w:val="center"/>
          </w:tcPr>
          <w:p>
            <w:pPr>
              <w:widowControl w:val="0"/>
              <w:jc w:val="center"/>
              <w:rPr>
                <w:rFonts w:ascii="Times New Roman" w:hAnsi="Times New Roman"/>
              </w:rPr>
            </w:pPr>
            <w:r>
              <w:rPr>
                <w:rFonts w:hint="eastAsia" w:ascii="Times New Roman" w:hAnsi="Times New Roman"/>
              </w:rPr>
              <w:t>5</w:t>
            </w:r>
          </w:p>
        </w:tc>
        <w:tc>
          <w:tcPr>
            <w:tcW w:w="714" w:type="pct"/>
            <w:vAlign w:val="center"/>
          </w:tcPr>
          <w:p>
            <w:pPr>
              <w:widowControl w:val="0"/>
              <w:jc w:val="center"/>
              <w:rPr>
                <w:rFonts w:ascii="Times New Roman" w:hAnsi="Times New Roman"/>
              </w:rPr>
            </w:pPr>
            <w:r>
              <w:rPr>
                <w:rFonts w:hint="eastAsia" w:ascii="Times New Roman" w:hAnsi="Times New Roman"/>
              </w:rPr>
              <w:t>原料仓库</w:t>
            </w:r>
          </w:p>
        </w:tc>
        <w:tc>
          <w:tcPr>
            <w:tcW w:w="1705" w:type="pct"/>
            <w:vAlign w:val="center"/>
          </w:tcPr>
          <w:p>
            <w:pPr>
              <w:widowControl w:val="0"/>
              <w:jc w:val="center"/>
              <w:rPr>
                <w:rFonts w:ascii="Times New Roman" w:hAnsi="Times New Roman"/>
              </w:rPr>
            </w:pPr>
            <w:r>
              <w:rPr>
                <w:rFonts w:hint="eastAsia"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kern w:val="0"/>
              </w:rPr>
            </w:pPr>
            <w:r>
              <w:rPr>
                <w:rFonts w:hint="eastAsia" w:ascii="Times New Roman" w:hAnsi="Times New Roman"/>
                <w:kern w:val="0"/>
              </w:rPr>
              <w:t>8</w:t>
            </w:r>
          </w:p>
        </w:tc>
        <w:tc>
          <w:tcPr>
            <w:tcW w:w="1065" w:type="pct"/>
            <w:vAlign w:val="center"/>
          </w:tcPr>
          <w:p>
            <w:pPr>
              <w:widowControl w:val="0"/>
              <w:jc w:val="center"/>
              <w:rPr>
                <w:rFonts w:ascii="Times New Roman" w:hAnsi="Times New Roman"/>
              </w:rPr>
            </w:pPr>
            <w:r>
              <w:rPr>
                <w:rFonts w:hint="eastAsia" w:ascii="Times New Roman" w:hAnsi="Times New Roman"/>
              </w:rPr>
              <w:t>制冷剂（R404A）</w:t>
            </w:r>
          </w:p>
        </w:tc>
        <w:tc>
          <w:tcPr>
            <w:tcW w:w="443" w:type="pct"/>
            <w:vAlign w:val="center"/>
          </w:tcPr>
          <w:p>
            <w:pPr>
              <w:widowControl w:val="0"/>
              <w:jc w:val="center"/>
              <w:rPr>
                <w:rFonts w:ascii="Times New Roman" w:hAnsi="Times New Roman"/>
              </w:rPr>
            </w:pPr>
            <w:r>
              <w:rPr>
                <w:rFonts w:ascii="Times New Roman" w:hAnsi="Times New Roman"/>
              </w:rPr>
              <w:t>t/a</w:t>
            </w:r>
          </w:p>
        </w:tc>
        <w:tc>
          <w:tcPr>
            <w:tcW w:w="620" w:type="pct"/>
            <w:vAlign w:val="center"/>
          </w:tcPr>
          <w:p>
            <w:pPr>
              <w:widowControl w:val="0"/>
              <w:jc w:val="center"/>
              <w:rPr>
                <w:rFonts w:ascii="Times New Roman" w:hAnsi="Times New Roman"/>
              </w:rPr>
            </w:pPr>
            <w:r>
              <w:rPr>
                <w:rFonts w:hint="eastAsia" w:ascii="Times New Roman" w:hAnsi="Times New Roman"/>
              </w:rPr>
              <w:t>0.1</w:t>
            </w:r>
          </w:p>
        </w:tc>
        <w:tc>
          <w:tcPr>
            <w:tcW w:w="714" w:type="pct"/>
            <w:vAlign w:val="center"/>
          </w:tcPr>
          <w:p>
            <w:pPr>
              <w:widowControl w:val="0"/>
              <w:jc w:val="center"/>
              <w:rPr>
                <w:rFonts w:ascii="Times New Roman" w:hAnsi="Times New Roman"/>
              </w:rPr>
            </w:pPr>
            <w:r>
              <w:rPr>
                <w:rFonts w:hint="eastAsia"/>
              </w:rPr>
              <w:t>冷冻车间</w:t>
            </w:r>
          </w:p>
        </w:tc>
        <w:tc>
          <w:tcPr>
            <w:tcW w:w="1705" w:type="pct"/>
            <w:vAlign w:val="center"/>
          </w:tcPr>
          <w:p>
            <w:pPr>
              <w:widowControl w:val="0"/>
              <w:jc w:val="center"/>
              <w:rPr>
                <w:rFonts w:ascii="Times New Roman" w:hAnsi="Times New Roman"/>
              </w:rPr>
            </w:pPr>
            <w:r>
              <w:rPr>
                <w:rFonts w:hint="eastAsia" w:ascii="Times New Roman" w:hAnsi="Times New Roman"/>
              </w:rPr>
              <w:t>定期补充，即用即买，厂区不存储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b/>
                <w:kern w:val="0"/>
              </w:rPr>
            </w:pPr>
            <w:r>
              <w:rPr>
                <w:rFonts w:hint="eastAsia" w:ascii="Times New Roman" w:hAnsi="Times New Roman"/>
                <w:b/>
                <w:kern w:val="0"/>
              </w:rPr>
              <w:t>二</w:t>
            </w:r>
          </w:p>
        </w:tc>
        <w:tc>
          <w:tcPr>
            <w:tcW w:w="4547" w:type="pct"/>
            <w:gridSpan w:val="5"/>
            <w:vAlign w:val="center"/>
          </w:tcPr>
          <w:p>
            <w:pPr>
              <w:widowControl w:val="0"/>
              <w:jc w:val="center"/>
              <w:rPr>
                <w:rFonts w:ascii="Times New Roman" w:hAnsi="Times New Roman" w:cs="Times New Roman"/>
                <w:b/>
                <w:szCs w:val="24"/>
              </w:rPr>
            </w:pPr>
            <w:r>
              <w:rPr>
                <w:rFonts w:hint="eastAsia" w:ascii="Times New Roman" w:hAnsi="Times New Roman"/>
                <w:b/>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ascii="Times New Roman" w:hAnsi="Times New Roman"/>
                <w:kern w:val="0"/>
              </w:rPr>
              <w:t>1</w:t>
            </w:r>
          </w:p>
        </w:tc>
        <w:tc>
          <w:tcPr>
            <w:tcW w:w="1065" w:type="pct"/>
            <w:vAlign w:val="center"/>
          </w:tcPr>
          <w:p>
            <w:pPr>
              <w:widowControl w:val="0"/>
              <w:jc w:val="center"/>
              <w:rPr>
                <w:rFonts w:ascii="Times New Roman" w:hAnsi="Times New Roman" w:cs="Times New Roman"/>
                <w:szCs w:val="24"/>
              </w:rPr>
            </w:pPr>
            <w:r>
              <w:rPr>
                <w:rFonts w:hint="eastAsia" w:ascii="Times New Roman" w:hAnsi="Times New Roman"/>
              </w:rPr>
              <w:t>水</w:t>
            </w:r>
          </w:p>
        </w:tc>
        <w:tc>
          <w:tcPr>
            <w:tcW w:w="443" w:type="pct"/>
            <w:vAlign w:val="center"/>
          </w:tcPr>
          <w:p>
            <w:pPr>
              <w:widowControl w:val="0"/>
              <w:jc w:val="center"/>
              <w:rPr>
                <w:rFonts w:ascii="Times New Roman" w:hAnsi="Times New Roman" w:cs="Times New Roman"/>
                <w:szCs w:val="24"/>
              </w:rPr>
            </w:pPr>
            <w:r>
              <w:rPr>
                <w:rFonts w:ascii="Times New Roman" w:hAnsi="Times New Roman"/>
              </w:rPr>
              <w:t>m</w:t>
            </w:r>
            <w:r>
              <w:rPr>
                <w:rFonts w:ascii="Times New Roman" w:hAnsi="Times New Roman"/>
                <w:vertAlign w:val="superscript"/>
              </w:rPr>
              <w:t>3</w:t>
            </w:r>
          </w:p>
        </w:tc>
        <w:tc>
          <w:tcPr>
            <w:tcW w:w="620" w:type="pct"/>
            <w:vAlign w:val="center"/>
          </w:tcPr>
          <w:p>
            <w:pPr>
              <w:widowControl w:val="0"/>
              <w:jc w:val="center"/>
              <w:rPr>
                <w:rFonts w:ascii="Times New Roman" w:hAnsi="Times New Roman" w:cs="Times New Roman"/>
                <w:szCs w:val="24"/>
              </w:rPr>
            </w:pPr>
            <w:r>
              <w:rPr>
                <w:rFonts w:ascii="Times New Roman" w:hAnsi="Times New Roman"/>
              </w:rPr>
              <w:t>199940</w:t>
            </w:r>
          </w:p>
        </w:tc>
        <w:tc>
          <w:tcPr>
            <w:tcW w:w="714" w:type="pct"/>
            <w:vAlign w:val="center"/>
          </w:tcPr>
          <w:p>
            <w:pPr>
              <w:widowControl w:val="0"/>
              <w:jc w:val="center"/>
              <w:rPr>
                <w:rFonts w:ascii="Times New Roman" w:hAnsi="Times New Roman" w:cs="Times New Roman"/>
              </w:rPr>
            </w:pPr>
            <w:r>
              <w:rPr>
                <w:rFonts w:ascii="Times New Roman" w:hAnsi="Times New Roman"/>
              </w:rPr>
              <w:t>/</w:t>
            </w:r>
          </w:p>
        </w:tc>
        <w:tc>
          <w:tcPr>
            <w:tcW w:w="1705" w:type="pct"/>
            <w:vAlign w:val="center"/>
          </w:tcPr>
          <w:p>
            <w:pPr>
              <w:widowControl w:val="0"/>
              <w:jc w:val="center"/>
              <w:rPr>
                <w:rFonts w:ascii="Times New Roman" w:hAnsi="Times New Roman" w:cs="Times New Roman"/>
                <w:szCs w:val="24"/>
              </w:rPr>
            </w:pPr>
            <w:r>
              <w:rPr>
                <w:rFonts w:hint="eastAsia" w:ascii="Times New Roman" w:hAnsi="Times New Roman"/>
              </w:rPr>
              <w:t>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ascii="Times New Roman" w:hAnsi="Times New Roman"/>
                <w:kern w:val="0"/>
              </w:rPr>
              <w:t>2</w:t>
            </w:r>
          </w:p>
        </w:tc>
        <w:tc>
          <w:tcPr>
            <w:tcW w:w="1065" w:type="pct"/>
            <w:vAlign w:val="center"/>
          </w:tcPr>
          <w:p>
            <w:pPr>
              <w:widowControl w:val="0"/>
              <w:jc w:val="center"/>
              <w:rPr>
                <w:rFonts w:ascii="Times New Roman" w:hAnsi="Times New Roman" w:cs="Times New Roman"/>
                <w:szCs w:val="24"/>
              </w:rPr>
            </w:pPr>
            <w:r>
              <w:rPr>
                <w:rFonts w:hint="eastAsia" w:ascii="Times New Roman" w:hAnsi="Times New Roman"/>
              </w:rPr>
              <w:t>电</w:t>
            </w:r>
          </w:p>
        </w:tc>
        <w:tc>
          <w:tcPr>
            <w:tcW w:w="443" w:type="pct"/>
            <w:vAlign w:val="center"/>
          </w:tcPr>
          <w:p>
            <w:pPr>
              <w:widowControl w:val="0"/>
              <w:jc w:val="center"/>
              <w:rPr>
                <w:rFonts w:ascii="Times New Roman" w:hAnsi="Times New Roman" w:cs="Times New Roman"/>
                <w:szCs w:val="24"/>
              </w:rPr>
            </w:pPr>
            <w:r>
              <w:rPr>
                <w:rFonts w:ascii="Times New Roman" w:hAnsi="Times New Roman"/>
              </w:rPr>
              <w:t>kWh</w:t>
            </w:r>
          </w:p>
        </w:tc>
        <w:tc>
          <w:tcPr>
            <w:tcW w:w="620" w:type="pct"/>
            <w:vAlign w:val="center"/>
          </w:tcPr>
          <w:p>
            <w:pPr>
              <w:widowControl w:val="0"/>
              <w:jc w:val="center"/>
              <w:rPr>
                <w:rFonts w:ascii="Times New Roman" w:hAnsi="Times New Roman" w:cs="Times New Roman"/>
                <w:szCs w:val="24"/>
              </w:rPr>
            </w:pPr>
            <w:r>
              <w:rPr>
                <w:rFonts w:ascii="Times New Roman" w:hAnsi="Times New Roman"/>
              </w:rPr>
              <w:t>60</w:t>
            </w:r>
            <w:r>
              <w:rPr>
                <w:rFonts w:hint="eastAsia" w:ascii="Times New Roman" w:hAnsi="Times New Roman"/>
              </w:rPr>
              <w:t>万</w:t>
            </w:r>
          </w:p>
        </w:tc>
        <w:tc>
          <w:tcPr>
            <w:tcW w:w="714" w:type="pct"/>
            <w:vAlign w:val="center"/>
          </w:tcPr>
          <w:p>
            <w:pPr>
              <w:widowControl w:val="0"/>
              <w:jc w:val="center"/>
              <w:rPr>
                <w:rFonts w:ascii="Times New Roman" w:hAnsi="Times New Roman" w:cs="Times New Roman"/>
              </w:rPr>
            </w:pPr>
            <w:r>
              <w:rPr>
                <w:rFonts w:ascii="Times New Roman" w:hAnsi="Times New Roman"/>
              </w:rPr>
              <w:t>/</w:t>
            </w:r>
          </w:p>
        </w:tc>
        <w:tc>
          <w:tcPr>
            <w:tcW w:w="1705" w:type="pct"/>
            <w:vAlign w:val="center"/>
          </w:tcPr>
          <w:p>
            <w:pPr>
              <w:widowControl w:val="0"/>
              <w:jc w:val="center"/>
              <w:rPr>
                <w:rFonts w:ascii="Times New Roman" w:hAnsi="Times New Roman" w:cs="Times New Roman"/>
                <w:szCs w:val="24"/>
              </w:rPr>
            </w:pPr>
            <w:r>
              <w:rPr>
                <w:rFonts w:hint="eastAsia" w:ascii="Times New Roman" w:hAnsi="Times New Roman"/>
              </w:rPr>
              <w:t>集兵镇供电所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3" w:type="pct"/>
            <w:vAlign w:val="center"/>
          </w:tcPr>
          <w:p>
            <w:pPr>
              <w:widowControl w:val="0"/>
              <w:jc w:val="center"/>
              <w:rPr>
                <w:rFonts w:ascii="Times New Roman" w:hAnsi="Times New Roman" w:cs="Times New Roman"/>
                <w:kern w:val="0"/>
              </w:rPr>
            </w:pPr>
            <w:r>
              <w:rPr>
                <w:rFonts w:ascii="Times New Roman" w:hAnsi="Times New Roman"/>
                <w:kern w:val="0"/>
              </w:rPr>
              <w:t>3</w:t>
            </w:r>
          </w:p>
        </w:tc>
        <w:tc>
          <w:tcPr>
            <w:tcW w:w="1065" w:type="pct"/>
            <w:vAlign w:val="center"/>
          </w:tcPr>
          <w:p>
            <w:pPr>
              <w:widowControl w:val="0"/>
              <w:jc w:val="center"/>
              <w:rPr>
                <w:rFonts w:ascii="Times New Roman" w:hAnsi="Times New Roman" w:cs="Times New Roman"/>
                <w:szCs w:val="24"/>
              </w:rPr>
            </w:pPr>
            <w:r>
              <w:rPr>
                <w:rFonts w:hint="eastAsia" w:ascii="Times New Roman" w:hAnsi="Times New Roman"/>
              </w:rPr>
              <w:t>生物质</w:t>
            </w:r>
          </w:p>
        </w:tc>
        <w:tc>
          <w:tcPr>
            <w:tcW w:w="443" w:type="pct"/>
            <w:vAlign w:val="center"/>
          </w:tcPr>
          <w:p>
            <w:pPr>
              <w:widowControl w:val="0"/>
              <w:jc w:val="center"/>
              <w:rPr>
                <w:rFonts w:ascii="Times New Roman" w:hAnsi="Times New Roman" w:cs="Times New Roman"/>
                <w:szCs w:val="24"/>
              </w:rPr>
            </w:pPr>
            <w:r>
              <w:rPr>
                <w:rFonts w:ascii="Times New Roman" w:hAnsi="Times New Roman"/>
              </w:rPr>
              <w:t>t</w:t>
            </w:r>
          </w:p>
        </w:tc>
        <w:tc>
          <w:tcPr>
            <w:tcW w:w="620" w:type="pct"/>
            <w:vAlign w:val="center"/>
          </w:tcPr>
          <w:p>
            <w:pPr>
              <w:widowControl w:val="0"/>
              <w:jc w:val="center"/>
              <w:rPr>
                <w:rFonts w:ascii="Times New Roman" w:hAnsi="Times New Roman" w:cs="Times New Roman"/>
                <w:szCs w:val="24"/>
              </w:rPr>
            </w:pPr>
            <w:r>
              <w:rPr>
                <w:rFonts w:ascii="Times New Roman" w:hAnsi="Times New Roman"/>
              </w:rPr>
              <w:t>600</w:t>
            </w:r>
          </w:p>
        </w:tc>
        <w:tc>
          <w:tcPr>
            <w:tcW w:w="714" w:type="pct"/>
            <w:vAlign w:val="center"/>
          </w:tcPr>
          <w:p>
            <w:pPr>
              <w:widowControl w:val="0"/>
              <w:jc w:val="center"/>
              <w:rPr>
                <w:rFonts w:ascii="Times New Roman" w:hAnsi="Times New Roman" w:cs="Times New Roman"/>
              </w:rPr>
            </w:pPr>
            <w:r>
              <w:rPr>
                <w:rFonts w:ascii="Times New Roman" w:hAnsi="Times New Roman"/>
              </w:rPr>
              <w:t>/</w:t>
            </w:r>
          </w:p>
        </w:tc>
        <w:tc>
          <w:tcPr>
            <w:tcW w:w="1705" w:type="pct"/>
            <w:vAlign w:val="center"/>
          </w:tcPr>
          <w:p>
            <w:pPr>
              <w:widowControl w:val="0"/>
              <w:jc w:val="center"/>
              <w:rPr>
                <w:rFonts w:ascii="Times New Roman" w:hAnsi="Times New Roman" w:cs="Times New Roman"/>
                <w:szCs w:val="24"/>
              </w:rPr>
            </w:pPr>
            <w:r>
              <w:rPr>
                <w:rFonts w:hint="eastAsia" w:ascii="Times New Roman" w:hAnsi="Times New Roman"/>
              </w:rPr>
              <w:t>外购，锅炉供热</w:t>
            </w:r>
          </w:p>
        </w:tc>
      </w:tr>
    </w:tbl>
    <w:p>
      <w:pPr>
        <w:pStyle w:val="3"/>
        <w:ind w:firstLine="0" w:firstLineChars="0"/>
        <w:outlineLvl w:val="2"/>
      </w:pPr>
      <w:r>
        <w:rPr>
          <w:rFonts w:hint="eastAsia"/>
        </w:rPr>
        <w:t xml:space="preserve">3.2.5  </w:t>
      </w:r>
      <w:r>
        <w:rPr>
          <w:rFonts w:hint="eastAsia" w:eastAsia="黑体" w:cstheme="majorBidi"/>
          <w:bCs/>
          <w:szCs w:val="32"/>
        </w:rPr>
        <w:t>主要原辅材料理化性质</w:t>
      </w:r>
    </w:p>
    <w:p>
      <w:pPr>
        <w:pStyle w:val="3"/>
        <w:ind w:firstLine="480"/>
        <w:rPr>
          <w:rFonts w:cs="Times New Roman"/>
        </w:rPr>
      </w:pPr>
      <w:r>
        <w:rPr>
          <w:rFonts w:hint="eastAsia" w:cs="Times New Roman"/>
        </w:rPr>
        <w:t>1、制冷剂R404A</w:t>
      </w:r>
    </w:p>
    <w:p>
      <w:pPr>
        <w:pStyle w:val="3"/>
        <w:ind w:firstLine="480"/>
        <w:rPr>
          <w:rFonts w:cs="Times New Roman"/>
        </w:rPr>
      </w:pPr>
      <w:r>
        <w:rPr>
          <w:rFonts w:hint="eastAsia" w:cs="Times New Roman"/>
        </w:rPr>
        <w:t>R-404A 制冷剂由HFC125，HFC-134a 和HFC-143 混合而成，在常温下为无色气体，在自身压力下为无色透明液体，属于HFC 型非共沸环保制冷剂（完全不含破坏臭氧层的CFC、HCFC)，得到目前世界绝大多数国家的认可并推荐的主流低温环保制冷剂，广泛用于新冷冻设备上的初装和维修过程中的再添加。符合美国环保组织EPA、SNAP 和UL 的标准，符合美国采暖、制冷空调工程师协会（ASHRAE)的A1 安全等级类别，对人身体无害。</w:t>
      </w:r>
    </w:p>
    <w:p>
      <w:pPr>
        <w:pStyle w:val="3"/>
        <w:ind w:firstLine="480"/>
        <w:rPr>
          <w:rFonts w:cs="Times New Roman"/>
        </w:rPr>
      </w:pPr>
      <w:r>
        <w:rPr>
          <w:rFonts w:hint="eastAsia" w:cs="Times New Roman"/>
        </w:rPr>
        <w:t>R-404A 作为当今广泛使用的中低温制冷剂，常应用于冷库、食品冷冻设备、船用制冷设备、工业低温制冷、商业低温制冷、交通运输制冷设备（冷藏车等)、冷冻冷凝机组、超市陈列展示柜等制冷设备。</w:t>
      </w:r>
    </w:p>
    <w:p>
      <w:pPr>
        <w:pStyle w:val="3"/>
        <w:ind w:firstLine="480"/>
        <w:rPr>
          <w:rFonts w:cs="Times New Roman"/>
        </w:rPr>
      </w:pPr>
      <w:r>
        <w:rPr>
          <w:rFonts w:hint="eastAsia" w:cs="Times New Roman"/>
        </w:rPr>
        <w:t>R-404A 是一种不含氯的非共沸混合制冷剂，化学成分为五氟乙烷/三氟乙烷/四氟乙烷混合物，常温常压下为无色气体，贮存在钢瓶内是被压缩的液化气体，其破坏臭氧潜能值（ODP）为0，是一种不会破坏大气臭氧层的环保制冷剂，主要用于替代R22 和R502，具有清洁、低毒、不燃、制冷效果好等特点，大量用于中低温冷冻系统。</w:t>
      </w:r>
    </w:p>
    <w:p>
      <w:pPr>
        <w:pStyle w:val="3"/>
        <w:spacing w:line="240" w:lineRule="auto"/>
        <w:ind w:firstLine="0" w:firstLineChars="0"/>
        <w:jc w:val="center"/>
        <w:rPr>
          <w:rFonts w:cs="Times New Roman"/>
        </w:rPr>
      </w:pPr>
      <w:r>
        <w:rPr>
          <w:rFonts w:hint="eastAsia" w:cs="Times New Roman" w:eastAsiaTheme="minorEastAsia"/>
          <w:b/>
        </w:rPr>
        <w:t>表3.2-6  R404A的理化性质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2293"/>
        <w:gridCol w:w="2293"/>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分子式：</w:t>
            </w:r>
          </w:p>
        </w:tc>
        <w:tc>
          <w:tcPr>
            <w:tcW w:w="3750" w:type="pct"/>
            <w:gridSpan w:val="3"/>
            <w:vAlign w:val="center"/>
          </w:tcPr>
          <w:p>
            <w:pPr>
              <w:widowControl w:val="0"/>
              <w:jc w:val="center"/>
              <w:rPr>
                <w:rFonts w:ascii="Times New Roman" w:hAnsi="Times New Roman" w:cs="Times New Roman"/>
              </w:rPr>
            </w:pPr>
            <w:r>
              <w:rPr>
                <w:rFonts w:ascii="Times New Roman" w:hAnsi="Times New Roman" w:cs="Times New Roman"/>
              </w:rPr>
              <w:t>HFC125、HFC-134a和HFC-143混合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环境危害：</w:t>
            </w:r>
          </w:p>
        </w:tc>
        <w:tc>
          <w:tcPr>
            <w:tcW w:w="3750" w:type="pct"/>
            <w:gridSpan w:val="3"/>
            <w:vAlign w:val="center"/>
          </w:tcPr>
          <w:p>
            <w:pPr>
              <w:widowControl w:val="0"/>
              <w:jc w:val="center"/>
              <w:rPr>
                <w:rFonts w:ascii="Times New Roman" w:hAnsi="Times New Roman" w:cs="Times New Roman"/>
              </w:rPr>
            </w:pPr>
            <w:r>
              <w:rPr>
                <w:rFonts w:ascii="Times New Roman" w:hAnsi="Times New Roman" w:cs="Times New Roman"/>
              </w:rPr>
              <w:t>其ODP为0，因此R404A是不破坏大气臭氧层的环保制冷剂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外观及性状：</w:t>
            </w:r>
          </w:p>
        </w:tc>
        <w:tc>
          <w:tcPr>
            <w:tcW w:w="3750" w:type="pct"/>
            <w:gridSpan w:val="3"/>
            <w:vAlign w:val="center"/>
          </w:tcPr>
          <w:p>
            <w:pPr>
              <w:widowControl w:val="0"/>
              <w:autoSpaceDE w:val="0"/>
              <w:autoSpaceDN w:val="0"/>
              <w:snapToGrid/>
              <w:jc w:val="center"/>
              <w:rPr>
                <w:rFonts w:ascii="Times New Roman" w:hAnsi="Times New Roman" w:cs="Times New Roman"/>
              </w:rPr>
            </w:pPr>
            <w:r>
              <w:rPr>
                <w:rFonts w:ascii="Times New Roman" w:hAnsi="Times New Roman" w:cs="Times New Roman"/>
              </w:rPr>
              <w:t>在常温下为无色气体，在自身压力下为无色透明液体，是一种不含氯的非共沸混合制冷剂、贮存在钢瓶内是被压缩的液化气体。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沸点（</w:t>
            </w:r>
            <w:r>
              <w:rPr>
                <w:rFonts w:hint="eastAsia" w:ascii="宋体" w:hAnsi="宋体" w:eastAsia="宋体" w:cs="宋体"/>
              </w:rPr>
              <w:t>℃</w:t>
            </w:r>
            <w:r>
              <w:rPr>
                <w:rFonts w:ascii="Times New Roman" w:hAnsi="Times New Roman" w:cs="Times New Roman"/>
              </w:rPr>
              <w:t>）：</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-46.1</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密度（ g/cm</w:t>
            </w:r>
            <w:r>
              <w:rPr>
                <w:rFonts w:ascii="Times New Roman" w:hAnsi="Times New Roman" w:cs="Times New Roman"/>
                <w:vertAlign w:val="superscript"/>
              </w:rPr>
              <w:t>3</w:t>
            </w:r>
            <w:r>
              <w:rPr>
                <w:rFonts w:ascii="Times New Roman" w:hAnsi="Times New Roman" w:cs="Times New Roman"/>
              </w:rPr>
              <w:t>，25</w:t>
            </w:r>
            <w:r>
              <w:rPr>
                <w:rFonts w:hint="eastAsia" w:ascii="宋体" w:hAnsi="宋体" w:eastAsia="宋体" w:cs="宋体"/>
              </w:rPr>
              <w:t>℃</w:t>
            </w:r>
            <w:r>
              <w:rPr>
                <w:rFonts w:ascii="Times New Roman" w:hAnsi="Times New Roman" w:cs="Times New Roman"/>
              </w:rPr>
              <w:t>）</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临界温度（</w:t>
            </w:r>
            <w:r>
              <w:rPr>
                <w:rFonts w:hint="eastAsia" w:ascii="宋体" w:hAnsi="宋体" w:eastAsia="宋体" w:cs="宋体"/>
              </w:rPr>
              <w:t>℃</w:t>
            </w:r>
            <w:r>
              <w:rPr>
                <w:rFonts w:ascii="Times New Roman" w:hAnsi="Times New Roman" w:cs="Times New Roman"/>
              </w:rPr>
              <w:t>）：</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72.4</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临界压力(KPa)</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3688.7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引燃温度（</w:t>
            </w:r>
            <w:r>
              <w:rPr>
                <w:rFonts w:hint="eastAsia" w:ascii="宋体" w:hAnsi="宋体" w:eastAsia="宋体" w:cs="宋体"/>
              </w:rPr>
              <w:t>℃</w:t>
            </w:r>
            <w:r>
              <w:rPr>
                <w:rFonts w:ascii="Times New Roman" w:hAnsi="Times New Roman" w:cs="Times New Roman"/>
              </w:rPr>
              <w:t>）：</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415～530</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破坏臭氧潜能值（ODP）：</w:t>
            </w:r>
          </w:p>
        </w:tc>
        <w:tc>
          <w:tcPr>
            <w:tcW w:w="1250" w:type="pct"/>
            <w:vAlign w:val="center"/>
          </w:tcPr>
          <w:p>
            <w:pPr>
              <w:widowControl w:val="0"/>
              <w:jc w:val="center"/>
              <w:rPr>
                <w:rFonts w:ascii="Times New Roman" w:hAnsi="Times New Roman" w:cs="Times New Roman"/>
              </w:rPr>
            </w:pPr>
            <w:r>
              <w:rPr>
                <w:rFonts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pPr>
              <w:widowControl w:val="0"/>
              <w:jc w:val="center"/>
              <w:rPr>
                <w:rFonts w:ascii="Times New Roman" w:hAnsi="Times New Roman" w:cs="Times New Roman"/>
              </w:rPr>
            </w:pPr>
            <w:r>
              <w:rPr>
                <w:rFonts w:ascii="Times New Roman" w:hAnsi="Times New Roman" w:cs="Times New Roman"/>
              </w:rPr>
              <w:t>全球变暖系数值（GWP）</w:t>
            </w:r>
          </w:p>
        </w:tc>
        <w:tc>
          <w:tcPr>
            <w:tcW w:w="2500" w:type="pct"/>
            <w:gridSpan w:val="2"/>
            <w:vAlign w:val="center"/>
          </w:tcPr>
          <w:p>
            <w:pPr>
              <w:widowControl w:val="0"/>
              <w:jc w:val="center"/>
              <w:rPr>
                <w:rFonts w:ascii="Times New Roman" w:hAnsi="Times New Roman" w:cs="Times New Roman"/>
              </w:rPr>
            </w:pPr>
            <w:r>
              <w:rPr>
                <w:rFonts w:ascii="Times New Roman" w:hAnsi="Times New Roman" w:cs="Times New Roman"/>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jc w:val="center"/>
              <w:rPr>
                <w:rFonts w:ascii="Times New Roman" w:hAnsi="Times New Roman" w:cs="Times New Roman"/>
              </w:rPr>
            </w:pPr>
            <w:r>
              <w:rPr>
                <w:rFonts w:ascii="Times New Roman" w:hAnsi="Times New Roman" w:cs="Times New Roman"/>
              </w:rPr>
              <w:t>主要用途</w:t>
            </w:r>
          </w:p>
        </w:tc>
        <w:tc>
          <w:tcPr>
            <w:tcW w:w="3750" w:type="pct"/>
            <w:gridSpan w:val="3"/>
            <w:vAlign w:val="center"/>
          </w:tcPr>
          <w:p>
            <w:pPr>
              <w:widowControl w:val="0"/>
              <w:autoSpaceDE w:val="0"/>
              <w:autoSpaceDN w:val="0"/>
              <w:snapToGrid/>
              <w:jc w:val="center"/>
              <w:rPr>
                <w:rFonts w:ascii="Times New Roman" w:hAnsi="Times New Roman" w:cs="Times New Roman"/>
              </w:rPr>
            </w:pPr>
            <w:r>
              <w:rPr>
                <w:rFonts w:ascii="Times New Roman" w:hAnsi="Times New Roman" w:cs="Times New Roman"/>
              </w:rPr>
              <w:t>R404A 主要用于替代R22 和R502，具有清洁、低毒、不燃、制冷效果好等特点，大量用于中低温冷冻系统</w:t>
            </w:r>
          </w:p>
        </w:tc>
      </w:tr>
    </w:tbl>
    <w:p>
      <w:pPr>
        <w:pStyle w:val="3"/>
        <w:ind w:firstLine="480"/>
        <w:rPr>
          <w:rFonts w:cs="Times New Roman"/>
        </w:rPr>
      </w:pPr>
      <w:r>
        <w:rPr>
          <w:rFonts w:hint="eastAsia" w:cs="Times New Roman"/>
        </w:rPr>
        <w:t>2、除臭剂（植物型）</w:t>
      </w:r>
    </w:p>
    <w:p>
      <w:pPr>
        <w:pStyle w:val="3"/>
        <w:ind w:firstLine="480"/>
        <w:rPr>
          <w:rFonts w:cs="Times New Roman"/>
        </w:rPr>
      </w:pPr>
      <w:r>
        <w:rPr>
          <w:rFonts w:hint="eastAsia" w:cs="Times New Roman"/>
        </w:rPr>
        <w:t>植物型除臭剂是指以天然植物萃取液或者天然植物提取物为主要原料加工而成的除臭剂，对人体和动物是无害的、无毒的，对土壤、植物均无损害，且无燃烧性和爆炸性，不含氟利昂和臭氧，使用安全。</w:t>
      </w:r>
    </w:p>
    <w:p>
      <w:pPr>
        <w:pStyle w:val="3"/>
        <w:ind w:firstLine="480"/>
        <w:rPr>
          <w:rFonts w:cs="Times New Roman"/>
        </w:rPr>
      </w:pPr>
      <w:r>
        <w:rPr>
          <w:rFonts w:hint="eastAsia" w:cs="Times New Roman"/>
        </w:rPr>
        <w:t>植物除臭剂有采用艾叶、花椒、柚子皮、吊兰、虎尾兰、芦荟、常春藤、龙舌兰、多刺蓟、低纹竹子、马尾草、槐树树叶、桑树树叶、珍珠草、岩垂草、百粉藤、没药树叶、槟榔树叶、落叶松叶、梅笠草、悬钩子、黑茶和苦丁茶、丝兰、银杏叶、茶多酚、葡萄籽、茶树、樟科植物、桉叶油、松油、百里香、茶树油、龙胆、地衣、紫丁香提取物等多种植物提取物，或者多种组合物所组成，具有抑菌、杀菌和除臭功效，对NH3、H2S 等无机物和低分子脂肪酸、胺类、醛类、酮类、醚类、卤代烃等有机物等恶臭有吸附、遮盖、良好的分解，或者与异味分子发生碰撞,进行反应，促使异味分子发生改变原有分子结构,使之失去臭味，达到去除臭味的效果。</w:t>
      </w:r>
    </w:p>
    <w:p>
      <w:pPr>
        <w:pStyle w:val="3"/>
        <w:ind w:firstLine="480"/>
        <w:rPr>
          <w:rFonts w:cs="Times New Roman"/>
        </w:rPr>
      </w:pPr>
      <w:r>
        <w:rPr>
          <w:rFonts w:hint="eastAsia" w:cs="Times New Roman"/>
        </w:rPr>
        <w:t>3、消毒剂</w:t>
      </w:r>
    </w:p>
    <w:p>
      <w:pPr>
        <w:pStyle w:val="3"/>
        <w:ind w:firstLine="480"/>
        <w:rPr>
          <w:rFonts w:cs="Times New Roman"/>
        </w:rPr>
      </w:pPr>
      <w:r>
        <w:rPr>
          <w:rFonts w:hint="eastAsia" w:cs="Times New Roman"/>
        </w:rPr>
        <w:t>采用食品级消毒剂，如奥克泰士等，属食品级复合型消毒杀菌剂，集合消毒、杀菌、除藻、除味等多功能于一体。主要成分为食品级过氧化氢银离子，产品无色，无味，无毒，无残留，广谱、高效、强力，对金属、塑料制品无腐蚀性，具有杀菌彻底，不产生微生物耐药性，无任何毒性残留，不造成重复污染等特点。所采用的氧化剂为过氧化物，它与稳定剂结合形成复合溶液。作为催化剂添加的痕量银离子可以保持长久的效用。</w:t>
      </w:r>
    </w:p>
    <w:p>
      <w:pPr>
        <w:pStyle w:val="3"/>
        <w:ind w:firstLine="480"/>
        <w:rPr>
          <w:rFonts w:cs="Times New Roman"/>
        </w:rPr>
      </w:pPr>
      <w:r>
        <w:rPr>
          <w:rFonts w:hint="eastAsia" w:cs="Times New Roman"/>
        </w:rPr>
        <w:t>4、脱毛蜡</w:t>
      </w:r>
      <w:r>
        <w:rPr>
          <w:rFonts w:hint="eastAsia"/>
        </w:rPr>
        <w:t>（食用蜡）</w:t>
      </w:r>
    </w:p>
    <w:p>
      <w:pPr>
        <w:pStyle w:val="3"/>
        <w:ind w:firstLine="480"/>
        <w:rPr>
          <w:rFonts w:cs="Times New Roman"/>
        </w:rPr>
      </w:pPr>
      <w:r>
        <w:rPr>
          <w:rFonts w:hint="eastAsia" w:cs="Times New Roman"/>
        </w:rPr>
        <w:t>白色、无味的蜡状固体，熔点47-64℃，密度0.9</w:t>
      </w:r>
      <w:r>
        <w:rPr>
          <w:rFonts w:cs="Times New Roman"/>
        </w:rPr>
        <w:t>mg/cm</w:t>
      </w:r>
      <w:r>
        <w:rPr>
          <w:rFonts w:cs="Times New Roman"/>
          <w:vertAlign w:val="superscript"/>
        </w:rPr>
        <w:t>3</w:t>
      </w:r>
      <w:r>
        <w:rPr>
          <w:rFonts w:hint="eastAsia" w:cs="Times New Roman"/>
        </w:rPr>
        <w:t>，溶于汽油、二硫化碳、二甲苯、乙醚、苯、氯仿、四氯化碳、石脑油等一类非极性溶剂，不溶于水和甲醇等极性溶剂。</w:t>
      </w:r>
    </w:p>
    <w:p>
      <w:pPr>
        <w:pStyle w:val="3"/>
        <w:ind w:firstLine="0" w:firstLineChars="0"/>
        <w:outlineLvl w:val="2"/>
      </w:pPr>
      <w:r>
        <w:rPr>
          <w:rFonts w:hint="eastAsia"/>
        </w:rPr>
        <w:t xml:space="preserve">3.2.6  </w:t>
      </w:r>
      <w:r>
        <w:rPr>
          <w:rFonts w:hint="eastAsia" w:eastAsia="黑体" w:cstheme="majorBidi"/>
          <w:bCs/>
          <w:szCs w:val="32"/>
        </w:rPr>
        <w:t>主要生产设备</w:t>
      </w:r>
    </w:p>
    <w:p>
      <w:pPr>
        <w:pStyle w:val="3"/>
        <w:ind w:firstLine="480"/>
        <w:rPr>
          <w:rFonts w:cs="Times New Roman"/>
        </w:rPr>
      </w:pPr>
      <w:r>
        <w:rPr>
          <w:rFonts w:hint="eastAsia" w:cs="Times New Roman"/>
        </w:rPr>
        <w:t>本项目主要生产设备详见表3.2-7。</w:t>
      </w:r>
    </w:p>
    <w:p>
      <w:pPr>
        <w:pStyle w:val="3"/>
        <w:spacing w:line="240" w:lineRule="auto"/>
        <w:ind w:firstLine="0" w:firstLineChars="0"/>
        <w:jc w:val="center"/>
        <w:rPr>
          <w:rFonts w:cs="Times New Roman"/>
        </w:rPr>
      </w:pPr>
      <w:r>
        <w:rPr>
          <w:rFonts w:hint="eastAsia" w:cs="Times New Roman" w:eastAsiaTheme="minorEastAsia"/>
          <w:b/>
        </w:rPr>
        <w:t>表3.2-7  项目主要生产设备一览表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833"/>
        <w:gridCol w:w="1849"/>
        <w:gridCol w:w="2545"/>
        <w:gridCol w:w="851"/>
        <w:gridCol w:w="989"/>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序号</w:t>
            </w:r>
          </w:p>
        </w:tc>
        <w:tc>
          <w:tcPr>
            <w:tcW w:w="45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项目</w:t>
            </w: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设备各称/型号</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单位</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数量</w:t>
            </w:r>
          </w:p>
        </w:tc>
        <w:tc>
          <w:tcPr>
            <w:tcW w:w="77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454" w:type="pct"/>
            <w:vMerge w:val="restart"/>
            <w:tcBorders>
              <w:top w:val="single" w:color="auto" w:sz="4" w:space="0"/>
              <w:left w:val="single" w:color="auto" w:sz="4" w:space="0"/>
              <w:right w:val="single" w:color="auto" w:sz="4" w:space="0"/>
            </w:tcBorders>
            <w:vAlign w:val="center"/>
          </w:tcPr>
          <w:p>
            <w:pPr>
              <w:pStyle w:val="49"/>
              <w:rPr>
                <w:kern w:val="0"/>
              </w:rPr>
            </w:pPr>
            <w:r>
              <w:rPr>
                <w:rFonts w:hint="eastAsia"/>
                <w:kern w:val="0"/>
              </w:rPr>
              <w:t>肉牛屠宰</w:t>
            </w: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牵引机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击晕机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3</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放血提升机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4</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转换平台</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5</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胴体加工输送机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6</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固定式工作平台</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4</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7</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自动分装电子秤</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8</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酮体输送线</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条</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9</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开胸锯骨机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10</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带式劈半锯</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11</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食管结扎器</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12</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血罐</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6</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13</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滑轮吊钩</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个</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10</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14</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剥皮机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15</w:t>
            </w:r>
          </w:p>
        </w:tc>
        <w:tc>
          <w:tcPr>
            <w:tcW w:w="454" w:type="pct"/>
            <w:vMerge w:val="continue"/>
            <w:tcBorders>
              <w:left w:val="single" w:color="auto" w:sz="4" w:space="0"/>
              <w:right w:val="single" w:color="auto" w:sz="4" w:space="0"/>
            </w:tcBorders>
            <w:vAlign w:val="center"/>
          </w:tcPr>
          <w:p>
            <w:pPr>
              <w:pStyle w:val="49"/>
              <w:rPr>
                <w:kern w:val="0"/>
              </w:rPr>
            </w:pPr>
          </w:p>
        </w:tc>
        <w:tc>
          <w:tcPr>
            <w:tcW w:w="2395" w:type="pct"/>
            <w:gridSpan w:val="2"/>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高压清洗机</w:t>
            </w:r>
          </w:p>
        </w:tc>
        <w:tc>
          <w:tcPr>
            <w:tcW w:w="464"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16</w:t>
            </w:r>
          </w:p>
        </w:tc>
        <w:tc>
          <w:tcPr>
            <w:tcW w:w="454" w:type="pct"/>
            <w:vMerge w:val="restart"/>
            <w:tcBorders>
              <w:left w:val="single" w:color="auto" w:sz="4" w:space="0"/>
              <w:right w:val="single" w:color="auto" w:sz="4" w:space="0"/>
            </w:tcBorders>
            <w:vAlign w:val="center"/>
          </w:tcPr>
          <w:p>
            <w:pPr>
              <w:pStyle w:val="49"/>
              <w:rPr>
                <w:kern w:val="0"/>
              </w:rPr>
            </w:pPr>
            <w:r>
              <w:rPr>
                <w:rFonts w:hint="eastAsia"/>
                <w:kern w:val="0"/>
              </w:rPr>
              <w:t>禽类屠宰</w:t>
            </w:r>
          </w:p>
        </w:tc>
        <w:tc>
          <w:tcPr>
            <w:tcW w:w="1008" w:type="pct"/>
            <w:tcBorders>
              <w:top w:val="single" w:color="auto" w:sz="4" w:space="0"/>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宰杀输送线</w:t>
            </w:r>
          </w:p>
        </w:tc>
        <w:tc>
          <w:tcPr>
            <w:tcW w:w="1387" w:type="pct"/>
            <w:tcBorders>
              <w:top w:val="single" w:color="auto" w:sz="4" w:space="0"/>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MX240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米</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302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rPr>
                <w:kern w:val="0"/>
              </w:rP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17</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传动涨紧装置</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CDZJ-II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套</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5</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18</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水浴式电麻机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SDM-1.80.M</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19</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沥血槽</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7000X3000X500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20</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沥血槽</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7500X2500X500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21</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强力松毛机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QLSMJ</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22</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气鼓式浸烫机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QGT-12M</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23</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气鼓式浸烫机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QGT-11M</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24</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立式</w:t>
            </w:r>
            <w:r>
              <w:rPr>
                <w:rFonts w:ascii="Times New Roman" w:hAnsi="Times New Roman"/>
                <w:color w:val="000000"/>
                <w:kern w:val="0"/>
              </w:rPr>
              <w:t>A</w:t>
            </w:r>
            <w:r>
              <w:rPr>
                <w:rFonts w:hint="eastAsia" w:ascii="Times New Roman" w:hAnsi="Times New Roman"/>
                <w:color w:val="000000"/>
                <w:kern w:val="0"/>
              </w:rPr>
              <w:t>型脱羽机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ALT-4X12</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3</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25</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立式</w:t>
            </w:r>
            <w:r>
              <w:rPr>
                <w:rFonts w:ascii="Times New Roman" w:hAnsi="Times New Roman"/>
                <w:color w:val="000000"/>
                <w:kern w:val="0"/>
              </w:rPr>
              <w:t>A</w:t>
            </w:r>
            <w:r>
              <w:rPr>
                <w:rFonts w:hint="eastAsia" w:ascii="Times New Roman" w:hAnsi="Times New Roman"/>
                <w:color w:val="000000"/>
                <w:kern w:val="0"/>
              </w:rPr>
              <w:t>型脱羽机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ALT-4X10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26</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卧式平板脱羽机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WT-1500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3</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27</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自动卸钩器</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ZDTG-I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套</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28</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打头羽机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DTYJ-II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hint="eastAsia" w:ascii="Times New Roman" w:hAnsi="Times New Roman"/>
                <w:color w:val="000000"/>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color w:val="000000"/>
                <w:kern w:val="0"/>
              </w:rPr>
            </w:pPr>
            <w:r>
              <w:rPr>
                <w:rFonts w:ascii="Times New Roman" w:hAnsi="Times New Roman"/>
                <w:color w:val="000000"/>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29</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挂架清洗机</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GJQXJ-I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30</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接禽台</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JQT-1900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31</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浸蜡线</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MX203</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米</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116</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32</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传动涨紧装置</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color w:val="000000"/>
                <w:kern w:val="0"/>
              </w:rPr>
              <w:t>CDZJ-II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套</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2</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33</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浸蜡池</w:t>
            </w:r>
          </w:p>
        </w:tc>
        <w:tc>
          <w:tcPr>
            <w:tcW w:w="1387"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ascii="Times New Roman" w:hAnsi="Times New Roman"/>
                <w:color w:val="000000"/>
                <w:kern w:val="0"/>
              </w:rPr>
              <w:t>2.3</w:t>
            </w:r>
            <w:r>
              <w:rPr>
                <w:rFonts w:hint="eastAsia" w:ascii="Times New Roman" w:hAnsi="Times New Roman"/>
                <w:color w:val="000000"/>
                <w:kern w:val="0"/>
              </w:rPr>
              <w:t>米</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个</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6</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34</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凝蜡池</w:t>
            </w:r>
          </w:p>
        </w:tc>
        <w:tc>
          <w:tcPr>
            <w:tcW w:w="1387"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ascii="Times New Roman" w:hAnsi="Times New Roman"/>
                <w:color w:val="000000"/>
                <w:kern w:val="0"/>
              </w:rPr>
              <w:t>6</w:t>
            </w:r>
            <w:r>
              <w:rPr>
                <w:rFonts w:hint="eastAsia" w:ascii="Times New Roman" w:hAnsi="Times New Roman"/>
                <w:color w:val="000000"/>
                <w:kern w:val="0"/>
              </w:rPr>
              <w:t>米</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个</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3</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35</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打蜡机</w:t>
            </w:r>
          </w:p>
        </w:tc>
        <w:tc>
          <w:tcPr>
            <w:tcW w:w="1387"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ascii="Times New Roman" w:hAnsi="Times New Roman"/>
                <w:color w:val="000000"/>
                <w:kern w:val="0"/>
              </w:rPr>
              <w:t>2</w:t>
            </w:r>
            <w:r>
              <w:rPr>
                <w:rFonts w:hint="eastAsia" w:ascii="Times New Roman" w:hAnsi="Times New Roman"/>
                <w:color w:val="000000"/>
                <w:kern w:val="0"/>
              </w:rPr>
              <w:t>米</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5</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36</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小毛处理池</w:t>
            </w:r>
          </w:p>
        </w:tc>
        <w:tc>
          <w:tcPr>
            <w:tcW w:w="1387"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ascii="Times New Roman" w:hAnsi="Times New Roman"/>
                <w:color w:val="000000"/>
                <w:kern w:val="0"/>
              </w:rPr>
              <w:t>5</w:t>
            </w:r>
            <w:r>
              <w:rPr>
                <w:rFonts w:hint="eastAsia" w:ascii="Times New Roman" w:hAnsi="Times New Roman"/>
                <w:color w:val="000000"/>
                <w:kern w:val="0"/>
              </w:rPr>
              <w:t>米</w:t>
            </w:r>
            <w:r>
              <w:rPr>
                <w:rFonts w:ascii="Times New Roman" w:hAnsi="Times New Roman"/>
                <w:color w:val="000000"/>
                <w:kern w:val="0"/>
              </w:rPr>
              <w:t>+6</w:t>
            </w:r>
            <w:r>
              <w:rPr>
                <w:rFonts w:hint="eastAsia" w:ascii="Times New Roman" w:hAnsi="Times New Roman"/>
                <w:color w:val="000000"/>
                <w:kern w:val="0"/>
              </w:rPr>
              <w:t>米</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张</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4</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37</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jc w:val="center"/>
              <w:textAlignment w:val="center"/>
              <w:rPr>
                <w:rFonts w:ascii="Times New Roman" w:hAnsi="Times New Roman" w:cs="Times New Roman"/>
                <w:kern w:val="0"/>
              </w:rPr>
            </w:pPr>
            <w:r>
              <w:rPr>
                <w:rFonts w:hint="eastAsia" w:ascii="Times New Roman" w:hAnsi="Times New Roman"/>
                <w:color w:val="000000"/>
                <w:kern w:val="0"/>
              </w:rPr>
              <w:t>自动卸钩器</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color w:val="000000"/>
                <w:kern w:val="0"/>
              </w:rPr>
              <w:t>ZDTG-I</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套</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38</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内脏溜槽</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NZLC-400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3</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39</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内脏清洗池</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2400X1200X800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张</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8</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40</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电气控制柜（</w:t>
            </w:r>
            <w:r>
              <w:rPr>
                <w:rFonts w:ascii="Times New Roman" w:hAnsi="Times New Roman"/>
                <w:kern w:val="0"/>
              </w:rPr>
              <w:t>D1)</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700X400X1400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1</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pStyle w:val="49"/>
              <w:rPr>
                <w:kern w:val="0"/>
              </w:rPr>
            </w:pPr>
            <w:r>
              <w:rPr>
                <w:rFonts w:hint="eastAsia"/>
                <w:kern w:val="0"/>
              </w:rPr>
              <w:t>41</w:t>
            </w:r>
          </w:p>
        </w:tc>
        <w:tc>
          <w:tcPr>
            <w:tcW w:w="454" w:type="pct"/>
            <w:vMerge w:val="continue"/>
            <w:tcBorders>
              <w:left w:val="single" w:color="auto" w:sz="4" w:space="0"/>
              <w:right w:val="single" w:color="auto" w:sz="4" w:space="0"/>
            </w:tcBorders>
            <w:vAlign w:val="center"/>
          </w:tcPr>
          <w:p>
            <w:pPr>
              <w:pStyle w:val="49"/>
              <w:rPr>
                <w:kern w:val="0"/>
              </w:rPr>
            </w:pPr>
          </w:p>
        </w:tc>
        <w:tc>
          <w:tcPr>
            <w:tcW w:w="1008"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单控箱（</w:t>
            </w:r>
            <w:r>
              <w:rPr>
                <w:rFonts w:ascii="Times New Roman" w:hAnsi="Times New Roman"/>
                <w:kern w:val="0"/>
              </w:rPr>
              <w:t>D2)</w:t>
            </w:r>
          </w:p>
        </w:tc>
        <w:tc>
          <w:tcPr>
            <w:tcW w:w="1387" w:type="pct"/>
            <w:tcBorders>
              <w:left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400X250X500</w:t>
            </w:r>
          </w:p>
        </w:tc>
        <w:tc>
          <w:tcPr>
            <w:tcW w:w="464"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hint="eastAsia" w:ascii="Times New Roman" w:hAnsi="Times New Roman"/>
                <w:kern w:val="0"/>
              </w:rPr>
              <w:t>台</w:t>
            </w:r>
          </w:p>
        </w:tc>
        <w:tc>
          <w:tcPr>
            <w:tcW w:w="539" w:type="pct"/>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Times New Roman" w:hAnsi="Times New Roman" w:cs="Times New Roman"/>
                <w:kern w:val="0"/>
              </w:rPr>
            </w:pPr>
            <w:r>
              <w:rPr>
                <w:rFonts w:ascii="Times New Roman" w:hAnsi="Times New Roman"/>
                <w:kern w:val="0"/>
              </w:rPr>
              <w:t>5</w:t>
            </w:r>
          </w:p>
        </w:tc>
        <w:tc>
          <w:tcPr>
            <w:tcW w:w="77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kern w:val="0"/>
              </w:rPr>
              <w:t>新增</w:t>
            </w:r>
          </w:p>
        </w:tc>
      </w:tr>
    </w:tbl>
    <w:p>
      <w:pPr>
        <w:pStyle w:val="3"/>
        <w:ind w:firstLine="0" w:firstLineChars="0"/>
        <w:outlineLvl w:val="2"/>
      </w:pPr>
      <w:r>
        <w:rPr>
          <w:rFonts w:hint="eastAsia"/>
        </w:rPr>
        <w:t xml:space="preserve">3.2.7  </w:t>
      </w:r>
      <w:r>
        <w:rPr>
          <w:rFonts w:hint="eastAsia" w:eastAsia="黑体" w:cstheme="majorBidi"/>
          <w:bCs/>
          <w:szCs w:val="32"/>
        </w:rPr>
        <w:t>公用工程</w:t>
      </w:r>
    </w:p>
    <w:p>
      <w:pPr>
        <w:pStyle w:val="3"/>
        <w:ind w:firstLine="0" w:firstLineChars="0"/>
        <w:outlineLvl w:val="3"/>
        <w:rPr>
          <w:rFonts w:eastAsia="黑体" w:cstheme="majorBidi"/>
          <w:bCs/>
          <w:szCs w:val="32"/>
        </w:rPr>
      </w:pPr>
      <w:r>
        <w:rPr>
          <w:rFonts w:hint="eastAsia" w:eastAsia="黑体" w:cstheme="majorBidi"/>
          <w:bCs/>
          <w:szCs w:val="32"/>
        </w:rPr>
        <w:t>3.2.7.1 给水</w:t>
      </w:r>
    </w:p>
    <w:p>
      <w:pPr>
        <w:pStyle w:val="3"/>
        <w:ind w:firstLine="480"/>
        <w:rPr>
          <w:rFonts w:cs="Times New Roman"/>
        </w:rPr>
      </w:pPr>
      <w:r>
        <w:rPr>
          <w:rFonts w:hint="eastAsia" w:cs="Times New Roman"/>
        </w:rPr>
        <w:t>本项目供水水源为</w:t>
      </w:r>
      <w:r>
        <w:rPr>
          <w:rFonts w:hint="eastAsia"/>
        </w:rPr>
        <w:t>采用自备水井供水</w:t>
      </w:r>
      <w:r>
        <w:rPr>
          <w:rFonts w:hint="eastAsia" w:cs="Times New Roman"/>
        </w:rPr>
        <w:t>。项目用水主要是生产用水、生活用水。生产过程中用水主要是屠宰用水（包括喷淋消毒用水、烫毛用水、清洗用水、设备及地面冲洗用水等）。</w:t>
      </w:r>
    </w:p>
    <w:p>
      <w:pPr>
        <w:pStyle w:val="3"/>
        <w:ind w:firstLine="480"/>
        <w:rPr>
          <w:rFonts w:cs="Times New Roman"/>
        </w:rPr>
      </w:pPr>
      <w:r>
        <w:rPr>
          <w:rFonts w:hint="eastAsia" w:cs="Times New Roman"/>
        </w:rPr>
        <w:t>1、屠宰用水</w:t>
      </w:r>
    </w:p>
    <w:p>
      <w:pPr>
        <w:pStyle w:val="3"/>
        <w:ind w:firstLine="480"/>
        <w:rPr>
          <w:rFonts w:cs="Times New Roman"/>
        </w:rPr>
      </w:pPr>
      <w:r>
        <w:rPr>
          <w:rFonts w:hint="eastAsia" w:cs="Times New Roman"/>
        </w:rPr>
        <w:t>根据《屠宰与肉类加工废水治理工程技术规范》（HJ2004-2010），屠宰生产用水为1.2m</w:t>
      </w:r>
      <w:r>
        <w:rPr>
          <w:rFonts w:hint="eastAsia" w:cs="Times New Roman"/>
          <w:vertAlign w:val="superscript"/>
        </w:rPr>
        <w:t>3</w:t>
      </w:r>
      <w:r>
        <w:rPr>
          <w:rFonts w:hint="eastAsia" w:cs="Times New Roman"/>
        </w:rPr>
        <w:t>/100只（鸡单位），2.5m</w:t>
      </w:r>
      <w:r>
        <w:rPr>
          <w:rFonts w:hint="eastAsia" w:cs="Times New Roman"/>
          <w:vertAlign w:val="superscript"/>
        </w:rPr>
        <w:t>3</w:t>
      </w:r>
      <w:r>
        <w:rPr>
          <w:rFonts w:hint="eastAsia" w:cs="Times New Roman"/>
        </w:rPr>
        <w:t>/100只（鸭单位），1.2m</w:t>
      </w:r>
      <w:r>
        <w:rPr>
          <w:rFonts w:hint="eastAsia" w:cs="Times New Roman"/>
          <w:vertAlign w:val="superscript"/>
        </w:rPr>
        <w:t>3</w:t>
      </w:r>
      <w:r>
        <w:rPr>
          <w:rFonts w:hint="eastAsia" w:cs="Times New Roman"/>
        </w:rPr>
        <w:t>/头（牛单位），则屠宰总用水量为197001m</w:t>
      </w:r>
      <w:r>
        <w:rPr>
          <w:rFonts w:hint="eastAsia" w:cs="Times New Roman"/>
          <w:vertAlign w:val="superscript"/>
        </w:rPr>
        <w:t>3</w:t>
      </w:r>
      <w:r>
        <w:rPr>
          <w:rFonts w:hint="eastAsia" w:cs="Times New Roman"/>
        </w:rPr>
        <w:t>/a（656.67 m</w:t>
      </w:r>
      <w:r>
        <w:rPr>
          <w:rFonts w:hint="eastAsia" w:cs="Times New Roman"/>
          <w:vertAlign w:val="superscript"/>
        </w:rPr>
        <w:t>3</w:t>
      </w:r>
      <w:r>
        <w:rPr>
          <w:rFonts w:hint="eastAsia" w:cs="Times New Roman"/>
        </w:rPr>
        <w:t>/d）。</w:t>
      </w:r>
    </w:p>
    <w:p>
      <w:pPr>
        <w:pStyle w:val="3"/>
        <w:ind w:firstLine="480"/>
        <w:rPr>
          <w:rFonts w:cs="Times New Roman"/>
        </w:rPr>
      </w:pPr>
      <w:r>
        <w:rPr>
          <w:rFonts w:hint="eastAsia" w:cs="Times New Roman"/>
        </w:rPr>
        <w:t>2、生活用水</w:t>
      </w:r>
    </w:p>
    <w:p>
      <w:pPr>
        <w:pStyle w:val="3"/>
        <w:ind w:firstLine="480"/>
        <w:rPr>
          <w:rFonts w:cs="Times New Roman"/>
        </w:rPr>
      </w:pPr>
      <w:r>
        <w:rPr>
          <w:rFonts w:hint="eastAsia" w:cs="Times New Roman"/>
        </w:rPr>
        <w:t>项目建成后定员20人，年工作300 天，均不在厂内食宿，根据《湖南省用水定额》（DB43/T388-2020），用水量以90L/人•d计，则项目生活用水量为1.8m</w:t>
      </w:r>
      <w:r>
        <w:rPr>
          <w:rFonts w:hint="eastAsia" w:cs="Times New Roman"/>
          <w:vertAlign w:val="superscript"/>
        </w:rPr>
        <w:t>3</w:t>
      </w:r>
      <w:r>
        <w:rPr>
          <w:rFonts w:hint="eastAsia" w:cs="Times New Roman"/>
        </w:rPr>
        <w:t>/d（540m</w:t>
      </w:r>
      <w:r>
        <w:rPr>
          <w:rFonts w:hint="eastAsia" w:cs="Times New Roman"/>
          <w:vertAlign w:val="superscript"/>
        </w:rPr>
        <w:t>3</w:t>
      </w:r>
      <w:r>
        <w:rPr>
          <w:rFonts w:hint="eastAsia" w:cs="Times New Roman"/>
        </w:rPr>
        <w:t>/a）。</w:t>
      </w:r>
    </w:p>
    <w:p>
      <w:pPr>
        <w:pStyle w:val="3"/>
        <w:ind w:firstLine="480"/>
        <w:rPr>
          <w:rFonts w:cs="Times New Roman"/>
        </w:rPr>
      </w:pPr>
      <w:r>
        <w:rPr>
          <w:rFonts w:hint="eastAsia" w:cs="Times New Roman"/>
        </w:rPr>
        <w:t>本项目建成后运营期总用水量为658.47m</w:t>
      </w:r>
      <w:r>
        <w:rPr>
          <w:rFonts w:hint="eastAsia" w:cs="Times New Roman"/>
          <w:vertAlign w:val="superscript"/>
        </w:rPr>
        <w:t>3</w:t>
      </w:r>
      <w:r>
        <w:rPr>
          <w:rFonts w:hint="eastAsia" w:cs="Times New Roman"/>
        </w:rPr>
        <w:t>/d（197540m</w:t>
      </w:r>
      <w:r>
        <w:rPr>
          <w:rFonts w:hint="eastAsia" w:cs="Times New Roman"/>
          <w:vertAlign w:val="superscript"/>
        </w:rPr>
        <w:t>3</w:t>
      </w:r>
      <w:r>
        <w:rPr>
          <w:rFonts w:hint="eastAsia" w:cs="Times New Roman"/>
        </w:rPr>
        <w:t>/a）。</w:t>
      </w:r>
    </w:p>
    <w:p>
      <w:pPr>
        <w:pStyle w:val="3"/>
        <w:ind w:firstLine="0" w:firstLineChars="0"/>
        <w:outlineLvl w:val="3"/>
        <w:rPr>
          <w:rFonts w:eastAsia="黑体" w:cstheme="majorBidi"/>
          <w:bCs/>
          <w:szCs w:val="32"/>
        </w:rPr>
      </w:pPr>
      <w:r>
        <w:rPr>
          <w:rFonts w:hint="eastAsia" w:eastAsia="黑体" w:cstheme="majorBidi"/>
          <w:bCs/>
          <w:szCs w:val="32"/>
        </w:rPr>
        <w:t>3.2.7.2 排水</w:t>
      </w:r>
    </w:p>
    <w:p>
      <w:pPr>
        <w:pStyle w:val="3"/>
        <w:ind w:firstLine="480"/>
        <w:rPr>
          <w:rFonts w:cs="Times New Roman"/>
        </w:rPr>
      </w:pPr>
      <w:r>
        <w:rPr>
          <w:rFonts w:hint="eastAsia" w:cs="Times New Roman"/>
        </w:rPr>
        <w:t>本项目建设实施雨污分流，雨水经沟渠收集至水塘为农田灌溉水。</w:t>
      </w:r>
    </w:p>
    <w:p>
      <w:pPr>
        <w:pStyle w:val="3"/>
        <w:ind w:firstLine="480"/>
        <w:rPr>
          <w:rFonts w:cs="Times New Roman"/>
        </w:rPr>
      </w:pPr>
      <w:r>
        <w:rPr>
          <w:rFonts w:hint="eastAsia" w:cs="Times New Roman"/>
        </w:rPr>
        <w:t>1、屠宰排水</w:t>
      </w:r>
    </w:p>
    <w:p>
      <w:pPr>
        <w:pStyle w:val="3"/>
        <w:ind w:firstLine="480"/>
        <w:rPr>
          <w:rFonts w:cs="Times New Roman"/>
        </w:rPr>
      </w:pPr>
      <w:r>
        <w:rPr>
          <w:rFonts w:hint="eastAsia" w:cs="Times New Roman"/>
        </w:rPr>
        <w:t>参照《屠宰与肉类加工废水治理工程技术规范》（HJ2004-2010）4.2.3 章节可知，屠宰废水产生量宜取总用水量的80-90%，本次评价按85%进行核算，则屠宰排水量为167450m</w:t>
      </w:r>
      <w:r>
        <w:rPr>
          <w:rFonts w:hint="eastAsia" w:cs="Times New Roman"/>
          <w:vertAlign w:val="superscript"/>
        </w:rPr>
        <w:t>3</w:t>
      </w:r>
      <w:r>
        <w:rPr>
          <w:rFonts w:hint="eastAsia" w:cs="Times New Roman"/>
        </w:rPr>
        <w:t>/a（558.17m</w:t>
      </w:r>
      <w:r>
        <w:rPr>
          <w:rFonts w:hint="eastAsia" w:cs="Times New Roman"/>
          <w:vertAlign w:val="superscript"/>
        </w:rPr>
        <w:t>3</w:t>
      </w:r>
      <w:r>
        <w:rPr>
          <w:rFonts w:hint="eastAsia" w:cs="Times New Roman"/>
        </w:rPr>
        <w:t>/d）。</w:t>
      </w:r>
    </w:p>
    <w:p>
      <w:pPr>
        <w:pStyle w:val="3"/>
        <w:ind w:firstLine="480"/>
        <w:rPr>
          <w:rFonts w:cs="Times New Roman"/>
        </w:rPr>
      </w:pPr>
      <w:r>
        <w:rPr>
          <w:rFonts w:hint="eastAsia" w:cs="Times New Roman"/>
        </w:rPr>
        <w:t>2、生活排水</w:t>
      </w:r>
    </w:p>
    <w:p>
      <w:pPr>
        <w:pStyle w:val="3"/>
        <w:ind w:firstLine="480"/>
        <w:rPr>
          <w:rFonts w:cs="Times New Roman"/>
        </w:rPr>
      </w:pPr>
      <w:r>
        <w:rPr>
          <w:rFonts w:hint="eastAsia" w:cs="Times New Roman"/>
        </w:rPr>
        <w:t>生活污水产生系数按0.8计算，则项目员工生活污水产生量为1.44m</w:t>
      </w:r>
      <w:r>
        <w:rPr>
          <w:rFonts w:hint="eastAsia" w:cs="Times New Roman"/>
          <w:vertAlign w:val="superscript"/>
        </w:rPr>
        <w:t>3</w:t>
      </w:r>
      <w:r>
        <w:rPr>
          <w:rFonts w:hint="eastAsia" w:cs="Times New Roman"/>
        </w:rPr>
        <w:t>/d，即432m</w:t>
      </w:r>
      <w:r>
        <w:rPr>
          <w:rFonts w:hint="eastAsia" w:cs="Times New Roman"/>
          <w:vertAlign w:val="superscript"/>
        </w:rPr>
        <w:t>3</w:t>
      </w:r>
      <w:r>
        <w:rPr>
          <w:rFonts w:hint="eastAsia" w:cs="Times New Roman"/>
        </w:rPr>
        <w:t>/a。</w:t>
      </w:r>
    </w:p>
    <w:p>
      <w:pPr>
        <w:pStyle w:val="3"/>
        <w:ind w:firstLine="480"/>
        <w:rPr>
          <w:rFonts w:cs="Times New Roman"/>
        </w:rPr>
      </w:pPr>
      <w:r>
        <w:rPr>
          <w:rFonts w:hint="eastAsia" w:cs="Times New Roman"/>
        </w:rPr>
        <w:t>故项目废水总产生量为559.61m</w:t>
      </w:r>
      <w:r>
        <w:rPr>
          <w:rFonts w:hint="eastAsia" w:cs="Times New Roman"/>
          <w:vertAlign w:val="superscript"/>
        </w:rPr>
        <w:t>3</w:t>
      </w:r>
      <w:r>
        <w:rPr>
          <w:rFonts w:hint="eastAsia" w:cs="Times New Roman"/>
        </w:rPr>
        <w:t>/d（167882m</w:t>
      </w:r>
      <w:r>
        <w:rPr>
          <w:rFonts w:hint="eastAsia" w:cs="Times New Roman"/>
          <w:vertAlign w:val="superscript"/>
        </w:rPr>
        <w:t>3</w:t>
      </w:r>
      <w:r>
        <w:rPr>
          <w:rFonts w:hint="eastAsia" w:cs="Times New Roman"/>
        </w:rPr>
        <w:t>/a）。</w:t>
      </w:r>
    </w:p>
    <w:p>
      <w:pPr>
        <w:pStyle w:val="3"/>
        <w:ind w:firstLine="480"/>
        <w:rPr>
          <w:rFonts w:cs="Times New Roman"/>
          <w:color w:val="FF0000"/>
        </w:rPr>
      </w:pPr>
      <w:r>
        <w:rPr>
          <w:rFonts w:hint="eastAsia" w:cs="Times New Roman"/>
        </w:rPr>
        <w:t>项目厂区实行雨污分流，项目生产废水排入厂区内自建粪污处理系统（处理工艺：隔栅→粪污调节池→固液分离→污水→沼气池→三级曝气沉淀池→杀菌除臭）处理达到《农田灌溉水质标准》（GB5084-2021）表1 中“旱作”标准后，由罐车运至衡阳县喜耕田有机肥厂回收处理。</w:t>
      </w:r>
    </w:p>
    <w:p>
      <w:pPr>
        <w:pStyle w:val="3"/>
        <w:ind w:firstLine="0" w:firstLineChars="0"/>
        <w:outlineLvl w:val="3"/>
        <w:rPr>
          <w:rFonts w:eastAsia="黑体" w:cstheme="majorBidi"/>
          <w:bCs/>
          <w:szCs w:val="32"/>
        </w:rPr>
      </w:pPr>
      <w:r>
        <w:rPr>
          <w:rFonts w:hint="eastAsia" w:eastAsia="黑体" w:cstheme="majorBidi"/>
          <w:bCs/>
          <w:szCs w:val="32"/>
        </w:rPr>
        <w:t>3.2.7.3 供电工程</w:t>
      </w:r>
    </w:p>
    <w:p>
      <w:pPr>
        <w:pStyle w:val="3"/>
        <w:ind w:firstLine="480"/>
        <w:rPr>
          <w:rFonts w:cs="Times New Roman"/>
        </w:rPr>
      </w:pPr>
      <w:r>
        <w:rPr>
          <w:rFonts w:hint="eastAsia" w:cs="Times New Roman"/>
        </w:rPr>
        <w:t>本项目由集兵镇供电所供电</w:t>
      </w:r>
      <w:r>
        <w:rPr>
          <w:rFonts w:hint="eastAsia" w:cs="Times New Roman"/>
          <w:kern w:val="0"/>
        </w:rPr>
        <w:t>。</w:t>
      </w:r>
    </w:p>
    <w:p>
      <w:pPr>
        <w:pStyle w:val="3"/>
        <w:ind w:firstLine="0" w:firstLineChars="0"/>
        <w:outlineLvl w:val="3"/>
        <w:rPr>
          <w:rFonts w:eastAsia="黑体" w:cstheme="majorBidi"/>
          <w:bCs/>
          <w:szCs w:val="32"/>
        </w:rPr>
      </w:pPr>
      <w:r>
        <w:rPr>
          <w:rFonts w:hint="eastAsia" w:eastAsia="黑体" w:cstheme="majorBidi"/>
          <w:bCs/>
          <w:szCs w:val="32"/>
        </w:rPr>
        <w:t>3.2.7.4 供热工程</w:t>
      </w:r>
    </w:p>
    <w:p>
      <w:pPr>
        <w:pStyle w:val="3"/>
        <w:ind w:firstLine="480"/>
        <w:rPr>
          <w:rFonts w:cs="Times New Roman"/>
        </w:rPr>
      </w:pPr>
      <w:r>
        <w:rPr>
          <w:rFonts w:hint="eastAsia" w:cs="Times New Roman"/>
        </w:rPr>
        <w:t>项目内设1 台1t/h 的生物质锅炉主要用于浸烫脱毛工序。</w:t>
      </w:r>
    </w:p>
    <w:p>
      <w:pPr>
        <w:pStyle w:val="3"/>
        <w:ind w:firstLine="0" w:firstLineChars="0"/>
        <w:outlineLvl w:val="3"/>
        <w:rPr>
          <w:rFonts w:eastAsia="黑体" w:cstheme="majorBidi"/>
          <w:bCs/>
          <w:szCs w:val="32"/>
        </w:rPr>
      </w:pPr>
      <w:r>
        <w:rPr>
          <w:rFonts w:hint="eastAsia" w:eastAsia="黑体" w:cstheme="majorBidi"/>
          <w:bCs/>
          <w:szCs w:val="32"/>
        </w:rPr>
        <w:t>3.2.7.5 制冷工程</w:t>
      </w:r>
    </w:p>
    <w:p>
      <w:pPr>
        <w:pStyle w:val="3"/>
        <w:ind w:firstLine="480"/>
        <w:rPr>
          <w:rFonts w:cs="Times New Roman"/>
        </w:rPr>
      </w:pPr>
      <w:r>
        <w:rPr>
          <w:rFonts w:hint="eastAsia" w:cs="Times New Roman"/>
        </w:rPr>
        <w:t>本项目制冷系统采用环保制冷剂R404-A 作为制冷工质，制冷系统为全封闭自动化，制冷剂损耗量较少，定期进行补充。项目制冷系统主要由4 大部分组成，分别为制冷压缩机、节流膨胀阀、蒸发器、冷凝器，由无缝钢管将各部分连接形成一个密闭系统。制冷剂在系统压力差的状态下、通过节流膨胀阀降低制冷剂的压力和温度一一进入冻库内蒸发器吸收库内热量一一又经制冷压缩机吸入压缩提高制冷剂的温度和压力一一在排入冷凝器经外界水冷却介质冷却。制冷剂在制冷系统中周而复施循环，以达到所需要的温度和目的。</w:t>
      </w:r>
    </w:p>
    <w:p>
      <w:pPr>
        <w:pStyle w:val="3"/>
        <w:ind w:firstLine="0" w:firstLineChars="0"/>
        <w:outlineLvl w:val="2"/>
      </w:pPr>
      <w:r>
        <w:rPr>
          <w:rFonts w:hint="eastAsia"/>
        </w:rPr>
        <w:t xml:space="preserve">3.2.8  </w:t>
      </w:r>
      <w:r>
        <w:rPr>
          <w:rFonts w:hint="eastAsia" w:eastAsia="黑体" w:cstheme="majorBidi"/>
          <w:bCs/>
          <w:szCs w:val="32"/>
        </w:rPr>
        <w:t>检验检疫及无害化处理</w:t>
      </w:r>
    </w:p>
    <w:p>
      <w:pPr>
        <w:pStyle w:val="3"/>
        <w:ind w:firstLine="480"/>
        <w:rPr>
          <w:rFonts w:cs="Times New Roman"/>
        </w:rPr>
      </w:pPr>
      <w:r>
        <w:rPr>
          <w:rFonts w:hint="eastAsia" w:cs="Times New Roman"/>
        </w:rPr>
        <w:t>项目设置宰前检疫室，对运输进来的肉牛、鸡、鸭进行检验，发现传染性疾病、寄生虫和中毒性疾病的牲畜，在急宰区处理后暂存于冷库中，定期交由有资质无害化处理单位处置。</w:t>
      </w:r>
    </w:p>
    <w:p>
      <w:pPr>
        <w:pStyle w:val="3"/>
        <w:ind w:firstLine="0" w:firstLineChars="0"/>
        <w:outlineLvl w:val="2"/>
      </w:pPr>
      <w:r>
        <w:rPr>
          <w:rFonts w:hint="eastAsia"/>
        </w:rPr>
        <w:t xml:space="preserve">3.2.9  </w:t>
      </w:r>
      <w:r>
        <w:rPr>
          <w:rFonts w:hint="eastAsia" w:eastAsia="黑体" w:cstheme="majorBidi"/>
          <w:bCs/>
          <w:szCs w:val="32"/>
        </w:rPr>
        <w:t>工作制度与劳动定员</w:t>
      </w:r>
    </w:p>
    <w:p>
      <w:pPr>
        <w:pStyle w:val="3"/>
        <w:ind w:firstLine="480"/>
        <w:rPr>
          <w:rFonts w:cs="Times New Roman"/>
        </w:rPr>
      </w:pPr>
      <w:r>
        <w:rPr>
          <w:rFonts w:hint="eastAsia" w:cs="Times New Roman"/>
        </w:rPr>
        <w:t>本项目劳动定员20人。</w:t>
      </w:r>
    </w:p>
    <w:p>
      <w:pPr>
        <w:pStyle w:val="3"/>
        <w:ind w:firstLine="480"/>
        <w:rPr>
          <w:rFonts w:cs="Times New Roman"/>
        </w:rPr>
      </w:pPr>
      <w:r>
        <w:rPr>
          <w:rFonts w:hint="eastAsia" w:cs="Times New Roman"/>
        </w:rPr>
        <w:t>本项目年生产300d，实行8小时工作制度，年工作时间2400h。</w:t>
      </w:r>
    </w:p>
    <w:p>
      <w:pPr>
        <w:pStyle w:val="3"/>
        <w:ind w:firstLine="0" w:firstLineChars="0"/>
        <w:outlineLvl w:val="2"/>
      </w:pPr>
      <w:r>
        <w:rPr>
          <w:rFonts w:hint="eastAsia"/>
        </w:rPr>
        <w:t xml:space="preserve">3.2.10  </w:t>
      </w:r>
      <w:r>
        <w:rPr>
          <w:rFonts w:hint="eastAsia" w:eastAsia="黑体" w:cstheme="majorBidi"/>
          <w:bCs/>
          <w:szCs w:val="32"/>
        </w:rPr>
        <w:t>厂区平面布置</w:t>
      </w:r>
    </w:p>
    <w:p>
      <w:pPr>
        <w:pStyle w:val="3"/>
        <w:ind w:firstLine="480"/>
        <w:rPr>
          <w:rFonts w:cs="Times New Roman"/>
        </w:rPr>
      </w:pPr>
      <w:r>
        <w:rPr>
          <w:rFonts w:hint="eastAsia" w:cs="Times New Roman"/>
        </w:rPr>
        <w:t>本项目场地呈长方形，按生产工艺分为畜类屠宰区和禽类屠宰区，中间通过设置生物隔离带区分，两个区分别设置有污道和净道两个出入口。方便人员出入以及货物运输。厂区畜类屠宰区由西往东依次布有办公楼、分割冷冻车间、屠宰车间、待宰区等，整体位于大利村村道北侧，在办公楼与屠宰车间设置绿化带；禽类屠宰区由西往东依次布置有锅炉区、屠宰车间、分隔区、冷库区、检疫室、洗消区和生活办公区，厂区道路及车辆停放区均采用水泥硬化，满足场区调配运输和消防通道。</w:t>
      </w:r>
    </w:p>
    <w:p>
      <w:pPr>
        <w:pStyle w:val="3"/>
        <w:ind w:firstLine="480"/>
        <w:rPr>
          <w:rFonts w:cs="Times New Roman"/>
        </w:rPr>
      </w:pPr>
      <w:r>
        <w:rPr>
          <w:rFonts w:hint="eastAsia" w:cs="Times New Roman"/>
        </w:rPr>
        <w:t>项目总平面布置图详见附图2。</w:t>
      </w:r>
    </w:p>
    <w:p>
      <w:pPr>
        <w:pStyle w:val="3"/>
        <w:ind w:firstLine="480"/>
        <w:rPr>
          <w:rFonts w:cs="Times New Roman"/>
        </w:rPr>
        <w:sectPr>
          <w:pgSz w:w="11906" w:h="16838"/>
          <w:pgMar w:top="1474" w:right="1361" w:bottom="1474" w:left="1588" w:header="851" w:footer="992" w:gutter="0"/>
          <w:cols w:space="425" w:num="1"/>
          <w:docGrid w:type="lines" w:linePitch="312" w:charSpace="0"/>
        </w:sectPr>
      </w:pPr>
    </w:p>
    <w:p>
      <w:pPr>
        <w:pStyle w:val="2"/>
        <w:ind w:left="0"/>
      </w:pPr>
      <w:bookmarkStart w:id="18" w:name="_Toc116993064"/>
      <w:r>
        <w:rPr>
          <w:rFonts w:hint="eastAsia"/>
        </w:rPr>
        <w:t>工程分析</w:t>
      </w:r>
      <w:bookmarkEnd w:id="18"/>
    </w:p>
    <w:p>
      <w:pPr>
        <w:pStyle w:val="5"/>
      </w:pPr>
      <w:bookmarkStart w:id="19" w:name="_Toc83392212"/>
      <w:bookmarkStart w:id="20" w:name="_Toc116993065"/>
      <w:r>
        <w:rPr>
          <w:rFonts w:cs="Times New Roman"/>
        </w:rPr>
        <w:t>施工期污染源强分析</w:t>
      </w:r>
      <w:bookmarkEnd w:id="19"/>
      <w:bookmarkEnd w:id="20"/>
    </w:p>
    <w:p>
      <w:pPr>
        <w:pStyle w:val="3"/>
        <w:ind w:firstLine="0" w:firstLineChars="0"/>
        <w:outlineLvl w:val="2"/>
      </w:pPr>
      <w:r>
        <w:rPr>
          <w:rFonts w:hint="eastAsia"/>
        </w:rPr>
        <w:t>4.1.1</w:t>
      </w:r>
      <w:r>
        <w:rPr>
          <w:rFonts w:hint="eastAsia" w:eastAsia="黑体" w:cstheme="majorBidi"/>
          <w:bCs/>
          <w:szCs w:val="32"/>
        </w:rPr>
        <w:tab/>
      </w:r>
      <w:r>
        <w:rPr>
          <w:rFonts w:hint="eastAsia" w:eastAsia="黑体" w:cstheme="majorBidi"/>
          <w:bCs/>
          <w:szCs w:val="32"/>
        </w:rPr>
        <w:t>施工期工艺流程</w:t>
      </w:r>
    </w:p>
    <w:p>
      <w:pPr>
        <w:pStyle w:val="3"/>
        <w:ind w:firstLine="480"/>
        <w:rPr>
          <w:rFonts w:cs="Times New Roman"/>
        </w:rPr>
      </w:pPr>
      <w:r>
        <w:rPr>
          <w:rFonts w:hint="eastAsia" w:cs="Times New Roman"/>
        </w:rPr>
        <w:t>本次扩建工程新增一条年屠宰500万鸡、500万鸭生产线，扩建一条年屠宰1万头肉牛生产线，项目生产车间租赁原有厂房生产，只新增生产设备，无施工污染产生；新建办公楼、粪污处理系统设施时，施工期间产生的环境影响问题主要为施工废气（包括施工扬尘、机械设备废气及装修废气）、废水、生活污水、施工噪声以及施工固体废物等。</w:t>
      </w:r>
    </w:p>
    <w:p>
      <w:pPr>
        <w:pStyle w:val="3"/>
        <w:ind w:firstLine="480"/>
        <w:jc w:val="center"/>
        <w:rPr>
          <w:rFonts w:cs="Times New Roman"/>
        </w:rPr>
      </w:pPr>
      <w:r>
        <w:drawing>
          <wp:inline distT="0" distB="0" distL="0" distR="0">
            <wp:extent cx="4038600" cy="1314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038600" cy="1314450"/>
                    </a:xfrm>
                    <a:prstGeom prst="rect">
                      <a:avLst/>
                    </a:prstGeom>
                  </pic:spPr>
                </pic:pic>
              </a:graphicData>
            </a:graphic>
          </wp:inline>
        </w:drawing>
      </w:r>
    </w:p>
    <w:p>
      <w:pPr>
        <w:pStyle w:val="3"/>
        <w:ind w:firstLine="482"/>
        <w:jc w:val="center"/>
        <w:rPr>
          <w:rFonts w:cs="Times New Roman" w:eastAsiaTheme="minorEastAsia"/>
          <w:b/>
        </w:rPr>
      </w:pPr>
      <w:r>
        <w:rPr>
          <w:rFonts w:hint="eastAsia" w:cs="Times New Roman" w:eastAsiaTheme="minorEastAsia"/>
          <w:b/>
        </w:rPr>
        <w:t>图4</w:t>
      </w:r>
      <w:r>
        <w:rPr>
          <w:rFonts w:cs="Times New Roman" w:eastAsiaTheme="minorEastAsia"/>
          <w:b/>
        </w:rPr>
        <w:t xml:space="preserve">.1-1 </w:t>
      </w:r>
      <w:r>
        <w:rPr>
          <w:rFonts w:hint="eastAsia" w:cs="Times New Roman" w:eastAsiaTheme="minorEastAsia"/>
          <w:b/>
        </w:rPr>
        <w:t>项目施工期工艺流程及产污环节图</w:t>
      </w:r>
    </w:p>
    <w:p>
      <w:pPr>
        <w:pStyle w:val="3"/>
        <w:ind w:firstLine="0" w:firstLineChars="0"/>
        <w:outlineLvl w:val="2"/>
      </w:pPr>
      <w:r>
        <w:rPr>
          <w:rFonts w:hint="eastAsia"/>
        </w:rPr>
        <w:t>4.1.2</w:t>
      </w:r>
      <w:r>
        <w:rPr>
          <w:rFonts w:hint="eastAsia" w:eastAsia="黑体" w:cstheme="majorBidi"/>
          <w:bCs/>
          <w:szCs w:val="32"/>
        </w:rPr>
        <w:tab/>
      </w:r>
      <w:r>
        <w:rPr>
          <w:rFonts w:hint="eastAsia" w:eastAsia="黑体" w:cstheme="majorBidi"/>
          <w:bCs/>
          <w:szCs w:val="32"/>
        </w:rPr>
        <w:t>废水污染源分析</w:t>
      </w:r>
    </w:p>
    <w:p>
      <w:pPr>
        <w:spacing w:line="360" w:lineRule="auto"/>
        <w:ind w:firstLine="480" w:firstLineChars="200"/>
        <w:rPr>
          <w:rFonts w:ascii="Times New Roman" w:hAnsi="Times New Roman"/>
          <w:sz w:val="24"/>
        </w:rPr>
      </w:pPr>
      <w:r>
        <w:rPr>
          <w:rFonts w:ascii="Times New Roman" w:hAnsi="Times New Roman"/>
          <w:sz w:val="24"/>
        </w:rPr>
        <w:t>本项目施工期排水分为施工作业废水以及施工人员生活污水两大类。</w:t>
      </w:r>
    </w:p>
    <w:p>
      <w:pPr>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施工作业废水</w:t>
      </w:r>
    </w:p>
    <w:p>
      <w:pPr>
        <w:spacing w:line="360" w:lineRule="auto"/>
        <w:ind w:firstLine="480" w:firstLineChars="200"/>
        <w:rPr>
          <w:rFonts w:ascii="Times New Roman" w:hAnsi="Times New Roman"/>
          <w:sz w:val="24"/>
        </w:rPr>
      </w:pPr>
      <w:r>
        <w:rPr>
          <w:rFonts w:hint="eastAsia" w:ascii="Times New Roman" w:hAnsi="Times New Roman"/>
          <w:sz w:val="24"/>
        </w:rPr>
        <w:t>施工废水主要为基坑废水、混凝土养护废水及车辆冲洗废水等。基坑废水、混凝土养护废水均沉淀后再利用；车辆冲洗废水据类比及初步估算，一般施工车辆冲洗废水约300L/辆，每天按10辆计，冲洗废水约3m</w:t>
      </w:r>
      <w:r>
        <w:rPr>
          <w:rFonts w:hint="eastAsia" w:ascii="Times New Roman" w:hAnsi="Times New Roman"/>
          <w:sz w:val="24"/>
          <w:vertAlign w:val="superscript"/>
        </w:rPr>
        <w:t>3</w:t>
      </w:r>
      <w:r>
        <w:rPr>
          <w:rFonts w:hint="eastAsia" w:ascii="Times New Roman" w:hAnsi="Times New Roman"/>
          <w:sz w:val="24"/>
        </w:rPr>
        <w:t>/d，设置隔油沉淀池，其中CODcr为25～200mg/L，SS约为500～4000mg/L，石油类约为100~200mg/L。施工废水经处理后主要回用场地洒水降尘等，不外排</w:t>
      </w:r>
      <w:r>
        <w:rPr>
          <w:rFonts w:ascii="Times New Roman" w:hAnsi="Times New Roman"/>
          <w:sz w:val="24"/>
        </w:rPr>
        <w:t>。</w:t>
      </w:r>
    </w:p>
    <w:p>
      <w:pPr>
        <w:spacing w:line="360" w:lineRule="auto"/>
        <w:ind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生活污水</w:t>
      </w:r>
    </w:p>
    <w:p>
      <w:pPr>
        <w:pStyle w:val="3"/>
        <w:ind w:firstLine="480"/>
        <w:rPr>
          <w:rFonts w:cs="Times New Roman"/>
        </w:rPr>
      </w:pPr>
      <w:r>
        <w:rPr>
          <w:rFonts w:hint="eastAsia" w:eastAsiaTheme="minorEastAsia"/>
        </w:rPr>
        <w:t>本项目施工高峰期人员约20人（不留宿），按照施工工人每天用水量45L，排污系数取0.8估算，施工人员生活污水平均产生量为0.72m</w:t>
      </w:r>
      <w:r>
        <w:rPr>
          <w:rFonts w:hint="eastAsia" w:eastAsiaTheme="minorEastAsia"/>
          <w:vertAlign w:val="superscript"/>
        </w:rPr>
        <w:t>3</w:t>
      </w:r>
      <w:r>
        <w:rPr>
          <w:rFonts w:hint="eastAsia" w:eastAsiaTheme="minorEastAsia"/>
        </w:rPr>
        <w:t>/d。污染物以BOD</w:t>
      </w:r>
      <w:r>
        <w:rPr>
          <w:rFonts w:hint="eastAsia" w:eastAsiaTheme="minorEastAsia"/>
          <w:vertAlign w:val="subscript"/>
        </w:rPr>
        <w:t>5</w:t>
      </w:r>
      <w:r>
        <w:rPr>
          <w:rFonts w:hint="eastAsia" w:eastAsiaTheme="minorEastAsia"/>
        </w:rPr>
        <w:t>、COD、SS、NH</w:t>
      </w:r>
      <w:r>
        <w:rPr>
          <w:rFonts w:hint="eastAsia" w:eastAsiaTheme="minorEastAsia"/>
          <w:vertAlign w:val="subscript"/>
        </w:rPr>
        <w:t>3</w:t>
      </w:r>
      <w:r>
        <w:rPr>
          <w:rFonts w:hint="eastAsia" w:eastAsiaTheme="minorEastAsia"/>
        </w:rPr>
        <w:t>-N为主，其浓度分别为120mg/L、300mg/ L、250mg/ L、30mg/ L，项目施工人员均为周边居民，施工现场设置旱厕，定期委托现有居民定期清掏用作农肥</w:t>
      </w:r>
      <w:r>
        <w:rPr>
          <w:rFonts w:eastAsiaTheme="minorEastAsia"/>
        </w:rPr>
        <w:t>。</w:t>
      </w:r>
    </w:p>
    <w:p>
      <w:pPr>
        <w:pStyle w:val="3"/>
        <w:ind w:firstLine="0" w:firstLineChars="0"/>
        <w:outlineLvl w:val="2"/>
      </w:pPr>
      <w:r>
        <w:rPr>
          <w:rFonts w:hint="eastAsia"/>
        </w:rPr>
        <w:t>4.1.3</w:t>
      </w:r>
      <w:r>
        <w:rPr>
          <w:rFonts w:hint="eastAsia" w:eastAsia="黑体" w:cstheme="majorBidi"/>
          <w:bCs/>
          <w:szCs w:val="32"/>
        </w:rPr>
        <w:tab/>
      </w:r>
      <w:r>
        <w:rPr>
          <w:rFonts w:hint="eastAsia" w:eastAsia="黑体" w:cstheme="majorBidi"/>
          <w:bCs/>
          <w:szCs w:val="32"/>
        </w:rPr>
        <w:t>废气污染源分析</w:t>
      </w:r>
    </w:p>
    <w:p>
      <w:pPr>
        <w:pStyle w:val="3"/>
        <w:ind w:firstLine="480"/>
        <w:rPr>
          <w:rFonts w:cs="Times New Roman"/>
        </w:rPr>
      </w:pPr>
      <w:r>
        <w:rPr>
          <w:rFonts w:hint="eastAsia" w:cs="Times New Roman"/>
        </w:rPr>
        <w:t>项目施工期主要大气污染物为建筑施工及运输过程产生的扬尘，施工机械、车辆排放的尾气及建筑装修废气等。</w:t>
      </w:r>
    </w:p>
    <w:p>
      <w:pPr>
        <w:pStyle w:val="3"/>
        <w:ind w:firstLine="480"/>
        <w:rPr>
          <w:rFonts w:cs="Times New Roman"/>
        </w:rPr>
      </w:pPr>
      <w:r>
        <w:rPr>
          <w:rFonts w:hint="eastAsia" w:cs="Times New Roman"/>
        </w:rPr>
        <w:t>1、</w:t>
      </w:r>
      <w:r>
        <w:rPr>
          <w:rFonts w:cs="Times New Roman"/>
        </w:rPr>
        <w:t>施工扬尘</w:t>
      </w:r>
    </w:p>
    <w:p>
      <w:pPr>
        <w:pStyle w:val="3"/>
        <w:ind w:firstLine="480"/>
        <w:rPr>
          <w:rFonts w:cs="Times New Roman"/>
        </w:rPr>
      </w:pPr>
      <w:r>
        <w:rPr>
          <w:rFonts w:hint="eastAsia" w:cs="Times New Roman"/>
        </w:rPr>
        <w:t>施工期大气污染源主要是施工粉尘，车辆尾气、运输扬尘等，其中施工粉尘与运输扬尘与泥土含水量、空气干燥程度、风速直接相关，通过严格管理和洒水可有效抑制；车辆尾气与车辆工况有关。一般工程车辆污染物排放量CO：5.25g/辆•km、THC：2.08g/辆•km、NO</w:t>
      </w:r>
      <w:r>
        <w:rPr>
          <w:rFonts w:hint="eastAsia" w:cs="Times New Roman"/>
          <w:vertAlign w:val="subscript"/>
        </w:rPr>
        <w:t>2</w:t>
      </w:r>
      <w:r>
        <w:rPr>
          <w:rFonts w:hint="eastAsia" w:cs="Times New Roman"/>
        </w:rPr>
        <w:t>：10.44g/辆•km。</w:t>
      </w:r>
    </w:p>
    <w:p>
      <w:pPr>
        <w:pStyle w:val="3"/>
        <w:ind w:firstLine="480"/>
        <w:rPr>
          <w:rFonts w:cs="Times New Roman"/>
        </w:rPr>
      </w:pPr>
      <w:r>
        <w:rPr>
          <w:rFonts w:hint="eastAsia" w:cs="Times New Roman"/>
        </w:rPr>
        <w:t>2、</w:t>
      </w:r>
      <w:r>
        <w:rPr>
          <w:rFonts w:cs="Times New Roman"/>
        </w:rPr>
        <w:t>施工机械废气</w:t>
      </w:r>
    </w:p>
    <w:p>
      <w:pPr>
        <w:pStyle w:val="3"/>
        <w:ind w:firstLine="480"/>
        <w:rPr>
          <w:rFonts w:cs="Times New Roman"/>
        </w:rPr>
      </w:pPr>
      <w:r>
        <w:rPr>
          <w:rFonts w:cs="Times New Roman"/>
        </w:rPr>
        <w:t>施工期间，使用机动车运送原材料、设备和建筑机械设备的运转，它们以柴油为燃料，均会排放一定量的CO、NOx以及为完全燃烧的THC等，其特点是排放量小，且属于间断性无组织排放。加之施工场地开阔，扩散条件良好，施工期机械废气及运输车辆汽车尾气可实现达标排放。施工单位必须使用污染物排放符合国家标准的运输车辆和施工机械，加强设备、车辆的维护保养，使机械、车辆处于良好工作状态，严禁使用报废车辆和淘汰设备，以减少施工机械废气对周围环境的影响。经采取以上措施后，机动车尾气对其影响不大。</w:t>
      </w:r>
    </w:p>
    <w:p>
      <w:pPr>
        <w:pStyle w:val="3"/>
        <w:ind w:firstLine="480"/>
        <w:rPr>
          <w:rFonts w:cs="Times New Roman"/>
        </w:rPr>
      </w:pPr>
      <w:r>
        <w:rPr>
          <w:rFonts w:hint="eastAsia" w:cs="Times New Roman"/>
        </w:rPr>
        <w:t>3、</w:t>
      </w:r>
      <w:r>
        <w:rPr>
          <w:rFonts w:cs="Times New Roman"/>
        </w:rPr>
        <w:t>装修废气</w:t>
      </w:r>
    </w:p>
    <w:p>
      <w:pPr>
        <w:pStyle w:val="3"/>
        <w:ind w:firstLine="480"/>
        <w:rPr>
          <w:rFonts w:cs="Times New Roman"/>
        </w:rPr>
      </w:pPr>
      <w:r>
        <w:rPr>
          <w:rFonts w:cs="Times New Roman"/>
        </w:rPr>
        <w:t>项目主体建筑施工完成后，对楼层房间进行简单装修。项目装修采用绿色建材，装饰材料中大部分无机材料是安全和无害的，如龙骨及配件、普通型材、地砖、玻璃等传统饰材。室内装修阶段对环境产生污染的材料主要是人造板、饰面人造板以及油漆等有机溶剂（主要有溶剂型涂料、溶剂型胶粘剂，水性阻燃剂、防水剂、防腐剂及防虫剂等），其主要污染因子为二甲苯、甲苯、甲醛、氨、TVOC，此外还有极少量的汽油、丁醇和丙醇等。为减轻施工期建筑装饰过程中涂料有机溶剂挥发对环境空气造成影响，在施工过程中应加强对建筑无进行通风处理，装修时使用环保型装饰材料，油漆、涂料等，装修材料的选取应按照国家质检总局颁布的《室内装修材料10项有害物质限量》规定进行严格控制室内甲醛、苯系物等挥发性有机物，使各项污染指标达到《室内空气质量标准》（GB/T18883-2002）的限值要求。本项目施工期短，有机物排放周期短，且作业点分散。带来的废气影响随着施工期结束而结束。</w:t>
      </w:r>
    </w:p>
    <w:p>
      <w:pPr>
        <w:pStyle w:val="3"/>
        <w:ind w:firstLine="0" w:firstLineChars="0"/>
        <w:outlineLvl w:val="2"/>
      </w:pPr>
      <w:r>
        <w:rPr>
          <w:rFonts w:hint="eastAsia"/>
        </w:rPr>
        <w:t>4.1.4</w:t>
      </w:r>
      <w:r>
        <w:rPr>
          <w:rFonts w:hint="eastAsia" w:eastAsia="黑体" w:cstheme="majorBidi"/>
          <w:bCs/>
          <w:szCs w:val="32"/>
        </w:rPr>
        <w:tab/>
      </w:r>
      <w:r>
        <w:rPr>
          <w:rFonts w:hint="eastAsia" w:eastAsia="黑体" w:cstheme="majorBidi"/>
          <w:bCs/>
          <w:szCs w:val="32"/>
        </w:rPr>
        <w:t>噪声污染源分析</w:t>
      </w:r>
    </w:p>
    <w:p>
      <w:pPr>
        <w:pStyle w:val="3"/>
        <w:ind w:firstLine="480"/>
        <w:rPr>
          <w:rFonts w:cs="Times New Roman"/>
        </w:rPr>
      </w:pPr>
      <w:r>
        <w:rPr>
          <w:rFonts w:hint="eastAsia" w:cs="Times New Roman"/>
        </w:rPr>
        <w:t>施工期噪声主要来自施工机械噪声、施工作业噪声和运输车辆噪声。施工机械噪声由施工机械所造成，如挖土机械、空压机等，多为点声源。施工作业噪声主要指一些零星的敲打声、装卸建材的撞击声及装修期间的噪声等，多为瞬间噪声。</w:t>
      </w:r>
    </w:p>
    <w:p>
      <w:pPr>
        <w:pStyle w:val="3"/>
        <w:ind w:firstLine="480"/>
        <w:rPr>
          <w:rFonts w:cs="Times New Roman"/>
          <w:kern w:val="0"/>
        </w:rPr>
      </w:pPr>
      <w:r>
        <w:rPr>
          <w:rFonts w:hint="eastAsia" w:cs="Times New Roman"/>
          <w:kern w:val="0"/>
        </w:rPr>
        <w:t>施工期主要施工机械设备的噪声源强见表4</w:t>
      </w:r>
      <w:r>
        <w:rPr>
          <w:rFonts w:cs="Times New Roman"/>
          <w:kern w:val="0"/>
        </w:rPr>
        <w:t>.</w:t>
      </w:r>
      <w:r>
        <w:rPr>
          <w:rFonts w:hint="eastAsia" w:cs="Times New Roman"/>
          <w:kern w:val="0"/>
        </w:rPr>
        <w:t>1</w:t>
      </w:r>
      <w:r>
        <w:rPr>
          <w:rFonts w:cs="Times New Roman"/>
          <w:kern w:val="0"/>
        </w:rPr>
        <w:t>-</w:t>
      </w:r>
      <w:r>
        <w:rPr>
          <w:rFonts w:hint="eastAsia" w:cs="Times New Roman"/>
          <w:kern w:val="0"/>
        </w:rPr>
        <w:t>1。</w:t>
      </w:r>
    </w:p>
    <w:p>
      <w:pPr>
        <w:pStyle w:val="3"/>
        <w:ind w:firstLine="482"/>
        <w:jc w:val="center"/>
        <w:rPr>
          <w:rFonts w:cs="Times New Roman" w:eastAsiaTheme="minorEastAsia"/>
          <w:b/>
        </w:rPr>
      </w:pPr>
      <w:r>
        <w:rPr>
          <w:rFonts w:hint="eastAsia" w:cs="Times New Roman" w:eastAsiaTheme="minorEastAsia"/>
          <w:b/>
        </w:rPr>
        <w:t>表4</w:t>
      </w:r>
      <w:r>
        <w:rPr>
          <w:rFonts w:cs="Times New Roman" w:eastAsiaTheme="minorEastAsia"/>
          <w:b/>
        </w:rPr>
        <w:t>.</w:t>
      </w:r>
      <w:r>
        <w:rPr>
          <w:rFonts w:hint="eastAsia" w:cs="Times New Roman" w:eastAsiaTheme="minorEastAsia"/>
          <w:b/>
        </w:rPr>
        <w:t>1</w:t>
      </w:r>
      <w:r>
        <w:rPr>
          <w:rFonts w:cs="Times New Roman" w:eastAsiaTheme="minorEastAsia"/>
          <w:b/>
        </w:rPr>
        <w:t xml:space="preserve">-1  </w:t>
      </w:r>
      <w:r>
        <w:rPr>
          <w:rFonts w:hint="eastAsia" w:cs="Times New Roman" w:eastAsiaTheme="minorEastAsia"/>
          <w:b/>
        </w:rPr>
        <w:t>施工期主要噪声源及源强</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301"/>
        <w:gridCol w:w="1385"/>
        <w:gridCol w:w="1490"/>
        <w:gridCol w:w="1915"/>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施工阶段</w:t>
            </w: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声源</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声源强度</w:t>
            </w:r>
          </w:p>
          <w:p>
            <w:pPr>
              <w:pStyle w:val="49"/>
              <w:rPr>
                <w:rFonts w:cs="Times New Roman"/>
              </w:rPr>
            </w:pPr>
            <w:r>
              <w:rPr>
                <w:rFonts w:cs="Times New Roman"/>
              </w:rPr>
              <w:t>dB</w:t>
            </w:r>
            <w:r>
              <w:rPr>
                <w:rFonts w:hint="eastAsia" w:cs="Times New Roman"/>
              </w:rPr>
              <w:t>（</w:t>
            </w:r>
            <w:r>
              <w:rPr>
                <w:rFonts w:cs="Times New Roman"/>
              </w:rPr>
              <w:t>A</w:t>
            </w:r>
            <w:r>
              <w:rPr>
                <w:rFonts w:hint="eastAsia" w:cs="Times New Roman"/>
              </w:rPr>
              <w:t>）</w:t>
            </w:r>
          </w:p>
        </w:tc>
        <w:tc>
          <w:tcPr>
            <w:tcW w:w="8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施工阶段</w:t>
            </w: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声源</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声源强度</w:t>
            </w:r>
          </w:p>
          <w:p>
            <w:pPr>
              <w:pStyle w:val="49"/>
              <w:rPr>
                <w:rFonts w:cs="Times New Roman"/>
              </w:rPr>
            </w:pPr>
            <w:r>
              <w:rPr>
                <w:rFonts w:cs="Times New Roman"/>
              </w:rPr>
              <w:t>dB</w:t>
            </w:r>
            <w:r>
              <w:rPr>
                <w:rFonts w:hint="eastAsia" w:cs="Times New Roman"/>
              </w:rPr>
              <w:t>（</w:t>
            </w:r>
            <w:r>
              <w:rPr>
                <w:rFonts w:cs="Times New Roman"/>
              </w:rPr>
              <w:t>A</w:t>
            </w:r>
            <w:r>
              <w:rPr>
                <w:rFonts w:hint="eastAsia"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土石方阶段</w:t>
            </w: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挖土机</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78</w:t>
            </w:r>
            <w:r>
              <w:rPr>
                <w:rFonts w:hint="eastAsia" w:cs="Times New Roman"/>
              </w:rPr>
              <w:t>～</w:t>
            </w:r>
            <w:r>
              <w:rPr>
                <w:rFonts w:cs="Times New Roman"/>
              </w:rPr>
              <w:t>96</w:t>
            </w:r>
          </w:p>
        </w:tc>
        <w:tc>
          <w:tcPr>
            <w:tcW w:w="812"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装修</w:t>
            </w:r>
          </w:p>
          <w:p>
            <w:pPr>
              <w:pStyle w:val="49"/>
              <w:rPr>
                <w:rFonts w:cs="Times New Roman"/>
              </w:rPr>
            </w:pPr>
            <w:r>
              <w:rPr>
                <w:rFonts w:hint="eastAsia" w:cs="Times New Roman"/>
              </w:rPr>
              <w:t>安装阶段</w:t>
            </w: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电钻</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空压机</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75</w:t>
            </w:r>
            <w:r>
              <w:rPr>
                <w:rFonts w:hint="eastAsia" w:cs="Times New Roman"/>
              </w:rPr>
              <w:t>～</w:t>
            </w:r>
            <w:r>
              <w:rPr>
                <w:rFonts w:cs="Times New Roman"/>
              </w:rPr>
              <w:t>85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电锤</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卷扬机</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85</w:t>
            </w:r>
            <w:r>
              <w:rPr>
                <w:rFonts w:hint="eastAsia" w:cs="Times New Roman"/>
              </w:rPr>
              <w:t>～</w:t>
            </w:r>
            <w:r>
              <w:rPr>
                <w:rFonts w:cs="Times New Roman"/>
              </w:rPr>
              <w:t>88</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手工钻</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底板与结构阶段</w:t>
            </w: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混凝土输送泵</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90</w:t>
            </w:r>
            <w:r>
              <w:rPr>
                <w:rFonts w:hint="eastAsia" w:cs="Times New Roman"/>
              </w:rPr>
              <w:t>～</w:t>
            </w:r>
            <w:r>
              <w:rPr>
                <w:rFonts w:cs="Times New Roman"/>
              </w:rPr>
              <w:t>100</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无齿锯</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振捣器</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105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多功能木工刨</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90</w:t>
            </w:r>
            <w:r>
              <w:rPr>
                <w:rFonts w:hint="eastAsia" w:cs="Times New Roman"/>
              </w:rPr>
              <w:t>～</w:t>
            </w:r>
            <w:r>
              <w:rPr>
                <w:rFonts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电锯</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105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云石机</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电焊机</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90</w:t>
            </w:r>
            <w:r>
              <w:rPr>
                <w:rFonts w:hint="eastAsia" w:cs="Times New Roman"/>
              </w:rPr>
              <w:t>～</w:t>
            </w:r>
            <w:r>
              <w:rPr>
                <w:rFonts w:cs="Times New Roman"/>
              </w:rPr>
              <w:t>95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角向磨光机</w:t>
            </w:r>
          </w:p>
        </w:tc>
        <w:tc>
          <w:tcPr>
            <w:tcW w:w="69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100</w:t>
            </w:r>
            <w:r>
              <w:rPr>
                <w:rFonts w:hint="eastAsia" w:cs="Times New Roman"/>
              </w:rPr>
              <w:t>～</w:t>
            </w:r>
            <w:r>
              <w:rPr>
                <w:rFonts w:cs="Times New Roma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空压机</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75</w:t>
            </w:r>
            <w:r>
              <w:rPr>
                <w:rFonts w:hint="eastAsia" w:cs="Times New Roman"/>
              </w:rPr>
              <w:t>～</w:t>
            </w:r>
            <w:r>
              <w:rPr>
                <w:rFonts w:cs="Times New Roman"/>
              </w:rPr>
              <w:t>85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轻型载重车</w:t>
            </w:r>
          </w:p>
        </w:tc>
        <w:tc>
          <w:tcPr>
            <w:tcW w:w="696"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75</w:t>
            </w:r>
            <w:r>
              <w:rPr>
                <w:rFonts w:hint="eastAsia" w:cs="Times New Roman"/>
              </w:rPr>
              <w:t>～</w:t>
            </w:r>
            <w:r>
              <w:rPr>
                <w:rFonts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25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hint="eastAsia" w:cs="Times New Roman"/>
              </w:rPr>
              <w:t>混凝土装罐车、载重车</w:t>
            </w:r>
          </w:p>
        </w:tc>
        <w:tc>
          <w:tcPr>
            <w:tcW w:w="7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80</w:t>
            </w:r>
            <w:r>
              <w:rPr>
                <w:rFonts w:hint="eastAsia" w:cs="Times New Roman"/>
              </w:rPr>
              <w:t>～</w:t>
            </w:r>
            <w:r>
              <w:rPr>
                <w:rFonts w:cs="Times New Roman"/>
              </w:rPr>
              <w:t>85</w:t>
            </w:r>
          </w:p>
        </w:tc>
        <w:tc>
          <w:tcPr>
            <w:tcW w:w="81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1044"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c>
          <w:tcPr>
            <w:tcW w:w="696"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rPr>
            </w:pPr>
          </w:p>
        </w:tc>
      </w:tr>
    </w:tbl>
    <w:p>
      <w:pPr>
        <w:pStyle w:val="3"/>
        <w:ind w:firstLine="480"/>
        <w:rPr>
          <w:rFonts w:cs="Times New Roman"/>
          <w:kern w:val="0"/>
        </w:rPr>
      </w:pPr>
      <w:r>
        <w:rPr>
          <w:rFonts w:hint="eastAsia" w:cs="Times New Roman"/>
          <w:kern w:val="0"/>
        </w:rPr>
        <w:t>当多台机械设备同时作业时，产生噪声叠加，根据类比调查，叠加后的噪声增加3~8dB（A）。</w:t>
      </w:r>
    </w:p>
    <w:p>
      <w:pPr>
        <w:pStyle w:val="3"/>
        <w:ind w:firstLine="0" w:firstLineChars="0"/>
        <w:outlineLvl w:val="2"/>
      </w:pPr>
      <w:r>
        <w:rPr>
          <w:rFonts w:hint="eastAsia"/>
        </w:rPr>
        <w:t>4.1.5</w:t>
      </w:r>
      <w:r>
        <w:rPr>
          <w:rFonts w:hint="eastAsia" w:eastAsia="黑体" w:cstheme="majorBidi"/>
          <w:bCs/>
          <w:szCs w:val="32"/>
        </w:rPr>
        <w:tab/>
      </w:r>
      <w:r>
        <w:rPr>
          <w:rFonts w:hint="eastAsia" w:eastAsia="黑体" w:cstheme="majorBidi"/>
          <w:bCs/>
          <w:szCs w:val="32"/>
        </w:rPr>
        <w:t>固废污染源分析</w:t>
      </w:r>
    </w:p>
    <w:p>
      <w:pPr>
        <w:pStyle w:val="3"/>
        <w:ind w:firstLine="480"/>
        <w:rPr>
          <w:rFonts w:cs="Times New Roman"/>
          <w:kern w:val="0"/>
        </w:rPr>
      </w:pPr>
      <w:r>
        <w:rPr>
          <w:rFonts w:hint="eastAsia" w:cs="Times New Roman"/>
          <w:kern w:val="0"/>
        </w:rPr>
        <w:t>施工期产生的固体废物主要包括：施工过程产生的建筑垃圾和施工人员的生活垃圾。</w:t>
      </w:r>
    </w:p>
    <w:p>
      <w:pPr>
        <w:pStyle w:val="3"/>
        <w:ind w:firstLine="480"/>
        <w:rPr>
          <w:rFonts w:cs="Times New Roman"/>
          <w:kern w:val="0"/>
        </w:rPr>
      </w:pPr>
      <w:r>
        <w:rPr>
          <w:rFonts w:hint="eastAsia" w:cs="Times New Roman"/>
          <w:kern w:val="0"/>
        </w:rPr>
        <w:t>1、土石方</w:t>
      </w:r>
    </w:p>
    <w:p>
      <w:pPr>
        <w:pStyle w:val="3"/>
        <w:ind w:firstLine="480"/>
        <w:rPr>
          <w:rFonts w:cs="Times New Roman"/>
          <w:kern w:val="0"/>
        </w:rPr>
      </w:pPr>
      <w:r>
        <w:rPr>
          <w:rFonts w:hint="eastAsia" w:cs="Times New Roman"/>
          <w:kern w:val="0"/>
        </w:rPr>
        <w:t>建筑施工过程中所产生的污染问题主要是工程剩余土方问题，其产生于建筑施工的基础工程施工阶段的开挖作业。有关统计资料显示，废弃土方所造成的环境负荷问题十分重要，会造成土壤侵蚀、植被破坏、资源损失、景观破坏和水土流失等不利影响。究其原因，一般而言，越是都市化的地区，建筑工程越有向高层发展的趋势，相对而言，基础的开挖深度也会越深，剩余土方量也就越多。但另一方面由于都市土地的取得困难，在理想运距內的弃土场又极为缺乏，因此剩余土方的处置就成为了极为棘手的问题。根据实地考察和建设单位提供的资料，拟建地为平地，可实现场内土石方平衡，无弃土、弃渣外运。</w:t>
      </w:r>
    </w:p>
    <w:p>
      <w:pPr>
        <w:pStyle w:val="3"/>
        <w:ind w:firstLine="480"/>
        <w:rPr>
          <w:rFonts w:cs="Times New Roman"/>
          <w:kern w:val="0"/>
        </w:rPr>
      </w:pPr>
      <w:r>
        <w:rPr>
          <w:rFonts w:hint="eastAsia" w:cs="Times New Roman"/>
          <w:kern w:val="0"/>
        </w:rPr>
        <w:t>2、建筑垃圾</w:t>
      </w:r>
    </w:p>
    <w:p>
      <w:pPr>
        <w:pStyle w:val="3"/>
        <w:ind w:firstLine="480"/>
        <w:rPr>
          <w:rFonts w:cs="Times New Roman"/>
          <w:kern w:val="0"/>
        </w:rPr>
      </w:pPr>
      <w:r>
        <w:rPr>
          <w:rFonts w:hint="eastAsia" w:cs="Times New Roman"/>
          <w:kern w:val="0"/>
        </w:rPr>
        <w:t>施工现场的固体废料包括废钢板、废砖头以及混凝土残渣等。其中废钢筋可进行回收再利用，其他建筑残渣需进行外运处置。施工建筑垃圾产生系数为</w:t>
      </w:r>
      <w:r>
        <w:rPr>
          <w:rFonts w:cs="Times New Roman"/>
          <w:kern w:val="0"/>
        </w:rPr>
        <w:t>7.5kg/m</w:t>
      </w:r>
      <w:r>
        <w:rPr>
          <w:rFonts w:cs="Times New Roman"/>
          <w:kern w:val="0"/>
          <w:vertAlign w:val="superscript"/>
        </w:rPr>
        <w:t>2</w:t>
      </w:r>
      <w:r>
        <w:rPr>
          <w:rFonts w:hint="eastAsia" w:cs="Times New Roman"/>
          <w:kern w:val="0"/>
        </w:rPr>
        <w:t>，项目总建筑面积约</w:t>
      </w:r>
      <w:r>
        <w:rPr>
          <w:rFonts w:cs="Times New Roman"/>
          <w:kern w:val="0"/>
        </w:rPr>
        <w:t>864m</w:t>
      </w:r>
      <w:r>
        <w:rPr>
          <w:rFonts w:cs="Times New Roman"/>
          <w:kern w:val="0"/>
          <w:vertAlign w:val="superscript"/>
        </w:rPr>
        <w:t>2</w:t>
      </w:r>
      <w:r>
        <w:rPr>
          <w:rFonts w:hint="eastAsia" w:cs="Times New Roman"/>
          <w:kern w:val="0"/>
        </w:rPr>
        <w:t>，施工建筑垃圾产生量约</w:t>
      </w:r>
      <w:r>
        <w:rPr>
          <w:rFonts w:cs="Times New Roman"/>
          <w:kern w:val="0"/>
        </w:rPr>
        <w:t>6.48t</w:t>
      </w:r>
      <w:r>
        <w:rPr>
          <w:rFonts w:hint="eastAsia" w:cs="Times New Roman"/>
          <w:kern w:val="0"/>
        </w:rPr>
        <w:t>。施工建筑垃圾大多可以回收利用，其他不能回收的建筑垃圾运至城建部门指定的地点堆放处理。</w:t>
      </w:r>
    </w:p>
    <w:p>
      <w:pPr>
        <w:pStyle w:val="3"/>
        <w:ind w:firstLine="480"/>
        <w:rPr>
          <w:rFonts w:cs="Times New Roman"/>
          <w:kern w:val="0"/>
        </w:rPr>
      </w:pPr>
      <w:r>
        <w:rPr>
          <w:rFonts w:hint="eastAsia" w:cs="Times New Roman"/>
          <w:kern w:val="0"/>
        </w:rPr>
        <w:t>2、施工人员生活垃圾</w:t>
      </w:r>
    </w:p>
    <w:p>
      <w:pPr>
        <w:pStyle w:val="3"/>
        <w:ind w:firstLine="480"/>
        <w:rPr>
          <w:rFonts w:cs="Times New Roman"/>
          <w:kern w:val="0"/>
        </w:rPr>
      </w:pPr>
      <w:r>
        <w:rPr>
          <w:rFonts w:hint="eastAsia" w:cs="Times New Roman"/>
          <w:kern w:val="0"/>
        </w:rPr>
        <w:t>施工人员的生活垃圾主要为塑料、纸质包装垃圾，其产生量通常按</w:t>
      </w:r>
      <w:r>
        <w:rPr>
          <w:rFonts w:cs="Times New Roman"/>
          <w:kern w:val="0"/>
        </w:rPr>
        <w:t>0.5kg/</w:t>
      </w:r>
      <w:r>
        <w:rPr>
          <w:rFonts w:hint="eastAsia" w:cs="Times New Roman"/>
          <w:kern w:val="0"/>
        </w:rPr>
        <w:t>人</w:t>
      </w:r>
      <w:r>
        <w:rPr>
          <w:rFonts w:cs="Times New Roman"/>
          <w:kern w:val="0"/>
        </w:rPr>
        <w:t>·d</w:t>
      </w:r>
      <w:r>
        <w:rPr>
          <w:rFonts w:hint="eastAsia" w:cs="Times New Roman"/>
          <w:kern w:val="0"/>
        </w:rPr>
        <w:t>，施工现场人员的多少直接影响到其生活垃圾的产生量，本项目施工期生活垃圾产生量为10</w:t>
      </w:r>
      <w:r>
        <w:rPr>
          <w:rFonts w:cs="Times New Roman"/>
          <w:kern w:val="0"/>
        </w:rPr>
        <w:t>kg/d</w:t>
      </w:r>
      <w:r>
        <w:rPr>
          <w:rFonts w:hint="eastAsia" w:cs="Times New Roman"/>
          <w:kern w:val="0"/>
        </w:rPr>
        <w:t>，整个施工期中生活垃圾产生量为0.3</w:t>
      </w:r>
      <w:r>
        <w:rPr>
          <w:rFonts w:cs="Times New Roman"/>
          <w:kern w:val="0"/>
        </w:rPr>
        <w:t>t</w:t>
      </w:r>
      <w:r>
        <w:rPr>
          <w:rFonts w:hint="eastAsia" w:cs="Times New Roman"/>
          <w:kern w:val="0"/>
        </w:rPr>
        <w:t>。生活垃圾存放在场地指定地点，由环卫部门统一处理。</w:t>
      </w:r>
    </w:p>
    <w:p>
      <w:pPr>
        <w:pStyle w:val="3"/>
        <w:ind w:firstLine="0" w:firstLineChars="0"/>
        <w:outlineLvl w:val="2"/>
      </w:pPr>
      <w:r>
        <w:rPr>
          <w:rFonts w:hint="eastAsia"/>
        </w:rPr>
        <w:t>4.1.6</w:t>
      </w:r>
      <w:r>
        <w:rPr>
          <w:rFonts w:hint="eastAsia" w:eastAsia="黑体" w:cstheme="majorBidi"/>
          <w:bCs/>
          <w:szCs w:val="32"/>
        </w:rPr>
        <w:tab/>
      </w:r>
      <w:r>
        <w:rPr>
          <w:rFonts w:hint="eastAsia" w:eastAsia="黑体" w:cstheme="majorBidi"/>
          <w:bCs/>
          <w:szCs w:val="32"/>
        </w:rPr>
        <w:t>生态影响分析</w:t>
      </w:r>
    </w:p>
    <w:p>
      <w:pPr>
        <w:pStyle w:val="3"/>
        <w:ind w:firstLine="480"/>
        <w:rPr>
          <w:rFonts w:cs="Times New Roman"/>
          <w:kern w:val="0"/>
        </w:rPr>
      </w:pPr>
      <w:r>
        <w:rPr>
          <w:rFonts w:hint="eastAsia" w:cs="Times New Roman"/>
          <w:kern w:val="0"/>
        </w:rPr>
        <w:t>经现场勘察，本项目在现有厂区范围能进行改扩建建设。</w:t>
      </w:r>
    </w:p>
    <w:p>
      <w:pPr>
        <w:pStyle w:val="3"/>
        <w:ind w:firstLine="480"/>
        <w:rPr>
          <w:rFonts w:cs="Times New Roman"/>
          <w:kern w:val="0"/>
        </w:rPr>
      </w:pPr>
      <w:r>
        <w:rPr>
          <w:rFonts w:hint="eastAsia" w:cs="Times New Roman"/>
          <w:kern w:val="0"/>
        </w:rPr>
        <w:t>1、在施工过程中，按施工规范要求进行原地压实，填方基础在铺筑时，分层均匀压实，逐层填筑。施工时严格按《施工技术规范》进行操作，精心组织施工，加强管理，并及时碾压，做好防护工作。</w:t>
      </w:r>
    </w:p>
    <w:p>
      <w:pPr>
        <w:pStyle w:val="3"/>
        <w:ind w:firstLine="480"/>
        <w:rPr>
          <w:rFonts w:cs="Times New Roman"/>
          <w:kern w:val="0"/>
        </w:rPr>
      </w:pPr>
      <w:r>
        <w:rPr>
          <w:rFonts w:hint="eastAsia" w:cs="Times New Roman"/>
          <w:kern w:val="0"/>
        </w:rPr>
        <w:t>2、施工期间应对产生的临时废弃土石进行及时的清运处理，尽量减少废弃土石的堆放面积和数量。</w:t>
      </w:r>
    </w:p>
    <w:p>
      <w:pPr>
        <w:pStyle w:val="3"/>
        <w:ind w:firstLine="480"/>
        <w:rPr>
          <w:rFonts w:cs="Times New Roman"/>
          <w:kern w:val="0"/>
        </w:rPr>
      </w:pPr>
      <w:r>
        <w:rPr>
          <w:rFonts w:hint="eastAsia" w:cs="Times New Roman"/>
          <w:kern w:val="0"/>
        </w:rPr>
        <w:t>3、在施工期间，对废弃土石临时堆放地下垫面在条件许可的情况下，应采用硬化地面、在废弃土石堆上部覆盖塑料薄膜等防风、防雨措施，避免水土流失。</w:t>
      </w:r>
    </w:p>
    <w:p>
      <w:pPr>
        <w:pStyle w:val="3"/>
        <w:ind w:firstLine="480"/>
        <w:rPr>
          <w:rFonts w:cs="Times New Roman"/>
          <w:kern w:val="0"/>
        </w:rPr>
      </w:pPr>
      <w:r>
        <w:rPr>
          <w:rFonts w:cs="Times New Roman"/>
          <w:kern w:val="0"/>
        </w:rPr>
        <w:t>4</w:t>
      </w:r>
      <w:r>
        <w:rPr>
          <w:rFonts w:hint="eastAsia" w:cs="Times New Roman"/>
          <w:kern w:val="0"/>
        </w:rPr>
        <w:t>、场地内应设置专门的雨水导流渠，将雨水引导到沉淀池经过沉淀后回用，</w:t>
      </w:r>
      <w:r>
        <w:rPr>
          <w:rFonts w:cs="Times New Roman"/>
          <w:kern w:val="0"/>
        </w:rPr>
        <w:t xml:space="preserve"> </w:t>
      </w:r>
      <w:r>
        <w:rPr>
          <w:rFonts w:hint="eastAsia" w:cs="Times New Roman"/>
          <w:kern w:val="0"/>
        </w:rPr>
        <w:t>防止因雨水冲刷造成水土流失，不因雨水原因导致水土流失。</w:t>
      </w:r>
    </w:p>
    <w:p>
      <w:pPr>
        <w:pStyle w:val="3"/>
        <w:ind w:firstLine="480"/>
        <w:rPr>
          <w:rFonts w:cs="Times New Roman"/>
          <w:kern w:val="0"/>
        </w:rPr>
      </w:pPr>
      <w:r>
        <w:rPr>
          <w:rFonts w:cs="Times New Roman"/>
          <w:kern w:val="0"/>
        </w:rPr>
        <w:t>5</w:t>
      </w:r>
      <w:r>
        <w:rPr>
          <w:rFonts w:hint="eastAsia" w:cs="Times New Roman"/>
          <w:kern w:val="0"/>
        </w:rPr>
        <w:t>、施工期地基开挖、工程建设期间在指定位置修建专门的土方和建渣挡土墙。总之，施工期水土流失是暂时的，且主要发生在基础工程开挖和填方阶段，随着防护工程的完善和植被的逐渐恢复，因工程施工引起的水土流失会逐渐减少，因此应加强工程的防护工作，工程完成后尽快恢复植被，可使水土流失状况恢复到施工前的水平。</w:t>
      </w:r>
    </w:p>
    <w:p>
      <w:pPr>
        <w:pStyle w:val="5"/>
      </w:pPr>
      <w:bookmarkStart w:id="21" w:name="_Toc116993066"/>
      <w:r>
        <w:rPr>
          <w:rFonts w:hint="eastAsia" w:cs="Times New Roman"/>
        </w:rPr>
        <w:t>营运期</w:t>
      </w:r>
      <w:r>
        <w:rPr>
          <w:rFonts w:cs="Times New Roman"/>
        </w:rPr>
        <w:t>污染源强分析</w:t>
      </w:r>
      <w:bookmarkEnd w:id="21"/>
    </w:p>
    <w:p>
      <w:pPr>
        <w:pStyle w:val="3"/>
        <w:ind w:firstLine="0" w:firstLineChars="0"/>
        <w:outlineLvl w:val="2"/>
      </w:pPr>
      <w:r>
        <w:rPr>
          <w:rFonts w:hint="eastAsia"/>
        </w:rPr>
        <w:t>4.2.1</w:t>
      </w:r>
      <w:r>
        <w:rPr>
          <w:rFonts w:hint="eastAsia" w:eastAsia="黑体" w:cstheme="majorBidi"/>
          <w:bCs/>
          <w:szCs w:val="32"/>
        </w:rPr>
        <w:tab/>
      </w:r>
      <w:r>
        <w:rPr>
          <w:rFonts w:hint="eastAsia" w:eastAsia="黑体" w:cstheme="majorBidi"/>
          <w:bCs/>
          <w:szCs w:val="32"/>
        </w:rPr>
        <w:t>营运期工艺流程</w:t>
      </w:r>
    </w:p>
    <w:p>
      <w:pPr>
        <w:pStyle w:val="3"/>
        <w:ind w:firstLine="480"/>
        <w:rPr>
          <w:rFonts w:cs="Times New Roman"/>
          <w:color w:val="FF0000"/>
          <w:kern w:val="0"/>
          <w:u w:val="single"/>
        </w:rPr>
      </w:pPr>
      <w:r>
        <w:rPr>
          <w:rFonts w:hint="eastAsia" w:cs="Times New Roman"/>
          <w:color w:val="FF0000"/>
          <w:kern w:val="0"/>
          <w:u w:val="single"/>
        </w:rPr>
        <w:t>本项目肉牛屠宰方式为半机械化屠宰，不属于手工屠宰，禽类屠宰全部采用全自动化机械，具体工程流程及产污环节如下：</w:t>
      </w:r>
    </w:p>
    <w:p>
      <w:pPr>
        <w:pStyle w:val="3"/>
        <w:ind w:firstLine="480"/>
        <w:rPr>
          <w:rFonts w:cs="Times New Roman"/>
          <w:color w:val="FF0000"/>
          <w:kern w:val="0"/>
          <w:u w:val="single"/>
        </w:rPr>
      </w:pPr>
      <w:r>
        <w:rPr>
          <w:rFonts w:hint="eastAsia" w:cs="Times New Roman"/>
          <w:color w:val="FF0000"/>
          <w:kern w:val="0"/>
          <w:u w:val="single"/>
        </w:rPr>
        <w:t>1、肉牛屠宰工艺流程：</w:t>
      </w:r>
    </w:p>
    <w:p>
      <w:pPr>
        <w:pStyle w:val="3"/>
        <w:spacing w:line="240" w:lineRule="auto"/>
        <w:ind w:firstLine="0" w:firstLineChars="0"/>
        <w:jc w:val="center"/>
        <w:rPr>
          <w:rFonts w:cs="Times New Roman"/>
          <w:kern w:val="0"/>
        </w:rPr>
      </w:pPr>
      <w:r>
        <w:drawing>
          <wp:inline distT="0" distB="0" distL="0" distR="0">
            <wp:extent cx="4772025" cy="6400800"/>
            <wp:effectExtent l="19050" t="19050" r="28575"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772025" cy="6400800"/>
                    </a:xfrm>
                    <a:prstGeom prst="rect">
                      <a:avLst/>
                    </a:prstGeom>
                    <a:ln>
                      <a:solidFill>
                        <a:schemeClr val="tx1"/>
                      </a:solidFill>
                    </a:ln>
                  </pic:spPr>
                </pic:pic>
              </a:graphicData>
            </a:graphic>
          </wp:inline>
        </w:drawing>
      </w:r>
    </w:p>
    <w:p>
      <w:pPr>
        <w:pStyle w:val="3"/>
        <w:spacing w:line="240" w:lineRule="auto"/>
        <w:ind w:firstLine="0" w:firstLineChars="0"/>
        <w:jc w:val="center"/>
        <w:rPr>
          <w:rFonts w:cs="Times New Roman" w:eastAsiaTheme="minorEastAsia"/>
          <w:b/>
        </w:rPr>
      </w:pPr>
      <w:r>
        <w:rPr>
          <w:rFonts w:hint="eastAsia" w:cs="Times New Roman" w:eastAsiaTheme="minorEastAsia"/>
          <w:b/>
        </w:rPr>
        <w:t>图 4.2-1  肉牛屠宰工艺与产污流程</w:t>
      </w:r>
    </w:p>
    <w:p>
      <w:pPr>
        <w:pStyle w:val="3"/>
        <w:ind w:firstLine="480"/>
        <w:rPr>
          <w:rFonts w:cs="Times New Roman"/>
          <w:color w:val="FF0000"/>
          <w:kern w:val="0"/>
          <w:u w:val="single"/>
        </w:rPr>
      </w:pPr>
      <w:r>
        <w:rPr>
          <w:rFonts w:hint="eastAsia" w:cs="Times New Roman"/>
          <w:color w:val="FF0000"/>
          <w:kern w:val="0"/>
          <w:u w:val="single"/>
        </w:rPr>
        <w:t>工艺流程说明：</w:t>
      </w:r>
    </w:p>
    <w:p>
      <w:pPr>
        <w:pStyle w:val="3"/>
        <w:ind w:firstLine="480"/>
        <w:rPr>
          <w:rFonts w:cs="Times New Roman"/>
          <w:color w:val="FF0000"/>
          <w:kern w:val="0"/>
          <w:u w:val="single"/>
        </w:rPr>
      </w:pPr>
      <w:r>
        <w:rPr>
          <w:rFonts w:cs="Times New Roman"/>
          <w:color w:val="FF0000"/>
          <w:kern w:val="0"/>
          <w:u w:val="single"/>
        </w:rPr>
        <w:t>（1）</w:t>
      </w:r>
      <w:r>
        <w:rPr>
          <w:rFonts w:hint="eastAsia" w:cs="Times New Roman"/>
          <w:color w:val="FF0000"/>
          <w:kern w:val="0"/>
          <w:u w:val="single"/>
        </w:rPr>
        <w:t>肉牛</w:t>
      </w:r>
      <w:r>
        <w:rPr>
          <w:rFonts w:cs="Times New Roman"/>
          <w:color w:val="FF0000"/>
          <w:kern w:val="0"/>
          <w:u w:val="single"/>
        </w:rPr>
        <w:t>入厂</w:t>
      </w:r>
    </w:p>
    <w:p>
      <w:pPr>
        <w:pStyle w:val="3"/>
        <w:ind w:firstLine="480"/>
        <w:rPr>
          <w:rFonts w:cs="Times New Roman"/>
          <w:color w:val="FF0000"/>
          <w:kern w:val="0"/>
          <w:u w:val="single"/>
        </w:rPr>
      </w:pPr>
      <w:r>
        <w:rPr>
          <w:rFonts w:cs="Times New Roman"/>
          <w:color w:val="FF0000"/>
          <w:kern w:val="0"/>
          <w:u w:val="single"/>
        </w:rPr>
        <w:t>项目收购</w:t>
      </w:r>
      <w:r>
        <w:rPr>
          <w:rFonts w:hint="eastAsia" w:cs="Times New Roman"/>
          <w:color w:val="FF0000"/>
          <w:kern w:val="0"/>
          <w:u w:val="single"/>
        </w:rPr>
        <w:t>肉牛</w:t>
      </w:r>
      <w:r>
        <w:rPr>
          <w:rFonts w:cs="Times New Roman"/>
          <w:color w:val="FF0000"/>
          <w:kern w:val="0"/>
          <w:u w:val="single"/>
        </w:rPr>
        <w:t>由车辆运输进厂。</w:t>
      </w:r>
      <w:r>
        <w:rPr>
          <w:rFonts w:hint="eastAsia" w:cs="Times New Roman"/>
          <w:color w:val="FF0000"/>
          <w:kern w:val="0"/>
          <w:u w:val="single"/>
        </w:rPr>
        <w:t>肉牛</w:t>
      </w:r>
      <w:r>
        <w:rPr>
          <w:rFonts w:cs="Times New Roman"/>
          <w:color w:val="FF0000"/>
          <w:kern w:val="0"/>
          <w:u w:val="single"/>
        </w:rPr>
        <w:t>入厂后不进行喂食，并保证及时进行事杀，</w:t>
      </w:r>
      <w:r>
        <w:rPr>
          <w:rFonts w:hint="eastAsia" w:cs="Times New Roman"/>
          <w:color w:val="FF0000"/>
          <w:kern w:val="0"/>
          <w:u w:val="single"/>
        </w:rPr>
        <w:t>肉牛</w:t>
      </w:r>
      <w:r>
        <w:rPr>
          <w:rFonts w:cs="Times New Roman"/>
          <w:color w:val="FF0000"/>
          <w:kern w:val="0"/>
          <w:u w:val="single"/>
        </w:rPr>
        <w:t>在厂内停留时间不超过24小时。</w:t>
      </w:r>
    </w:p>
    <w:p>
      <w:pPr>
        <w:pStyle w:val="3"/>
        <w:ind w:firstLine="480"/>
        <w:rPr>
          <w:rFonts w:cs="Times New Roman"/>
          <w:color w:val="FF0000"/>
          <w:kern w:val="0"/>
          <w:u w:val="single"/>
        </w:rPr>
      </w:pPr>
      <w:r>
        <w:rPr>
          <w:rFonts w:cs="Times New Roman"/>
          <w:color w:val="FF0000"/>
          <w:kern w:val="0"/>
          <w:u w:val="single"/>
        </w:rPr>
        <w:t>（2）检疫</w:t>
      </w:r>
    </w:p>
    <w:p>
      <w:pPr>
        <w:pStyle w:val="3"/>
        <w:ind w:firstLine="480"/>
        <w:rPr>
          <w:rFonts w:cs="Times New Roman"/>
          <w:color w:val="FF0000"/>
          <w:kern w:val="0"/>
          <w:u w:val="single"/>
        </w:rPr>
      </w:pPr>
      <w:r>
        <w:rPr>
          <w:rFonts w:hint="eastAsia" w:cs="Times New Roman"/>
          <w:color w:val="FF0000"/>
          <w:kern w:val="0"/>
          <w:u w:val="single"/>
        </w:rPr>
        <w:t>肉牛</w:t>
      </w:r>
      <w:r>
        <w:rPr>
          <w:rFonts w:cs="Times New Roman"/>
          <w:color w:val="FF0000"/>
          <w:kern w:val="0"/>
          <w:u w:val="single"/>
        </w:rPr>
        <w:t>进厂需进行宰前检疫，其目的在于控制各种疫病的传入和扩散，减少污染，维护产品质量。宰前检疫主要包括进厂检疫、候宰检查及宰前检疫。</w:t>
      </w:r>
    </w:p>
    <w:p>
      <w:pPr>
        <w:pStyle w:val="3"/>
        <w:ind w:firstLine="480"/>
        <w:rPr>
          <w:rFonts w:cs="Times New Roman"/>
          <w:color w:val="FF0000"/>
          <w:kern w:val="0"/>
          <w:u w:val="single"/>
        </w:rPr>
      </w:pPr>
      <w:r>
        <w:rPr>
          <w:rFonts w:cs="Times New Roman"/>
          <w:color w:val="FF0000"/>
          <w:kern w:val="0"/>
          <w:u w:val="single"/>
        </w:rPr>
        <w:t>进厂检疫是指在未卸车之前，由检疫员对运进</w:t>
      </w:r>
      <w:r>
        <w:rPr>
          <w:rFonts w:hint="eastAsia" w:cs="Times New Roman"/>
          <w:color w:val="FF0000"/>
          <w:kern w:val="0"/>
          <w:u w:val="single"/>
        </w:rPr>
        <w:t>肉牛</w:t>
      </w:r>
      <w:r>
        <w:rPr>
          <w:rFonts w:cs="Times New Roman"/>
          <w:color w:val="FF0000"/>
          <w:kern w:val="0"/>
          <w:u w:val="single"/>
        </w:rPr>
        <w:t>进行检疫，直到认为没有可疑疫情时允许卸下。在</w:t>
      </w:r>
      <w:r>
        <w:rPr>
          <w:rFonts w:hint="eastAsia" w:cs="Times New Roman"/>
          <w:color w:val="FF0000"/>
          <w:kern w:val="0"/>
          <w:u w:val="single"/>
        </w:rPr>
        <w:t>肉牛</w:t>
      </w:r>
      <w:r>
        <w:rPr>
          <w:rFonts w:cs="Times New Roman"/>
          <w:color w:val="FF0000"/>
          <w:kern w:val="0"/>
          <w:u w:val="single"/>
        </w:rPr>
        <w:t>卸下入待宰圈候宰时随时观察牲畜健康状态，对可疑</w:t>
      </w:r>
      <w:r>
        <w:rPr>
          <w:rFonts w:hint="eastAsia" w:cs="Times New Roman"/>
          <w:color w:val="FF0000"/>
          <w:kern w:val="0"/>
          <w:u w:val="single"/>
        </w:rPr>
        <w:t>肉牛</w:t>
      </w:r>
      <w:r>
        <w:rPr>
          <w:rFonts w:cs="Times New Roman"/>
          <w:color w:val="FF0000"/>
          <w:kern w:val="0"/>
          <w:u w:val="single"/>
        </w:rPr>
        <w:t>应做进一步诊断，当确诊疫病时，及时封锁，上报疫情。同时立即采取措施，由厂区内专业人员处理，确保人畜的安全。评价要求病</w:t>
      </w:r>
      <w:r>
        <w:rPr>
          <w:rFonts w:hint="eastAsia" w:cs="Times New Roman"/>
          <w:color w:val="FF0000"/>
          <w:kern w:val="0"/>
          <w:u w:val="single"/>
        </w:rPr>
        <w:t>肉牛</w:t>
      </w:r>
      <w:r>
        <w:rPr>
          <w:rFonts w:cs="Times New Roman"/>
          <w:color w:val="FF0000"/>
          <w:kern w:val="0"/>
          <w:u w:val="single"/>
        </w:rPr>
        <w:t>作无害化处理。</w:t>
      </w:r>
    </w:p>
    <w:p>
      <w:pPr>
        <w:pStyle w:val="3"/>
        <w:ind w:firstLine="480"/>
        <w:rPr>
          <w:rFonts w:cs="Times New Roman"/>
          <w:color w:val="FF0000"/>
          <w:kern w:val="0"/>
          <w:u w:val="single"/>
        </w:rPr>
      </w:pPr>
      <w:r>
        <w:rPr>
          <w:rFonts w:cs="Times New Roman"/>
          <w:color w:val="FF0000"/>
          <w:kern w:val="0"/>
          <w:u w:val="single"/>
        </w:rPr>
        <w:t>宰前检疫是临宰前对</w:t>
      </w:r>
      <w:r>
        <w:rPr>
          <w:rFonts w:hint="eastAsia" w:cs="Times New Roman"/>
          <w:color w:val="FF0000"/>
          <w:kern w:val="0"/>
          <w:u w:val="single"/>
        </w:rPr>
        <w:t>肉牛</w:t>
      </w:r>
      <w:r>
        <w:rPr>
          <w:rFonts w:cs="Times New Roman"/>
          <w:color w:val="FF0000"/>
          <w:kern w:val="0"/>
          <w:u w:val="single"/>
        </w:rPr>
        <w:t>进行再一次普查，确保其健康，是避免屠宰过程中病牛与健康牛相互污染，保证产品质量的有效措施。</w:t>
      </w:r>
    </w:p>
    <w:p>
      <w:pPr>
        <w:pStyle w:val="3"/>
        <w:ind w:firstLine="480"/>
        <w:rPr>
          <w:rFonts w:cs="Times New Roman"/>
          <w:color w:val="FF0000"/>
          <w:kern w:val="0"/>
          <w:u w:val="single"/>
        </w:rPr>
      </w:pPr>
      <w:r>
        <w:rPr>
          <w:rFonts w:cs="Times New Roman"/>
          <w:color w:val="FF0000"/>
          <w:kern w:val="0"/>
          <w:u w:val="single"/>
        </w:rPr>
        <w:t>（3）喷淋消毒</w:t>
      </w:r>
    </w:p>
    <w:p>
      <w:pPr>
        <w:pStyle w:val="3"/>
        <w:ind w:firstLine="480"/>
        <w:rPr>
          <w:rFonts w:cs="Times New Roman"/>
          <w:color w:val="FF0000"/>
          <w:kern w:val="0"/>
          <w:u w:val="single"/>
        </w:rPr>
      </w:pPr>
      <w:r>
        <w:rPr>
          <w:rFonts w:cs="Times New Roman"/>
          <w:color w:val="FF0000"/>
          <w:kern w:val="0"/>
          <w:u w:val="single"/>
        </w:rPr>
        <w:t>对检疫合格的</w:t>
      </w:r>
      <w:r>
        <w:rPr>
          <w:rFonts w:hint="eastAsia" w:cs="Times New Roman"/>
          <w:color w:val="FF0000"/>
          <w:kern w:val="0"/>
          <w:u w:val="single"/>
        </w:rPr>
        <w:t>肉牛</w:t>
      </w:r>
      <w:r>
        <w:rPr>
          <w:rFonts w:cs="Times New Roman"/>
          <w:color w:val="FF0000"/>
          <w:kern w:val="0"/>
          <w:u w:val="single"/>
        </w:rPr>
        <w:t>进行喷淋消毒。检疫合格之后由人沿着指定的通道将</w:t>
      </w:r>
      <w:r>
        <w:rPr>
          <w:rFonts w:hint="eastAsia" w:cs="Times New Roman"/>
          <w:color w:val="FF0000"/>
          <w:kern w:val="0"/>
          <w:u w:val="single"/>
        </w:rPr>
        <w:t>肉牛</w:t>
      </w:r>
      <w:r>
        <w:rPr>
          <w:rFonts w:cs="Times New Roman"/>
          <w:color w:val="FF0000"/>
          <w:kern w:val="0"/>
          <w:u w:val="single"/>
        </w:rPr>
        <w:t>牵到消毒池。用消毒液进行喷淋，清洗全身，以减少屠宰过程中</w:t>
      </w:r>
      <w:r>
        <w:rPr>
          <w:rFonts w:hint="eastAsia" w:cs="Times New Roman"/>
          <w:color w:val="FF0000"/>
          <w:kern w:val="0"/>
          <w:u w:val="single"/>
        </w:rPr>
        <w:t>肉牛</w:t>
      </w:r>
      <w:r>
        <w:rPr>
          <w:rFonts w:cs="Times New Roman"/>
          <w:color w:val="FF0000"/>
          <w:kern w:val="0"/>
          <w:u w:val="single"/>
        </w:rPr>
        <w:t>身上的附着物对</w:t>
      </w:r>
      <w:r>
        <w:rPr>
          <w:rFonts w:hint="eastAsia" w:cs="Times New Roman"/>
          <w:color w:val="FF0000"/>
          <w:kern w:val="0"/>
          <w:u w:val="single"/>
        </w:rPr>
        <w:t>肉牛</w:t>
      </w:r>
      <w:r>
        <w:rPr>
          <w:rFonts w:cs="Times New Roman"/>
          <w:color w:val="FF0000"/>
          <w:kern w:val="0"/>
          <w:u w:val="single"/>
        </w:rPr>
        <w:t>体的污染。</w:t>
      </w:r>
    </w:p>
    <w:p>
      <w:pPr>
        <w:pStyle w:val="3"/>
        <w:ind w:firstLine="480"/>
        <w:rPr>
          <w:rFonts w:cs="Times New Roman"/>
          <w:color w:val="FF0000"/>
          <w:kern w:val="0"/>
          <w:u w:val="single"/>
        </w:rPr>
      </w:pPr>
      <w:r>
        <w:rPr>
          <w:rFonts w:cs="Times New Roman"/>
          <w:color w:val="FF0000"/>
          <w:kern w:val="0"/>
          <w:u w:val="single"/>
        </w:rPr>
        <w:t>（4）待宰</w:t>
      </w:r>
    </w:p>
    <w:p>
      <w:pPr>
        <w:pStyle w:val="3"/>
        <w:ind w:firstLine="480"/>
        <w:rPr>
          <w:rFonts w:cs="Times New Roman"/>
          <w:color w:val="FF0000"/>
          <w:kern w:val="0"/>
          <w:u w:val="single"/>
        </w:rPr>
      </w:pPr>
      <w:r>
        <w:rPr>
          <w:rFonts w:cs="Times New Roman"/>
          <w:color w:val="FF0000"/>
          <w:kern w:val="0"/>
          <w:u w:val="single"/>
        </w:rPr>
        <w:t>经喷淋消毒后的</w:t>
      </w:r>
      <w:r>
        <w:rPr>
          <w:rFonts w:hint="eastAsia" w:cs="Times New Roman"/>
          <w:color w:val="FF0000"/>
          <w:kern w:val="0"/>
          <w:u w:val="single"/>
        </w:rPr>
        <w:t>肉牛</w:t>
      </w:r>
      <w:r>
        <w:rPr>
          <w:rFonts w:cs="Times New Roman"/>
          <w:color w:val="FF0000"/>
          <w:kern w:val="0"/>
          <w:u w:val="single"/>
        </w:rPr>
        <w:t>宰车间内设置的屠宰点待宰。</w:t>
      </w:r>
    </w:p>
    <w:p>
      <w:pPr>
        <w:pStyle w:val="3"/>
        <w:ind w:firstLine="480"/>
        <w:rPr>
          <w:rFonts w:cs="Times New Roman"/>
          <w:color w:val="FF0000"/>
          <w:kern w:val="0"/>
          <w:u w:val="single"/>
        </w:rPr>
      </w:pPr>
      <w:r>
        <w:rPr>
          <w:rFonts w:cs="Times New Roman"/>
          <w:color w:val="FF0000"/>
          <w:kern w:val="0"/>
          <w:u w:val="single"/>
        </w:rPr>
        <w:t>（5）电击至晕</w:t>
      </w:r>
    </w:p>
    <w:p>
      <w:pPr>
        <w:pStyle w:val="3"/>
        <w:ind w:firstLine="480"/>
        <w:rPr>
          <w:rFonts w:cs="Times New Roman"/>
          <w:color w:val="FF0000"/>
          <w:kern w:val="0"/>
          <w:u w:val="single"/>
        </w:rPr>
      </w:pPr>
      <w:r>
        <w:rPr>
          <w:rFonts w:cs="Times New Roman"/>
          <w:color w:val="FF0000"/>
          <w:kern w:val="0"/>
          <w:u w:val="single"/>
        </w:rPr>
        <w:t>在90V左右的电压下对</w:t>
      </w:r>
      <w:r>
        <w:rPr>
          <w:rFonts w:hint="eastAsia" w:cs="Times New Roman"/>
          <w:color w:val="FF0000"/>
          <w:kern w:val="0"/>
          <w:u w:val="single"/>
        </w:rPr>
        <w:t>肉牛</w:t>
      </w:r>
      <w:r>
        <w:rPr>
          <w:rFonts w:cs="Times New Roman"/>
          <w:color w:val="FF0000"/>
          <w:kern w:val="0"/>
          <w:u w:val="single"/>
        </w:rPr>
        <w:t>约5-10s的电击，将其击晕。</w:t>
      </w:r>
    </w:p>
    <w:p>
      <w:pPr>
        <w:pStyle w:val="3"/>
        <w:ind w:firstLine="480"/>
        <w:rPr>
          <w:rFonts w:cs="Times New Roman"/>
          <w:color w:val="FF0000"/>
          <w:kern w:val="0"/>
          <w:u w:val="single"/>
        </w:rPr>
      </w:pPr>
      <w:r>
        <w:rPr>
          <w:rFonts w:cs="Times New Roman"/>
          <w:color w:val="FF0000"/>
          <w:kern w:val="0"/>
          <w:u w:val="single"/>
        </w:rPr>
        <w:t>（6）宰杀放血</w:t>
      </w:r>
    </w:p>
    <w:p>
      <w:pPr>
        <w:pStyle w:val="3"/>
        <w:ind w:firstLine="480"/>
        <w:rPr>
          <w:rFonts w:cs="Times New Roman"/>
          <w:color w:val="FF0000"/>
          <w:kern w:val="0"/>
          <w:u w:val="single"/>
        </w:rPr>
      </w:pPr>
      <w:r>
        <w:rPr>
          <w:rFonts w:cs="Times New Roman"/>
          <w:color w:val="FF0000"/>
          <w:kern w:val="0"/>
          <w:u w:val="single"/>
        </w:rPr>
        <w:t>本项目从</w:t>
      </w:r>
      <w:r>
        <w:rPr>
          <w:rFonts w:hint="eastAsia" w:cs="Times New Roman"/>
          <w:color w:val="FF0000"/>
          <w:kern w:val="0"/>
          <w:u w:val="single"/>
        </w:rPr>
        <w:t>肉牛</w:t>
      </w:r>
      <w:r>
        <w:rPr>
          <w:rFonts w:cs="Times New Roman"/>
          <w:color w:val="FF0000"/>
          <w:kern w:val="0"/>
          <w:u w:val="single"/>
        </w:rPr>
        <w:t>喉部下刀割断食管、气管和血管进行放血，放血时间约为10分钟，同时收集牛血外售。再进入低压电刺激系统接受脉冲电压刺激，电压为25-80V，用以放松肌肉，加速肉排酸过程，提高肉嫩度。</w:t>
      </w:r>
    </w:p>
    <w:p>
      <w:pPr>
        <w:pStyle w:val="3"/>
        <w:ind w:firstLine="480"/>
        <w:rPr>
          <w:rFonts w:cs="Times New Roman"/>
          <w:color w:val="FF0000"/>
          <w:kern w:val="0"/>
          <w:u w:val="single"/>
        </w:rPr>
      </w:pPr>
      <w:r>
        <w:rPr>
          <w:rFonts w:cs="Times New Roman"/>
          <w:color w:val="FF0000"/>
          <w:kern w:val="0"/>
          <w:u w:val="single"/>
        </w:rPr>
        <w:t>（7）剥皮</w:t>
      </w:r>
    </w:p>
    <w:p>
      <w:pPr>
        <w:pStyle w:val="3"/>
        <w:ind w:firstLine="480"/>
        <w:rPr>
          <w:rFonts w:cs="Times New Roman"/>
          <w:color w:val="FF0000"/>
          <w:kern w:val="0"/>
          <w:u w:val="single"/>
        </w:rPr>
      </w:pPr>
      <w:r>
        <w:rPr>
          <w:rFonts w:cs="Times New Roman"/>
          <w:color w:val="FF0000"/>
          <w:kern w:val="0"/>
          <w:u w:val="single"/>
        </w:rPr>
        <w:t>采用人工将</w:t>
      </w:r>
      <w:r>
        <w:rPr>
          <w:rFonts w:hint="eastAsia" w:cs="Times New Roman"/>
          <w:color w:val="FF0000"/>
          <w:kern w:val="0"/>
          <w:u w:val="single"/>
        </w:rPr>
        <w:t>肉牛</w:t>
      </w:r>
      <w:r>
        <w:rPr>
          <w:rFonts w:cs="Times New Roman"/>
          <w:color w:val="FF0000"/>
          <w:kern w:val="0"/>
          <w:u w:val="single"/>
        </w:rPr>
        <w:t>进行倒挂，然后对撑开双腿后的</w:t>
      </w:r>
      <w:r>
        <w:rPr>
          <w:rFonts w:hint="eastAsia" w:cs="Times New Roman"/>
          <w:color w:val="FF0000"/>
          <w:kern w:val="0"/>
          <w:u w:val="single"/>
        </w:rPr>
        <w:t>肉牛</w:t>
      </w:r>
      <w:r>
        <w:rPr>
          <w:rFonts w:cs="Times New Roman"/>
          <w:color w:val="FF0000"/>
          <w:kern w:val="0"/>
          <w:u w:val="single"/>
        </w:rPr>
        <w:t>进行预剥，用剥皮刀进行后腿、胸部、前腿的预剥；预剥皮完成后，再人工进行扯皮，</w:t>
      </w:r>
      <w:r>
        <w:rPr>
          <w:rFonts w:hint="eastAsia" w:cs="Times New Roman"/>
          <w:color w:val="FF0000"/>
          <w:kern w:val="0"/>
          <w:u w:val="single"/>
        </w:rPr>
        <w:t>肉牛</w:t>
      </w:r>
      <w:r>
        <w:rPr>
          <w:rFonts w:cs="Times New Roman"/>
          <w:color w:val="FF0000"/>
          <w:kern w:val="0"/>
          <w:u w:val="single"/>
        </w:rPr>
        <w:t>皮毛暂存于生产车间北部暂存间。</w:t>
      </w:r>
    </w:p>
    <w:p>
      <w:pPr>
        <w:pStyle w:val="3"/>
        <w:ind w:firstLine="480"/>
        <w:rPr>
          <w:rFonts w:cs="Times New Roman"/>
          <w:color w:val="FF0000"/>
          <w:kern w:val="0"/>
          <w:u w:val="single"/>
        </w:rPr>
      </w:pPr>
      <w:r>
        <w:rPr>
          <w:rFonts w:cs="Times New Roman"/>
          <w:color w:val="FF0000"/>
          <w:kern w:val="0"/>
          <w:u w:val="single"/>
        </w:rPr>
        <w:t>（8）清洗</w:t>
      </w:r>
    </w:p>
    <w:p>
      <w:pPr>
        <w:pStyle w:val="3"/>
        <w:ind w:firstLine="480"/>
        <w:rPr>
          <w:rFonts w:cs="Times New Roman"/>
          <w:color w:val="FF0000"/>
          <w:kern w:val="0"/>
          <w:u w:val="single"/>
        </w:rPr>
      </w:pPr>
      <w:r>
        <w:rPr>
          <w:rFonts w:cs="Times New Roman"/>
          <w:color w:val="FF0000"/>
          <w:kern w:val="0"/>
          <w:u w:val="single"/>
        </w:rPr>
        <w:t>扯皮之后，对胴体再次进行清洗。</w:t>
      </w:r>
    </w:p>
    <w:p>
      <w:pPr>
        <w:pStyle w:val="3"/>
        <w:ind w:firstLine="480"/>
        <w:rPr>
          <w:rFonts w:cs="Times New Roman"/>
          <w:color w:val="FF0000"/>
          <w:kern w:val="0"/>
          <w:u w:val="single"/>
        </w:rPr>
      </w:pPr>
      <w:r>
        <w:rPr>
          <w:rFonts w:cs="Times New Roman"/>
          <w:color w:val="FF0000"/>
          <w:kern w:val="0"/>
          <w:u w:val="single"/>
        </w:rPr>
        <w:t>（9）胸体加工</w:t>
      </w:r>
    </w:p>
    <w:p>
      <w:pPr>
        <w:pStyle w:val="3"/>
        <w:ind w:firstLine="480"/>
        <w:rPr>
          <w:rFonts w:cs="Times New Roman"/>
          <w:color w:val="FF0000"/>
          <w:kern w:val="0"/>
          <w:u w:val="single"/>
        </w:rPr>
      </w:pPr>
      <w:r>
        <w:rPr>
          <w:rFonts w:cs="Times New Roman"/>
          <w:color w:val="FF0000"/>
          <w:kern w:val="0"/>
          <w:u w:val="single"/>
        </w:rPr>
        <w:t>胸体加工工序主要为切头、扎食管、开胸、取白内脏、取红内脏、劈半。胴体检验、胴体修割等。切下头，将其挂在屠宰点的挂钩上，把牛的舌头割出来，再对牛头进行清洗；</w:t>
      </w:r>
    </w:p>
    <w:p>
      <w:pPr>
        <w:pStyle w:val="3"/>
        <w:ind w:firstLine="480"/>
        <w:rPr>
          <w:rFonts w:cs="Times New Roman"/>
          <w:color w:val="FF0000"/>
          <w:kern w:val="0"/>
          <w:u w:val="single"/>
        </w:rPr>
      </w:pPr>
      <w:r>
        <w:rPr>
          <w:rFonts w:cs="Times New Roman"/>
          <w:color w:val="FF0000"/>
          <w:kern w:val="0"/>
          <w:u w:val="single"/>
        </w:rPr>
        <w:t>用食管结扎器将牛的食管扎住，防止胃容物流下，污染牛肉；</w:t>
      </w:r>
    </w:p>
    <w:p>
      <w:pPr>
        <w:pStyle w:val="3"/>
        <w:ind w:firstLine="480"/>
        <w:rPr>
          <w:rFonts w:cs="Times New Roman"/>
          <w:color w:val="FF0000"/>
          <w:kern w:val="0"/>
          <w:u w:val="single"/>
        </w:rPr>
      </w:pPr>
      <w:r>
        <w:rPr>
          <w:rFonts w:cs="Times New Roman"/>
          <w:color w:val="FF0000"/>
          <w:kern w:val="0"/>
          <w:u w:val="single"/>
        </w:rPr>
        <w:t>再对牛胴体进行开胸，从牛的胸膛里扒下白内脏，即肠、肚等;再取出红内脏，即心、肝肺等。将取出的内脏清洗后置于屠宰车间的牛肉、内脏挂存处进行暂时挂存。</w:t>
      </w:r>
    </w:p>
    <w:p>
      <w:pPr>
        <w:pStyle w:val="3"/>
        <w:ind w:firstLine="480"/>
        <w:rPr>
          <w:rFonts w:cs="Times New Roman"/>
          <w:color w:val="FF0000"/>
          <w:kern w:val="0"/>
          <w:u w:val="single"/>
        </w:rPr>
      </w:pPr>
      <w:r>
        <w:rPr>
          <w:rFonts w:cs="Times New Roman"/>
          <w:color w:val="FF0000"/>
          <w:kern w:val="0"/>
          <w:u w:val="single"/>
        </w:rPr>
        <w:t>本项目产生的牛内脏等均为立即出厂处理，不会在厂区停留过长时间。</w:t>
      </w:r>
    </w:p>
    <w:p>
      <w:pPr>
        <w:pStyle w:val="3"/>
        <w:ind w:firstLine="480"/>
        <w:rPr>
          <w:rFonts w:cs="Times New Roman"/>
          <w:color w:val="FF0000"/>
          <w:kern w:val="0"/>
          <w:u w:val="single"/>
        </w:rPr>
      </w:pPr>
      <w:r>
        <w:rPr>
          <w:rFonts w:cs="Times New Roman"/>
          <w:color w:val="FF0000"/>
          <w:kern w:val="0"/>
          <w:u w:val="single"/>
        </w:rPr>
        <w:t>（10）清洗</w:t>
      </w:r>
    </w:p>
    <w:p>
      <w:pPr>
        <w:pStyle w:val="3"/>
        <w:ind w:firstLine="480"/>
        <w:rPr>
          <w:rFonts w:cs="Times New Roman"/>
          <w:color w:val="FF0000"/>
          <w:kern w:val="0"/>
          <w:u w:val="single"/>
        </w:rPr>
      </w:pPr>
      <w:r>
        <w:rPr>
          <w:rFonts w:cs="Times New Roman"/>
          <w:color w:val="FF0000"/>
          <w:kern w:val="0"/>
          <w:u w:val="single"/>
        </w:rPr>
        <w:t>对开膛、开边、劈半后的已宰肉牛，采用井水清洗。</w:t>
      </w:r>
    </w:p>
    <w:p>
      <w:pPr>
        <w:pStyle w:val="3"/>
        <w:ind w:firstLine="480"/>
        <w:rPr>
          <w:rFonts w:cs="Times New Roman"/>
          <w:color w:val="FF0000"/>
          <w:kern w:val="0"/>
          <w:u w:val="single"/>
        </w:rPr>
      </w:pPr>
      <w:r>
        <w:rPr>
          <w:rFonts w:cs="Times New Roman"/>
          <w:color w:val="FF0000"/>
          <w:kern w:val="0"/>
          <w:u w:val="single"/>
        </w:rPr>
        <w:t>（11）复检盖章</w:t>
      </w:r>
    </w:p>
    <w:p>
      <w:pPr>
        <w:pStyle w:val="3"/>
        <w:ind w:firstLine="480"/>
        <w:rPr>
          <w:rFonts w:cs="Times New Roman"/>
          <w:color w:val="FF0000"/>
          <w:kern w:val="0"/>
          <w:u w:val="single"/>
        </w:rPr>
      </w:pPr>
      <w:r>
        <w:rPr>
          <w:rFonts w:cs="Times New Roman"/>
          <w:color w:val="FF0000"/>
          <w:kern w:val="0"/>
          <w:u w:val="single"/>
        </w:rPr>
        <w:t>将牛的胴体、内脏等实施同步卫生检验。根据《中华人民共和国动物防疫法》和《</w:t>
      </w:r>
      <w:r>
        <w:rPr>
          <w:rFonts w:hint="eastAsia" w:cs="Times New Roman"/>
          <w:color w:val="FF0000"/>
          <w:kern w:val="0"/>
          <w:u w:val="single"/>
        </w:rPr>
        <w:t>中华人民共和国进出境动植物检疫法</w:t>
      </w:r>
      <w:r>
        <w:rPr>
          <w:rFonts w:cs="Times New Roman"/>
          <w:color w:val="FF0000"/>
          <w:kern w:val="0"/>
          <w:u w:val="single"/>
        </w:rPr>
        <w:t>》中的有关规定，卫生检验后屠体的处理如下：检验合格经盖章后方能交由牛肉供应商作为食品出售；不合格的收集后作无害化处理。</w:t>
      </w:r>
    </w:p>
    <w:p>
      <w:pPr>
        <w:pStyle w:val="3"/>
        <w:ind w:firstLine="480"/>
        <w:rPr>
          <w:rFonts w:cs="Times New Roman"/>
          <w:color w:val="FF0000"/>
          <w:kern w:val="0"/>
          <w:u w:val="single"/>
        </w:rPr>
      </w:pPr>
      <w:r>
        <w:rPr>
          <w:rFonts w:cs="Times New Roman"/>
          <w:color w:val="FF0000"/>
          <w:kern w:val="0"/>
          <w:u w:val="single"/>
        </w:rPr>
        <w:t>（12）分割冷冻或称量上市</w:t>
      </w:r>
    </w:p>
    <w:p>
      <w:pPr>
        <w:pStyle w:val="3"/>
        <w:ind w:firstLine="480"/>
        <w:rPr>
          <w:rFonts w:cs="Times New Roman"/>
          <w:color w:val="FF0000"/>
          <w:kern w:val="0"/>
          <w:u w:val="single"/>
        </w:rPr>
      </w:pPr>
      <w:r>
        <w:rPr>
          <w:rFonts w:cs="Times New Roman"/>
          <w:color w:val="FF0000"/>
          <w:kern w:val="0"/>
          <w:u w:val="single"/>
        </w:rPr>
        <w:t>项目屠宰肉进行复检后，一部分肉分割后于冷库冷藏，另外一部分交由牛肉供应商直接送至市场出售。</w:t>
      </w:r>
    </w:p>
    <w:p>
      <w:pPr>
        <w:pStyle w:val="3"/>
        <w:ind w:firstLine="480"/>
        <w:rPr>
          <w:rFonts w:eastAsiaTheme="minorEastAsia"/>
          <w:color w:val="FF0000"/>
          <w:u w:val="single"/>
        </w:rPr>
      </w:pPr>
      <w:r>
        <w:rPr>
          <w:rFonts w:hint="eastAsia" w:cs="Times New Roman"/>
          <w:color w:val="FF0000"/>
          <w:kern w:val="0"/>
          <w:u w:val="single"/>
        </w:rPr>
        <w:t>2、</w:t>
      </w:r>
      <w:r>
        <w:rPr>
          <w:rFonts w:hint="eastAsia" w:eastAsiaTheme="minorEastAsia"/>
          <w:color w:val="FF0000"/>
          <w:u w:val="single"/>
        </w:rPr>
        <w:t>鸡屠宰工艺流程</w:t>
      </w:r>
    </w:p>
    <w:p>
      <w:pPr>
        <w:pStyle w:val="3"/>
        <w:ind w:firstLine="0" w:firstLineChars="0"/>
        <w:jc w:val="center"/>
        <w:rPr>
          <w:rFonts w:cs="Times New Roman" w:eastAsiaTheme="minorEastAsia"/>
          <w:b/>
        </w:rPr>
      </w:pPr>
      <w:r>
        <w:object>
          <v:shape id="_x0000_i1025" o:spt="75" type="#_x0000_t75" style="height:349.5pt;width:447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r>
        <w:rPr>
          <w:rFonts w:hint="eastAsia" w:cs="Times New Roman" w:eastAsiaTheme="minorEastAsia"/>
          <w:b/>
        </w:rPr>
        <w:t>图 4.2-2  鸡屠宰工艺与产污流程</w:t>
      </w:r>
    </w:p>
    <w:p>
      <w:pPr>
        <w:pStyle w:val="3"/>
        <w:ind w:firstLine="480"/>
        <w:rPr>
          <w:rFonts w:cs="Times New Roman"/>
          <w:kern w:val="0"/>
        </w:rPr>
      </w:pPr>
    </w:p>
    <w:p>
      <w:pPr>
        <w:pStyle w:val="3"/>
        <w:ind w:firstLine="480"/>
        <w:rPr>
          <w:rFonts w:cs="Times New Roman"/>
          <w:color w:val="FF0000"/>
          <w:kern w:val="0"/>
          <w:u w:val="single"/>
        </w:rPr>
      </w:pPr>
      <w:r>
        <w:rPr>
          <w:rFonts w:hint="eastAsia" w:cs="Times New Roman"/>
          <w:color w:val="FF0000"/>
          <w:kern w:val="0"/>
          <w:u w:val="single"/>
        </w:rPr>
        <w:t>工艺流程说明：</w:t>
      </w:r>
    </w:p>
    <w:p>
      <w:pPr>
        <w:pStyle w:val="3"/>
        <w:ind w:firstLine="480"/>
        <w:rPr>
          <w:rFonts w:cs="Times New Roman"/>
          <w:color w:val="FF0000"/>
          <w:kern w:val="0"/>
          <w:u w:val="single"/>
        </w:rPr>
      </w:pPr>
      <w:r>
        <w:rPr>
          <w:rFonts w:hint="eastAsia" w:cs="Times New Roman"/>
          <w:color w:val="FF0000"/>
          <w:kern w:val="0"/>
          <w:u w:val="single"/>
        </w:rPr>
        <w:t>（1）检疫</w:t>
      </w:r>
    </w:p>
    <w:p>
      <w:pPr>
        <w:pStyle w:val="3"/>
        <w:ind w:firstLine="480"/>
        <w:rPr>
          <w:rFonts w:cs="Times New Roman"/>
          <w:color w:val="FF0000"/>
          <w:kern w:val="0"/>
          <w:u w:val="single"/>
        </w:rPr>
      </w:pPr>
      <w:r>
        <w:rPr>
          <w:rFonts w:hint="eastAsia" w:cs="Times New Roman"/>
          <w:color w:val="FF0000"/>
          <w:kern w:val="0"/>
          <w:u w:val="single"/>
        </w:rPr>
        <w:t>进厂前进行宰前检疫，其目的在于控制各种疫病的传入和扩散，减少污染，维护产品质量。宰前检疫主要包括进厂检疫、候宰检查及宰前检疫。</w:t>
      </w:r>
    </w:p>
    <w:p>
      <w:pPr>
        <w:pStyle w:val="3"/>
        <w:ind w:firstLine="480"/>
        <w:rPr>
          <w:rFonts w:cs="Times New Roman"/>
          <w:color w:val="FF0000"/>
          <w:kern w:val="0"/>
          <w:u w:val="single"/>
        </w:rPr>
      </w:pPr>
      <w:r>
        <w:rPr>
          <w:rFonts w:hint="eastAsia" w:cs="Times New Roman"/>
          <w:color w:val="FF0000"/>
          <w:kern w:val="0"/>
          <w:u w:val="single"/>
        </w:rPr>
        <w:t>在鸡装载车未卸车之前，有检疫员对运进鸡鸭进行检疫。直到认为没有可疑疫情时允许卸下。在鸡鸭写入待宰区候宰时随时观察畜禽健康状态，对可疑鸡鸭应做进一步诊断，当确诊疫病时，及时封锁，上报疫情。同时立即采取措施，有厂区内专业人员处理，确保人畜的安全，对不合格病症鸡鸭作无害化处置。</w:t>
      </w:r>
    </w:p>
    <w:p>
      <w:pPr>
        <w:pStyle w:val="3"/>
        <w:ind w:firstLine="480"/>
        <w:rPr>
          <w:rFonts w:cs="Times New Roman"/>
          <w:color w:val="FF0000"/>
          <w:kern w:val="0"/>
          <w:u w:val="single"/>
        </w:rPr>
      </w:pPr>
      <w:r>
        <w:rPr>
          <w:rFonts w:hint="eastAsia" w:cs="Times New Roman"/>
          <w:color w:val="FF0000"/>
          <w:kern w:val="0"/>
          <w:u w:val="single"/>
        </w:rPr>
        <w:t>（2）挂鸡、击晕</w:t>
      </w:r>
    </w:p>
    <w:p>
      <w:pPr>
        <w:pStyle w:val="3"/>
        <w:ind w:firstLine="480"/>
        <w:rPr>
          <w:rFonts w:cs="Times New Roman"/>
          <w:color w:val="FF0000"/>
          <w:kern w:val="0"/>
          <w:u w:val="single"/>
        </w:rPr>
      </w:pPr>
      <w:r>
        <w:rPr>
          <w:rFonts w:hint="eastAsia" w:cs="Times New Roman"/>
          <w:color w:val="FF0000"/>
          <w:kern w:val="0"/>
          <w:u w:val="single"/>
        </w:rPr>
        <w:t>将活禽吊挂在屠宰传送链的吊钩上</w:t>
      </w:r>
      <w:r>
        <w:rPr>
          <w:rFonts w:cs="Times New Roman"/>
          <w:color w:val="FF0000"/>
          <w:kern w:val="0"/>
          <w:u w:val="single"/>
        </w:rPr>
        <w:t>,</w:t>
      </w:r>
      <w:r>
        <w:rPr>
          <w:rFonts w:hint="eastAsia" w:cs="Times New Roman"/>
          <w:color w:val="FF0000"/>
          <w:kern w:val="0"/>
          <w:u w:val="single"/>
        </w:rPr>
        <w:t>被悬吊式高架运输线运至各工序点进行加工。挂鸡时应轻抓轻挂，尽量减少伤禽率。</w:t>
      </w:r>
    </w:p>
    <w:p>
      <w:pPr>
        <w:pStyle w:val="3"/>
        <w:ind w:firstLine="480"/>
        <w:rPr>
          <w:rFonts w:cs="Times New Roman"/>
          <w:color w:val="FF0000"/>
          <w:kern w:val="0"/>
          <w:u w:val="single"/>
        </w:rPr>
      </w:pPr>
      <w:r>
        <w:rPr>
          <w:rFonts w:hint="eastAsia" w:cs="Times New Roman"/>
          <w:color w:val="FF0000"/>
          <w:kern w:val="0"/>
          <w:u w:val="single"/>
        </w:rPr>
        <w:t>（3）电麻致晕、机械宰杀、沥血</w:t>
      </w:r>
    </w:p>
    <w:p>
      <w:pPr>
        <w:pStyle w:val="3"/>
        <w:ind w:firstLine="480"/>
        <w:rPr>
          <w:rFonts w:cs="Times New Roman"/>
          <w:color w:val="FF0000"/>
          <w:kern w:val="0"/>
          <w:u w:val="single"/>
        </w:rPr>
      </w:pPr>
      <w:r>
        <w:rPr>
          <w:rFonts w:hint="eastAsia" w:cs="Times New Roman"/>
          <w:color w:val="FF0000"/>
          <w:kern w:val="0"/>
          <w:u w:val="single"/>
        </w:rPr>
        <w:t>将鸡击昏，处理成昏而不死的状态，击昏电压在</w:t>
      </w:r>
      <w:r>
        <w:rPr>
          <w:rFonts w:cs="Times New Roman"/>
          <w:color w:val="FF0000"/>
          <w:kern w:val="0"/>
          <w:u w:val="single"/>
        </w:rPr>
        <w:t>36~70V</w:t>
      </w:r>
      <w:r>
        <w:rPr>
          <w:rFonts w:hint="eastAsia" w:cs="Times New Roman"/>
          <w:color w:val="FF0000"/>
          <w:kern w:val="0"/>
          <w:u w:val="single"/>
        </w:rPr>
        <w:t>之间。活鸡击昏后在不割断食道和气管的前提下，由机械进行自动宰杀。宰杀后进行沥血，时间为</w:t>
      </w:r>
      <w:r>
        <w:rPr>
          <w:rFonts w:cs="Times New Roman"/>
          <w:color w:val="FF0000"/>
          <w:kern w:val="0"/>
          <w:u w:val="single"/>
        </w:rPr>
        <w:t>2.5-3min</w:t>
      </w:r>
      <w:r>
        <w:rPr>
          <w:rFonts w:hint="eastAsia" w:cs="Times New Roman"/>
          <w:color w:val="FF0000"/>
          <w:kern w:val="0"/>
          <w:u w:val="single"/>
        </w:rPr>
        <w:t>。</w:t>
      </w:r>
    </w:p>
    <w:p>
      <w:pPr>
        <w:pStyle w:val="3"/>
        <w:ind w:firstLine="480"/>
        <w:rPr>
          <w:rFonts w:cs="Times New Roman"/>
          <w:color w:val="FF0000"/>
          <w:kern w:val="0"/>
          <w:u w:val="single"/>
        </w:rPr>
      </w:pPr>
      <w:r>
        <w:rPr>
          <w:rFonts w:hint="eastAsia" w:cs="Times New Roman"/>
          <w:color w:val="FF0000"/>
          <w:kern w:val="0"/>
          <w:u w:val="single"/>
        </w:rPr>
        <w:t>（4）浸烫脱毛</w:t>
      </w:r>
    </w:p>
    <w:p>
      <w:pPr>
        <w:pStyle w:val="3"/>
        <w:ind w:firstLine="480"/>
        <w:rPr>
          <w:rFonts w:cs="Times New Roman"/>
          <w:color w:val="FF0000"/>
          <w:kern w:val="0"/>
          <w:u w:val="single"/>
        </w:rPr>
      </w:pPr>
      <w:r>
        <w:rPr>
          <w:rFonts w:hint="eastAsia" w:cs="Times New Roman"/>
          <w:color w:val="FF0000"/>
          <w:kern w:val="0"/>
          <w:u w:val="single"/>
        </w:rPr>
        <w:t>放血后，鸡体被送往热烫池热烫，热烫温度在</w:t>
      </w:r>
      <w:r>
        <w:rPr>
          <w:rFonts w:cs="Times New Roman"/>
          <w:color w:val="FF0000"/>
          <w:kern w:val="0"/>
          <w:u w:val="single"/>
        </w:rPr>
        <w:t>59-61</w:t>
      </w:r>
      <w:r>
        <w:rPr>
          <w:rFonts w:hint="eastAsia" w:cs="Times New Roman"/>
          <w:color w:val="FF0000"/>
          <w:kern w:val="0"/>
          <w:u w:val="single"/>
        </w:rPr>
        <w:t>℃之间，热烫时间为</w:t>
      </w:r>
      <w:r>
        <w:rPr>
          <w:rFonts w:cs="Times New Roman"/>
          <w:color w:val="FF0000"/>
          <w:kern w:val="0"/>
          <w:u w:val="single"/>
        </w:rPr>
        <w:t>40-90s</w:t>
      </w:r>
      <w:r>
        <w:rPr>
          <w:rFonts w:hint="eastAsia" w:cs="Times New Roman"/>
          <w:color w:val="FF0000"/>
          <w:kern w:val="0"/>
          <w:u w:val="single"/>
        </w:rPr>
        <w:t>之间。保证热烫温度的均匀性。防止烫白和烫不透。鸡体热烫后立即进入脱羽机，脱羽机的位置与热烫池紧挨。由粗脱羽机脱去大毛后，由精脱羽机脱去小毛，鸡体避免损伤。鸡毛脱除后，利用水的流动把其传送到羽毛专储区，收集后经离心脱水后外售。</w:t>
      </w:r>
    </w:p>
    <w:p>
      <w:pPr>
        <w:pStyle w:val="3"/>
        <w:ind w:firstLine="480"/>
        <w:rPr>
          <w:rFonts w:cs="Times New Roman"/>
          <w:color w:val="FF0000"/>
          <w:kern w:val="0"/>
          <w:u w:val="single"/>
        </w:rPr>
      </w:pPr>
      <w:r>
        <w:rPr>
          <w:rFonts w:hint="eastAsia" w:cs="Times New Roman"/>
          <w:color w:val="FF0000"/>
          <w:kern w:val="0"/>
          <w:u w:val="single"/>
        </w:rPr>
        <w:t>（5）鸡屠体清洗</w:t>
      </w:r>
    </w:p>
    <w:p>
      <w:pPr>
        <w:pStyle w:val="3"/>
        <w:ind w:firstLine="480"/>
        <w:rPr>
          <w:rFonts w:cs="Times New Roman"/>
          <w:color w:val="FF0000"/>
          <w:kern w:val="0"/>
          <w:u w:val="single"/>
        </w:rPr>
      </w:pPr>
      <w:r>
        <w:rPr>
          <w:rFonts w:hint="eastAsia" w:cs="Times New Roman"/>
          <w:color w:val="FF0000"/>
          <w:kern w:val="0"/>
          <w:u w:val="single"/>
        </w:rPr>
        <w:t>净毛后的鸡屠体经过水清洗后送至下道工序。</w:t>
      </w:r>
    </w:p>
    <w:p>
      <w:pPr>
        <w:pStyle w:val="3"/>
        <w:ind w:firstLine="480"/>
        <w:rPr>
          <w:rFonts w:cs="Times New Roman"/>
          <w:color w:val="FF0000"/>
          <w:kern w:val="0"/>
          <w:u w:val="single"/>
        </w:rPr>
      </w:pPr>
      <w:r>
        <w:rPr>
          <w:rFonts w:hint="eastAsia" w:cs="Times New Roman"/>
          <w:color w:val="FF0000"/>
          <w:kern w:val="0"/>
          <w:u w:val="single"/>
        </w:rPr>
        <w:t>（6）开膛摘除内脏</w:t>
      </w:r>
    </w:p>
    <w:p>
      <w:pPr>
        <w:pStyle w:val="3"/>
        <w:ind w:firstLine="480"/>
        <w:rPr>
          <w:rFonts w:cs="Times New Roman"/>
          <w:color w:val="FF0000"/>
          <w:kern w:val="0"/>
          <w:u w:val="single"/>
        </w:rPr>
      </w:pPr>
      <w:r>
        <w:rPr>
          <w:rFonts w:hint="eastAsia" w:cs="Times New Roman"/>
          <w:color w:val="FF0000"/>
          <w:kern w:val="0"/>
          <w:u w:val="single"/>
        </w:rPr>
        <w:t>清洗后的鸡体再次挂到吊钩上，用专门工具或手工将鸡体开膛，掏出内脏。</w:t>
      </w:r>
    </w:p>
    <w:p>
      <w:pPr>
        <w:pStyle w:val="3"/>
        <w:ind w:firstLine="480"/>
        <w:rPr>
          <w:rFonts w:cs="Times New Roman"/>
          <w:color w:val="FF0000"/>
          <w:kern w:val="0"/>
          <w:u w:val="single"/>
        </w:rPr>
      </w:pPr>
      <w:r>
        <w:rPr>
          <w:rFonts w:hint="eastAsia" w:cs="Times New Roman"/>
          <w:color w:val="FF0000"/>
          <w:kern w:val="0"/>
          <w:u w:val="single"/>
        </w:rPr>
        <w:t>（7）鸡胴体清洗工序。</w:t>
      </w:r>
    </w:p>
    <w:p>
      <w:pPr>
        <w:pStyle w:val="3"/>
        <w:ind w:firstLine="480"/>
        <w:rPr>
          <w:rFonts w:cs="Times New Roman"/>
          <w:color w:val="FF0000"/>
          <w:kern w:val="0"/>
          <w:u w:val="single"/>
        </w:rPr>
      </w:pPr>
      <w:r>
        <w:rPr>
          <w:rFonts w:hint="eastAsia" w:cs="Times New Roman"/>
          <w:color w:val="FF0000"/>
          <w:kern w:val="0"/>
          <w:u w:val="single"/>
        </w:rPr>
        <w:t>在内脏摘除后，用清水将鸡体内外清洗干净，然后送入预冷区。器具上的血、粪、脂肪等污物，用清水清洗干净并消毒。取出的内脏经分类后清洗干净，并包装后速冻储藏。</w:t>
      </w:r>
    </w:p>
    <w:p>
      <w:pPr>
        <w:pStyle w:val="3"/>
        <w:ind w:firstLine="480"/>
        <w:rPr>
          <w:rFonts w:cs="Times New Roman"/>
          <w:color w:val="FF0000"/>
          <w:kern w:val="0"/>
          <w:u w:val="single"/>
        </w:rPr>
      </w:pPr>
      <w:r>
        <w:rPr>
          <w:rFonts w:hint="eastAsia" w:cs="Times New Roman"/>
          <w:color w:val="FF0000"/>
          <w:kern w:val="0"/>
          <w:u w:val="single"/>
        </w:rPr>
        <w:t>（8）分割包装工序</w:t>
      </w:r>
    </w:p>
    <w:p>
      <w:pPr>
        <w:pStyle w:val="3"/>
        <w:ind w:firstLine="480"/>
        <w:rPr>
          <w:rFonts w:cs="Times New Roman"/>
          <w:color w:val="FF0000"/>
          <w:kern w:val="0"/>
          <w:u w:val="single"/>
        </w:rPr>
      </w:pPr>
      <w:r>
        <w:rPr>
          <w:rFonts w:hint="eastAsia" w:cs="Times New Roman"/>
          <w:color w:val="FF0000"/>
          <w:kern w:val="0"/>
          <w:u w:val="single"/>
        </w:rPr>
        <w:t>经冷却沥干后的鸡体的鸡颈挂上传送链送至下一道工序，进行分割。根据不同的产品需要分割不同的部位，分割产品清晰，部位精准，不偏割，分割时其温度不应超过</w:t>
      </w:r>
      <w:r>
        <w:rPr>
          <w:rFonts w:cs="Times New Roman"/>
          <w:color w:val="FF0000"/>
          <w:kern w:val="0"/>
          <w:u w:val="single"/>
        </w:rPr>
        <w:t>4</w:t>
      </w:r>
      <w:r>
        <w:rPr>
          <w:rFonts w:hint="eastAsia" w:cs="Times New Roman"/>
          <w:color w:val="FF0000"/>
          <w:kern w:val="0"/>
          <w:u w:val="single"/>
        </w:rPr>
        <w:t>℃，然后将产品进行分类、称重包装。将包装内多余空气挤出，分封口，进行低温速冻。</w:t>
      </w:r>
    </w:p>
    <w:p>
      <w:pPr>
        <w:pStyle w:val="3"/>
        <w:ind w:firstLine="480"/>
        <w:rPr>
          <w:rFonts w:cs="Times New Roman"/>
          <w:color w:val="FF0000"/>
          <w:kern w:val="0"/>
          <w:u w:val="single"/>
        </w:rPr>
      </w:pPr>
      <w:r>
        <w:rPr>
          <w:rFonts w:hint="eastAsia" w:cs="Times New Roman"/>
          <w:color w:val="FF0000"/>
          <w:kern w:val="0"/>
          <w:u w:val="single"/>
        </w:rPr>
        <w:t>3、鸭屠宰工艺流程</w:t>
      </w:r>
    </w:p>
    <w:p>
      <w:pPr>
        <w:pStyle w:val="3"/>
        <w:ind w:firstLine="0" w:firstLineChars="0"/>
        <w:jc w:val="center"/>
        <w:rPr>
          <w:rFonts w:cs="Times New Roman" w:eastAsiaTheme="minorEastAsia"/>
          <w:b/>
        </w:rPr>
      </w:pPr>
      <w:r>
        <w:object>
          <v:shape id="_x0000_i1026" o:spt="75" type="#_x0000_t75" style="height:341.25pt;width:447.75pt;" o:ole="t" filled="f" o:preferrelative="t" stroked="f" coordsize="21600,21600">
            <v:path/>
            <v:fill on="f" focussize="0,0"/>
            <v:stroke on="f" joinstyle="miter"/>
            <v:imagedata r:id="rId19" o:title=""/>
            <o:lock v:ext="edit" aspectratio="t"/>
            <w10:wrap type="none"/>
            <w10:anchorlock/>
          </v:shape>
          <o:OLEObject Type="Embed" ProgID="Visio.Drawing.11" ShapeID="_x0000_i1026" DrawAspect="Content" ObjectID="_1468075726" r:id="rId18">
            <o:LockedField>false</o:LockedField>
          </o:OLEObject>
        </w:object>
      </w:r>
      <w:r>
        <w:rPr>
          <w:rFonts w:hint="eastAsia" w:cs="Times New Roman" w:eastAsiaTheme="minorEastAsia"/>
          <w:b/>
        </w:rPr>
        <w:t>图 4.2-3  鸭屠宰工艺与产污流程</w:t>
      </w:r>
    </w:p>
    <w:p>
      <w:pPr>
        <w:pStyle w:val="3"/>
        <w:ind w:firstLine="480"/>
        <w:rPr>
          <w:rFonts w:cs="Times New Roman"/>
          <w:color w:val="FF0000"/>
          <w:kern w:val="0"/>
          <w:u w:val="single"/>
        </w:rPr>
      </w:pPr>
      <w:r>
        <w:rPr>
          <w:rFonts w:hint="eastAsia" w:cs="Times New Roman"/>
          <w:color w:val="FF0000"/>
          <w:kern w:val="0"/>
          <w:u w:val="single"/>
        </w:rPr>
        <w:t>工艺流程说明：</w:t>
      </w:r>
    </w:p>
    <w:p>
      <w:pPr>
        <w:pStyle w:val="3"/>
        <w:ind w:firstLine="480"/>
        <w:rPr>
          <w:rFonts w:cs="Times New Roman"/>
          <w:color w:val="FF0000"/>
          <w:kern w:val="0"/>
          <w:u w:val="single"/>
        </w:rPr>
      </w:pPr>
      <w:r>
        <w:rPr>
          <w:rFonts w:hint="eastAsia" w:cs="Times New Roman"/>
          <w:color w:val="FF0000"/>
          <w:kern w:val="0"/>
          <w:u w:val="single"/>
        </w:rPr>
        <w:t>（1）检疫</w:t>
      </w:r>
    </w:p>
    <w:p>
      <w:pPr>
        <w:pStyle w:val="3"/>
        <w:ind w:firstLine="480"/>
        <w:rPr>
          <w:rFonts w:cs="Times New Roman"/>
          <w:color w:val="FF0000"/>
          <w:kern w:val="0"/>
          <w:u w:val="single"/>
        </w:rPr>
      </w:pPr>
      <w:r>
        <w:rPr>
          <w:rFonts w:hint="eastAsia" w:cs="Times New Roman"/>
          <w:color w:val="FF0000"/>
          <w:kern w:val="0"/>
          <w:u w:val="single"/>
        </w:rPr>
        <w:t>进厂前进行宰前检疫，其目的在于控制各种疫病的传入和扩散，减少污染，维护产品质量。宰前检疫主要包括进厂检疫、候宰检查及宰前检疫。</w:t>
      </w:r>
    </w:p>
    <w:p>
      <w:pPr>
        <w:pStyle w:val="3"/>
        <w:ind w:firstLine="480"/>
        <w:rPr>
          <w:rFonts w:cs="Times New Roman"/>
          <w:color w:val="FF0000"/>
          <w:kern w:val="0"/>
          <w:u w:val="single"/>
        </w:rPr>
      </w:pPr>
      <w:r>
        <w:rPr>
          <w:rFonts w:hint="eastAsia" w:cs="Times New Roman"/>
          <w:color w:val="FF0000"/>
          <w:kern w:val="0"/>
          <w:u w:val="single"/>
        </w:rPr>
        <w:t>在鸡鸭装载车未卸车之前，有检疫员对运进鸡鸭进行检疫。直到认为没有可疑疫情时允许卸下。在鸡鸭写入待宰区候宰时随时观察畜禽健康状态，对可疑鸡鸭应做进一步诊断，当确诊疫病时，及时封锁，上报疫情。同时立即采取措施，有厂区内专业人员处理，确保人畜的安全，对不合格病症鸡鸭作无害化处置。</w:t>
      </w:r>
    </w:p>
    <w:p>
      <w:pPr>
        <w:pStyle w:val="3"/>
        <w:ind w:firstLine="480"/>
        <w:rPr>
          <w:rFonts w:cs="Times New Roman"/>
          <w:color w:val="FF0000"/>
          <w:kern w:val="0"/>
          <w:u w:val="single"/>
        </w:rPr>
      </w:pPr>
      <w:r>
        <w:rPr>
          <w:rFonts w:hint="eastAsia" w:cs="Times New Roman"/>
          <w:color w:val="FF0000"/>
          <w:kern w:val="0"/>
          <w:u w:val="single"/>
        </w:rPr>
        <w:t>（2）挂活禽、击晕</w:t>
      </w:r>
    </w:p>
    <w:p>
      <w:pPr>
        <w:pStyle w:val="3"/>
        <w:ind w:firstLine="480"/>
        <w:rPr>
          <w:rFonts w:cs="Times New Roman"/>
          <w:color w:val="FF0000"/>
          <w:kern w:val="0"/>
          <w:u w:val="single"/>
        </w:rPr>
      </w:pPr>
      <w:r>
        <w:rPr>
          <w:rFonts w:hint="eastAsia" w:cs="Times New Roman"/>
          <w:color w:val="FF0000"/>
          <w:kern w:val="0"/>
          <w:u w:val="single"/>
        </w:rPr>
        <w:t>将活禽吊挂在屠宰传送链的吊钩上，被悬吊式高架运输线运至各工序点进行加工。</w:t>
      </w:r>
    </w:p>
    <w:p>
      <w:pPr>
        <w:pStyle w:val="3"/>
        <w:ind w:firstLine="480"/>
        <w:rPr>
          <w:rFonts w:cs="Times New Roman"/>
          <w:color w:val="FF0000"/>
          <w:kern w:val="0"/>
          <w:u w:val="single"/>
        </w:rPr>
      </w:pPr>
      <w:r>
        <w:rPr>
          <w:rFonts w:hint="eastAsia" w:cs="Times New Roman"/>
          <w:color w:val="FF0000"/>
          <w:kern w:val="0"/>
          <w:u w:val="single"/>
        </w:rPr>
        <w:t>（3）电麻致晕、机械宰杀、沥血</w:t>
      </w:r>
    </w:p>
    <w:p>
      <w:pPr>
        <w:pStyle w:val="3"/>
        <w:ind w:firstLine="480"/>
        <w:rPr>
          <w:rFonts w:cs="Times New Roman"/>
          <w:color w:val="FF0000"/>
          <w:kern w:val="0"/>
          <w:u w:val="single"/>
        </w:rPr>
      </w:pPr>
      <w:r>
        <w:rPr>
          <w:rFonts w:hint="eastAsia" w:cs="Times New Roman"/>
          <w:color w:val="FF0000"/>
          <w:kern w:val="0"/>
          <w:u w:val="single"/>
        </w:rPr>
        <w:t>挂鸭时应轻抓轻挂，尽量减少伤禽率。将鸭击昏，处理成昏而不死的状态，击昏电压在</w:t>
      </w:r>
      <w:r>
        <w:rPr>
          <w:rFonts w:cs="Times New Roman"/>
          <w:color w:val="FF0000"/>
          <w:kern w:val="0"/>
          <w:u w:val="single"/>
        </w:rPr>
        <w:t>36~70V</w:t>
      </w:r>
      <w:r>
        <w:rPr>
          <w:rFonts w:hint="eastAsia" w:cs="Times New Roman"/>
          <w:color w:val="FF0000"/>
          <w:kern w:val="0"/>
          <w:u w:val="single"/>
        </w:rPr>
        <w:t>之间。活鸭击昏后在不割断食道和气管的前提下，由机械进行自动宰杀。宰杀后进行沥血，时间为</w:t>
      </w:r>
      <w:r>
        <w:rPr>
          <w:rFonts w:cs="Times New Roman"/>
          <w:color w:val="FF0000"/>
          <w:kern w:val="0"/>
          <w:u w:val="single"/>
        </w:rPr>
        <w:t>2.5-3min</w:t>
      </w:r>
      <w:r>
        <w:rPr>
          <w:rFonts w:hint="eastAsia" w:cs="Times New Roman"/>
          <w:color w:val="FF0000"/>
          <w:kern w:val="0"/>
          <w:u w:val="single"/>
        </w:rPr>
        <w:t>。</w:t>
      </w:r>
    </w:p>
    <w:p>
      <w:pPr>
        <w:pStyle w:val="3"/>
        <w:ind w:firstLine="480"/>
        <w:rPr>
          <w:rFonts w:cs="Times New Roman"/>
          <w:color w:val="FF0000"/>
          <w:kern w:val="0"/>
          <w:u w:val="single"/>
        </w:rPr>
      </w:pPr>
      <w:r>
        <w:rPr>
          <w:rFonts w:hint="eastAsia" w:cs="Times New Roman"/>
          <w:color w:val="FF0000"/>
          <w:kern w:val="0"/>
          <w:u w:val="single"/>
        </w:rPr>
        <w:t>（4）浸烫、脱毛、冲洗</w:t>
      </w:r>
    </w:p>
    <w:p>
      <w:pPr>
        <w:pStyle w:val="3"/>
        <w:ind w:firstLine="480"/>
        <w:rPr>
          <w:rFonts w:cs="Times New Roman"/>
          <w:color w:val="FF0000"/>
          <w:kern w:val="0"/>
          <w:u w:val="single"/>
        </w:rPr>
      </w:pPr>
      <w:r>
        <w:rPr>
          <w:rFonts w:hint="eastAsia" w:cs="Times New Roman"/>
          <w:color w:val="FF0000"/>
          <w:kern w:val="0"/>
          <w:u w:val="single"/>
        </w:rPr>
        <w:t>放血后，鸭体被送往热烫池热烫，热烫温度在</w:t>
      </w:r>
      <w:r>
        <w:rPr>
          <w:rFonts w:cs="Times New Roman"/>
          <w:color w:val="FF0000"/>
          <w:kern w:val="0"/>
          <w:u w:val="single"/>
        </w:rPr>
        <w:t>58--60</w:t>
      </w:r>
      <w:r>
        <w:rPr>
          <w:rFonts w:hint="eastAsia" w:cs="Times New Roman"/>
          <w:color w:val="FF0000"/>
          <w:kern w:val="0"/>
          <w:u w:val="single"/>
        </w:rPr>
        <w:t>℃之间，热烫时间为</w:t>
      </w:r>
      <w:r>
        <w:rPr>
          <w:rFonts w:cs="Times New Roman"/>
          <w:color w:val="FF0000"/>
          <w:kern w:val="0"/>
          <w:u w:val="single"/>
        </w:rPr>
        <w:t>40--90s</w:t>
      </w:r>
      <w:r>
        <w:rPr>
          <w:rFonts w:hint="eastAsia" w:cs="Times New Roman"/>
          <w:color w:val="FF0000"/>
          <w:kern w:val="0"/>
          <w:u w:val="single"/>
        </w:rPr>
        <w:t>之间。保证热烫温度的均匀性。防止烫白和烫不透。鸭体热燙后立即进入脱羽机，脱羽机的位置与热烫池紧挨。由粗脱羽机脱去大毛后，由精脱羽机脱去小毛，鸭体避免损伤。鸭毛脱除后，利用水的流动把其传送到羽毛专储区，收集后经离心脱水后外售。</w:t>
      </w:r>
    </w:p>
    <w:p>
      <w:pPr>
        <w:pStyle w:val="3"/>
        <w:ind w:firstLine="480"/>
        <w:rPr>
          <w:rFonts w:cs="Times New Roman"/>
          <w:color w:val="FF0000"/>
          <w:kern w:val="0"/>
          <w:u w:val="single"/>
        </w:rPr>
      </w:pPr>
      <w:r>
        <w:rPr>
          <w:rFonts w:hint="eastAsia" w:cs="Times New Roman"/>
          <w:color w:val="FF0000"/>
          <w:kern w:val="0"/>
          <w:u w:val="single"/>
        </w:rPr>
        <w:t>（5）蜡脱毛、人工净小毛</w:t>
      </w:r>
    </w:p>
    <w:p>
      <w:pPr>
        <w:pStyle w:val="3"/>
        <w:ind w:firstLine="480"/>
        <w:rPr>
          <w:rFonts w:cs="Times New Roman"/>
          <w:color w:val="FF0000"/>
          <w:kern w:val="0"/>
          <w:u w:val="single"/>
        </w:rPr>
      </w:pPr>
      <w:r>
        <w:rPr>
          <w:rFonts w:hint="eastAsia" w:cs="Times New Roman"/>
          <w:color w:val="FF0000"/>
          <w:kern w:val="0"/>
          <w:u w:val="single"/>
        </w:rPr>
        <w:t>由于鸭身上的绒毛很难在机械脱毛工序脱净，因此需要将机械脱毛的鸭体送至融蜡池中将其浸入融化的蜡中，挂蜡的鸭体在空气中冷却后通过人工将鸭体外面包裹的蜡膜扯下，扯下的蜡膜送至融蜡池中融化，蜡融化后鸭绒毛漂浮在液体蜡表面，将其捞出后压滤运出。</w:t>
      </w:r>
    </w:p>
    <w:p>
      <w:pPr>
        <w:pStyle w:val="3"/>
        <w:ind w:firstLine="480"/>
        <w:rPr>
          <w:rFonts w:cs="Times New Roman"/>
          <w:color w:val="FF0000"/>
          <w:kern w:val="0"/>
          <w:u w:val="single"/>
        </w:rPr>
      </w:pPr>
      <w:r>
        <w:rPr>
          <w:rFonts w:hint="eastAsia" w:cs="Times New Roman"/>
          <w:color w:val="FF0000"/>
          <w:kern w:val="0"/>
          <w:u w:val="single"/>
        </w:rPr>
        <w:t>经蜡脱毛后的鸭体进入人工净小毛工序。脱毛后的鸭体送至长长的水槽中，通过人工将鸭体上未脱净的小毛拔去。</w:t>
      </w:r>
    </w:p>
    <w:p>
      <w:pPr>
        <w:pStyle w:val="3"/>
        <w:ind w:firstLine="480"/>
        <w:rPr>
          <w:rFonts w:cs="Times New Roman"/>
          <w:color w:val="FF0000"/>
          <w:kern w:val="0"/>
          <w:u w:val="single"/>
        </w:rPr>
      </w:pPr>
      <w:r>
        <w:rPr>
          <w:rFonts w:hint="eastAsia" w:cs="Times New Roman"/>
          <w:color w:val="FF0000"/>
          <w:kern w:val="0"/>
          <w:u w:val="single"/>
        </w:rPr>
        <w:t>（6）鸭屠体清洗</w:t>
      </w:r>
    </w:p>
    <w:p>
      <w:pPr>
        <w:pStyle w:val="3"/>
        <w:ind w:firstLine="480"/>
        <w:rPr>
          <w:rFonts w:cs="Times New Roman"/>
          <w:color w:val="FF0000"/>
          <w:kern w:val="0"/>
          <w:u w:val="single"/>
        </w:rPr>
      </w:pPr>
      <w:r>
        <w:rPr>
          <w:rFonts w:hint="eastAsia" w:cs="Times New Roman"/>
          <w:color w:val="FF0000"/>
          <w:kern w:val="0"/>
          <w:u w:val="single"/>
        </w:rPr>
        <w:t>净毛后的鸭屠体经过水清洗后送至下道工序。</w:t>
      </w:r>
    </w:p>
    <w:p>
      <w:pPr>
        <w:pStyle w:val="3"/>
        <w:ind w:firstLine="480"/>
        <w:rPr>
          <w:rFonts w:cs="Times New Roman"/>
          <w:color w:val="FF0000"/>
          <w:kern w:val="0"/>
          <w:u w:val="single"/>
        </w:rPr>
      </w:pPr>
      <w:r>
        <w:rPr>
          <w:rFonts w:hint="eastAsia" w:cs="Times New Roman"/>
          <w:color w:val="FF0000"/>
          <w:kern w:val="0"/>
          <w:u w:val="single"/>
        </w:rPr>
        <w:t>（7）开膛摘除内脏</w:t>
      </w:r>
    </w:p>
    <w:p>
      <w:pPr>
        <w:pStyle w:val="3"/>
        <w:ind w:firstLine="480"/>
        <w:rPr>
          <w:rFonts w:cs="Times New Roman"/>
          <w:color w:val="FF0000"/>
          <w:kern w:val="0"/>
          <w:u w:val="single"/>
        </w:rPr>
      </w:pPr>
      <w:r>
        <w:rPr>
          <w:rFonts w:hint="eastAsia" w:cs="Times New Roman"/>
          <w:color w:val="FF0000"/>
          <w:kern w:val="0"/>
          <w:u w:val="single"/>
        </w:rPr>
        <w:t>清洗后的鸭体再次挂到吊钩上，用专门工具或手工将鸭体开膛，掏出内脏。</w:t>
      </w:r>
    </w:p>
    <w:p>
      <w:pPr>
        <w:pStyle w:val="3"/>
        <w:ind w:firstLine="480"/>
        <w:rPr>
          <w:rFonts w:cs="Times New Roman"/>
          <w:color w:val="FF0000"/>
          <w:kern w:val="0"/>
          <w:u w:val="single"/>
        </w:rPr>
      </w:pPr>
      <w:r>
        <w:rPr>
          <w:rFonts w:hint="eastAsia" w:cs="Times New Roman"/>
          <w:color w:val="FF0000"/>
          <w:kern w:val="0"/>
          <w:u w:val="single"/>
        </w:rPr>
        <w:t>（8）鸭胴体清洗工序。</w:t>
      </w:r>
    </w:p>
    <w:p>
      <w:pPr>
        <w:pStyle w:val="3"/>
        <w:ind w:firstLine="480"/>
        <w:rPr>
          <w:rFonts w:cs="Times New Roman"/>
          <w:color w:val="FF0000"/>
          <w:kern w:val="0"/>
          <w:u w:val="single"/>
        </w:rPr>
      </w:pPr>
      <w:r>
        <w:rPr>
          <w:rFonts w:hint="eastAsia" w:cs="Times New Roman"/>
          <w:color w:val="FF0000"/>
          <w:kern w:val="0"/>
          <w:u w:val="single"/>
        </w:rPr>
        <w:t>在内脏摘除后，用清水将鸭体内外清洗干净，然后送入预冷区。器具上的血、粪、脂肪等污物，用清水清洗干净并消毒。取出的内脏经分类后清洗干净，并包装后速冻储藏。</w:t>
      </w:r>
    </w:p>
    <w:p>
      <w:pPr>
        <w:pStyle w:val="3"/>
        <w:ind w:firstLine="480"/>
        <w:rPr>
          <w:rFonts w:cs="Times New Roman"/>
          <w:color w:val="FF0000"/>
          <w:kern w:val="0"/>
          <w:u w:val="single"/>
        </w:rPr>
      </w:pPr>
      <w:r>
        <w:rPr>
          <w:rFonts w:hint="eastAsia" w:cs="Times New Roman"/>
          <w:color w:val="FF0000"/>
          <w:kern w:val="0"/>
          <w:u w:val="single"/>
        </w:rPr>
        <w:t>（9）分割包装工序</w:t>
      </w:r>
    </w:p>
    <w:p>
      <w:pPr>
        <w:pStyle w:val="3"/>
        <w:ind w:firstLine="480"/>
        <w:rPr>
          <w:rFonts w:cs="Times New Roman"/>
          <w:color w:val="FF0000"/>
          <w:kern w:val="0"/>
          <w:u w:val="single"/>
        </w:rPr>
      </w:pPr>
      <w:r>
        <w:rPr>
          <w:rFonts w:hint="eastAsia" w:cs="Times New Roman"/>
          <w:color w:val="FF0000"/>
          <w:kern w:val="0"/>
          <w:u w:val="single"/>
        </w:rPr>
        <w:t>经冷却沥干后的鸭体，将鸭颈挂。上传送链送至下一道工序，进行分割。分割工序主要将鸭舌、鸭翅和鸭掌割下，然后将产品（鸭舌、鸭翅、鸭掌和分割后的鸭体）进行分类、称重包装。将包装内多余空气挤出，分封口，进行低温速冻。</w:t>
      </w:r>
    </w:p>
    <w:p>
      <w:pPr>
        <w:pStyle w:val="3"/>
        <w:ind w:firstLine="0" w:firstLineChars="0"/>
        <w:outlineLvl w:val="2"/>
      </w:pPr>
      <w:r>
        <w:rPr>
          <w:rFonts w:hint="eastAsia"/>
        </w:rPr>
        <w:t>4.2.2</w:t>
      </w:r>
      <w:r>
        <w:rPr>
          <w:rFonts w:hint="eastAsia" w:eastAsia="黑体" w:cstheme="majorBidi"/>
          <w:bCs/>
          <w:szCs w:val="32"/>
        </w:rPr>
        <w:tab/>
      </w:r>
      <w:r>
        <w:rPr>
          <w:rFonts w:hint="eastAsia" w:eastAsia="黑体" w:cstheme="majorBidi"/>
          <w:bCs/>
          <w:szCs w:val="32"/>
        </w:rPr>
        <w:t>相关平衡分析</w:t>
      </w:r>
    </w:p>
    <w:p>
      <w:pPr>
        <w:pStyle w:val="3"/>
        <w:ind w:firstLine="0" w:firstLineChars="0"/>
        <w:outlineLvl w:val="3"/>
        <w:rPr>
          <w:rFonts w:eastAsia="黑体" w:cstheme="majorBidi"/>
          <w:bCs/>
          <w:szCs w:val="32"/>
        </w:rPr>
      </w:pPr>
      <w:r>
        <w:rPr>
          <w:rFonts w:hint="eastAsia" w:eastAsia="黑体" w:cstheme="majorBidi"/>
          <w:bCs/>
          <w:szCs w:val="32"/>
        </w:rPr>
        <w:t>4.2.2.1 物料平衡分析</w:t>
      </w:r>
    </w:p>
    <w:p>
      <w:pPr>
        <w:pStyle w:val="3"/>
        <w:ind w:firstLine="480"/>
        <w:rPr>
          <w:rFonts w:cs="Times New Roman"/>
          <w:kern w:val="0"/>
        </w:rPr>
      </w:pPr>
      <w:r>
        <w:rPr>
          <w:rFonts w:hint="eastAsia" w:cs="Times New Roman"/>
          <w:kern w:val="0"/>
        </w:rPr>
        <w:t>本项目肉牛采用半机械化屠宰生产线，根据</w:t>
      </w:r>
      <w:r>
        <w:rPr>
          <w:rFonts w:hint="eastAsia" w:cs="Times New Roman"/>
        </w:rPr>
        <w:t>《污许可证申请与核发技术规范农副食品加工工业—屠宰及肉类加工工业》</w:t>
      </w:r>
      <w:r>
        <w:rPr>
          <w:rFonts w:cs="Times New Roman"/>
        </w:rPr>
        <w:t>(HJ860.3-2018)</w:t>
      </w:r>
      <w:r>
        <w:rPr>
          <w:rFonts w:hint="eastAsia" w:cs="Times New Roman"/>
        </w:rPr>
        <w:t>，肉牛质量按</w:t>
      </w:r>
      <w:r>
        <w:rPr>
          <w:rFonts w:cs="Times New Roman"/>
        </w:rPr>
        <w:t>500kg/</w:t>
      </w:r>
      <w:r>
        <w:rPr>
          <w:rFonts w:hint="eastAsia" w:cs="Times New Roman"/>
        </w:rPr>
        <w:t>头计。</w:t>
      </w:r>
    </w:p>
    <w:p>
      <w:pPr>
        <w:pStyle w:val="3"/>
        <w:ind w:firstLine="480"/>
        <w:rPr>
          <w:rFonts w:cs="Times New Roman"/>
          <w:kern w:val="0"/>
        </w:rPr>
      </w:pPr>
      <w:r>
        <w:rPr>
          <w:rFonts w:hint="eastAsia" w:cs="Times New Roman"/>
          <w:kern w:val="0"/>
        </w:rPr>
        <w:t>禽类屠宰采用全自动化生产线，根据生态环境部发布的《</w:t>
      </w:r>
      <w:r>
        <w:rPr>
          <w:rFonts w:cs="Times New Roman"/>
          <w:kern w:val="0"/>
        </w:rPr>
        <w:t xml:space="preserve">135 </w:t>
      </w:r>
      <w:r>
        <w:rPr>
          <w:rFonts w:hint="eastAsia" w:cs="Times New Roman"/>
          <w:kern w:val="0"/>
        </w:rPr>
        <w:t>屠宰及肉类加工行业系数手册》、《排污许可证申请与核发技术规范农副食品加工工业—屠宰及肉类加工工业》（</w:t>
      </w:r>
      <w:r>
        <w:rPr>
          <w:rFonts w:cs="Times New Roman"/>
          <w:kern w:val="0"/>
        </w:rPr>
        <w:t>HJ860.3-2018</w:t>
      </w:r>
      <w:r>
        <w:rPr>
          <w:rFonts w:hint="eastAsia" w:cs="Times New Roman"/>
          <w:kern w:val="0"/>
        </w:rPr>
        <w:t>），</w:t>
      </w:r>
      <w:r>
        <w:rPr>
          <w:rFonts w:hint="eastAsia" w:cs="Times New Roman"/>
        </w:rPr>
        <w:t>鸡活屠重</w:t>
      </w:r>
      <w:r>
        <w:rPr>
          <w:rFonts w:cs="Times New Roman"/>
        </w:rPr>
        <w:t>1.75 kg/</w:t>
      </w:r>
      <w:r>
        <w:rPr>
          <w:rFonts w:hint="eastAsia" w:cs="Times New Roman"/>
        </w:rPr>
        <w:t>只计算，</w:t>
      </w:r>
      <w:r>
        <w:rPr>
          <w:rFonts w:hint="eastAsia" w:cs="Times New Roman"/>
          <w:kern w:val="0"/>
        </w:rPr>
        <w:t>鸭活屠重按</w:t>
      </w:r>
      <w:r>
        <w:rPr>
          <w:rFonts w:cs="Times New Roman"/>
          <w:kern w:val="0"/>
        </w:rPr>
        <w:t>2.5kg/</w:t>
      </w:r>
      <w:r>
        <w:rPr>
          <w:rFonts w:hint="eastAsia" w:cs="Times New Roman"/>
          <w:kern w:val="0"/>
        </w:rPr>
        <w:t>只计算。</w:t>
      </w:r>
    </w:p>
    <w:p>
      <w:pPr>
        <w:pStyle w:val="3"/>
        <w:spacing w:line="240" w:lineRule="auto"/>
        <w:ind w:firstLine="0" w:firstLineChars="0"/>
        <w:jc w:val="center"/>
        <w:rPr>
          <w:rFonts w:cs="Times New Roman" w:eastAsiaTheme="minorEastAsia"/>
          <w:b/>
        </w:rPr>
      </w:pPr>
      <w:r>
        <w:rPr>
          <w:rFonts w:hint="eastAsia" w:cs="Times New Roman" w:eastAsiaTheme="minorEastAsia"/>
          <w:b/>
        </w:rPr>
        <w:t>表4.2-1  活屠重宰杀计算比例</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8"/>
        <w:gridCol w:w="4537"/>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序号</w:t>
            </w:r>
          </w:p>
        </w:tc>
        <w:tc>
          <w:tcPr>
            <w:tcW w:w="849" w:type="pct"/>
            <w:vAlign w:val="center"/>
          </w:tcPr>
          <w:p>
            <w:pPr>
              <w:pStyle w:val="49"/>
              <w:rPr>
                <w:kern w:val="0"/>
              </w:rPr>
            </w:pPr>
            <w:r>
              <w:rPr>
                <w:rFonts w:hint="eastAsia"/>
                <w:kern w:val="0"/>
              </w:rPr>
              <w:t>项目</w:t>
            </w:r>
          </w:p>
        </w:tc>
        <w:tc>
          <w:tcPr>
            <w:tcW w:w="2473" w:type="pct"/>
            <w:vAlign w:val="center"/>
          </w:tcPr>
          <w:p>
            <w:pPr>
              <w:pStyle w:val="49"/>
              <w:rPr>
                <w:kern w:val="0"/>
              </w:rPr>
            </w:pPr>
            <w:r>
              <w:rPr>
                <w:rFonts w:hint="eastAsia"/>
                <w:kern w:val="0"/>
              </w:rPr>
              <w:t>名称</w:t>
            </w:r>
          </w:p>
        </w:tc>
        <w:tc>
          <w:tcPr>
            <w:tcW w:w="1155" w:type="pct"/>
            <w:vAlign w:val="center"/>
          </w:tcPr>
          <w:p>
            <w:pPr>
              <w:pStyle w:val="49"/>
              <w:rPr>
                <w:kern w:val="0"/>
              </w:rPr>
            </w:pPr>
            <w:r>
              <w:rPr>
                <w:rFonts w:hint="eastAsia"/>
                <w:kern w:val="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w:t>
            </w:r>
          </w:p>
        </w:tc>
        <w:tc>
          <w:tcPr>
            <w:tcW w:w="849" w:type="pct"/>
            <w:vMerge w:val="restart"/>
            <w:vAlign w:val="center"/>
          </w:tcPr>
          <w:p>
            <w:pPr>
              <w:pStyle w:val="49"/>
              <w:rPr>
                <w:kern w:val="0"/>
              </w:rPr>
            </w:pPr>
            <w:r>
              <w:rPr>
                <w:rFonts w:hint="eastAsia"/>
                <w:kern w:val="0"/>
              </w:rPr>
              <w:t>肉牛</w:t>
            </w:r>
          </w:p>
        </w:tc>
        <w:tc>
          <w:tcPr>
            <w:tcW w:w="2473" w:type="pct"/>
            <w:vAlign w:val="center"/>
          </w:tcPr>
          <w:p>
            <w:pPr>
              <w:pStyle w:val="49"/>
              <w:rPr>
                <w:kern w:val="0"/>
              </w:rPr>
            </w:pPr>
            <w:r>
              <w:rPr>
                <w:rFonts w:hint="eastAsia"/>
                <w:kern w:val="0"/>
              </w:rPr>
              <w:t>牛肉</w:t>
            </w:r>
          </w:p>
        </w:tc>
        <w:tc>
          <w:tcPr>
            <w:tcW w:w="1155" w:type="pct"/>
            <w:vAlign w:val="center"/>
          </w:tcPr>
          <w:p>
            <w:pPr>
              <w:pStyle w:val="49"/>
              <w:rPr>
                <w:kern w:val="0"/>
              </w:rPr>
            </w:pPr>
            <w:r>
              <w:rPr>
                <w:rFonts w:hint="eastAsia"/>
                <w:kern w:val="0"/>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2</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头、尾、蹄、骨、内脏</w:t>
            </w:r>
          </w:p>
        </w:tc>
        <w:tc>
          <w:tcPr>
            <w:tcW w:w="1155" w:type="pct"/>
            <w:vAlign w:val="center"/>
          </w:tcPr>
          <w:p>
            <w:pPr>
              <w:pStyle w:val="49"/>
              <w:rPr>
                <w:kern w:val="0"/>
              </w:rPr>
            </w:pPr>
            <w:r>
              <w:rPr>
                <w:rFonts w:hint="eastAsia"/>
                <w:kern w:val="0"/>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3</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牛血、牛皮</w:t>
            </w:r>
          </w:p>
        </w:tc>
        <w:tc>
          <w:tcPr>
            <w:tcW w:w="1155" w:type="pct"/>
            <w:vAlign w:val="center"/>
          </w:tcPr>
          <w:p>
            <w:pPr>
              <w:pStyle w:val="49"/>
              <w:rPr>
                <w:kern w:val="0"/>
              </w:rPr>
            </w:pPr>
            <w:r>
              <w:rPr>
                <w:rFonts w:hint="eastAsia"/>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23" w:type="pct"/>
            <w:vAlign w:val="center"/>
          </w:tcPr>
          <w:p>
            <w:pPr>
              <w:pStyle w:val="49"/>
              <w:rPr>
                <w:kern w:val="0"/>
              </w:rPr>
            </w:pPr>
            <w:r>
              <w:rPr>
                <w:rFonts w:hint="eastAsia"/>
                <w:kern w:val="0"/>
              </w:rPr>
              <w:t>4</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粪便</w:t>
            </w:r>
          </w:p>
        </w:tc>
        <w:tc>
          <w:tcPr>
            <w:tcW w:w="1155" w:type="pct"/>
            <w:vAlign w:val="center"/>
          </w:tcPr>
          <w:p>
            <w:pPr>
              <w:pStyle w:val="49"/>
              <w:rPr>
                <w:kern w:val="0"/>
              </w:rPr>
            </w:pPr>
            <w:r>
              <w:rPr>
                <w:rFonts w:hint="eastAsia"/>
                <w:kern w:val="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5</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屠宰废弃物</w:t>
            </w:r>
          </w:p>
        </w:tc>
        <w:tc>
          <w:tcPr>
            <w:tcW w:w="1155" w:type="pct"/>
            <w:vAlign w:val="center"/>
          </w:tcPr>
          <w:p>
            <w:pPr>
              <w:pStyle w:val="49"/>
              <w:rPr>
                <w:kern w:val="0"/>
              </w:rPr>
            </w:pPr>
            <w:r>
              <w:rPr>
                <w:rFonts w:hint="eastAsia"/>
                <w:kern w:val="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6</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内脏容物</w:t>
            </w:r>
          </w:p>
        </w:tc>
        <w:tc>
          <w:tcPr>
            <w:tcW w:w="1155" w:type="pct"/>
            <w:vAlign w:val="center"/>
          </w:tcPr>
          <w:p>
            <w:pPr>
              <w:pStyle w:val="49"/>
              <w:rPr>
                <w:kern w:val="0"/>
              </w:rPr>
            </w:pPr>
            <w:r>
              <w:rPr>
                <w:rFonts w:hint="eastAsia"/>
                <w:kern w:val="0"/>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5" w:type="pct"/>
            <w:gridSpan w:val="3"/>
            <w:vAlign w:val="center"/>
          </w:tcPr>
          <w:p>
            <w:pPr>
              <w:pStyle w:val="49"/>
              <w:rPr>
                <w:kern w:val="0"/>
              </w:rPr>
            </w:pPr>
            <w:r>
              <w:rPr>
                <w:rFonts w:hint="eastAsia"/>
                <w:kern w:val="0"/>
              </w:rPr>
              <w:t>合计</w:t>
            </w:r>
          </w:p>
        </w:tc>
        <w:tc>
          <w:tcPr>
            <w:tcW w:w="1155" w:type="pct"/>
            <w:vAlign w:val="center"/>
          </w:tcPr>
          <w:p>
            <w:pPr>
              <w:pStyle w:val="49"/>
              <w:rPr>
                <w:kern w:val="0"/>
              </w:rPr>
            </w:pPr>
            <w:r>
              <w:rPr>
                <w:rFonts w:hint="eastAsia"/>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7</w:t>
            </w:r>
          </w:p>
        </w:tc>
        <w:tc>
          <w:tcPr>
            <w:tcW w:w="849" w:type="pct"/>
            <w:vMerge w:val="restart"/>
            <w:vAlign w:val="center"/>
          </w:tcPr>
          <w:p>
            <w:pPr>
              <w:pStyle w:val="49"/>
              <w:rPr>
                <w:kern w:val="0"/>
              </w:rPr>
            </w:pPr>
            <w:r>
              <w:rPr>
                <w:rFonts w:hint="eastAsia"/>
                <w:kern w:val="0"/>
              </w:rPr>
              <w:t>鸡</w:t>
            </w:r>
          </w:p>
        </w:tc>
        <w:tc>
          <w:tcPr>
            <w:tcW w:w="2473" w:type="pct"/>
            <w:vAlign w:val="center"/>
          </w:tcPr>
          <w:p>
            <w:pPr>
              <w:pStyle w:val="49"/>
              <w:rPr>
                <w:kern w:val="0"/>
              </w:rPr>
            </w:pPr>
            <w:r>
              <w:rPr>
                <w:rFonts w:hint="eastAsia"/>
                <w:kern w:val="0"/>
              </w:rPr>
              <w:t>鸡肉</w:t>
            </w:r>
          </w:p>
        </w:tc>
        <w:tc>
          <w:tcPr>
            <w:tcW w:w="1155" w:type="pct"/>
            <w:vAlign w:val="center"/>
          </w:tcPr>
          <w:p>
            <w:pPr>
              <w:pStyle w:val="49"/>
              <w:rPr>
                <w:kern w:val="0"/>
              </w:rPr>
            </w:pPr>
            <w:r>
              <w:rPr>
                <w:rFonts w:hint="eastAsia"/>
                <w:kern w:val="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8</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鸡血</w:t>
            </w:r>
          </w:p>
        </w:tc>
        <w:tc>
          <w:tcPr>
            <w:tcW w:w="1155" w:type="pct"/>
            <w:vAlign w:val="center"/>
          </w:tcPr>
          <w:p>
            <w:pPr>
              <w:pStyle w:val="49"/>
              <w:rPr>
                <w:kern w:val="0"/>
              </w:rPr>
            </w:pPr>
            <w:r>
              <w:rPr>
                <w:rFonts w:hint="eastAsia"/>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9</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鸡杂（鸡肠、鸡心、鸡胗等）</w:t>
            </w:r>
          </w:p>
        </w:tc>
        <w:tc>
          <w:tcPr>
            <w:tcW w:w="1155" w:type="pct"/>
            <w:vAlign w:val="center"/>
          </w:tcPr>
          <w:p>
            <w:pPr>
              <w:pStyle w:val="49"/>
              <w:rPr>
                <w:kern w:val="0"/>
              </w:rPr>
            </w:pPr>
            <w:r>
              <w:rPr>
                <w:rFonts w:hint="eastAsia"/>
                <w:kern w:val="0"/>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10</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鸡毛</w:t>
            </w:r>
          </w:p>
        </w:tc>
        <w:tc>
          <w:tcPr>
            <w:tcW w:w="1155" w:type="pct"/>
            <w:vAlign w:val="center"/>
          </w:tcPr>
          <w:p>
            <w:pPr>
              <w:pStyle w:val="49"/>
              <w:rPr>
                <w:kern w:val="0"/>
              </w:rPr>
            </w:pPr>
            <w:r>
              <w:rPr>
                <w:rFonts w:hint="eastAsia"/>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11</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粪便</w:t>
            </w:r>
          </w:p>
        </w:tc>
        <w:tc>
          <w:tcPr>
            <w:tcW w:w="1155" w:type="pct"/>
            <w:vAlign w:val="center"/>
          </w:tcPr>
          <w:p>
            <w:pPr>
              <w:pStyle w:val="49"/>
              <w:rPr>
                <w:kern w:val="0"/>
              </w:rPr>
            </w:pPr>
            <w:r>
              <w:rPr>
                <w:rFonts w:hint="eastAsia"/>
                <w:kern w:val="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12</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屠宰废弃物</w:t>
            </w:r>
          </w:p>
        </w:tc>
        <w:tc>
          <w:tcPr>
            <w:tcW w:w="1155" w:type="pct"/>
            <w:vAlign w:val="center"/>
          </w:tcPr>
          <w:p>
            <w:pPr>
              <w:pStyle w:val="49"/>
              <w:rPr>
                <w:kern w:val="0"/>
              </w:rPr>
            </w:pPr>
            <w:r>
              <w:rPr>
                <w:rFonts w:hint="eastAsia"/>
                <w:kern w:val="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5" w:type="pct"/>
            <w:gridSpan w:val="3"/>
            <w:vAlign w:val="center"/>
          </w:tcPr>
          <w:p>
            <w:pPr>
              <w:pStyle w:val="49"/>
              <w:rPr>
                <w:kern w:val="0"/>
              </w:rPr>
            </w:pPr>
            <w:r>
              <w:rPr>
                <w:rFonts w:hint="eastAsia"/>
                <w:kern w:val="0"/>
              </w:rPr>
              <w:t>合计</w:t>
            </w:r>
          </w:p>
        </w:tc>
        <w:tc>
          <w:tcPr>
            <w:tcW w:w="1155" w:type="pct"/>
            <w:vAlign w:val="center"/>
          </w:tcPr>
          <w:p>
            <w:pPr>
              <w:pStyle w:val="49"/>
              <w:rPr>
                <w:kern w:val="0"/>
              </w:rPr>
            </w:pPr>
            <w:r>
              <w:rPr>
                <w:rFonts w:hint="eastAsia"/>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13</w:t>
            </w:r>
          </w:p>
        </w:tc>
        <w:tc>
          <w:tcPr>
            <w:tcW w:w="849" w:type="pct"/>
            <w:vMerge w:val="restart"/>
            <w:vAlign w:val="center"/>
          </w:tcPr>
          <w:p>
            <w:pPr>
              <w:pStyle w:val="49"/>
              <w:rPr>
                <w:kern w:val="0"/>
              </w:rPr>
            </w:pPr>
            <w:r>
              <w:rPr>
                <w:rFonts w:hint="eastAsia"/>
                <w:kern w:val="0"/>
              </w:rPr>
              <w:t>鸭</w:t>
            </w:r>
          </w:p>
        </w:tc>
        <w:tc>
          <w:tcPr>
            <w:tcW w:w="2473" w:type="pct"/>
            <w:vAlign w:val="center"/>
          </w:tcPr>
          <w:p>
            <w:pPr>
              <w:pStyle w:val="49"/>
              <w:rPr>
                <w:kern w:val="0"/>
              </w:rPr>
            </w:pPr>
            <w:r>
              <w:rPr>
                <w:rFonts w:hint="eastAsia"/>
                <w:kern w:val="0"/>
              </w:rPr>
              <w:t>鸭肉</w:t>
            </w:r>
          </w:p>
        </w:tc>
        <w:tc>
          <w:tcPr>
            <w:tcW w:w="1155" w:type="pct"/>
            <w:vAlign w:val="center"/>
          </w:tcPr>
          <w:p>
            <w:pPr>
              <w:pStyle w:val="49"/>
              <w:rPr>
                <w:kern w:val="0"/>
              </w:rPr>
            </w:pPr>
            <w:r>
              <w:rPr>
                <w:rFonts w:hint="eastAsia"/>
                <w:kern w:val="0"/>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23" w:type="pct"/>
            <w:vAlign w:val="center"/>
          </w:tcPr>
          <w:p>
            <w:pPr>
              <w:pStyle w:val="49"/>
              <w:rPr>
                <w:kern w:val="0"/>
              </w:rPr>
            </w:pPr>
            <w:r>
              <w:rPr>
                <w:rFonts w:hint="eastAsia"/>
                <w:kern w:val="0"/>
              </w:rPr>
              <w:t>14</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鸭血</w:t>
            </w:r>
          </w:p>
        </w:tc>
        <w:tc>
          <w:tcPr>
            <w:tcW w:w="1155" w:type="pct"/>
            <w:vAlign w:val="center"/>
          </w:tcPr>
          <w:p>
            <w:pPr>
              <w:pStyle w:val="49"/>
              <w:rPr>
                <w:kern w:val="0"/>
              </w:rPr>
            </w:pPr>
            <w:r>
              <w:rPr>
                <w:rFonts w:hint="eastAsia"/>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15</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鸭杂（鸭肠、鸭心、鸭胗等）</w:t>
            </w:r>
          </w:p>
        </w:tc>
        <w:tc>
          <w:tcPr>
            <w:tcW w:w="1155" w:type="pct"/>
            <w:vAlign w:val="center"/>
          </w:tcPr>
          <w:p>
            <w:pPr>
              <w:pStyle w:val="49"/>
              <w:rPr>
                <w:kern w:val="0"/>
              </w:rPr>
            </w:pPr>
            <w:r>
              <w:rPr>
                <w:rFonts w:hint="eastAsia"/>
                <w:kern w:val="0"/>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23" w:type="pct"/>
            <w:vAlign w:val="center"/>
          </w:tcPr>
          <w:p>
            <w:pPr>
              <w:pStyle w:val="49"/>
              <w:rPr>
                <w:kern w:val="0"/>
              </w:rPr>
            </w:pPr>
            <w:r>
              <w:rPr>
                <w:rFonts w:hint="eastAsia"/>
                <w:kern w:val="0"/>
              </w:rPr>
              <w:t>16</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鸭羽</w:t>
            </w:r>
          </w:p>
        </w:tc>
        <w:tc>
          <w:tcPr>
            <w:tcW w:w="1155" w:type="pct"/>
            <w:vAlign w:val="center"/>
          </w:tcPr>
          <w:p>
            <w:pPr>
              <w:pStyle w:val="49"/>
              <w:rPr>
                <w:kern w:val="0"/>
              </w:rPr>
            </w:pPr>
            <w:r>
              <w:rPr>
                <w:rFonts w:hint="eastAsia"/>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17</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粪便</w:t>
            </w:r>
          </w:p>
        </w:tc>
        <w:tc>
          <w:tcPr>
            <w:tcW w:w="1155" w:type="pct"/>
            <w:vAlign w:val="center"/>
          </w:tcPr>
          <w:p>
            <w:pPr>
              <w:pStyle w:val="49"/>
              <w:rPr>
                <w:kern w:val="0"/>
              </w:rPr>
            </w:pPr>
            <w:r>
              <w:rPr>
                <w:rFonts w:hint="eastAsia"/>
                <w:kern w:val="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vAlign w:val="center"/>
          </w:tcPr>
          <w:p>
            <w:pPr>
              <w:pStyle w:val="49"/>
              <w:rPr>
                <w:kern w:val="0"/>
              </w:rPr>
            </w:pPr>
            <w:r>
              <w:rPr>
                <w:rFonts w:hint="eastAsia"/>
                <w:kern w:val="0"/>
              </w:rPr>
              <w:t>18</w:t>
            </w:r>
          </w:p>
        </w:tc>
        <w:tc>
          <w:tcPr>
            <w:tcW w:w="849" w:type="pct"/>
            <w:vMerge w:val="continue"/>
            <w:vAlign w:val="center"/>
          </w:tcPr>
          <w:p>
            <w:pPr>
              <w:pStyle w:val="49"/>
              <w:rPr>
                <w:kern w:val="0"/>
              </w:rPr>
            </w:pPr>
          </w:p>
        </w:tc>
        <w:tc>
          <w:tcPr>
            <w:tcW w:w="2473" w:type="pct"/>
            <w:vAlign w:val="center"/>
          </w:tcPr>
          <w:p>
            <w:pPr>
              <w:pStyle w:val="49"/>
              <w:rPr>
                <w:kern w:val="0"/>
              </w:rPr>
            </w:pPr>
            <w:r>
              <w:rPr>
                <w:rFonts w:hint="eastAsia"/>
                <w:kern w:val="0"/>
              </w:rPr>
              <w:t>屠宰废弃物</w:t>
            </w:r>
          </w:p>
        </w:tc>
        <w:tc>
          <w:tcPr>
            <w:tcW w:w="1155" w:type="pct"/>
            <w:vAlign w:val="center"/>
          </w:tcPr>
          <w:p>
            <w:pPr>
              <w:pStyle w:val="49"/>
              <w:rPr>
                <w:kern w:val="0"/>
              </w:rPr>
            </w:pPr>
            <w:r>
              <w:rPr>
                <w:rFonts w:hint="eastAsia"/>
                <w:kern w:val="0"/>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5" w:type="pct"/>
            <w:gridSpan w:val="3"/>
            <w:vAlign w:val="center"/>
          </w:tcPr>
          <w:p>
            <w:pPr>
              <w:pStyle w:val="49"/>
              <w:rPr>
                <w:kern w:val="0"/>
              </w:rPr>
            </w:pPr>
            <w:r>
              <w:rPr>
                <w:rFonts w:hint="eastAsia"/>
                <w:kern w:val="0"/>
              </w:rPr>
              <w:t>合计</w:t>
            </w:r>
          </w:p>
        </w:tc>
        <w:tc>
          <w:tcPr>
            <w:tcW w:w="1155" w:type="pct"/>
            <w:vAlign w:val="center"/>
          </w:tcPr>
          <w:p>
            <w:pPr>
              <w:pStyle w:val="49"/>
              <w:rPr>
                <w:kern w:val="0"/>
              </w:rPr>
            </w:pPr>
            <w:r>
              <w:rPr>
                <w:rFonts w:hint="eastAsia"/>
                <w:kern w:val="0"/>
              </w:rPr>
              <w:t>100%</w:t>
            </w:r>
          </w:p>
        </w:tc>
      </w:tr>
    </w:tbl>
    <w:p>
      <w:pPr>
        <w:pStyle w:val="3"/>
        <w:ind w:firstLine="480"/>
        <w:rPr>
          <w:rFonts w:cs="Times New Roman"/>
          <w:kern w:val="0"/>
        </w:rPr>
        <w:sectPr>
          <w:pgSz w:w="11906" w:h="16838"/>
          <w:pgMar w:top="1474" w:right="1361" w:bottom="1474" w:left="1588" w:header="851" w:footer="992" w:gutter="0"/>
          <w:cols w:space="425" w:num="1"/>
          <w:docGrid w:type="lines" w:linePitch="312" w:charSpace="0"/>
        </w:sectPr>
      </w:pPr>
    </w:p>
    <w:p>
      <w:pPr>
        <w:pStyle w:val="3"/>
        <w:spacing w:line="240" w:lineRule="auto"/>
        <w:ind w:firstLine="0" w:firstLineChars="0"/>
        <w:jc w:val="center"/>
        <w:rPr>
          <w:rFonts w:cs="Times New Roman" w:eastAsiaTheme="minorEastAsia"/>
          <w:b/>
        </w:rPr>
      </w:pPr>
      <w:r>
        <w:rPr>
          <w:rFonts w:hint="eastAsia" w:cs="Times New Roman" w:eastAsiaTheme="minorEastAsia"/>
          <w:b/>
        </w:rPr>
        <w:t>表4.2-2 屠宰物料平衡</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310"/>
        <w:gridCol w:w="1310"/>
        <w:gridCol w:w="1310"/>
        <w:gridCol w:w="1312"/>
        <w:gridCol w:w="1312"/>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Merge w:val="restart"/>
            <w:vAlign w:val="center"/>
          </w:tcPr>
          <w:p>
            <w:pPr>
              <w:pStyle w:val="49"/>
              <w:rPr>
                <w:rFonts w:cs="Times New Roman"/>
                <w:kern w:val="0"/>
              </w:rPr>
            </w:pPr>
            <w:r>
              <w:rPr>
                <w:rFonts w:cs="Times New Roman"/>
                <w:kern w:val="0"/>
              </w:rPr>
              <w:t>序号</w:t>
            </w:r>
          </w:p>
        </w:tc>
        <w:tc>
          <w:tcPr>
            <w:tcW w:w="1428" w:type="pct"/>
            <w:gridSpan w:val="2"/>
            <w:vAlign w:val="center"/>
          </w:tcPr>
          <w:p>
            <w:pPr>
              <w:pStyle w:val="49"/>
              <w:rPr>
                <w:rFonts w:cs="Times New Roman"/>
                <w:kern w:val="0"/>
              </w:rPr>
            </w:pPr>
            <w:r>
              <w:rPr>
                <w:rFonts w:cs="Times New Roman"/>
                <w:kern w:val="0"/>
              </w:rPr>
              <w:t>入方</w:t>
            </w:r>
          </w:p>
        </w:tc>
        <w:tc>
          <w:tcPr>
            <w:tcW w:w="714" w:type="pct"/>
            <w:vMerge w:val="restart"/>
            <w:vAlign w:val="center"/>
          </w:tcPr>
          <w:p>
            <w:pPr>
              <w:pStyle w:val="49"/>
              <w:rPr>
                <w:rFonts w:cs="Times New Roman"/>
                <w:kern w:val="0"/>
              </w:rPr>
            </w:pPr>
            <w:r>
              <w:rPr>
                <w:rFonts w:cs="Times New Roman"/>
                <w:kern w:val="0"/>
              </w:rPr>
              <w:t>序号</w:t>
            </w:r>
          </w:p>
        </w:tc>
        <w:tc>
          <w:tcPr>
            <w:tcW w:w="2144" w:type="pct"/>
            <w:gridSpan w:val="3"/>
            <w:vAlign w:val="center"/>
          </w:tcPr>
          <w:p>
            <w:pPr>
              <w:pStyle w:val="49"/>
              <w:rPr>
                <w:rFonts w:cs="Times New Roman"/>
                <w:kern w:val="0"/>
              </w:rPr>
            </w:pPr>
            <w:r>
              <w:rPr>
                <w:rFonts w:cs="Times New Roman"/>
                <w:kern w:val="0"/>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物料名称</w:t>
            </w:r>
          </w:p>
        </w:tc>
        <w:tc>
          <w:tcPr>
            <w:tcW w:w="714" w:type="pct"/>
            <w:vAlign w:val="center"/>
          </w:tcPr>
          <w:p>
            <w:pPr>
              <w:pStyle w:val="49"/>
              <w:rPr>
                <w:rFonts w:cs="Times New Roman"/>
                <w:kern w:val="0"/>
              </w:rPr>
            </w:pPr>
            <w:r>
              <w:rPr>
                <w:rFonts w:cs="Times New Roman"/>
                <w:kern w:val="0"/>
              </w:rPr>
              <w:t>总量t/a</w:t>
            </w:r>
          </w:p>
        </w:tc>
        <w:tc>
          <w:tcPr>
            <w:tcW w:w="714" w:type="pct"/>
            <w:vMerge w:val="continue"/>
            <w:vAlign w:val="center"/>
          </w:tcPr>
          <w:p>
            <w:pPr>
              <w:pStyle w:val="49"/>
              <w:rPr>
                <w:rFonts w:cs="Times New Roman"/>
                <w:kern w:val="0"/>
              </w:rPr>
            </w:pPr>
          </w:p>
        </w:tc>
        <w:tc>
          <w:tcPr>
            <w:tcW w:w="1430" w:type="pct"/>
            <w:gridSpan w:val="2"/>
            <w:vAlign w:val="center"/>
          </w:tcPr>
          <w:p>
            <w:pPr>
              <w:pStyle w:val="49"/>
              <w:rPr>
                <w:rFonts w:cs="Times New Roman"/>
                <w:kern w:val="0"/>
              </w:rPr>
            </w:pPr>
            <w:r>
              <w:rPr>
                <w:rFonts w:cs="Times New Roman"/>
                <w:kern w:val="0"/>
              </w:rPr>
              <w:t>物料名称</w:t>
            </w:r>
          </w:p>
        </w:tc>
        <w:tc>
          <w:tcPr>
            <w:tcW w:w="714" w:type="pct"/>
            <w:vAlign w:val="center"/>
          </w:tcPr>
          <w:p>
            <w:pPr>
              <w:pStyle w:val="49"/>
              <w:rPr>
                <w:rFonts w:cs="Times New Roman"/>
                <w:kern w:val="0"/>
              </w:rPr>
            </w:pPr>
            <w:r>
              <w:rPr>
                <w:rFonts w:cs="Times New Roman"/>
                <w:kern w:val="0"/>
              </w:rPr>
              <w:t>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14" w:type="pct"/>
            <w:vAlign w:val="center"/>
          </w:tcPr>
          <w:p>
            <w:pPr>
              <w:pStyle w:val="49"/>
              <w:rPr>
                <w:rFonts w:cs="Times New Roman"/>
                <w:kern w:val="0"/>
              </w:rPr>
            </w:pPr>
            <w:r>
              <w:rPr>
                <w:rFonts w:cs="Times New Roman"/>
                <w:kern w:val="0"/>
              </w:rPr>
              <w:t>1</w:t>
            </w:r>
          </w:p>
        </w:tc>
        <w:tc>
          <w:tcPr>
            <w:tcW w:w="714" w:type="pct"/>
            <w:vMerge w:val="restart"/>
            <w:vAlign w:val="center"/>
          </w:tcPr>
          <w:p>
            <w:pPr>
              <w:pStyle w:val="49"/>
              <w:rPr>
                <w:rFonts w:cs="Times New Roman"/>
                <w:kern w:val="0"/>
              </w:rPr>
            </w:pPr>
            <w:r>
              <w:rPr>
                <w:rFonts w:cs="Times New Roman"/>
                <w:kern w:val="0"/>
              </w:rPr>
              <w:t>肉牛</w:t>
            </w:r>
          </w:p>
        </w:tc>
        <w:tc>
          <w:tcPr>
            <w:tcW w:w="714" w:type="pct"/>
            <w:vMerge w:val="restart"/>
            <w:vAlign w:val="center"/>
          </w:tcPr>
          <w:p>
            <w:pPr>
              <w:pStyle w:val="49"/>
              <w:rPr>
                <w:rFonts w:cs="Times New Roman"/>
                <w:kern w:val="0"/>
              </w:rPr>
            </w:pPr>
            <w:r>
              <w:rPr>
                <w:rFonts w:cs="Times New Roman"/>
                <w:kern w:val="0"/>
              </w:rPr>
              <w:t>5000</w:t>
            </w:r>
          </w:p>
        </w:tc>
        <w:tc>
          <w:tcPr>
            <w:tcW w:w="714" w:type="pct"/>
            <w:vAlign w:val="center"/>
          </w:tcPr>
          <w:p>
            <w:pPr>
              <w:pStyle w:val="49"/>
              <w:rPr>
                <w:rFonts w:cs="Times New Roman"/>
                <w:kern w:val="0"/>
              </w:rPr>
            </w:pPr>
            <w:r>
              <w:rPr>
                <w:rFonts w:cs="Times New Roman"/>
                <w:kern w:val="0"/>
              </w:rPr>
              <w:t>1</w:t>
            </w:r>
          </w:p>
        </w:tc>
        <w:tc>
          <w:tcPr>
            <w:tcW w:w="715" w:type="pct"/>
            <w:vAlign w:val="center"/>
          </w:tcPr>
          <w:p>
            <w:pPr>
              <w:pStyle w:val="49"/>
              <w:rPr>
                <w:rFonts w:cs="Times New Roman"/>
                <w:kern w:val="0"/>
              </w:rPr>
            </w:pPr>
            <w:r>
              <w:rPr>
                <w:rFonts w:cs="Times New Roman"/>
                <w:kern w:val="0"/>
              </w:rPr>
              <w:t>产品</w:t>
            </w:r>
          </w:p>
        </w:tc>
        <w:tc>
          <w:tcPr>
            <w:tcW w:w="715" w:type="pct"/>
            <w:vAlign w:val="center"/>
          </w:tcPr>
          <w:p>
            <w:pPr>
              <w:pStyle w:val="49"/>
              <w:rPr>
                <w:rFonts w:cs="Times New Roman"/>
                <w:kern w:val="0"/>
              </w:rPr>
            </w:pPr>
            <w:r>
              <w:rPr>
                <w:rFonts w:cs="Times New Roman"/>
                <w:kern w:val="0"/>
              </w:rPr>
              <w:t>牛肉</w:t>
            </w:r>
          </w:p>
        </w:tc>
        <w:tc>
          <w:tcPr>
            <w:tcW w:w="714" w:type="pct"/>
            <w:vAlign w:val="center"/>
          </w:tcPr>
          <w:p>
            <w:pPr>
              <w:pStyle w:val="49"/>
              <w:rPr>
                <w:rFonts w:cs="Times New Roman"/>
                <w:kern w:val="0"/>
              </w:rPr>
            </w:pPr>
            <w:r>
              <w:rPr>
                <w:rFonts w:cs="Times New Roman"/>
                <w:kern w:val="0"/>
              </w:rPr>
              <w:t>2715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14" w:type="pct"/>
            <w:vAlign w:val="center"/>
          </w:tcPr>
          <w:p>
            <w:pPr>
              <w:pStyle w:val="49"/>
              <w:rPr>
                <w:rFonts w:cs="Times New Roman"/>
                <w:kern w:val="0"/>
              </w:rPr>
            </w:pPr>
            <w:r>
              <w:rPr>
                <w:rFonts w:cs="Times New Roman"/>
                <w:kern w:val="0"/>
              </w:rPr>
              <w:t>2</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2</w:t>
            </w:r>
          </w:p>
        </w:tc>
        <w:tc>
          <w:tcPr>
            <w:tcW w:w="715" w:type="pct"/>
            <w:vMerge w:val="restart"/>
            <w:vAlign w:val="center"/>
          </w:tcPr>
          <w:p>
            <w:pPr>
              <w:pStyle w:val="49"/>
              <w:rPr>
                <w:rFonts w:cs="Times New Roman"/>
                <w:kern w:val="0"/>
              </w:rPr>
            </w:pPr>
            <w:r>
              <w:rPr>
                <w:rFonts w:cs="Times New Roman"/>
                <w:kern w:val="0"/>
              </w:rPr>
              <w:t>副产品</w:t>
            </w:r>
          </w:p>
        </w:tc>
        <w:tc>
          <w:tcPr>
            <w:tcW w:w="715" w:type="pct"/>
            <w:vAlign w:val="center"/>
          </w:tcPr>
          <w:p>
            <w:pPr>
              <w:pStyle w:val="49"/>
              <w:rPr>
                <w:rFonts w:cs="Times New Roman"/>
                <w:kern w:val="0"/>
              </w:rPr>
            </w:pPr>
            <w:r>
              <w:rPr>
                <w:rFonts w:cs="Times New Roman"/>
                <w:kern w:val="0"/>
              </w:rPr>
              <w:t>头、尾、蹄、骨、内脏</w:t>
            </w:r>
          </w:p>
        </w:tc>
        <w:tc>
          <w:tcPr>
            <w:tcW w:w="714" w:type="pct"/>
            <w:vAlign w:val="center"/>
          </w:tcPr>
          <w:p>
            <w:pPr>
              <w:pStyle w:val="49"/>
              <w:rPr>
                <w:rFonts w:cs="Times New Roman"/>
                <w:kern w:val="0"/>
              </w:rPr>
            </w:pPr>
            <w:r>
              <w:rPr>
                <w:rFonts w:cs="Times New Roman"/>
                <w:kern w:val="0"/>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3</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3</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牛血、牛皮</w:t>
            </w:r>
          </w:p>
        </w:tc>
        <w:tc>
          <w:tcPr>
            <w:tcW w:w="714" w:type="pct"/>
            <w:vAlign w:val="center"/>
          </w:tcPr>
          <w:p>
            <w:pPr>
              <w:pStyle w:val="49"/>
              <w:rPr>
                <w:rFonts w:cs="Times New Roman"/>
                <w:kern w:val="0"/>
              </w:rPr>
            </w:pPr>
            <w:r>
              <w:rPr>
                <w:rFonts w:cs="Times New Roman"/>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4</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4</w:t>
            </w:r>
          </w:p>
        </w:tc>
        <w:tc>
          <w:tcPr>
            <w:tcW w:w="715" w:type="pct"/>
            <w:vMerge w:val="restart"/>
            <w:vAlign w:val="center"/>
          </w:tcPr>
          <w:p>
            <w:pPr>
              <w:pStyle w:val="49"/>
              <w:rPr>
                <w:rFonts w:cs="Times New Roman"/>
                <w:kern w:val="0"/>
              </w:rPr>
            </w:pPr>
            <w:r>
              <w:rPr>
                <w:rFonts w:cs="Times New Roman"/>
                <w:kern w:val="0"/>
              </w:rPr>
              <w:t>固废</w:t>
            </w:r>
          </w:p>
        </w:tc>
        <w:tc>
          <w:tcPr>
            <w:tcW w:w="715" w:type="pct"/>
            <w:vAlign w:val="center"/>
          </w:tcPr>
          <w:p>
            <w:pPr>
              <w:pStyle w:val="49"/>
              <w:rPr>
                <w:rFonts w:cs="Times New Roman"/>
                <w:kern w:val="0"/>
              </w:rPr>
            </w:pPr>
            <w:r>
              <w:rPr>
                <w:rFonts w:cs="Times New Roman"/>
                <w:kern w:val="0"/>
              </w:rPr>
              <w:t>粪便</w:t>
            </w:r>
          </w:p>
        </w:tc>
        <w:tc>
          <w:tcPr>
            <w:tcW w:w="714" w:type="pct"/>
            <w:vAlign w:val="center"/>
          </w:tcPr>
          <w:p>
            <w:pPr>
              <w:pStyle w:val="49"/>
              <w:rPr>
                <w:rFonts w:cs="Times New Roman"/>
                <w:kern w:val="0"/>
              </w:rPr>
            </w:pPr>
            <w:r>
              <w:rPr>
                <w:rFonts w:cs="Times New Roman"/>
                <w:kern w:val="0"/>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5</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5</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屠宰废弃物</w:t>
            </w:r>
          </w:p>
        </w:tc>
        <w:tc>
          <w:tcPr>
            <w:tcW w:w="714" w:type="pct"/>
            <w:vAlign w:val="center"/>
          </w:tcPr>
          <w:p>
            <w:pPr>
              <w:pStyle w:val="49"/>
              <w:rPr>
                <w:rFonts w:cs="Times New Roman"/>
                <w:kern w:val="0"/>
              </w:rPr>
            </w:pPr>
            <w:r>
              <w:rPr>
                <w:rFonts w:cs="Times New Roman"/>
                <w:kern w:val="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6</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6</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内脏容物</w:t>
            </w:r>
          </w:p>
        </w:tc>
        <w:tc>
          <w:tcPr>
            <w:tcW w:w="714" w:type="pct"/>
            <w:vAlign w:val="center"/>
          </w:tcPr>
          <w:p>
            <w:pPr>
              <w:pStyle w:val="49"/>
              <w:rPr>
                <w:rFonts w:cs="Times New Roman"/>
                <w:kern w:val="0"/>
              </w:rPr>
            </w:pPr>
            <w:r>
              <w:rPr>
                <w:rFonts w:cs="Times New Roman"/>
                <w:kern w:val="0"/>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8" w:type="pct"/>
            <w:gridSpan w:val="2"/>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5000</w:t>
            </w:r>
          </w:p>
        </w:tc>
        <w:tc>
          <w:tcPr>
            <w:tcW w:w="2144" w:type="pct"/>
            <w:gridSpan w:val="3"/>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1</w:t>
            </w:r>
          </w:p>
        </w:tc>
        <w:tc>
          <w:tcPr>
            <w:tcW w:w="714" w:type="pct"/>
            <w:vMerge w:val="restart"/>
            <w:vAlign w:val="center"/>
          </w:tcPr>
          <w:p>
            <w:pPr>
              <w:pStyle w:val="49"/>
              <w:rPr>
                <w:rFonts w:cs="Times New Roman"/>
                <w:kern w:val="0"/>
              </w:rPr>
            </w:pPr>
            <w:r>
              <w:rPr>
                <w:rFonts w:cs="Times New Roman"/>
                <w:kern w:val="0"/>
              </w:rPr>
              <w:t>鸡</w:t>
            </w:r>
          </w:p>
        </w:tc>
        <w:tc>
          <w:tcPr>
            <w:tcW w:w="714" w:type="pct"/>
            <w:vMerge w:val="restart"/>
            <w:vAlign w:val="center"/>
          </w:tcPr>
          <w:p>
            <w:pPr>
              <w:pStyle w:val="49"/>
              <w:rPr>
                <w:rFonts w:cs="Times New Roman"/>
                <w:kern w:val="0"/>
              </w:rPr>
            </w:pPr>
            <w:r>
              <w:rPr>
                <w:rFonts w:cs="Times New Roman"/>
                <w:kern w:val="0"/>
              </w:rPr>
              <w:t>8750</w:t>
            </w:r>
          </w:p>
        </w:tc>
        <w:tc>
          <w:tcPr>
            <w:tcW w:w="714" w:type="pct"/>
            <w:vAlign w:val="center"/>
          </w:tcPr>
          <w:p>
            <w:pPr>
              <w:pStyle w:val="49"/>
              <w:rPr>
                <w:rFonts w:cs="Times New Roman"/>
                <w:kern w:val="0"/>
              </w:rPr>
            </w:pPr>
            <w:r>
              <w:rPr>
                <w:rFonts w:cs="Times New Roman"/>
                <w:kern w:val="0"/>
              </w:rPr>
              <w:t>1</w:t>
            </w:r>
          </w:p>
        </w:tc>
        <w:tc>
          <w:tcPr>
            <w:tcW w:w="715" w:type="pct"/>
            <w:vAlign w:val="center"/>
          </w:tcPr>
          <w:p>
            <w:pPr>
              <w:pStyle w:val="49"/>
              <w:rPr>
                <w:rFonts w:cs="Times New Roman"/>
                <w:kern w:val="0"/>
              </w:rPr>
            </w:pPr>
            <w:r>
              <w:rPr>
                <w:rFonts w:cs="Times New Roman"/>
                <w:kern w:val="0"/>
              </w:rPr>
              <w:t>产品</w:t>
            </w:r>
          </w:p>
        </w:tc>
        <w:tc>
          <w:tcPr>
            <w:tcW w:w="715" w:type="pct"/>
            <w:vAlign w:val="center"/>
          </w:tcPr>
          <w:p>
            <w:pPr>
              <w:pStyle w:val="49"/>
              <w:rPr>
                <w:rFonts w:cs="Times New Roman"/>
                <w:kern w:val="0"/>
              </w:rPr>
            </w:pPr>
            <w:r>
              <w:rPr>
                <w:rFonts w:cs="Times New Roman"/>
                <w:kern w:val="0"/>
              </w:rPr>
              <w:t>鸡肉</w:t>
            </w:r>
          </w:p>
        </w:tc>
        <w:tc>
          <w:tcPr>
            <w:tcW w:w="714" w:type="pct"/>
            <w:vAlign w:val="center"/>
          </w:tcPr>
          <w:p>
            <w:pPr>
              <w:pStyle w:val="49"/>
              <w:rPr>
                <w:rFonts w:cs="Times New Roman"/>
                <w:kern w:val="0"/>
              </w:rPr>
            </w:pPr>
            <w:r>
              <w:rPr>
                <w:rFonts w:cs="Times New Roman"/>
                <w:kern w:val="0"/>
              </w:rPr>
              <w:t>5687.5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2</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2</w:t>
            </w:r>
          </w:p>
        </w:tc>
        <w:tc>
          <w:tcPr>
            <w:tcW w:w="715" w:type="pct"/>
            <w:vMerge w:val="restart"/>
            <w:vAlign w:val="center"/>
          </w:tcPr>
          <w:p>
            <w:pPr>
              <w:pStyle w:val="49"/>
              <w:rPr>
                <w:rFonts w:cs="Times New Roman"/>
                <w:kern w:val="0"/>
              </w:rPr>
            </w:pPr>
            <w:r>
              <w:rPr>
                <w:rFonts w:cs="Times New Roman"/>
                <w:kern w:val="0"/>
              </w:rPr>
              <w:t>副产品</w:t>
            </w:r>
          </w:p>
        </w:tc>
        <w:tc>
          <w:tcPr>
            <w:tcW w:w="715" w:type="pct"/>
            <w:vAlign w:val="center"/>
          </w:tcPr>
          <w:p>
            <w:pPr>
              <w:pStyle w:val="49"/>
              <w:rPr>
                <w:rFonts w:cs="Times New Roman"/>
                <w:kern w:val="0"/>
              </w:rPr>
            </w:pPr>
            <w:r>
              <w:rPr>
                <w:rFonts w:cs="Times New Roman"/>
                <w:kern w:val="0"/>
              </w:rPr>
              <w:t>鸡血</w:t>
            </w:r>
          </w:p>
        </w:tc>
        <w:tc>
          <w:tcPr>
            <w:tcW w:w="714" w:type="pct"/>
            <w:vAlign w:val="center"/>
          </w:tcPr>
          <w:p>
            <w:pPr>
              <w:pStyle w:val="49"/>
              <w:rPr>
                <w:rFonts w:cs="Times New Roman"/>
                <w:kern w:val="0"/>
              </w:rPr>
            </w:pPr>
            <w:r>
              <w:rPr>
                <w:rFonts w:cs="Times New Roman"/>
                <w:kern w:val="0"/>
              </w:rPr>
              <w:t>437.5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3</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3</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鸡杂（鸡肠、鸡心、鸡胗等）</w:t>
            </w:r>
          </w:p>
        </w:tc>
        <w:tc>
          <w:tcPr>
            <w:tcW w:w="714" w:type="pct"/>
            <w:vAlign w:val="center"/>
          </w:tcPr>
          <w:p>
            <w:pPr>
              <w:pStyle w:val="49"/>
              <w:rPr>
                <w:rFonts w:cs="Times New Roman"/>
                <w:kern w:val="0"/>
              </w:rPr>
            </w:pPr>
            <w:r>
              <w:rPr>
                <w:rFonts w:cs="Times New Roman"/>
                <w:kern w:val="0"/>
              </w:rPr>
              <w:t>1242.5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4</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4</w:t>
            </w:r>
          </w:p>
        </w:tc>
        <w:tc>
          <w:tcPr>
            <w:tcW w:w="715" w:type="pct"/>
            <w:vMerge w:val="restart"/>
            <w:vAlign w:val="center"/>
          </w:tcPr>
          <w:p>
            <w:pPr>
              <w:pStyle w:val="49"/>
              <w:rPr>
                <w:rFonts w:cs="Times New Roman"/>
                <w:kern w:val="0"/>
              </w:rPr>
            </w:pPr>
            <w:r>
              <w:rPr>
                <w:rFonts w:cs="Times New Roman"/>
                <w:kern w:val="0"/>
              </w:rPr>
              <w:t>固废</w:t>
            </w:r>
          </w:p>
        </w:tc>
        <w:tc>
          <w:tcPr>
            <w:tcW w:w="715" w:type="pct"/>
            <w:vAlign w:val="center"/>
          </w:tcPr>
          <w:p>
            <w:pPr>
              <w:pStyle w:val="49"/>
              <w:rPr>
                <w:rFonts w:cs="Times New Roman"/>
                <w:kern w:val="0"/>
              </w:rPr>
            </w:pPr>
            <w:r>
              <w:rPr>
                <w:rFonts w:cs="Times New Roman"/>
                <w:kern w:val="0"/>
              </w:rPr>
              <w:t>鸡毛</w:t>
            </w:r>
          </w:p>
        </w:tc>
        <w:tc>
          <w:tcPr>
            <w:tcW w:w="714" w:type="pct"/>
            <w:vAlign w:val="center"/>
          </w:tcPr>
          <w:p>
            <w:pPr>
              <w:pStyle w:val="49"/>
              <w:rPr>
                <w:rFonts w:cs="Times New Roman"/>
                <w:kern w:val="0"/>
              </w:rPr>
            </w:pPr>
            <w:r>
              <w:rPr>
                <w:rFonts w:cs="Times New Roman"/>
                <w:kern w:val="0"/>
              </w:rPr>
              <w:t>437.5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5</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5</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粪便</w:t>
            </w:r>
          </w:p>
        </w:tc>
        <w:tc>
          <w:tcPr>
            <w:tcW w:w="714" w:type="pct"/>
            <w:vAlign w:val="center"/>
          </w:tcPr>
          <w:p>
            <w:pPr>
              <w:pStyle w:val="49"/>
              <w:rPr>
                <w:rFonts w:cs="Times New Roman"/>
                <w:kern w:val="0"/>
              </w:rPr>
            </w:pPr>
            <w:r>
              <w:rPr>
                <w:rFonts w:cs="Times New Roman"/>
                <w:kern w:val="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6</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6</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屠宰废弃物</w:t>
            </w:r>
          </w:p>
        </w:tc>
        <w:tc>
          <w:tcPr>
            <w:tcW w:w="714" w:type="pct"/>
            <w:vAlign w:val="center"/>
          </w:tcPr>
          <w:p>
            <w:pPr>
              <w:pStyle w:val="49"/>
              <w:rPr>
                <w:rFonts w:cs="Times New Roman"/>
                <w:kern w:val="0"/>
              </w:rPr>
            </w:pPr>
            <w:r>
              <w:rPr>
                <w:rFonts w:cs="Times New Roman"/>
                <w:kern w:val="0"/>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8" w:type="pct"/>
            <w:gridSpan w:val="2"/>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8750</w:t>
            </w:r>
          </w:p>
        </w:tc>
        <w:tc>
          <w:tcPr>
            <w:tcW w:w="2144" w:type="pct"/>
            <w:gridSpan w:val="3"/>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1</w:t>
            </w:r>
          </w:p>
        </w:tc>
        <w:tc>
          <w:tcPr>
            <w:tcW w:w="714" w:type="pct"/>
            <w:vMerge w:val="restart"/>
            <w:vAlign w:val="center"/>
          </w:tcPr>
          <w:p>
            <w:pPr>
              <w:pStyle w:val="49"/>
              <w:rPr>
                <w:rFonts w:cs="Times New Roman"/>
                <w:kern w:val="0"/>
              </w:rPr>
            </w:pPr>
            <w:r>
              <w:rPr>
                <w:rFonts w:cs="Times New Roman"/>
                <w:kern w:val="0"/>
              </w:rPr>
              <w:t>鸭</w:t>
            </w:r>
          </w:p>
        </w:tc>
        <w:tc>
          <w:tcPr>
            <w:tcW w:w="714" w:type="pct"/>
            <w:vMerge w:val="restart"/>
            <w:vAlign w:val="center"/>
          </w:tcPr>
          <w:p>
            <w:pPr>
              <w:pStyle w:val="49"/>
              <w:rPr>
                <w:rFonts w:cs="Times New Roman"/>
                <w:kern w:val="0"/>
              </w:rPr>
            </w:pPr>
            <w:r>
              <w:rPr>
                <w:rFonts w:cs="Times New Roman"/>
                <w:kern w:val="0"/>
              </w:rPr>
              <w:t>12500</w:t>
            </w:r>
          </w:p>
        </w:tc>
        <w:tc>
          <w:tcPr>
            <w:tcW w:w="714" w:type="pct"/>
            <w:vAlign w:val="center"/>
          </w:tcPr>
          <w:p>
            <w:pPr>
              <w:pStyle w:val="49"/>
              <w:rPr>
                <w:rFonts w:cs="Times New Roman"/>
                <w:kern w:val="0"/>
              </w:rPr>
            </w:pPr>
            <w:r>
              <w:rPr>
                <w:rFonts w:cs="Times New Roman"/>
                <w:kern w:val="0"/>
              </w:rPr>
              <w:t>1</w:t>
            </w:r>
          </w:p>
        </w:tc>
        <w:tc>
          <w:tcPr>
            <w:tcW w:w="715" w:type="pct"/>
            <w:vAlign w:val="center"/>
          </w:tcPr>
          <w:p>
            <w:pPr>
              <w:pStyle w:val="49"/>
              <w:rPr>
                <w:rFonts w:cs="Times New Roman"/>
                <w:kern w:val="0"/>
              </w:rPr>
            </w:pPr>
            <w:r>
              <w:rPr>
                <w:rFonts w:cs="Times New Roman"/>
                <w:kern w:val="0"/>
              </w:rPr>
              <w:t>产品</w:t>
            </w:r>
          </w:p>
        </w:tc>
        <w:tc>
          <w:tcPr>
            <w:tcW w:w="715" w:type="pct"/>
            <w:vAlign w:val="center"/>
          </w:tcPr>
          <w:p>
            <w:pPr>
              <w:pStyle w:val="49"/>
              <w:rPr>
                <w:rFonts w:cs="Times New Roman"/>
                <w:kern w:val="0"/>
              </w:rPr>
            </w:pPr>
            <w:r>
              <w:rPr>
                <w:rFonts w:cs="Times New Roman"/>
                <w:kern w:val="0"/>
              </w:rPr>
              <w:t>鸭肉</w:t>
            </w:r>
          </w:p>
        </w:tc>
        <w:tc>
          <w:tcPr>
            <w:tcW w:w="714" w:type="pct"/>
            <w:vAlign w:val="center"/>
          </w:tcPr>
          <w:p>
            <w:pPr>
              <w:pStyle w:val="49"/>
              <w:rPr>
                <w:rFonts w:cs="Times New Roman"/>
                <w:kern w:val="0"/>
              </w:rPr>
            </w:pPr>
            <w:r>
              <w:rPr>
                <w:rFonts w:cs="Times New Roman"/>
                <w:kern w:val="0"/>
              </w:rPr>
              <w:t>7875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2</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2</w:t>
            </w:r>
          </w:p>
        </w:tc>
        <w:tc>
          <w:tcPr>
            <w:tcW w:w="715" w:type="pct"/>
            <w:vMerge w:val="restart"/>
            <w:vAlign w:val="center"/>
          </w:tcPr>
          <w:p>
            <w:pPr>
              <w:pStyle w:val="49"/>
              <w:rPr>
                <w:rFonts w:cs="Times New Roman"/>
                <w:kern w:val="0"/>
              </w:rPr>
            </w:pPr>
            <w:r>
              <w:rPr>
                <w:rFonts w:cs="Times New Roman"/>
                <w:kern w:val="0"/>
              </w:rPr>
              <w:t>副产品</w:t>
            </w:r>
          </w:p>
        </w:tc>
        <w:tc>
          <w:tcPr>
            <w:tcW w:w="715" w:type="pct"/>
            <w:vAlign w:val="center"/>
          </w:tcPr>
          <w:p>
            <w:pPr>
              <w:pStyle w:val="49"/>
              <w:rPr>
                <w:rFonts w:cs="Times New Roman"/>
                <w:kern w:val="0"/>
              </w:rPr>
            </w:pPr>
            <w:r>
              <w:rPr>
                <w:rFonts w:cs="Times New Roman"/>
                <w:kern w:val="0"/>
              </w:rPr>
              <w:t>鸭血</w:t>
            </w:r>
          </w:p>
        </w:tc>
        <w:tc>
          <w:tcPr>
            <w:tcW w:w="714" w:type="pct"/>
            <w:vAlign w:val="center"/>
          </w:tcPr>
          <w:p>
            <w:pPr>
              <w:pStyle w:val="49"/>
              <w:rPr>
                <w:rFonts w:cs="Times New Roman"/>
                <w:kern w:val="0"/>
              </w:rPr>
            </w:pPr>
            <w:r>
              <w:rPr>
                <w:rFonts w:cs="Times New Roman"/>
                <w:kern w:val="0"/>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3</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3</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鸭杂（鸭肠、鸭心、鸭胗等）</w:t>
            </w:r>
          </w:p>
        </w:tc>
        <w:tc>
          <w:tcPr>
            <w:tcW w:w="714" w:type="pct"/>
            <w:vAlign w:val="center"/>
          </w:tcPr>
          <w:p>
            <w:pPr>
              <w:pStyle w:val="49"/>
              <w:rPr>
                <w:rFonts w:cs="Times New Roman"/>
                <w:kern w:val="0"/>
              </w:rPr>
            </w:pPr>
            <w:r>
              <w:rPr>
                <w:rFonts w:cs="Times New Roman"/>
                <w:kern w:val="0"/>
              </w:rPr>
              <w:t>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4</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4</w:t>
            </w:r>
          </w:p>
        </w:tc>
        <w:tc>
          <w:tcPr>
            <w:tcW w:w="715" w:type="pct"/>
            <w:vMerge w:val="restart"/>
            <w:vAlign w:val="center"/>
          </w:tcPr>
          <w:p>
            <w:pPr>
              <w:pStyle w:val="49"/>
              <w:rPr>
                <w:rFonts w:cs="Times New Roman"/>
                <w:kern w:val="0"/>
              </w:rPr>
            </w:pPr>
            <w:r>
              <w:rPr>
                <w:rFonts w:cs="Times New Roman"/>
                <w:kern w:val="0"/>
              </w:rPr>
              <w:t>固废</w:t>
            </w:r>
          </w:p>
        </w:tc>
        <w:tc>
          <w:tcPr>
            <w:tcW w:w="715" w:type="pct"/>
            <w:vAlign w:val="center"/>
          </w:tcPr>
          <w:p>
            <w:pPr>
              <w:pStyle w:val="49"/>
              <w:rPr>
                <w:rFonts w:cs="Times New Roman"/>
                <w:kern w:val="0"/>
              </w:rPr>
            </w:pPr>
            <w:r>
              <w:rPr>
                <w:rFonts w:cs="Times New Roman"/>
                <w:kern w:val="0"/>
              </w:rPr>
              <w:t>鸭羽</w:t>
            </w:r>
          </w:p>
        </w:tc>
        <w:tc>
          <w:tcPr>
            <w:tcW w:w="714" w:type="pct"/>
            <w:vAlign w:val="center"/>
          </w:tcPr>
          <w:p>
            <w:pPr>
              <w:pStyle w:val="49"/>
              <w:rPr>
                <w:rFonts w:cs="Times New Roman"/>
                <w:kern w:val="0"/>
              </w:rPr>
            </w:pPr>
            <w:r>
              <w:rPr>
                <w:rFonts w:cs="Times New Roman"/>
                <w:kern w:val="0"/>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5</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5</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粪便</w:t>
            </w:r>
          </w:p>
        </w:tc>
        <w:tc>
          <w:tcPr>
            <w:tcW w:w="714" w:type="pct"/>
            <w:vAlign w:val="center"/>
          </w:tcPr>
          <w:p>
            <w:pPr>
              <w:pStyle w:val="49"/>
              <w:rPr>
                <w:rFonts w:cs="Times New Roman"/>
                <w:kern w:val="0"/>
              </w:rPr>
            </w:pPr>
            <w:r>
              <w:rPr>
                <w:rFonts w:cs="Times New Roman"/>
                <w:kern w:val="0"/>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pPr>
              <w:pStyle w:val="49"/>
              <w:rPr>
                <w:rFonts w:cs="Times New Roman"/>
                <w:kern w:val="0"/>
              </w:rPr>
            </w:pPr>
            <w:r>
              <w:rPr>
                <w:rFonts w:cs="Times New Roman"/>
                <w:kern w:val="0"/>
              </w:rPr>
              <w:t>6</w:t>
            </w:r>
          </w:p>
        </w:tc>
        <w:tc>
          <w:tcPr>
            <w:tcW w:w="714" w:type="pct"/>
            <w:vMerge w:val="continue"/>
            <w:vAlign w:val="center"/>
          </w:tcPr>
          <w:p>
            <w:pPr>
              <w:pStyle w:val="49"/>
              <w:rPr>
                <w:rFonts w:cs="Times New Roman"/>
                <w:kern w:val="0"/>
              </w:rPr>
            </w:pPr>
          </w:p>
        </w:tc>
        <w:tc>
          <w:tcPr>
            <w:tcW w:w="714" w:type="pct"/>
            <w:vMerge w:val="continue"/>
            <w:vAlign w:val="center"/>
          </w:tcPr>
          <w:p>
            <w:pPr>
              <w:pStyle w:val="49"/>
              <w:rPr>
                <w:rFonts w:cs="Times New Roman"/>
                <w:kern w:val="0"/>
              </w:rPr>
            </w:pPr>
          </w:p>
        </w:tc>
        <w:tc>
          <w:tcPr>
            <w:tcW w:w="714" w:type="pct"/>
            <w:vAlign w:val="center"/>
          </w:tcPr>
          <w:p>
            <w:pPr>
              <w:pStyle w:val="49"/>
              <w:rPr>
                <w:rFonts w:cs="Times New Roman"/>
                <w:kern w:val="0"/>
              </w:rPr>
            </w:pPr>
            <w:r>
              <w:rPr>
                <w:rFonts w:cs="Times New Roman"/>
                <w:kern w:val="0"/>
              </w:rPr>
              <w:t>6</w:t>
            </w:r>
          </w:p>
        </w:tc>
        <w:tc>
          <w:tcPr>
            <w:tcW w:w="715" w:type="pct"/>
            <w:vMerge w:val="continue"/>
            <w:vAlign w:val="center"/>
          </w:tcPr>
          <w:p>
            <w:pPr>
              <w:pStyle w:val="49"/>
              <w:rPr>
                <w:rFonts w:cs="Times New Roman"/>
                <w:kern w:val="0"/>
              </w:rPr>
            </w:pPr>
          </w:p>
        </w:tc>
        <w:tc>
          <w:tcPr>
            <w:tcW w:w="715" w:type="pct"/>
            <w:vAlign w:val="center"/>
          </w:tcPr>
          <w:p>
            <w:pPr>
              <w:pStyle w:val="49"/>
              <w:rPr>
                <w:rFonts w:cs="Times New Roman"/>
                <w:kern w:val="0"/>
              </w:rPr>
            </w:pPr>
            <w:r>
              <w:rPr>
                <w:rFonts w:cs="Times New Roman"/>
                <w:kern w:val="0"/>
              </w:rPr>
              <w:t>屠宰废弃物</w:t>
            </w:r>
          </w:p>
        </w:tc>
        <w:tc>
          <w:tcPr>
            <w:tcW w:w="714" w:type="pct"/>
            <w:vAlign w:val="center"/>
          </w:tcPr>
          <w:p>
            <w:pPr>
              <w:pStyle w:val="49"/>
              <w:rPr>
                <w:rFonts w:cs="Times New Roman"/>
                <w:kern w:val="0"/>
              </w:rPr>
            </w:pPr>
            <w:r>
              <w:rPr>
                <w:rFonts w:cs="Times New Roman"/>
                <w:kern w:val="0"/>
              </w:rPr>
              <w:t>1362.5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8" w:type="pct"/>
            <w:gridSpan w:val="2"/>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12500</w:t>
            </w:r>
          </w:p>
        </w:tc>
        <w:tc>
          <w:tcPr>
            <w:tcW w:w="2144" w:type="pct"/>
            <w:gridSpan w:val="3"/>
            <w:vAlign w:val="center"/>
          </w:tcPr>
          <w:p>
            <w:pPr>
              <w:pStyle w:val="49"/>
              <w:rPr>
                <w:rFonts w:cs="Times New Roman"/>
                <w:kern w:val="0"/>
              </w:rPr>
            </w:pPr>
            <w:r>
              <w:rPr>
                <w:rFonts w:cs="Times New Roman"/>
                <w:kern w:val="0"/>
              </w:rPr>
              <w:t>合计</w:t>
            </w:r>
          </w:p>
        </w:tc>
        <w:tc>
          <w:tcPr>
            <w:tcW w:w="714" w:type="pct"/>
            <w:vAlign w:val="center"/>
          </w:tcPr>
          <w:p>
            <w:pPr>
              <w:pStyle w:val="49"/>
              <w:rPr>
                <w:rFonts w:cs="Times New Roman"/>
                <w:kern w:val="0"/>
              </w:rPr>
            </w:pPr>
            <w:r>
              <w:rPr>
                <w:rFonts w:cs="Times New Roman"/>
                <w:kern w:val="0"/>
              </w:rPr>
              <w:t>12500</w:t>
            </w:r>
          </w:p>
        </w:tc>
      </w:tr>
    </w:tbl>
    <w:p>
      <w:pPr>
        <w:pStyle w:val="3"/>
        <w:ind w:firstLine="0" w:firstLineChars="0"/>
        <w:outlineLvl w:val="3"/>
        <w:rPr>
          <w:rFonts w:eastAsia="黑体" w:cstheme="majorBidi"/>
          <w:bCs/>
          <w:szCs w:val="32"/>
        </w:rPr>
      </w:pPr>
      <w:r>
        <w:rPr>
          <w:rFonts w:hint="eastAsia" w:eastAsia="黑体" w:cstheme="majorBidi"/>
          <w:bCs/>
          <w:szCs w:val="32"/>
        </w:rPr>
        <w:t>4.2.2.2 水平衡分析</w:t>
      </w:r>
    </w:p>
    <w:p>
      <w:pPr>
        <w:pStyle w:val="3"/>
        <w:ind w:firstLine="480"/>
        <w:rPr>
          <w:rFonts w:ascii="宋体" w:cs="宋体"/>
          <w:kern w:val="0"/>
          <w:szCs w:val="24"/>
        </w:rPr>
      </w:pPr>
      <w:r>
        <w:rPr>
          <w:rFonts w:hint="eastAsia" w:ascii="宋体" w:cs="宋体"/>
          <w:kern w:val="0"/>
          <w:szCs w:val="24"/>
        </w:rPr>
        <w:t>本项目供水来自水井供水，用水环节主要为以下几个环节：</w:t>
      </w:r>
    </w:p>
    <w:p>
      <w:pPr>
        <w:pStyle w:val="3"/>
        <w:ind w:firstLine="480"/>
        <w:rPr>
          <w:rFonts w:cs="Times New Roman"/>
        </w:rPr>
      </w:pPr>
      <w:r>
        <w:rPr>
          <w:rFonts w:hint="eastAsia" w:cs="Times New Roman"/>
        </w:rPr>
        <w:t>1、屠宰用水</w:t>
      </w:r>
    </w:p>
    <w:p>
      <w:pPr>
        <w:pStyle w:val="3"/>
        <w:ind w:firstLine="480"/>
        <w:rPr>
          <w:rFonts w:cs="Times New Roman"/>
          <w:kern w:val="0"/>
        </w:rPr>
      </w:pPr>
      <w:r>
        <w:rPr>
          <w:rFonts w:hint="eastAsia" w:cs="Times New Roman"/>
          <w:kern w:val="0"/>
        </w:rPr>
        <w:t>根据《屠宰与肉类加工废水治理工程技术规范》（HJ2004-2010），屠宰生产用水为1.2m</w:t>
      </w:r>
      <w:r>
        <w:rPr>
          <w:rFonts w:hint="eastAsia" w:cs="Times New Roman"/>
          <w:kern w:val="0"/>
          <w:vertAlign w:val="superscript"/>
        </w:rPr>
        <w:t>3</w:t>
      </w:r>
      <w:r>
        <w:rPr>
          <w:rFonts w:hint="eastAsia" w:cs="Times New Roman"/>
          <w:kern w:val="0"/>
        </w:rPr>
        <w:t>/100只（鸡单位），2.5m</w:t>
      </w:r>
      <w:r>
        <w:rPr>
          <w:rFonts w:hint="eastAsia" w:cs="Times New Roman"/>
          <w:kern w:val="0"/>
          <w:vertAlign w:val="superscript"/>
        </w:rPr>
        <w:t>3</w:t>
      </w:r>
      <w:r>
        <w:rPr>
          <w:rFonts w:hint="eastAsia" w:cs="Times New Roman"/>
          <w:kern w:val="0"/>
        </w:rPr>
        <w:t>/100只（鸭单位），1.2m</w:t>
      </w:r>
      <w:r>
        <w:rPr>
          <w:rFonts w:hint="eastAsia" w:cs="Times New Roman"/>
          <w:kern w:val="0"/>
          <w:vertAlign w:val="superscript"/>
        </w:rPr>
        <w:t>3</w:t>
      </w:r>
      <w:r>
        <w:rPr>
          <w:rFonts w:hint="eastAsia" w:cs="Times New Roman"/>
          <w:kern w:val="0"/>
        </w:rPr>
        <w:t>/头（牛单位），则屠宰总用水量为197001m</w:t>
      </w:r>
      <w:r>
        <w:rPr>
          <w:rFonts w:hint="eastAsia" w:cs="Times New Roman"/>
          <w:kern w:val="0"/>
          <w:vertAlign w:val="superscript"/>
        </w:rPr>
        <w:t>3</w:t>
      </w:r>
      <w:r>
        <w:rPr>
          <w:rFonts w:hint="eastAsia" w:cs="Times New Roman"/>
          <w:kern w:val="0"/>
        </w:rPr>
        <w:t>/a（656.67 m</w:t>
      </w:r>
      <w:r>
        <w:rPr>
          <w:rFonts w:hint="eastAsia" w:cs="Times New Roman"/>
          <w:kern w:val="0"/>
          <w:vertAlign w:val="superscript"/>
        </w:rPr>
        <w:t>3</w:t>
      </w:r>
      <w:r>
        <w:rPr>
          <w:rFonts w:hint="eastAsia" w:cs="Times New Roman"/>
          <w:kern w:val="0"/>
        </w:rPr>
        <w:t>/d）。</w:t>
      </w:r>
      <w:r>
        <w:rPr>
          <w:rFonts w:hint="eastAsia" w:cs="Times New Roman"/>
        </w:rPr>
        <w:t>参照《屠宰与肉类加工废水治理工程技术规范》（HJ2004-2010）4.2.3 章节可知，屠宰废水产生量宜取总用水量的80-90%，本次评价按85%进行核算，则屠宰排水量为167450m</w:t>
      </w:r>
      <w:r>
        <w:rPr>
          <w:rFonts w:hint="eastAsia" w:cs="Times New Roman"/>
          <w:vertAlign w:val="superscript"/>
        </w:rPr>
        <w:t>3</w:t>
      </w:r>
      <w:r>
        <w:rPr>
          <w:rFonts w:hint="eastAsia" w:cs="Times New Roman"/>
        </w:rPr>
        <w:t>/a（558.17m</w:t>
      </w:r>
      <w:r>
        <w:rPr>
          <w:rFonts w:hint="eastAsia" w:cs="Times New Roman"/>
          <w:vertAlign w:val="superscript"/>
        </w:rPr>
        <w:t>3</w:t>
      </w:r>
      <w:r>
        <w:rPr>
          <w:rFonts w:hint="eastAsia" w:cs="Times New Roman"/>
        </w:rPr>
        <w:t>/d）。</w:t>
      </w:r>
    </w:p>
    <w:p>
      <w:pPr>
        <w:pStyle w:val="3"/>
        <w:ind w:firstLine="480"/>
        <w:rPr>
          <w:rFonts w:cs="Times New Roman"/>
          <w:kern w:val="0"/>
        </w:rPr>
      </w:pPr>
      <w:r>
        <w:rPr>
          <w:rFonts w:hint="eastAsia" w:cs="Times New Roman"/>
          <w:kern w:val="0"/>
        </w:rPr>
        <w:t>2、生活用水</w:t>
      </w:r>
    </w:p>
    <w:p>
      <w:pPr>
        <w:pStyle w:val="3"/>
        <w:ind w:firstLine="480"/>
        <w:rPr>
          <w:rFonts w:cs="Times New Roman"/>
        </w:rPr>
      </w:pPr>
      <w:r>
        <w:rPr>
          <w:rFonts w:hint="eastAsia" w:cs="Times New Roman"/>
          <w:kern w:val="0"/>
        </w:rPr>
        <w:t>项目建成后定员20人，年工作300 天，均不在厂内食宿，根据《湖南省用水定额》（DB43/T388-2020），用水量以90L/人•d计，则项目生活用水量为1.8m</w:t>
      </w:r>
      <w:r>
        <w:rPr>
          <w:rFonts w:hint="eastAsia" w:cs="Times New Roman"/>
          <w:kern w:val="0"/>
          <w:vertAlign w:val="superscript"/>
        </w:rPr>
        <w:t>3</w:t>
      </w:r>
      <w:r>
        <w:rPr>
          <w:rFonts w:hint="eastAsia" w:cs="Times New Roman"/>
          <w:kern w:val="0"/>
        </w:rPr>
        <w:t>/d（540m</w:t>
      </w:r>
      <w:r>
        <w:rPr>
          <w:rFonts w:hint="eastAsia" w:cs="Times New Roman"/>
          <w:kern w:val="0"/>
          <w:vertAlign w:val="superscript"/>
        </w:rPr>
        <w:t>3</w:t>
      </w:r>
      <w:r>
        <w:rPr>
          <w:rFonts w:hint="eastAsia" w:cs="Times New Roman"/>
          <w:kern w:val="0"/>
        </w:rPr>
        <w:t>/a）。</w:t>
      </w:r>
      <w:r>
        <w:rPr>
          <w:rFonts w:hint="eastAsia" w:cs="Times New Roman"/>
        </w:rPr>
        <w:t>生活污水产生系数按0.8计算，则项目员工生活污水产生量为1.44m</w:t>
      </w:r>
      <w:r>
        <w:rPr>
          <w:rFonts w:hint="eastAsia" w:cs="Times New Roman"/>
          <w:vertAlign w:val="superscript"/>
        </w:rPr>
        <w:t>3</w:t>
      </w:r>
      <w:r>
        <w:rPr>
          <w:rFonts w:hint="eastAsia" w:cs="Times New Roman"/>
        </w:rPr>
        <w:t>/d，即432m</w:t>
      </w:r>
      <w:r>
        <w:rPr>
          <w:rFonts w:hint="eastAsia" w:cs="Times New Roman"/>
          <w:vertAlign w:val="superscript"/>
        </w:rPr>
        <w:t>3</w:t>
      </w:r>
      <w:r>
        <w:rPr>
          <w:rFonts w:hint="eastAsia" w:cs="Times New Roman"/>
        </w:rPr>
        <w:t>/a。</w:t>
      </w:r>
    </w:p>
    <w:p>
      <w:pPr>
        <w:pStyle w:val="3"/>
        <w:ind w:firstLine="480"/>
        <w:rPr>
          <w:rFonts w:cs="Times New Roman"/>
        </w:rPr>
      </w:pPr>
      <w:r>
        <w:rPr>
          <w:rFonts w:hint="eastAsia" w:cs="Times New Roman"/>
          <w:kern w:val="0"/>
        </w:rPr>
        <w:t>本项目建成后运营期总用水量为658.47m</w:t>
      </w:r>
      <w:r>
        <w:rPr>
          <w:rFonts w:hint="eastAsia" w:cs="Times New Roman"/>
          <w:kern w:val="0"/>
          <w:vertAlign w:val="superscript"/>
        </w:rPr>
        <w:t>3</w:t>
      </w:r>
      <w:r>
        <w:rPr>
          <w:rFonts w:hint="eastAsia" w:cs="Times New Roman"/>
          <w:kern w:val="0"/>
        </w:rPr>
        <w:t>/d（197540m</w:t>
      </w:r>
      <w:r>
        <w:rPr>
          <w:rFonts w:hint="eastAsia" w:cs="Times New Roman"/>
          <w:kern w:val="0"/>
          <w:vertAlign w:val="superscript"/>
        </w:rPr>
        <w:t>3</w:t>
      </w:r>
      <w:r>
        <w:rPr>
          <w:rFonts w:hint="eastAsia" w:cs="Times New Roman"/>
          <w:kern w:val="0"/>
        </w:rPr>
        <w:t>/a）。</w:t>
      </w:r>
      <w:r>
        <w:rPr>
          <w:rFonts w:hint="eastAsia" w:cs="Times New Roman"/>
        </w:rPr>
        <w:t>项目废水总产生量为559.61m</w:t>
      </w:r>
      <w:r>
        <w:rPr>
          <w:rFonts w:hint="eastAsia" w:cs="Times New Roman"/>
          <w:vertAlign w:val="superscript"/>
        </w:rPr>
        <w:t>3</w:t>
      </w:r>
      <w:r>
        <w:rPr>
          <w:rFonts w:hint="eastAsia" w:cs="Times New Roman"/>
        </w:rPr>
        <w:t>/d（167882m</w:t>
      </w:r>
      <w:r>
        <w:rPr>
          <w:rFonts w:hint="eastAsia" w:cs="Times New Roman"/>
          <w:vertAlign w:val="superscript"/>
        </w:rPr>
        <w:t>3</w:t>
      </w:r>
      <w:r>
        <w:rPr>
          <w:rFonts w:hint="eastAsia" w:cs="Times New Roman"/>
        </w:rPr>
        <w:t>/a）。</w:t>
      </w:r>
    </w:p>
    <w:p>
      <w:pPr>
        <w:pStyle w:val="3"/>
        <w:ind w:firstLine="480"/>
        <w:rPr>
          <w:rFonts w:cs="Times New Roman"/>
        </w:rPr>
      </w:pPr>
      <w:r>
        <w:rPr>
          <w:rFonts w:hint="eastAsia" w:cs="Times New Roman"/>
        </w:rPr>
        <w:t>项目运营期水平衡图见下表4.2-3 及图4.2-2。</w:t>
      </w:r>
    </w:p>
    <w:p>
      <w:pPr>
        <w:pStyle w:val="3"/>
        <w:spacing w:line="240" w:lineRule="auto"/>
        <w:ind w:firstLine="0" w:firstLineChars="0"/>
        <w:jc w:val="center"/>
        <w:rPr>
          <w:rFonts w:cs="Times New Roman"/>
        </w:rPr>
      </w:pPr>
      <w:r>
        <w:rPr>
          <w:rFonts w:hint="eastAsia" w:cs="Times New Roman" w:eastAsiaTheme="minorEastAsia"/>
          <w:b/>
        </w:rPr>
        <w:t>表4.2-3  运营期水平衡分析表（单位m</w:t>
      </w:r>
      <w:r>
        <w:rPr>
          <w:rFonts w:hint="eastAsia" w:cs="Times New Roman" w:eastAsiaTheme="minorEastAsia"/>
          <w:b/>
          <w:vertAlign w:val="superscript"/>
        </w:rPr>
        <w:t>3</w:t>
      </w:r>
      <w:r>
        <w:rPr>
          <w:rFonts w:hint="eastAsia" w:cs="Times New Roman" w:eastAsiaTheme="minorEastAsia"/>
          <w:b/>
        </w:rPr>
        <w:t>/d）</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136"/>
        <w:gridCol w:w="1134"/>
        <w:gridCol w:w="1134"/>
        <w:gridCol w:w="1134"/>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restar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用排水环节</w:t>
            </w:r>
          </w:p>
        </w:tc>
        <w:tc>
          <w:tcPr>
            <w:tcW w:w="1237" w:type="pct"/>
            <w:gridSpan w:val="2"/>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用水情况</w:t>
            </w:r>
          </w:p>
        </w:tc>
        <w:tc>
          <w:tcPr>
            <w:tcW w:w="618" w:type="pct"/>
            <w:vMerge w:val="restar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损耗量</w:t>
            </w:r>
          </w:p>
        </w:tc>
        <w:tc>
          <w:tcPr>
            <w:tcW w:w="618" w:type="pct"/>
            <w:vMerge w:val="restar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排水量</w:t>
            </w:r>
          </w:p>
        </w:tc>
        <w:tc>
          <w:tcPr>
            <w:tcW w:w="1541" w:type="pct"/>
            <w:vMerge w:val="restar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治理措施及去向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986" w:type="pct"/>
            <w:vMerge w:val="continue"/>
            <w:vAlign w:val="center"/>
          </w:tcPr>
          <w:p>
            <w:pPr>
              <w:widowControl w:val="0"/>
              <w:spacing w:line="240" w:lineRule="exact"/>
              <w:jc w:val="center"/>
              <w:rPr>
                <w:rFonts w:ascii="Times New Roman" w:hAnsi="Times New Roman" w:cs="Times New Roman"/>
                <w:kern w:val="0"/>
              </w:rPr>
            </w:pPr>
          </w:p>
        </w:tc>
        <w:tc>
          <w:tcPr>
            <w:tcW w:w="619"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总用水量</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新鲜用水</w:t>
            </w:r>
          </w:p>
        </w:tc>
        <w:tc>
          <w:tcPr>
            <w:tcW w:w="618" w:type="pct"/>
            <w:vMerge w:val="continue"/>
            <w:vAlign w:val="center"/>
          </w:tcPr>
          <w:p>
            <w:pPr>
              <w:widowControl w:val="0"/>
              <w:spacing w:line="240" w:lineRule="exact"/>
              <w:jc w:val="center"/>
              <w:rPr>
                <w:rFonts w:ascii="Times New Roman" w:hAnsi="Times New Roman" w:cs="Times New Roman"/>
                <w:kern w:val="0"/>
              </w:rPr>
            </w:pPr>
          </w:p>
        </w:tc>
        <w:tc>
          <w:tcPr>
            <w:tcW w:w="618" w:type="pct"/>
            <w:vMerge w:val="continue"/>
            <w:vAlign w:val="center"/>
          </w:tcPr>
          <w:p>
            <w:pPr>
              <w:widowControl w:val="0"/>
              <w:spacing w:line="240" w:lineRule="exact"/>
              <w:jc w:val="center"/>
              <w:rPr>
                <w:rFonts w:ascii="Times New Roman" w:hAnsi="Times New Roman" w:cs="Times New Roman"/>
                <w:kern w:val="0"/>
              </w:rPr>
            </w:pPr>
          </w:p>
        </w:tc>
        <w:tc>
          <w:tcPr>
            <w:tcW w:w="1541" w:type="pct"/>
            <w:vMerge w:val="continue"/>
            <w:vAlign w:val="center"/>
          </w:tcPr>
          <w:p>
            <w:pPr>
              <w:widowControl w:val="0"/>
              <w:spacing w:line="240" w:lineRule="exact"/>
              <w:jc w:val="center"/>
              <w:rPr>
                <w:rFonts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86"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屠宰加工（包括喷淋消毒用水、烫毛用水、清洗用水、设备及地面冲洗用水等）</w:t>
            </w:r>
          </w:p>
        </w:tc>
        <w:tc>
          <w:tcPr>
            <w:tcW w:w="619"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rPr>
              <w:t>656.67</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rPr>
              <w:t>656.67</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98.5</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558.17</w:t>
            </w:r>
          </w:p>
        </w:tc>
        <w:tc>
          <w:tcPr>
            <w:tcW w:w="1541" w:type="pct"/>
            <w:vAlign w:val="center"/>
          </w:tcPr>
          <w:p>
            <w:pPr>
              <w:widowControl w:val="0"/>
              <w:autoSpaceDE w:val="0"/>
              <w:autoSpaceDN w:val="0"/>
              <w:snapToGrid/>
              <w:jc w:val="center"/>
              <w:rPr>
                <w:rFonts w:ascii="Times New Roman" w:hAnsi="Times New Roman" w:cs="Times New Roman"/>
                <w:kern w:val="0"/>
              </w:rPr>
            </w:pPr>
            <w:r>
              <w:rPr>
                <w:rFonts w:ascii="Times New Roman" w:hAnsi="Times New Roman" w:cs="Times New Roman"/>
                <w:kern w:val="0"/>
              </w:rPr>
              <w:t>经厂区粪污处理系统处理后由罐车运送至</w:t>
            </w:r>
            <w:r>
              <w:rPr>
                <w:rFonts w:hint="eastAsia" w:ascii="Times New Roman" w:hAnsi="Times New Roman" w:cs="Times New Roman"/>
                <w:kern w:val="0"/>
              </w:rPr>
              <w:t>衡阳县喜耕田有机肥厂回收处理</w:t>
            </w:r>
            <w:r>
              <w:rPr>
                <w:rFonts w:ascii="Times New Roman" w:hAnsi="Times New Roman"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员工生活用水</w:t>
            </w:r>
          </w:p>
        </w:tc>
        <w:tc>
          <w:tcPr>
            <w:tcW w:w="619"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1.8</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1.8</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0.36</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1.44</w:t>
            </w:r>
          </w:p>
        </w:tc>
        <w:tc>
          <w:tcPr>
            <w:tcW w:w="1541"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经</w:t>
            </w:r>
            <w:r>
              <w:rPr>
                <w:rFonts w:ascii="Times New Roman" w:hAnsi="Times New Roman" w:cs="Times New Roman"/>
              </w:rPr>
              <w:t>隔油池+三级</w:t>
            </w:r>
            <w:r>
              <w:rPr>
                <w:rFonts w:ascii="Times New Roman" w:hAnsi="Times New Roman" w:cs="Times New Roman"/>
                <w:kern w:val="0"/>
              </w:rPr>
              <w:t>化粪池处理后用于农肥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合计</w:t>
            </w:r>
          </w:p>
        </w:tc>
        <w:tc>
          <w:tcPr>
            <w:tcW w:w="619"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rPr>
              <w:t>658.47</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rPr>
              <w:t>658.47</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98.86</w:t>
            </w:r>
          </w:p>
        </w:tc>
        <w:tc>
          <w:tcPr>
            <w:tcW w:w="618"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559.61</w:t>
            </w:r>
          </w:p>
        </w:tc>
        <w:tc>
          <w:tcPr>
            <w:tcW w:w="1541" w:type="pct"/>
            <w:vAlign w:val="center"/>
          </w:tcPr>
          <w:p>
            <w:pPr>
              <w:widowControl w:val="0"/>
              <w:spacing w:line="240" w:lineRule="exact"/>
              <w:jc w:val="center"/>
              <w:rPr>
                <w:rFonts w:ascii="Times New Roman" w:hAnsi="Times New Roman" w:cs="Times New Roman"/>
                <w:kern w:val="0"/>
              </w:rPr>
            </w:pPr>
            <w:r>
              <w:rPr>
                <w:rFonts w:ascii="Times New Roman" w:hAnsi="Times New Roman" w:cs="Times New Roman"/>
                <w:kern w:val="0"/>
              </w:rPr>
              <w:t>/</w:t>
            </w:r>
          </w:p>
        </w:tc>
      </w:tr>
    </w:tbl>
    <w:p>
      <w:pPr>
        <w:pStyle w:val="3"/>
        <w:ind w:firstLine="480"/>
        <w:rPr>
          <w:rFonts w:cs="Times New Roman"/>
          <w:kern w:val="0"/>
        </w:rPr>
      </w:pPr>
    </w:p>
    <w:p>
      <w:pPr>
        <w:pStyle w:val="3"/>
        <w:spacing w:line="240" w:lineRule="auto"/>
        <w:ind w:firstLine="0" w:firstLineChars="0"/>
        <w:jc w:val="center"/>
        <w:rPr>
          <w:rFonts w:cs="Times New Roman"/>
        </w:rPr>
      </w:pPr>
      <w:r>
        <w:object>
          <v:shape id="_x0000_i1027" o:spt="75" type="#_x0000_t75" style="height:197.25pt;width:447pt;" o:ole="t" filled="f" o:preferrelative="t" stroked="f" coordsize="21600,21600">
            <v:path/>
            <v:fill on="f" focussize="0,0"/>
            <v:stroke on="f" joinstyle="miter"/>
            <v:imagedata r:id="rId21" o:title=""/>
            <o:lock v:ext="edit" aspectratio="t"/>
            <w10:wrap type="none"/>
            <w10:anchorlock/>
          </v:shape>
          <o:OLEObject Type="Embed" ProgID="Visio.Drawing.11" ShapeID="_x0000_i1027" DrawAspect="Content" ObjectID="_1468075727" r:id="rId20">
            <o:LockedField>false</o:LockedField>
          </o:OLEObject>
        </w:object>
      </w:r>
      <w:r>
        <w:rPr>
          <w:rFonts w:hint="eastAsia" w:cs="Times New Roman" w:eastAsiaTheme="minorEastAsia"/>
          <w:b/>
        </w:rPr>
        <w:t>图4.2-2  水平衡图（m</w:t>
      </w:r>
      <w:r>
        <w:rPr>
          <w:rFonts w:hint="eastAsia" w:cs="Times New Roman" w:eastAsiaTheme="minorEastAsia"/>
          <w:b/>
          <w:vertAlign w:val="superscript"/>
        </w:rPr>
        <w:t>3</w:t>
      </w:r>
      <w:r>
        <w:rPr>
          <w:rFonts w:hint="eastAsia" w:cs="Times New Roman" w:eastAsiaTheme="minorEastAsia"/>
          <w:b/>
        </w:rPr>
        <w:t>/d）</w:t>
      </w:r>
    </w:p>
    <w:p>
      <w:pPr>
        <w:pStyle w:val="3"/>
        <w:ind w:firstLine="480"/>
        <w:rPr>
          <w:rFonts w:cs="Times New Roman"/>
          <w:kern w:val="0"/>
        </w:rPr>
        <w:sectPr>
          <w:pgSz w:w="11906" w:h="16838"/>
          <w:pgMar w:top="1474" w:right="1361" w:bottom="1474" w:left="1588" w:header="851" w:footer="992" w:gutter="0"/>
          <w:cols w:space="425" w:num="1"/>
          <w:docGrid w:type="lines" w:linePitch="312" w:charSpace="0"/>
        </w:sectPr>
      </w:pPr>
    </w:p>
    <w:p>
      <w:pPr>
        <w:pStyle w:val="3"/>
        <w:ind w:firstLine="0" w:firstLineChars="0"/>
        <w:outlineLvl w:val="2"/>
        <w:rPr>
          <w:rFonts w:eastAsia="黑体" w:cstheme="majorBidi"/>
          <w:bCs/>
          <w:szCs w:val="32"/>
        </w:rPr>
      </w:pPr>
      <w:r>
        <w:rPr>
          <w:rFonts w:hint="eastAsia"/>
        </w:rPr>
        <w:t>4.2.3</w:t>
      </w:r>
      <w:r>
        <w:rPr>
          <w:rFonts w:hint="eastAsia" w:eastAsia="黑体" w:cstheme="majorBidi"/>
          <w:bCs/>
          <w:szCs w:val="32"/>
        </w:rPr>
        <w:tab/>
      </w:r>
      <w:r>
        <w:rPr>
          <w:rFonts w:hint="eastAsia" w:eastAsia="黑体" w:cstheme="majorBidi"/>
          <w:bCs/>
          <w:szCs w:val="32"/>
        </w:rPr>
        <w:t>废水污染源强分析</w:t>
      </w:r>
    </w:p>
    <w:p>
      <w:pPr>
        <w:pStyle w:val="3"/>
        <w:ind w:firstLine="480"/>
        <w:rPr>
          <w:color w:val="FF0000"/>
          <w:u w:val="single"/>
        </w:rPr>
      </w:pPr>
      <w:r>
        <w:rPr>
          <w:rFonts w:hint="eastAsia"/>
          <w:color w:val="FF0000"/>
          <w:u w:val="single"/>
        </w:rPr>
        <w:t>本项目营运期废水主要包括屠宰废水和员工生活污水。</w:t>
      </w:r>
    </w:p>
    <w:p>
      <w:pPr>
        <w:pStyle w:val="3"/>
        <w:ind w:firstLine="480"/>
        <w:rPr>
          <w:color w:val="FF0000"/>
          <w:u w:val="single"/>
        </w:rPr>
      </w:pPr>
      <w:r>
        <w:rPr>
          <w:rFonts w:hint="eastAsia"/>
          <w:color w:val="FF0000"/>
          <w:u w:val="single"/>
        </w:rPr>
        <w:t>1、生活污水</w:t>
      </w:r>
    </w:p>
    <w:p>
      <w:pPr>
        <w:pStyle w:val="3"/>
        <w:ind w:firstLine="480"/>
        <w:rPr>
          <w:color w:val="FF0000"/>
          <w:u w:val="single"/>
        </w:rPr>
      </w:pPr>
      <w:r>
        <w:rPr>
          <w:color w:val="FF0000"/>
          <w:u w:val="single"/>
        </w:rPr>
        <w:t>生活污水为办公生活污水，本项目运营期劳动定员为</w:t>
      </w:r>
      <w:r>
        <w:rPr>
          <w:rFonts w:hint="eastAsia"/>
          <w:color w:val="FF0000"/>
          <w:u w:val="single"/>
        </w:rPr>
        <w:t>20</w:t>
      </w:r>
      <w:r>
        <w:rPr>
          <w:color w:val="FF0000"/>
          <w:u w:val="single"/>
        </w:rPr>
        <w:t>人，均不在厂内食宿。项目生活用水量为</w:t>
      </w:r>
      <w:r>
        <w:rPr>
          <w:rFonts w:hint="eastAsia"/>
          <w:color w:val="FF0000"/>
          <w:u w:val="single"/>
        </w:rPr>
        <w:t>1.8</w:t>
      </w:r>
      <w:r>
        <w:rPr>
          <w:color w:val="FF0000"/>
          <w:u w:val="single"/>
        </w:rPr>
        <w:t>m</w:t>
      </w:r>
      <w:r>
        <w:rPr>
          <w:color w:val="FF0000"/>
          <w:u w:val="single"/>
          <w:vertAlign w:val="superscript"/>
        </w:rPr>
        <w:t>3</w:t>
      </w:r>
      <w:r>
        <w:rPr>
          <w:color w:val="FF0000"/>
          <w:u w:val="single"/>
        </w:rPr>
        <w:t>/d（</w:t>
      </w:r>
      <w:r>
        <w:rPr>
          <w:rFonts w:hint="eastAsia"/>
          <w:color w:val="FF0000"/>
          <w:u w:val="single"/>
        </w:rPr>
        <w:t>540</w:t>
      </w:r>
      <w:r>
        <w:rPr>
          <w:color w:val="FF0000"/>
          <w:u w:val="single"/>
        </w:rPr>
        <w:t>m</w:t>
      </w:r>
      <w:r>
        <w:rPr>
          <w:color w:val="FF0000"/>
          <w:u w:val="single"/>
          <w:vertAlign w:val="superscript"/>
        </w:rPr>
        <w:t>3</w:t>
      </w:r>
      <w:r>
        <w:rPr>
          <w:color w:val="FF0000"/>
          <w:u w:val="single"/>
        </w:rPr>
        <w:t>/a）。生活污水产生量以用水量的80%计，为</w:t>
      </w:r>
      <w:r>
        <w:rPr>
          <w:rFonts w:hint="eastAsia"/>
          <w:color w:val="FF0000"/>
          <w:u w:val="single"/>
        </w:rPr>
        <w:t>1.44</w:t>
      </w:r>
      <w:r>
        <w:rPr>
          <w:color w:val="FF0000"/>
          <w:u w:val="single"/>
        </w:rPr>
        <w:t>m</w:t>
      </w:r>
      <w:r>
        <w:rPr>
          <w:color w:val="FF0000"/>
          <w:u w:val="single"/>
          <w:vertAlign w:val="superscript"/>
        </w:rPr>
        <w:t>3</w:t>
      </w:r>
      <w:r>
        <w:rPr>
          <w:color w:val="FF0000"/>
          <w:u w:val="single"/>
        </w:rPr>
        <w:t>/d（</w:t>
      </w:r>
      <w:r>
        <w:rPr>
          <w:rFonts w:hint="eastAsia"/>
          <w:color w:val="FF0000"/>
          <w:u w:val="single"/>
        </w:rPr>
        <w:t>432</w:t>
      </w:r>
      <w:r>
        <w:rPr>
          <w:color w:val="FF0000"/>
          <w:u w:val="single"/>
        </w:rPr>
        <w:t>m</w:t>
      </w:r>
      <w:r>
        <w:rPr>
          <w:color w:val="FF0000"/>
          <w:u w:val="single"/>
          <w:vertAlign w:val="superscript"/>
        </w:rPr>
        <w:t>3</w:t>
      </w:r>
      <w:r>
        <w:rPr>
          <w:color w:val="FF0000"/>
          <w:u w:val="single"/>
        </w:rPr>
        <w:t>/a）。生活污水经</w:t>
      </w:r>
      <w:r>
        <w:rPr>
          <w:rFonts w:hint="eastAsia"/>
          <w:color w:val="FF0000"/>
          <w:u w:val="single"/>
        </w:rPr>
        <w:t>隔油池+</w:t>
      </w:r>
      <w:r>
        <w:rPr>
          <w:color w:val="FF0000"/>
          <w:u w:val="single"/>
        </w:rPr>
        <w:t>三级化粪池处理后用作农肥，不外排。</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表4</w:t>
      </w:r>
      <w:r>
        <w:rPr>
          <w:rFonts w:hint="eastAsia" w:cs="Times New Roman" w:eastAsiaTheme="minorEastAsia"/>
          <w:b/>
          <w:color w:val="FF0000"/>
          <w:u w:val="single"/>
        </w:rPr>
        <w:t>.2-4</w:t>
      </w:r>
      <w:r>
        <w:rPr>
          <w:rFonts w:cs="Times New Roman" w:eastAsiaTheme="minorEastAsia"/>
          <w:b/>
          <w:color w:val="FF0000"/>
          <w:u w:val="single"/>
        </w:rPr>
        <w:t xml:space="preserve">  项目营运期生活污水污染物产生情况一览表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271"/>
        <w:gridCol w:w="1928"/>
        <w:gridCol w:w="1167"/>
        <w:gridCol w:w="1196"/>
        <w:gridCol w:w="1029"/>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废水</w:t>
            </w:r>
          </w:p>
        </w:tc>
        <w:tc>
          <w:tcPr>
            <w:tcW w:w="1744" w:type="pct"/>
            <w:gridSpan w:val="2"/>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项目</w:t>
            </w:r>
          </w:p>
        </w:tc>
        <w:tc>
          <w:tcPr>
            <w:tcW w:w="636" w:type="pct"/>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COD</w:t>
            </w:r>
          </w:p>
        </w:tc>
        <w:tc>
          <w:tcPr>
            <w:tcW w:w="652" w:type="pct"/>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BOD</w:t>
            </w:r>
            <w:r>
              <w:rPr>
                <w:rFonts w:ascii="Times New Roman" w:hAnsi="Times New Roman"/>
                <w:bCs/>
                <w:color w:val="FF0000"/>
                <w:kern w:val="0"/>
                <w:u w:val="single"/>
                <w:vertAlign w:val="subscript"/>
              </w:rPr>
              <w:t>5</w:t>
            </w:r>
          </w:p>
        </w:tc>
        <w:tc>
          <w:tcPr>
            <w:tcW w:w="561" w:type="pct"/>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SS</w:t>
            </w:r>
          </w:p>
        </w:tc>
        <w:tc>
          <w:tcPr>
            <w:tcW w:w="659" w:type="pct"/>
            <w:vAlign w:val="center"/>
          </w:tcPr>
          <w:p>
            <w:pPr>
              <w:jc w:val="center"/>
              <w:rPr>
                <w:rFonts w:ascii="Times New Roman" w:hAnsi="Times New Roman"/>
                <w:bCs/>
                <w:color w:val="FF0000"/>
                <w:kern w:val="0"/>
                <w:u w:val="single"/>
              </w:rPr>
            </w:pPr>
            <w:r>
              <w:rPr>
                <w:rFonts w:ascii="Times New Roman" w:hAnsi="Times New Roman"/>
                <w:bCs/>
                <w:color w:val="FF0000"/>
                <w:kern w:val="0"/>
                <w:u w:val="single"/>
              </w:rPr>
              <w:t>NH</w:t>
            </w:r>
            <w:r>
              <w:rPr>
                <w:rFonts w:ascii="Times New Roman" w:hAnsi="Times New Roman"/>
                <w:bCs/>
                <w:color w:val="FF0000"/>
                <w:kern w:val="0"/>
                <w:u w:val="single"/>
                <w:vertAlign w:val="subscript"/>
              </w:rPr>
              <w:t>3</w:t>
            </w:r>
            <w:r>
              <w:rPr>
                <w:rFonts w:ascii="Times New Roman" w:hAnsi="Times New Roman"/>
                <w:bCs/>
                <w:color w:val="FF0000"/>
                <w:kern w:val="0"/>
                <w:u w:val="singl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pPr>
              <w:jc w:val="center"/>
              <w:rPr>
                <w:rFonts w:ascii="Times New Roman" w:hAnsi="Times New Roman"/>
                <w:color w:val="FF0000"/>
                <w:kern w:val="0"/>
                <w:u w:val="single"/>
              </w:rPr>
            </w:pPr>
            <w:r>
              <w:rPr>
                <w:rFonts w:ascii="Times New Roman" w:hAnsi="Times New Roman"/>
                <w:color w:val="FF0000"/>
                <w:kern w:val="0"/>
                <w:u w:val="single"/>
              </w:rPr>
              <w:t>生活污水</w:t>
            </w:r>
          </w:p>
          <w:p>
            <w:pPr>
              <w:jc w:val="center"/>
              <w:rPr>
                <w:rFonts w:ascii="Times New Roman" w:hAnsi="Times New Roman"/>
                <w:color w:val="FF0000"/>
                <w:kern w:val="0"/>
                <w:u w:val="single"/>
              </w:rPr>
            </w:pPr>
            <w:r>
              <w:rPr>
                <w:rFonts w:hint="eastAsia" w:ascii="Times New Roman" w:hAnsi="Times New Roman"/>
                <w:color w:val="FF0000"/>
                <w:u w:val="single"/>
              </w:rPr>
              <w:t>432</w:t>
            </w:r>
            <w:r>
              <w:rPr>
                <w:rFonts w:ascii="Times New Roman" w:hAnsi="Times New Roman"/>
                <w:color w:val="FF0000"/>
                <w:u w:val="single"/>
              </w:rPr>
              <w:t>m</w:t>
            </w:r>
            <w:r>
              <w:rPr>
                <w:rFonts w:ascii="Times New Roman" w:hAnsi="Times New Roman"/>
                <w:color w:val="FF0000"/>
                <w:u w:val="single"/>
                <w:vertAlign w:val="superscript"/>
              </w:rPr>
              <w:t>3</w:t>
            </w:r>
            <w:r>
              <w:rPr>
                <w:rFonts w:ascii="Times New Roman" w:hAnsi="Times New Roman"/>
                <w:color w:val="FF0000"/>
                <w:u w:val="single"/>
              </w:rPr>
              <w:t>/a</w:t>
            </w:r>
          </w:p>
        </w:tc>
        <w:tc>
          <w:tcPr>
            <w:tcW w:w="693" w:type="pct"/>
            <w:vMerge w:val="restart"/>
            <w:vAlign w:val="center"/>
          </w:tcPr>
          <w:p>
            <w:pPr>
              <w:jc w:val="center"/>
              <w:rPr>
                <w:rFonts w:ascii="Times New Roman" w:hAnsi="Times New Roman"/>
                <w:color w:val="FF0000"/>
                <w:kern w:val="0"/>
                <w:u w:val="single"/>
              </w:rPr>
            </w:pPr>
            <w:r>
              <w:rPr>
                <w:rFonts w:ascii="Times New Roman" w:hAnsi="Times New Roman"/>
                <w:color w:val="FF0000"/>
                <w:kern w:val="0"/>
                <w:u w:val="single"/>
              </w:rPr>
              <w:t>处理前</w:t>
            </w:r>
          </w:p>
        </w:tc>
        <w:tc>
          <w:tcPr>
            <w:tcW w:w="105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产生浓度（mg/L）</w:t>
            </w:r>
          </w:p>
        </w:tc>
        <w:tc>
          <w:tcPr>
            <w:tcW w:w="636"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250</w:t>
            </w:r>
          </w:p>
        </w:tc>
        <w:tc>
          <w:tcPr>
            <w:tcW w:w="652"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150</w:t>
            </w:r>
          </w:p>
        </w:tc>
        <w:tc>
          <w:tcPr>
            <w:tcW w:w="56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200</w:t>
            </w:r>
          </w:p>
        </w:tc>
        <w:tc>
          <w:tcPr>
            <w:tcW w:w="659"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pPr>
              <w:jc w:val="center"/>
              <w:rPr>
                <w:rFonts w:ascii="Times New Roman" w:hAnsi="Times New Roman"/>
                <w:color w:val="FF0000"/>
                <w:kern w:val="0"/>
                <w:u w:val="single"/>
              </w:rPr>
            </w:pPr>
          </w:p>
        </w:tc>
        <w:tc>
          <w:tcPr>
            <w:tcW w:w="693" w:type="pct"/>
            <w:vMerge w:val="continue"/>
            <w:vAlign w:val="center"/>
          </w:tcPr>
          <w:p>
            <w:pPr>
              <w:jc w:val="center"/>
              <w:rPr>
                <w:rFonts w:ascii="Times New Roman" w:hAnsi="Times New Roman"/>
                <w:color w:val="FF0000"/>
                <w:kern w:val="0"/>
                <w:u w:val="single"/>
              </w:rPr>
            </w:pPr>
          </w:p>
        </w:tc>
        <w:tc>
          <w:tcPr>
            <w:tcW w:w="105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产生量（t/a）</w:t>
            </w:r>
          </w:p>
        </w:tc>
        <w:tc>
          <w:tcPr>
            <w:tcW w:w="636" w:type="pct"/>
            <w:vAlign w:val="center"/>
          </w:tcPr>
          <w:p>
            <w:pPr>
              <w:jc w:val="center"/>
              <w:rPr>
                <w:rFonts w:ascii="Times New Roman" w:hAnsi="Times New Roman"/>
                <w:color w:val="FF0000"/>
                <w:u w:val="single"/>
              </w:rPr>
            </w:pPr>
            <w:r>
              <w:rPr>
                <w:rFonts w:hint="eastAsia" w:ascii="Times New Roman" w:hAnsi="Times New Roman"/>
                <w:color w:val="FF0000"/>
                <w:u w:val="single"/>
              </w:rPr>
              <w:t>0.108</w:t>
            </w:r>
          </w:p>
        </w:tc>
        <w:tc>
          <w:tcPr>
            <w:tcW w:w="652" w:type="pct"/>
            <w:vAlign w:val="center"/>
          </w:tcPr>
          <w:p>
            <w:pPr>
              <w:jc w:val="center"/>
              <w:rPr>
                <w:rFonts w:ascii="Times New Roman" w:hAnsi="Times New Roman"/>
                <w:color w:val="FF0000"/>
                <w:u w:val="single"/>
              </w:rPr>
            </w:pPr>
            <w:r>
              <w:rPr>
                <w:rFonts w:hint="eastAsia" w:ascii="Times New Roman" w:hAnsi="Times New Roman"/>
                <w:color w:val="FF0000"/>
                <w:u w:val="single"/>
              </w:rPr>
              <w:t>0.0648</w:t>
            </w:r>
          </w:p>
        </w:tc>
        <w:tc>
          <w:tcPr>
            <w:tcW w:w="561" w:type="pct"/>
            <w:vAlign w:val="center"/>
          </w:tcPr>
          <w:p>
            <w:pPr>
              <w:jc w:val="center"/>
              <w:rPr>
                <w:rFonts w:ascii="Times New Roman" w:hAnsi="Times New Roman"/>
                <w:color w:val="FF0000"/>
                <w:u w:val="single"/>
              </w:rPr>
            </w:pPr>
            <w:r>
              <w:rPr>
                <w:rFonts w:hint="eastAsia" w:ascii="Times New Roman" w:hAnsi="Times New Roman"/>
                <w:color w:val="FF0000"/>
                <w:u w:val="single"/>
              </w:rPr>
              <w:t>0.0864</w:t>
            </w:r>
          </w:p>
        </w:tc>
        <w:tc>
          <w:tcPr>
            <w:tcW w:w="659" w:type="pct"/>
            <w:vAlign w:val="center"/>
          </w:tcPr>
          <w:p>
            <w:pPr>
              <w:jc w:val="center"/>
              <w:rPr>
                <w:rFonts w:ascii="Times New Roman" w:hAnsi="Times New Roman"/>
                <w:color w:val="FF0000"/>
                <w:u w:val="single"/>
              </w:rPr>
            </w:pPr>
            <w:r>
              <w:rPr>
                <w:rFonts w:hint="eastAsia" w:ascii="Times New Roman" w:hAnsi="Times New Roman"/>
                <w:color w:val="FF0000"/>
                <w:u w:val="single"/>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pPr>
              <w:jc w:val="center"/>
              <w:rPr>
                <w:rFonts w:ascii="Times New Roman" w:hAnsi="Times New Roman"/>
                <w:color w:val="FF0000"/>
                <w:kern w:val="0"/>
                <w:u w:val="single"/>
              </w:rPr>
            </w:pPr>
          </w:p>
        </w:tc>
        <w:tc>
          <w:tcPr>
            <w:tcW w:w="693"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处理措施</w:t>
            </w:r>
          </w:p>
        </w:tc>
        <w:tc>
          <w:tcPr>
            <w:tcW w:w="3559" w:type="pct"/>
            <w:gridSpan w:val="5"/>
            <w:vAlign w:val="center"/>
          </w:tcPr>
          <w:p>
            <w:pPr>
              <w:jc w:val="center"/>
              <w:rPr>
                <w:rFonts w:ascii="Times New Roman" w:hAnsi="Times New Roman"/>
                <w:color w:val="FF0000"/>
                <w:kern w:val="0"/>
                <w:u w:val="single"/>
              </w:rPr>
            </w:pPr>
            <w:r>
              <w:rPr>
                <w:rFonts w:hint="eastAsia" w:ascii="Times New Roman" w:hAnsi="Times New Roman"/>
                <w:color w:val="FF0000"/>
                <w:u w:val="single"/>
              </w:rPr>
              <w:t>隔油池+三级</w:t>
            </w:r>
            <w:r>
              <w:rPr>
                <w:rFonts w:ascii="Times New Roman" w:hAnsi="Times New Roman"/>
                <w:color w:val="FF0000"/>
                <w:kern w:val="0"/>
                <w:u w:val="single"/>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pPr>
              <w:jc w:val="center"/>
              <w:rPr>
                <w:rFonts w:ascii="Times New Roman" w:hAnsi="Times New Roman"/>
                <w:color w:val="FF0000"/>
                <w:kern w:val="0"/>
                <w:u w:val="single"/>
              </w:rPr>
            </w:pPr>
          </w:p>
        </w:tc>
        <w:tc>
          <w:tcPr>
            <w:tcW w:w="693" w:type="pct"/>
            <w:vMerge w:val="restart"/>
            <w:vAlign w:val="center"/>
          </w:tcPr>
          <w:p>
            <w:pPr>
              <w:jc w:val="center"/>
              <w:rPr>
                <w:rFonts w:ascii="Times New Roman" w:hAnsi="Times New Roman"/>
                <w:color w:val="FF0000"/>
                <w:kern w:val="0"/>
                <w:u w:val="single"/>
              </w:rPr>
            </w:pPr>
            <w:r>
              <w:rPr>
                <w:rFonts w:ascii="Times New Roman" w:hAnsi="Times New Roman"/>
                <w:color w:val="FF0000"/>
                <w:kern w:val="0"/>
                <w:u w:val="single"/>
              </w:rPr>
              <w:t>处理后</w:t>
            </w:r>
          </w:p>
        </w:tc>
        <w:tc>
          <w:tcPr>
            <w:tcW w:w="105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排放浓度（mg/L）</w:t>
            </w:r>
          </w:p>
        </w:tc>
        <w:tc>
          <w:tcPr>
            <w:tcW w:w="636"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150</w:t>
            </w:r>
          </w:p>
        </w:tc>
        <w:tc>
          <w:tcPr>
            <w:tcW w:w="652"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100</w:t>
            </w:r>
          </w:p>
        </w:tc>
        <w:tc>
          <w:tcPr>
            <w:tcW w:w="56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50</w:t>
            </w:r>
          </w:p>
        </w:tc>
        <w:tc>
          <w:tcPr>
            <w:tcW w:w="659"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pPr>
              <w:jc w:val="center"/>
              <w:rPr>
                <w:rFonts w:ascii="Times New Roman" w:hAnsi="Times New Roman"/>
                <w:color w:val="FF0000"/>
                <w:kern w:val="0"/>
                <w:u w:val="single"/>
              </w:rPr>
            </w:pPr>
          </w:p>
        </w:tc>
        <w:tc>
          <w:tcPr>
            <w:tcW w:w="693" w:type="pct"/>
            <w:vMerge w:val="continue"/>
            <w:vAlign w:val="center"/>
          </w:tcPr>
          <w:p>
            <w:pPr>
              <w:jc w:val="center"/>
              <w:rPr>
                <w:rFonts w:ascii="Times New Roman" w:hAnsi="Times New Roman"/>
                <w:color w:val="FF0000"/>
                <w:kern w:val="0"/>
                <w:u w:val="single"/>
              </w:rPr>
            </w:pPr>
          </w:p>
        </w:tc>
        <w:tc>
          <w:tcPr>
            <w:tcW w:w="1051"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排放量（t/a）</w:t>
            </w:r>
          </w:p>
        </w:tc>
        <w:tc>
          <w:tcPr>
            <w:tcW w:w="636" w:type="pct"/>
            <w:vAlign w:val="center"/>
          </w:tcPr>
          <w:p>
            <w:pPr>
              <w:jc w:val="center"/>
              <w:rPr>
                <w:rFonts w:ascii="Times New Roman" w:hAnsi="Times New Roman"/>
                <w:color w:val="FF0000"/>
                <w:u w:val="single"/>
              </w:rPr>
            </w:pPr>
            <w:r>
              <w:rPr>
                <w:rFonts w:hint="eastAsia" w:ascii="Times New Roman" w:hAnsi="Times New Roman"/>
                <w:color w:val="FF0000"/>
                <w:u w:val="single"/>
              </w:rPr>
              <w:t>0.0648</w:t>
            </w:r>
          </w:p>
        </w:tc>
        <w:tc>
          <w:tcPr>
            <w:tcW w:w="652" w:type="pct"/>
            <w:vAlign w:val="center"/>
          </w:tcPr>
          <w:p>
            <w:pPr>
              <w:jc w:val="center"/>
              <w:rPr>
                <w:rFonts w:ascii="Times New Roman" w:hAnsi="Times New Roman"/>
                <w:color w:val="FF0000"/>
                <w:u w:val="single"/>
              </w:rPr>
            </w:pPr>
            <w:r>
              <w:rPr>
                <w:rFonts w:ascii="Times New Roman" w:hAnsi="Times New Roman"/>
                <w:color w:val="FF0000"/>
                <w:u w:val="single"/>
              </w:rPr>
              <w:t>0.0</w:t>
            </w:r>
            <w:r>
              <w:rPr>
                <w:rFonts w:hint="eastAsia" w:ascii="Times New Roman" w:hAnsi="Times New Roman"/>
                <w:color w:val="FF0000"/>
                <w:u w:val="single"/>
              </w:rPr>
              <w:t>432</w:t>
            </w:r>
          </w:p>
        </w:tc>
        <w:tc>
          <w:tcPr>
            <w:tcW w:w="561" w:type="pct"/>
            <w:vAlign w:val="center"/>
          </w:tcPr>
          <w:p>
            <w:pPr>
              <w:jc w:val="center"/>
              <w:rPr>
                <w:rFonts w:ascii="Times New Roman" w:hAnsi="Times New Roman"/>
                <w:color w:val="FF0000"/>
                <w:u w:val="single"/>
              </w:rPr>
            </w:pPr>
            <w:r>
              <w:rPr>
                <w:rFonts w:ascii="Times New Roman" w:hAnsi="Times New Roman"/>
                <w:color w:val="FF0000"/>
                <w:u w:val="single"/>
              </w:rPr>
              <w:t>0.</w:t>
            </w:r>
            <w:r>
              <w:rPr>
                <w:rFonts w:hint="eastAsia" w:ascii="Times New Roman" w:hAnsi="Times New Roman"/>
                <w:color w:val="FF0000"/>
                <w:u w:val="single"/>
              </w:rPr>
              <w:t>0216</w:t>
            </w:r>
          </w:p>
        </w:tc>
        <w:tc>
          <w:tcPr>
            <w:tcW w:w="659" w:type="pct"/>
            <w:vAlign w:val="center"/>
          </w:tcPr>
          <w:p>
            <w:pPr>
              <w:jc w:val="center"/>
              <w:rPr>
                <w:rFonts w:ascii="Times New Roman" w:hAnsi="Times New Roman"/>
                <w:color w:val="FF0000"/>
                <w:u w:val="single"/>
              </w:rPr>
            </w:pPr>
            <w:r>
              <w:rPr>
                <w:rFonts w:hint="eastAsia" w:ascii="Times New Roman" w:hAnsi="Times New Roman"/>
                <w:color w:val="FF0000"/>
                <w:u w:val="single"/>
              </w:rPr>
              <w:t>0.00864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pPr>
              <w:jc w:val="center"/>
              <w:rPr>
                <w:rFonts w:ascii="Times New Roman" w:hAnsi="Times New Roman"/>
                <w:color w:val="FF0000"/>
                <w:kern w:val="0"/>
                <w:u w:val="single"/>
              </w:rPr>
            </w:pPr>
          </w:p>
        </w:tc>
        <w:tc>
          <w:tcPr>
            <w:tcW w:w="693" w:type="pct"/>
            <w:vAlign w:val="center"/>
          </w:tcPr>
          <w:p>
            <w:pPr>
              <w:jc w:val="center"/>
              <w:rPr>
                <w:rFonts w:ascii="Times New Roman" w:hAnsi="Times New Roman"/>
                <w:color w:val="FF0000"/>
                <w:kern w:val="0"/>
                <w:u w:val="single"/>
              </w:rPr>
            </w:pPr>
            <w:r>
              <w:rPr>
                <w:rFonts w:ascii="Times New Roman" w:hAnsi="Times New Roman"/>
                <w:color w:val="FF0000"/>
                <w:kern w:val="0"/>
                <w:u w:val="single"/>
              </w:rPr>
              <w:t>排放去向</w:t>
            </w:r>
          </w:p>
        </w:tc>
        <w:tc>
          <w:tcPr>
            <w:tcW w:w="3559" w:type="pct"/>
            <w:gridSpan w:val="5"/>
            <w:vAlign w:val="center"/>
          </w:tcPr>
          <w:p>
            <w:pPr>
              <w:jc w:val="center"/>
              <w:rPr>
                <w:rFonts w:ascii="Times New Roman" w:hAnsi="Times New Roman"/>
                <w:color w:val="FF0000"/>
                <w:kern w:val="0"/>
                <w:u w:val="single"/>
              </w:rPr>
            </w:pPr>
            <w:r>
              <w:rPr>
                <w:rFonts w:ascii="Times New Roman" w:hAnsi="Times New Roman"/>
                <w:color w:val="FF0000"/>
                <w:u w:val="single"/>
              </w:rPr>
              <w:t>用于周边农田施肥，不外排</w:t>
            </w:r>
          </w:p>
        </w:tc>
      </w:tr>
    </w:tbl>
    <w:p>
      <w:pPr>
        <w:pStyle w:val="3"/>
        <w:ind w:firstLine="480"/>
        <w:rPr>
          <w:color w:val="FF0000"/>
          <w:u w:val="single"/>
        </w:rPr>
      </w:pPr>
      <w:r>
        <w:rPr>
          <w:rFonts w:hint="eastAsia"/>
          <w:color w:val="FF0000"/>
          <w:u w:val="single"/>
        </w:rPr>
        <w:t>2、屠宰废水</w:t>
      </w:r>
    </w:p>
    <w:p>
      <w:pPr>
        <w:pStyle w:val="3"/>
        <w:ind w:firstLine="480"/>
        <w:rPr>
          <w:rFonts w:cs="Times New Roman"/>
          <w:color w:val="FF0000"/>
          <w:u w:val="single"/>
        </w:rPr>
      </w:pPr>
      <w:r>
        <w:rPr>
          <w:rFonts w:hint="eastAsia" w:cs="Times New Roman"/>
          <w:color w:val="FF0000"/>
          <w:u w:val="single"/>
        </w:rPr>
        <w:t>本项目禽类屠宰用水量为185001 m</w:t>
      </w:r>
      <w:r>
        <w:rPr>
          <w:rFonts w:hint="eastAsia" w:cs="Times New Roman"/>
          <w:color w:val="FF0000"/>
          <w:u w:val="single"/>
          <w:vertAlign w:val="superscript"/>
        </w:rPr>
        <w:t>3</w:t>
      </w:r>
      <w:r>
        <w:rPr>
          <w:rFonts w:hint="eastAsia" w:cs="Times New Roman"/>
          <w:color w:val="FF0000"/>
          <w:u w:val="single"/>
        </w:rPr>
        <w:t>/a（616.67 m</w:t>
      </w:r>
      <w:r>
        <w:rPr>
          <w:rFonts w:hint="eastAsia" w:cs="Times New Roman"/>
          <w:color w:val="FF0000"/>
          <w:u w:val="single"/>
          <w:vertAlign w:val="superscript"/>
        </w:rPr>
        <w:t>3</w:t>
      </w:r>
      <w:r>
        <w:rPr>
          <w:rFonts w:hint="eastAsia" w:cs="Times New Roman"/>
          <w:color w:val="FF0000"/>
          <w:u w:val="single"/>
        </w:rPr>
        <w:t>/d），肉牛屠宰用水量为12000 m</w:t>
      </w:r>
      <w:r>
        <w:rPr>
          <w:rFonts w:hint="eastAsia" w:cs="Times New Roman"/>
          <w:color w:val="FF0000"/>
          <w:u w:val="single"/>
          <w:vertAlign w:val="superscript"/>
        </w:rPr>
        <w:t>3</w:t>
      </w:r>
      <w:r>
        <w:rPr>
          <w:rFonts w:hint="eastAsia" w:cs="Times New Roman"/>
          <w:color w:val="FF0000"/>
          <w:u w:val="single"/>
        </w:rPr>
        <w:t>/a（40 m</w:t>
      </w:r>
      <w:r>
        <w:rPr>
          <w:rFonts w:hint="eastAsia" w:cs="Times New Roman"/>
          <w:color w:val="FF0000"/>
          <w:u w:val="single"/>
          <w:vertAlign w:val="superscript"/>
        </w:rPr>
        <w:t>3</w:t>
      </w:r>
      <w:r>
        <w:rPr>
          <w:rFonts w:hint="eastAsia" w:cs="Times New Roman"/>
          <w:color w:val="FF0000"/>
          <w:u w:val="single"/>
        </w:rPr>
        <w:t>/d），则屠宰总用水量为197001m</w:t>
      </w:r>
      <w:r>
        <w:rPr>
          <w:rFonts w:hint="eastAsia" w:cs="Times New Roman"/>
          <w:color w:val="FF0000"/>
          <w:u w:val="single"/>
          <w:vertAlign w:val="superscript"/>
        </w:rPr>
        <w:t>3</w:t>
      </w:r>
      <w:r>
        <w:rPr>
          <w:rFonts w:hint="eastAsia" w:cs="Times New Roman"/>
          <w:color w:val="FF0000"/>
          <w:u w:val="single"/>
        </w:rPr>
        <w:t>/a（656.67 m</w:t>
      </w:r>
      <w:r>
        <w:rPr>
          <w:rFonts w:hint="eastAsia" w:cs="Times New Roman"/>
          <w:color w:val="FF0000"/>
          <w:u w:val="single"/>
          <w:vertAlign w:val="superscript"/>
        </w:rPr>
        <w:t>3</w:t>
      </w:r>
      <w:r>
        <w:rPr>
          <w:rFonts w:hint="eastAsia" w:cs="Times New Roman"/>
          <w:color w:val="FF0000"/>
          <w:u w:val="single"/>
        </w:rPr>
        <w:t>/d）。参照《屠宰与肉类加工废水治理工程技术规范》（HJ2004-2010）4.2.3 章节可知，屠宰废水产生量宜取总用水量的80-90%，本次评价按85%进行核算，则屠宰排水量为167450m</w:t>
      </w:r>
      <w:r>
        <w:rPr>
          <w:rFonts w:hint="eastAsia" w:cs="Times New Roman"/>
          <w:color w:val="FF0000"/>
          <w:u w:val="single"/>
          <w:vertAlign w:val="superscript"/>
        </w:rPr>
        <w:t>3</w:t>
      </w:r>
      <w:r>
        <w:rPr>
          <w:rFonts w:hint="eastAsia" w:cs="Times New Roman"/>
          <w:color w:val="FF0000"/>
          <w:u w:val="single"/>
        </w:rPr>
        <w:t>/a（558.17m</w:t>
      </w:r>
      <w:r>
        <w:rPr>
          <w:rFonts w:hint="eastAsia" w:cs="Times New Roman"/>
          <w:color w:val="FF0000"/>
          <w:u w:val="single"/>
          <w:vertAlign w:val="superscript"/>
        </w:rPr>
        <w:t>3</w:t>
      </w:r>
      <w:r>
        <w:rPr>
          <w:rFonts w:hint="eastAsia" w:cs="Times New Roman"/>
          <w:color w:val="FF0000"/>
          <w:u w:val="single"/>
        </w:rPr>
        <w:t>/d）。</w:t>
      </w:r>
    </w:p>
    <w:p>
      <w:pPr>
        <w:pStyle w:val="3"/>
        <w:ind w:firstLine="480"/>
        <w:rPr>
          <w:rFonts w:cs="Times New Roman"/>
          <w:color w:val="FF0000"/>
          <w:u w:val="single"/>
        </w:rPr>
      </w:pPr>
      <w:r>
        <w:rPr>
          <w:rFonts w:hint="eastAsia" w:cs="Times New Roman"/>
          <w:color w:val="FF0000"/>
          <w:u w:val="single"/>
        </w:rPr>
        <w:t>本项目屠宰废水排放量为558.17m</w:t>
      </w:r>
      <w:r>
        <w:rPr>
          <w:rFonts w:hint="eastAsia" w:cs="Times New Roman"/>
          <w:color w:val="FF0000"/>
          <w:u w:val="single"/>
          <w:vertAlign w:val="superscript"/>
        </w:rPr>
        <w:t>3</w:t>
      </w:r>
      <w:r>
        <w:rPr>
          <w:rFonts w:hint="eastAsia" w:cs="Times New Roman"/>
          <w:color w:val="FF0000"/>
          <w:u w:val="single"/>
        </w:rPr>
        <w:t>/d，废水污染物COD、BOD</w:t>
      </w:r>
      <w:r>
        <w:rPr>
          <w:rFonts w:hint="eastAsia" w:cs="Times New Roman"/>
          <w:color w:val="FF0000"/>
          <w:u w:val="single"/>
          <w:vertAlign w:val="subscript"/>
        </w:rPr>
        <w:t>5</w:t>
      </w:r>
      <w:r>
        <w:rPr>
          <w:rFonts w:hint="eastAsia" w:cs="Times New Roman"/>
          <w:color w:val="FF0000"/>
          <w:u w:val="single"/>
        </w:rPr>
        <w:t>、氨氮、总磷、总氮按照《排污许可证申请与核发技术规范农副食品加工工业—屠宰及肉类加工工业》（HJ860.3-2018）核算。此外，规范中未提及的SS、动植物油、pH 指标，参照《屠宰与肉类加工废水治理工程技术规范》（HJ2004-2010） 确定，本评价从最不利角度考虑，即取各污染物因子浓度最大值，出水浓度执行《农田灌溉水质标准》（GB5084-2021）表1中“旱作”标准，屠宰废水水质详见表4.2-5。</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表4</w:t>
      </w:r>
      <w:r>
        <w:rPr>
          <w:rFonts w:hint="eastAsia" w:cs="Times New Roman" w:eastAsiaTheme="minorEastAsia"/>
          <w:b/>
          <w:color w:val="FF0000"/>
          <w:u w:val="single"/>
        </w:rPr>
        <w:t>.2-5</w:t>
      </w:r>
      <w:r>
        <w:rPr>
          <w:rFonts w:cs="Times New Roman" w:eastAsiaTheme="minorEastAsia"/>
          <w:b/>
          <w:color w:val="FF0000"/>
          <w:u w:val="single"/>
        </w:rPr>
        <w:t xml:space="preserve">  </w:t>
      </w:r>
      <w:r>
        <w:rPr>
          <w:rFonts w:hint="eastAsia" w:cs="Times New Roman" w:eastAsiaTheme="minorEastAsia"/>
          <w:b/>
          <w:color w:val="FF0000"/>
          <w:u w:val="single"/>
        </w:rPr>
        <w:t>屠宰废水水质设计取值范围单位：mg/L（pH 除外）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601"/>
        <w:gridCol w:w="1126"/>
        <w:gridCol w:w="1021"/>
        <w:gridCol w:w="863"/>
        <w:gridCol w:w="817"/>
        <w:gridCol w:w="860"/>
        <w:gridCol w:w="1021"/>
        <w:gridCol w:w="863"/>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8" w:type="dxa"/>
            <w:gridSpan w:val="2"/>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污染物指标</w:t>
            </w:r>
          </w:p>
        </w:tc>
        <w:tc>
          <w:tcPr>
            <w:tcW w:w="1126"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COD</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BOD</w:t>
            </w:r>
            <w:r>
              <w:rPr>
                <w:rFonts w:ascii="Times New Roman" w:hAnsi="Times New Roman" w:cs="Times New Roman"/>
                <w:color w:val="FF0000"/>
                <w:kern w:val="0"/>
                <w:u w:val="single"/>
                <w:vertAlign w:val="subscript"/>
              </w:rPr>
              <w:t>5</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氨氮</w:t>
            </w:r>
          </w:p>
        </w:tc>
        <w:tc>
          <w:tcPr>
            <w:tcW w:w="81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总磷</w:t>
            </w:r>
          </w:p>
        </w:tc>
        <w:tc>
          <w:tcPr>
            <w:tcW w:w="860"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总氮</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SS</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动植物油</w:t>
            </w:r>
          </w:p>
        </w:tc>
        <w:tc>
          <w:tcPr>
            <w:tcW w:w="834"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8" w:type="dxa"/>
            <w:gridSpan w:val="2"/>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HJ2004-2010</w:t>
            </w:r>
          </w:p>
        </w:tc>
        <w:tc>
          <w:tcPr>
            <w:tcW w:w="1126"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1500-2000</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750-1000</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50-150</w:t>
            </w:r>
          </w:p>
        </w:tc>
        <w:tc>
          <w:tcPr>
            <w:tcW w:w="81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60"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750-1000</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50-200</w:t>
            </w:r>
          </w:p>
        </w:tc>
        <w:tc>
          <w:tcPr>
            <w:tcW w:w="834"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7"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HJ860.3</w:t>
            </w:r>
          </w:p>
        </w:tc>
        <w:tc>
          <w:tcPr>
            <w:tcW w:w="60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鸡</w:t>
            </w:r>
          </w:p>
        </w:tc>
        <w:tc>
          <w:tcPr>
            <w:tcW w:w="1126"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1600</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755.36</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83.69</w:t>
            </w:r>
          </w:p>
        </w:tc>
        <w:tc>
          <w:tcPr>
            <w:tcW w:w="81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7.15</w:t>
            </w:r>
          </w:p>
        </w:tc>
        <w:tc>
          <w:tcPr>
            <w:tcW w:w="860"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160.94</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34"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7" w:type="dxa"/>
            <w:vMerge w:val="continue"/>
            <w:vAlign w:val="center"/>
          </w:tcPr>
          <w:p>
            <w:pPr>
              <w:jc w:val="center"/>
              <w:rPr>
                <w:rFonts w:ascii="Times New Roman" w:hAnsi="Times New Roman" w:cs="Times New Roman"/>
                <w:color w:val="FF0000"/>
                <w:kern w:val="0"/>
                <w:u w:val="single"/>
              </w:rPr>
            </w:pPr>
          </w:p>
        </w:tc>
        <w:tc>
          <w:tcPr>
            <w:tcW w:w="60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牛</w:t>
            </w:r>
          </w:p>
        </w:tc>
        <w:tc>
          <w:tcPr>
            <w:tcW w:w="1126"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2000</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84.6</w:t>
            </w:r>
          </w:p>
        </w:tc>
        <w:tc>
          <w:tcPr>
            <w:tcW w:w="81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6.5</w:t>
            </w:r>
          </w:p>
        </w:tc>
        <w:tc>
          <w:tcPr>
            <w:tcW w:w="860"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176</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34"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8" w:type="dxa"/>
            <w:gridSpan w:val="2"/>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本项目取值</w:t>
            </w:r>
          </w:p>
        </w:tc>
        <w:tc>
          <w:tcPr>
            <w:tcW w:w="1126"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2000</w:t>
            </w:r>
          </w:p>
        </w:tc>
        <w:tc>
          <w:tcPr>
            <w:tcW w:w="1021"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760</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81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7.15</w:t>
            </w:r>
          </w:p>
        </w:tc>
        <w:tc>
          <w:tcPr>
            <w:tcW w:w="860"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176</w:t>
            </w:r>
          </w:p>
        </w:tc>
        <w:tc>
          <w:tcPr>
            <w:tcW w:w="102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1000</w:t>
            </w:r>
          </w:p>
        </w:tc>
        <w:tc>
          <w:tcPr>
            <w:tcW w:w="863"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c>
          <w:tcPr>
            <w:tcW w:w="834"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6-9</w:t>
            </w:r>
          </w:p>
        </w:tc>
      </w:tr>
    </w:tbl>
    <w:p>
      <w:pPr>
        <w:pStyle w:val="3"/>
        <w:ind w:firstLine="480"/>
        <w:rPr>
          <w:rFonts w:cs="Times New Roman"/>
          <w:color w:val="FF0000"/>
          <w:u w:val="single"/>
        </w:rPr>
        <w:sectPr>
          <w:pgSz w:w="11906" w:h="16838"/>
          <w:pgMar w:top="1474" w:right="1361" w:bottom="1474" w:left="1588" w:header="851" w:footer="992" w:gutter="0"/>
          <w:cols w:space="425" w:num="1"/>
          <w:docGrid w:type="lines" w:linePitch="312" w:charSpace="0"/>
        </w:sectPr>
      </w:pPr>
    </w:p>
    <w:p>
      <w:pPr>
        <w:pStyle w:val="3"/>
        <w:ind w:firstLine="480"/>
        <w:rPr>
          <w:rFonts w:cs="Times New Roman"/>
          <w:color w:val="FF0000"/>
          <w:u w:val="single"/>
        </w:rPr>
      </w:pPr>
      <w:r>
        <w:rPr>
          <w:rFonts w:hint="eastAsia" w:cs="Times New Roman"/>
          <w:color w:val="FF0000"/>
          <w:u w:val="single"/>
        </w:rPr>
        <w:t>项目运营期废水中污染物产排情况见下表4.2-6。</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表4</w:t>
      </w:r>
      <w:r>
        <w:rPr>
          <w:rFonts w:hint="eastAsia" w:cs="Times New Roman" w:eastAsiaTheme="minorEastAsia"/>
          <w:b/>
          <w:color w:val="FF0000"/>
          <w:u w:val="single"/>
        </w:rPr>
        <w:t>.2-6</w:t>
      </w:r>
      <w:r>
        <w:rPr>
          <w:rFonts w:cs="Times New Roman" w:eastAsiaTheme="minorEastAsia"/>
          <w:b/>
          <w:color w:val="FF0000"/>
          <w:u w:val="single"/>
        </w:rPr>
        <w:t xml:space="preserve">  </w:t>
      </w:r>
      <w:r>
        <w:rPr>
          <w:rFonts w:hint="eastAsia" w:cs="Times New Roman" w:eastAsiaTheme="minorEastAsia"/>
          <w:b/>
          <w:color w:val="FF0000"/>
          <w:u w:val="single"/>
        </w:rPr>
        <w:t>废水污染源源强核算结果及相关参数一览表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418"/>
        <w:gridCol w:w="951"/>
        <w:gridCol w:w="925"/>
        <w:gridCol w:w="899"/>
        <w:gridCol w:w="827"/>
        <w:gridCol w:w="827"/>
        <w:gridCol w:w="847"/>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废水类型</w:t>
            </w:r>
          </w:p>
        </w:tc>
        <w:tc>
          <w:tcPr>
            <w:tcW w:w="1418"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分析项</w:t>
            </w:r>
          </w:p>
        </w:tc>
        <w:tc>
          <w:tcPr>
            <w:tcW w:w="6103" w:type="dxa"/>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Merge w:val="continue"/>
            <w:vAlign w:val="center"/>
          </w:tcPr>
          <w:p>
            <w:pPr>
              <w:jc w:val="center"/>
              <w:rPr>
                <w:rFonts w:ascii="Times New Roman" w:hAnsi="Times New Roman" w:cs="Times New Roman"/>
                <w:color w:val="FF0000"/>
                <w:kern w:val="0"/>
                <w:u w:val="single"/>
              </w:rPr>
            </w:pP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COD</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BOD</w:t>
            </w:r>
            <w:r>
              <w:rPr>
                <w:rFonts w:ascii="Times New Roman" w:hAnsi="Times New Roman" w:cs="Times New Roman"/>
                <w:color w:val="FF0000"/>
                <w:kern w:val="0"/>
                <w:u w:val="single"/>
                <w:vertAlign w:val="subscript"/>
              </w:rPr>
              <w:t>5</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氨氮</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总磷</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总氮</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SS</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生产废水</w:t>
            </w:r>
          </w:p>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r>
              <w:rPr>
                <w:rFonts w:ascii="Times New Roman" w:hAnsi="Times New Roman" w:cs="Times New Roman"/>
                <w:color w:val="FF0000"/>
                <w:u w:val="single"/>
              </w:rPr>
              <w:t>167450m</w:t>
            </w:r>
            <w:r>
              <w:rPr>
                <w:rFonts w:ascii="Times New Roman" w:hAnsi="Times New Roman" w:cs="Times New Roman"/>
                <w:color w:val="FF0000"/>
                <w:u w:val="single"/>
                <w:vertAlign w:val="superscript"/>
              </w:rPr>
              <w:t>3</w:t>
            </w:r>
            <w:r>
              <w:rPr>
                <w:rFonts w:ascii="Times New Roman" w:hAnsi="Times New Roman" w:cs="Times New Roman"/>
                <w:color w:val="FF0000"/>
                <w:u w:val="single"/>
              </w:rPr>
              <w:t>/a</w:t>
            </w:r>
            <w:r>
              <w:rPr>
                <w:rFonts w:ascii="Times New Roman" w:hAnsi="Times New Roman" w:cs="Times New Roman"/>
                <w:color w:val="FF0000"/>
                <w:kern w:val="0"/>
                <w:u w:val="single"/>
              </w:rPr>
              <w:t>）</w:t>
            </w: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2000</w:t>
            </w:r>
          </w:p>
        </w:tc>
        <w:tc>
          <w:tcPr>
            <w:tcW w:w="925"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760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7.15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176</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产生量t/a</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c>
          <w:tcPr>
            <w:tcW w:w="925"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127.26</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25.12</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29.47</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167.45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治理措施</w:t>
            </w:r>
          </w:p>
        </w:tc>
        <w:tc>
          <w:tcPr>
            <w:tcW w:w="6103" w:type="dxa"/>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粪污处理系统（处理工艺：</w:t>
            </w:r>
            <w:r>
              <w:rPr>
                <w:rFonts w:hint="eastAsia" w:ascii="Times New Roman" w:hAnsi="Times New Roman" w:cs="Times New Roman"/>
                <w:color w:val="FF0000"/>
                <w:u w:val="single"/>
              </w:rPr>
              <w:t>隔栅→粪污调节池→固液分离→污水→沼气池→三级曝气沉淀池→杀菌除臭</w:t>
            </w:r>
            <w:r>
              <w:rPr>
                <w:rFonts w:ascii="Times New Roman" w:hAnsi="Times New Roman"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处理效率</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95%</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w:t>
            </w:r>
            <w:r>
              <w:rPr>
                <w:rFonts w:hint="eastAsia" w:ascii="Times New Roman" w:hAnsi="Times New Roman" w:cs="Times New Roman"/>
                <w:color w:val="FF0000"/>
                <w:kern w:val="0"/>
                <w:u w:val="single"/>
              </w:rPr>
              <w:t>0</w:t>
            </w:r>
            <w:r>
              <w:rPr>
                <w:rFonts w:ascii="Times New Roman" w:hAnsi="Times New Roman" w:cs="Times New Roman"/>
                <w:color w:val="FF0000"/>
                <w:kern w:val="0"/>
                <w:u w:val="single"/>
              </w:rPr>
              <w:t>%</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925"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76</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6.44</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158.4</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排放量t/a</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16.75</w:t>
            </w:r>
          </w:p>
        </w:tc>
        <w:tc>
          <w:tcPr>
            <w:tcW w:w="925"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12.73</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20.10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1.08</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26.52</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8.37</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GB5084-2005</w:t>
            </w:r>
          </w:p>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旱作标准</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生活污水</w:t>
            </w:r>
          </w:p>
          <w:p>
            <w:pPr>
              <w:jc w:val="center"/>
              <w:rPr>
                <w:rFonts w:ascii="Times New Roman" w:hAnsi="Times New Roman" w:cs="Times New Roman"/>
                <w:color w:val="FF0000"/>
                <w:kern w:val="0"/>
                <w:u w:val="single"/>
              </w:rPr>
            </w:pPr>
            <w:r>
              <w:rPr>
                <w:rFonts w:ascii="Times New Roman" w:hAnsi="Times New Roman" w:cs="Times New Roman"/>
                <w:color w:val="FF0000"/>
                <w:u w:val="single"/>
              </w:rPr>
              <w:t>（432m</w:t>
            </w:r>
            <w:r>
              <w:rPr>
                <w:rFonts w:ascii="Times New Roman" w:hAnsi="Times New Roman" w:cs="Times New Roman"/>
                <w:color w:val="FF0000"/>
                <w:u w:val="single"/>
                <w:vertAlign w:val="superscript"/>
              </w:rPr>
              <w:t>3</w:t>
            </w:r>
            <w:r>
              <w:rPr>
                <w:rFonts w:ascii="Times New Roman" w:hAnsi="Times New Roman" w:cs="Times New Roman"/>
                <w:color w:val="FF0000"/>
                <w:u w:val="single"/>
              </w:rPr>
              <w:t>/a）</w:t>
            </w: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250</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产生量t/a</w:t>
            </w:r>
          </w:p>
        </w:tc>
        <w:tc>
          <w:tcPr>
            <w:tcW w:w="951" w:type="dxa"/>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0.108</w:t>
            </w:r>
          </w:p>
        </w:tc>
        <w:tc>
          <w:tcPr>
            <w:tcW w:w="925" w:type="dxa"/>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0.0648</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0.013</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0.0864</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治理措施</w:t>
            </w:r>
          </w:p>
        </w:tc>
        <w:tc>
          <w:tcPr>
            <w:tcW w:w="6103" w:type="dxa"/>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经</w:t>
            </w:r>
            <w:r>
              <w:rPr>
                <w:rFonts w:ascii="Times New Roman" w:hAnsi="Times New Roman" w:cs="Times New Roman"/>
                <w:color w:val="FF0000"/>
                <w:u w:val="single"/>
              </w:rPr>
              <w:t>隔油池+三级</w:t>
            </w:r>
            <w:r>
              <w:rPr>
                <w:rFonts w:ascii="Times New Roman" w:hAnsi="Times New Roman" w:cs="Times New Roman"/>
                <w:color w:val="FF0000"/>
                <w:kern w:val="0"/>
                <w:u w:val="single"/>
              </w:rPr>
              <w:t>化粪池处理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排放量t/a</w:t>
            </w:r>
          </w:p>
        </w:tc>
        <w:tc>
          <w:tcPr>
            <w:tcW w:w="951" w:type="dxa"/>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0.0648</w:t>
            </w:r>
          </w:p>
        </w:tc>
        <w:tc>
          <w:tcPr>
            <w:tcW w:w="925" w:type="dxa"/>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0.0432</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0.00864</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0.0216</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bl>
    <w:p>
      <w:pPr>
        <w:pStyle w:val="3"/>
        <w:ind w:firstLine="480"/>
        <w:rPr>
          <w:rFonts w:cs="Times New Roman"/>
          <w:color w:val="FF0000"/>
          <w:u w:val="single"/>
        </w:rPr>
      </w:pPr>
      <w:r>
        <w:rPr>
          <w:rFonts w:hint="eastAsia" w:cs="Times New Roman"/>
          <w:color w:val="FF0000"/>
          <w:u w:val="single"/>
        </w:rPr>
        <w:t>本项目建成后年屠宰肉牛1万头、禽类1000万只、根据《肉类加工工业水污染物排放标准》（</w:t>
      </w:r>
      <w:r>
        <w:rPr>
          <w:rFonts w:cs="Times New Roman"/>
          <w:color w:val="FF0000"/>
          <w:u w:val="single"/>
        </w:rPr>
        <w:t>GB13457-92</w:t>
      </w:r>
      <w:r>
        <w:rPr>
          <w:rFonts w:hint="eastAsia" w:cs="Times New Roman"/>
          <w:color w:val="FF0000"/>
          <w:u w:val="single"/>
        </w:rPr>
        <w:t>）中表</w:t>
      </w:r>
      <w:r>
        <w:rPr>
          <w:rFonts w:cs="Times New Roman"/>
          <w:color w:val="FF0000"/>
          <w:u w:val="single"/>
        </w:rPr>
        <w:t xml:space="preserve">3 </w:t>
      </w:r>
      <w:r>
        <w:rPr>
          <w:rFonts w:hint="eastAsia" w:cs="Times New Roman"/>
          <w:color w:val="FF0000"/>
          <w:u w:val="single"/>
        </w:rPr>
        <w:t>规定的畜类屠宰加工单位产品基准排水量：</w:t>
      </w:r>
      <w:r>
        <w:rPr>
          <w:rFonts w:cs="Times New Roman"/>
          <w:color w:val="FF0000"/>
          <w:u w:val="single"/>
        </w:rPr>
        <w:t>6.5m</w:t>
      </w:r>
      <w:r>
        <w:rPr>
          <w:rFonts w:cs="Times New Roman"/>
          <w:color w:val="FF0000"/>
          <w:u w:val="single"/>
          <w:vertAlign w:val="superscript"/>
        </w:rPr>
        <w:t>3</w:t>
      </w:r>
      <w:r>
        <w:rPr>
          <w:rFonts w:cs="Times New Roman"/>
          <w:color w:val="FF0000"/>
          <w:u w:val="single"/>
        </w:rPr>
        <w:t xml:space="preserve">/t </w:t>
      </w:r>
      <w:r>
        <w:rPr>
          <w:rFonts w:hint="eastAsia" w:cs="Times New Roman"/>
          <w:color w:val="FF0000"/>
          <w:u w:val="single"/>
        </w:rPr>
        <w:t>活屠重、禽类屠宰加工单位产品基准排水量：18</w:t>
      </w:r>
      <w:r>
        <w:rPr>
          <w:rFonts w:cs="Times New Roman"/>
          <w:color w:val="FF0000"/>
          <w:u w:val="single"/>
        </w:rPr>
        <w:t xml:space="preserve"> m</w:t>
      </w:r>
      <w:r>
        <w:rPr>
          <w:rFonts w:cs="Times New Roman"/>
          <w:color w:val="FF0000"/>
          <w:u w:val="single"/>
          <w:vertAlign w:val="superscript"/>
        </w:rPr>
        <w:t>3</w:t>
      </w:r>
      <w:r>
        <w:rPr>
          <w:rFonts w:cs="Times New Roman"/>
          <w:color w:val="FF0000"/>
          <w:u w:val="single"/>
        </w:rPr>
        <w:t xml:space="preserve">/t </w:t>
      </w:r>
      <w:r>
        <w:rPr>
          <w:rFonts w:hint="eastAsia" w:cs="Times New Roman"/>
          <w:color w:val="FF0000"/>
          <w:u w:val="single"/>
        </w:rPr>
        <w:t>活屠重可知，本项目畜类活屠重为5000</w:t>
      </w:r>
      <w:r>
        <w:rPr>
          <w:rFonts w:cs="Times New Roman"/>
          <w:color w:val="FF0000"/>
          <w:u w:val="single"/>
        </w:rPr>
        <w:t>t</w:t>
      </w:r>
      <w:r>
        <w:rPr>
          <w:rFonts w:hint="eastAsia" w:cs="Times New Roman"/>
          <w:color w:val="FF0000"/>
          <w:u w:val="single"/>
        </w:rPr>
        <w:t>，基准排水量为32500</w:t>
      </w:r>
      <w:r>
        <w:rPr>
          <w:rFonts w:cs="Times New Roman"/>
          <w:color w:val="FF0000"/>
          <w:u w:val="single"/>
        </w:rPr>
        <w:t>m</w:t>
      </w:r>
      <w:r>
        <w:rPr>
          <w:rFonts w:cs="Times New Roman"/>
          <w:color w:val="FF0000"/>
          <w:u w:val="single"/>
          <w:vertAlign w:val="superscript"/>
        </w:rPr>
        <w:t>3</w:t>
      </w:r>
      <w:r>
        <w:rPr>
          <w:rFonts w:cs="Times New Roman"/>
          <w:color w:val="FF0000"/>
          <w:u w:val="single"/>
        </w:rPr>
        <w:t>/a</w:t>
      </w:r>
      <w:r>
        <w:rPr>
          <w:rFonts w:hint="eastAsia" w:cs="Times New Roman"/>
          <w:color w:val="FF0000"/>
          <w:u w:val="single"/>
        </w:rPr>
        <w:t>、禽类活屠重为21250</w:t>
      </w:r>
      <w:r>
        <w:rPr>
          <w:rFonts w:cs="Times New Roman"/>
          <w:color w:val="FF0000"/>
          <w:u w:val="single"/>
        </w:rPr>
        <w:t>t</w:t>
      </w:r>
      <w:r>
        <w:rPr>
          <w:rFonts w:hint="eastAsia" w:cs="Times New Roman"/>
          <w:color w:val="FF0000"/>
          <w:u w:val="single"/>
        </w:rPr>
        <w:t>，基准排水量为382500</w:t>
      </w:r>
      <w:r>
        <w:rPr>
          <w:rFonts w:cs="Times New Roman"/>
          <w:color w:val="FF0000"/>
          <w:u w:val="single"/>
        </w:rPr>
        <w:t>m</w:t>
      </w:r>
      <w:r>
        <w:rPr>
          <w:rFonts w:cs="Times New Roman"/>
          <w:color w:val="FF0000"/>
          <w:u w:val="single"/>
          <w:vertAlign w:val="superscript"/>
        </w:rPr>
        <w:t>3</w:t>
      </w:r>
      <w:r>
        <w:rPr>
          <w:rFonts w:cs="Times New Roman"/>
          <w:color w:val="FF0000"/>
          <w:u w:val="single"/>
        </w:rPr>
        <w:t>/a</w:t>
      </w:r>
      <w:r>
        <w:rPr>
          <w:rFonts w:hint="eastAsia" w:cs="Times New Roman"/>
          <w:color w:val="FF0000"/>
          <w:u w:val="single"/>
        </w:rPr>
        <w:t>。本项目建成后畜类屠宰废水总排放量为10200</w:t>
      </w:r>
      <w:r>
        <w:rPr>
          <w:rFonts w:cs="Times New Roman"/>
          <w:color w:val="FF0000"/>
          <w:u w:val="single"/>
        </w:rPr>
        <w:t>m</w:t>
      </w:r>
      <w:r>
        <w:rPr>
          <w:rFonts w:cs="Times New Roman"/>
          <w:color w:val="FF0000"/>
          <w:u w:val="single"/>
          <w:vertAlign w:val="superscript"/>
        </w:rPr>
        <w:t>3</w:t>
      </w:r>
      <w:r>
        <w:rPr>
          <w:rFonts w:cs="Times New Roman"/>
          <w:color w:val="FF0000"/>
          <w:u w:val="single"/>
        </w:rPr>
        <w:t>/a</w:t>
      </w:r>
      <w:r>
        <w:rPr>
          <w:rFonts w:hint="eastAsia" w:cs="Times New Roman"/>
          <w:color w:val="FF0000"/>
          <w:u w:val="single"/>
        </w:rPr>
        <w:t>、禽类屠宰废水总排放量为157250</w:t>
      </w:r>
      <w:r>
        <w:rPr>
          <w:rFonts w:cs="Times New Roman"/>
          <w:color w:val="FF0000"/>
          <w:u w:val="single"/>
        </w:rPr>
        <w:t xml:space="preserve"> m</w:t>
      </w:r>
      <w:r>
        <w:rPr>
          <w:rFonts w:cs="Times New Roman"/>
          <w:color w:val="FF0000"/>
          <w:u w:val="single"/>
          <w:vertAlign w:val="superscript"/>
        </w:rPr>
        <w:t>3</w:t>
      </w:r>
      <w:r>
        <w:rPr>
          <w:rFonts w:cs="Times New Roman"/>
          <w:color w:val="FF0000"/>
          <w:u w:val="single"/>
        </w:rPr>
        <w:t>/a</w:t>
      </w:r>
      <w:r>
        <w:rPr>
          <w:rFonts w:hint="eastAsia" w:cs="Times New Roman"/>
          <w:color w:val="FF0000"/>
          <w:u w:val="single"/>
        </w:rPr>
        <w:t>，满足《肉类加工工业水污染物排放标准》（</w:t>
      </w:r>
      <w:r>
        <w:rPr>
          <w:rFonts w:cs="Times New Roman"/>
          <w:color w:val="FF0000"/>
          <w:u w:val="single"/>
        </w:rPr>
        <w:t>GB13457-92</w:t>
      </w:r>
      <w:r>
        <w:rPr>
          <w:rFonts w:hint="eastAsia" w:cs="Times New Roman"/>
          <w:color w:val="FF0000"/>
          <w:u w:val="single"/>
        </w:rPr>
        <w:t>）中畜类、禽类屠宰加工单位产品基准排水量的要求。</w:t>
      </w:r>
    </w:p>
    <w:p>
      <w:pPr>
        <w:pStyle w:val="3"/>
        <w:ind w:firstLine="0" w:firstLineChars="0"/>
        <w:outlineLvl w:val="2"/>
        <w:rPr>
          <w:rFonts w:eastAsia="黑体" w:cstheme="majorBidi"/>
          <w:bCs/>
          <w:szCs w:val="32"/>
        </w:rPr>
      </w:pPr>
      <w:r>
        <w:rPr>
          <w:rFonts w:hint="eastAsia"/>
        </w:rPr>
        <w:t>4.2.4</w:t>
      </w:r>
      <w:r>
        <w:rPr>
          <w:rFonts w:hint="eastAsia" w:eastAsia="黑体" w:cstheme="majorBidi"/>
          <w:bCs/>
          <w:szCs w:val="32"/>
        </w:rPr>
        <w:tab/>
      </w:r>
      <w:r>
        <w:rPr>
          <w:rFonts w:hint="eastAsia" w:eastAsia="黑体" w:cstheme="majorBidi"/>
          <w:bCs/>
          <w:szCs w:val="32"/>
        </w:rPr>
        <w:t>废气污染源强分析</w:t>
      </w:r>
    </w:p>
    <w:p>
      <w:pPr>
        <w:pStyle w:val="3"/>
        <w:ind w:firstLine="480"/>
        <w:rPr>
          <w:rFonts w:cs="Times New Roman"/>
        </w:rPr>
      </w:pPr>
      <w:r>
        <w:rPr>
          <w:rFonts w:hint="eastAsia" w:cs="Times New Roman"/>
        </w:rPr>
        <w:t>1、生物质锅炉废气</w:t>
      </w:r>
    </w:p>
    <w:p>
      <w:pPr>
        <w:spacing w:line="360" w:lineRule="auto"/>
        <w:ind w:firstLine="480" w:firstLineChars="200"/>
        <w:rPr>
          <w:rFonts w:ascii="Times New Roman" w:hAnsi="Times New Roman"/>
          <w:sz w:val="24"/>
        </w:rPr>
      </w:pPr>
      <w:r>
        <w:rPr>
          <w:rFonts w:hint="eastAsia" w:ascii="Times New Roman" w:hAnsi="Times New Roman"/>
          <w:sz w:val="24"/>
        </w:rPr>
        <w:t>本次扩建工程设置</w:t>
      </w:r>
      <w:r>
        <w:rPr>
          <w:rFonts w:ascii="Times New Roman" w:hAnsi="Times New Roman"/>
          <w:sz w:val="24"/>
        </w:rPr>
        <w:t>1</w:t>
      </w:r>
      <w:r>
        <w:rPr>
          <w:rFonts w:hint="eastAsia" w:ascii="Times New Roman" w:hAnsi="Times New Roman"/>
          <w:sz w:val="24"/>
        </w:rPr>
        <w:t>台</w:t>
      </w:r>
      <w:r>
        <w:rPr>
          <w:rFonts w:ascii="Times New Roman" w:hAnsi="Times New Roman"/>
          <w:sz w:val="24"/>
        </w:rPr>
        <w:t>1t/h</w:t>
      </w:r>
      <w:r>
        <w:rPr>
          <w:rFonts w:hint="eastAsia" w:ascii="Times New Roman" w:hAnsi="Times New Roman"/>
          <w:sz w:val="24"/>
        </w:rPr>
        <w:t>锅炉供热，燃料为生物质，燃烧产生的废气主要污染物为</w:t>
      </w:r>
      <w:r>
        <w:rPr>
          <w:rFonts w:ascii="Times New Roman" w:hAnsi="Times New Roman"/>
          <w:sz w:val="24"/>
        </w:rPr>
        <w:t>SO</w:t>
      </w:r>
      <w:r>
        <w:rPr>
          <w:rFonts w:ascii="Times New Roman" w:hAnsi="Times New Roman"/>
          <w:sz w:val="24"/>
          <w:vertAlign w:val="subscript"/>
        </w:rPr>
        <w:t>2</w:t>
      </w:r>
      <w:r>
        <w:rPr>
          <w:rFonts w:hint="eastAsia" w:ascii="Times New Roman" w:hAnsi="Times New Roman"/>
          <w:sz w:val="24"/>
        </w:rPr>
        <w:t>、</w:t>
      </w:r>
      <w:r>
        <w:rPr>
          <w:rFonts w:ascii="Times New Roman" w:hAnsi="Times New Roman"/>
          <w:sz w:val="24"/>
        </w:rPr>
        <w:t>NO</w:t>
      </w:r>
      <w:r>
        <w:rPr>
          <w:rFonts w:ascii="Times New Roman" w:hAnsi="Times New Roman"/>
          <w:sz w:val="24"/>
          <w:vertAlign w:val="subscript"/>
        </w:rPr>
        <w:t>X</w:t>
      </w:r>
      <w:r>
        <w:rPr>
          <w:rFonts w:hint="eastAsia" w:ascii="Times New Roman" w:hAnsi="Times New Roman"/>
          <w:sz w:val="24"/>
        </w:rPr>
        <w:t>和烟尘。</w:t>
      </w:r>
    </w:p>
    <w:p>
      <w:pPr>
        <w:pStyle w:val="3"/>
        <w:ind w:firstLine="480"/>
      </w:pPr>
      <w:r>
        <w:rPr>
          <w:rFonts w:hint="eastAsia"/>
        </w:rPr>
        <w:t>根据热值计算，产生</w:t>
      </w:r>
      <w:r>
        <w:t>1</w:t>
      </w:r>
      <w:r>
        <w:rPr>
          <w:rFonts w:hint="eastAsia"/>
        </w:rPr>
        <w:t>吨蒸汽需要燃烧</w:t>
      </w:r>
      <w:r>
        <w:t>0.25t</w:t>
      </w:r>
      <w:r>
        <w:rPr>
          <w:rFonts w:hint="eastAsia"/>
        </w:rPr>
        <w:t>的生物质，项目燃生物质锅炉为</w:t>
      </w:r>
      <w:r>
        <w:t>1t/h</w:t>
      </w:r>
      <w:r>
        <w:rPr>
          <w:rFonts w:hint="eastAsia"/>
        </w:rPr>
        <w:t>，则生物质用量约为</w:t>
      </w:r>
      <w:r>
        <w:t>0.25t/h</w:t>
      </w:r>
      <w:r>
        <w:rPr>
          <w:rFonts w:hint="eastAsia"/>
        </w:rPr>
        <w:t>，年工作小时数约为</w:t>
      </w:r>
      <w:r>
        <w:t>2400h</w:t>
      </w:r>
      <w:r>
        <w:rPr>
          <w:rFonts w:hint="eastAsia"/>
        </w:rPr>
        <w:t>，年用量</w:t>
      </w:r>
      <w:r>
        <w:t>600t/a</w:t>
      </w:r>
      <w:r>
        <w:rPr>
          <w:rFonts w:hint="eastAsia"/>
        </w:rPr>
        <w:t>。燃烧生物质的产生的污染物主要为烟尘、</w:t>
      </w:r>
      <w:r>
        <w:t>SO</w:t>
      </w:r>
      <w:r>
        <w:rPr>
          <w:vertAlign w:val="subscript"/>
        </w:rPr>
        <w:t>2</w:t>
      </w:r>
      <w:r>
        <w:rPr>
          <w:rFonts w:hint="eastAsia"/>
        </w:rPr>
        <w:t>和氮氧化物根据《工业源产排污系数</w:t>
      </w:r>
      <w:r>
        <w:t xml:space="preserve"> </w:t>
      </w:r>
      <w:r>
        <w:rPr>
          <w:rFonts w:hint="eastAsia"/>
        </w:rPr>
        <w:t>手册（</w:t>
      </w:r>
      <w:r>
        <w:t>2010</w:t>
      </w:r>
      <w:r>
        <w:rPr>
          <w:rFonts w:hint="eastAsia"/>
        </w:rPr>
        <w:t>修订）》下册</w:t>
      </w:r>
      <w:r>
        <w:t xml:space="preserve">“4430 </w:t>
      </w:r>
      <w:r>
        <w:rPr>
          <w:rFonts w:hint="eastAsia"/>
        </w:rPr>
        <w:t>工业锅炉（热力生产和供应行业）产排污系数表</w:t>
      </w:r>
      <w:r>
        <w:t>-</w:t>
      </w:r>
      <w:r>
        <w:rPr>
          <w:rFonts w:hint="eastAsia"/>
        </w:rPr>
        <w:t>生物质</w:t>
      </w:r>
      <w:r>
        <w:t xml:space="preserve"> </w:t>
      </w:r>
      <w:r>
        <w:rPr>
          <w:rFonts w:hint="eastAsia"/>
        </w:rPr>
        <w:t>工业锅炉</w:t>
      </w:r>
      <w:r>
        <w:t>”</w:t>
      </w:r>
      <w:r>
        <w:rPr>
          <w:rFonts w:hint="eastAsia"/>
        </w:rPr>
        <w:t>，生物质锅炉的排污系数见表：</w:t>
      </w:r>
    </w:p>
    <w:p>
      <w:pPr>
        <w:pStyle w:val="3"/>
        <w:spacing w:line="240" w:lineRule="auto"/>
        <w:ind w:firstLine="0" w:firstLineChars="0"/>
        <w:jc w:val="center"/>
        <w:rPr>
          <w:rFonts w:cs="Times New Roman"/>
        </w:rPr>
      </w:pPr>
      <w:r>
        <w:rPr>
          <w:rFonts w:hint="eastAsia" w:cs="Times New Roman" w:eastAsiaTheme="minorEastAsia"/>
          <w:b/>
        </w:rPr>
        <w:t>表4.2-7  生物质锅炉的排污系数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466"/>
        <w:gridCol w:w="983"/>
        <w:gridCol w:w="1224"/>
        <w:gridCol w:w="1526"/>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val="0"/>
              <w:jc w:val="center"/>
              <w:rPr>
                <w:rFonts w:ascii="Times New Roman" w:hAnsi="Times New Roman" w:cs="Times New Roman"/>
              </w:rPr>
            </w:pPr>
            <w:r>
              <w:rPr>
                <w:rFonts w:ascii="Times New Roman" w:hAnsi="Times New Roman" w:cs="Times New Roman"/>
              </w:rPr>
              <w:t>产品名称</w:t>
            </w:r>
          </w:p>
        </w:tc>
        <w:tc>
          <w:tcPr>
            <w:tcW w:w="799" w:type="pct"/>
            <w:vAlign w:val="center"/>
          </w:tcPr>
          <w:p>
            <w:pPr>
              <w:widowControl w:val="0"/>
              <w:jc w:val="center"/>
              <w:rPr>
                <w:rFonts w:ascii="Times New Roman" w:hAnsi="Times New Roman" w:cs="Times New Roman"/>
              </w:rPr>
            </w:pPr>
            <w:r>
              <w:rPr>
                <w:rFonts w:ascii="Times New Roman" w:hAnsi="Times New Roman" w:cs="Times New Roman"/>
              </w:rPr>
              <w:t>原料名称</w:t>
            </w:r>
          </w:p>
        </w:tc>
        <w:tc>
          <w:tcPr>
            <w:tcW w:w="536" w:type="pct"/>
            <w:vAlign w:val="center"/>
          </w:tcPr>
          <w:p>
            <w:pPr>
              <w:widowControl w:val="0"/>
              <w:jc w:val="center"/>
              <w:rPr>
                <w:rFonts w:ascii="Times New Roman" w:hAnsi="Times New Roman" w:cs="Times New Roman"/>
              </w:rPr>
            </w:pPr>
            <w:r>
              <w:rPr>
                <w:rFonts w:ascii="Times New Roman" w:hAnsi="Times New Roman" w:cs="Times New Roman"/>
              </w:rPr>
              <w:t>工艺名称</w:t>
            </w:r>
          </w:p>
        </w:tc>
        <w:tc>
          <w:tcPr>
            <w:tcW w:w="667" w:type="pct"/>
            <w:vAlign w:val="center"/>
          </w:tcPr>
          <w:p>
            <w:pPr>
              <w:widowControl w:val="0"/>
              <w:jc w:val="center"/>
              <w:rPr>
                <w:rFonts w:ascii="Times New Roman" w:hAnsi="Times New Roman" w:cs="Times New Roman"/>
              </w:rPr>
            </w:pPr>
            <w:r>
              <w:rPr>
                <w:rFonts w:ascii="Times New Roman" w:hAnsi="Times New Roman" w:cs="Times New Roman"/>
              </w:rPr>
              <w:t>规模等级</w:t>
            </w:r>
          </w:p>
        </w:tc>
        <w:tc>
          <w:tcPr>
            <w:tcW w:w="832" w:type="pct"/>
            <w:vAlign w:val="center"/>
          </w:tcPr>
          <w:p>
            <w:pPr>
              <w:widowControl w:val="0"/>
              <w:jc w:val="center"/>
              <w:rPr>
                <w:rFonts w:ascii="Times New Roman" w:hAnsi="Times New Roman" w:cs="Times New Roman"/>
              </w:rPr>
            </w:pPr>
            <w:r>
              <w:rPr>
                <w:rFonts w:ascii="Times New Roman" w:hAnsi="Times New Roman" w:cs="Times New Roman"/>
              </w:rPr>
              <w:t>污染物指标</w:t>
            </w:r>
          </w:p>
        </w:tc>
        <w:tc>
          <w:tcPr>
            <w:tcW w:w="1509" w:type="pct"/>
            <w:vAlign w:val="center"/>
          </w:tcPr>
          <w:p>
            <w:pPr>
              <w:widowControl w:val="0"/>
              <w:jc w:val="center"/>
              <w:rPr>
                <w:rFonts w:ascii="Times New Roman" w:hAnsi="Times New Roman" w:cs="Times New Roman"/>
              </w:rPr>
            </w:pPr>
            <w:r>
              <w:rPr>
                <w:rFonts w:ascii="Times New Roman" w:hAnsi="Times New Roman" w:cs="Times New Roman"/>
              </w:rPr>
              <w:t>产排污系数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restart"/>
            <w:vAlign w:val="center"/>
          </w:tcPr>
          <w:p>
            <w:pPr>
              <w:widowControl w:val="0"/>
              <w:jc w:val="center"/>
              <w:rPr>
                <w:rFonts w:ascii="Times New Roman" w:hAnsi="Times New Roman" w:cs="Times New Roman"/>
              </w:rPr>
            </w:pPr>
            <w:r>
              <w:rPr>
                <w:rFonts w:ascii="Times New Roman" w:hAnsi="Times New Roman" w:cs="Times New Roman"/>
              </w:rPr>
              <w:t>蒸汽/热水/其他</w:t>
            </w:r>
          </w:p>
        </w:tc>
        <w:tc>
          <w:tcPr>
            <w:tcW w:w="799" w:type="pct"/>
            <w:vMerge w:val="restart"/>
            <w:vAlign w:val="center"/>
          </w:tcPr>
          <w:p>
            <w:pPr>
              <w:widowControl w:val="0"/>
              <w:jc w:val="center"/>
              <w:rPr>
                <w:rFonts w:ascii="Times New Roman" w:hAnsi="Times New Roman" w:cs="Times New Roman"/>
              </w:rPr>
            </w:pPr>
            <w:r>
              <w:rPr>
                <w:rFonts w:ascii="Times New Roman" w:hAnsi="Times New Roman" w:cs="Times New Roman"/>
              </w:rPr>
              <w:t>生物质颗粒(压块)</w:t>
            </w:r>
          </w:p>
        </w:tc>
        <w:tc>
          <w:tcPr>
            <w:tcW w:w="536" w:type="pct"/>
            <w:vMerge w:val="restart"/>
            <w:vAlign w:val="center"/>
          </w:tcPr>
          <w:p>
            <w:pPr>
              <w:widowControl w:val="0"/>
              <w:jc w:val="center"/>
              <w:rPr>
                <w:rFonts w:ascii="Times New Roman" w:hAnsi="Times New Roman" w:cs="Times New Roman"/>
              </w:rPr>
            </w:pPr>
            <w:r>
              <w:rPr>
                <w:rFonts w:ascii="Times New Roman" w:hAnsi="Times New Roman" w:cs="Times New Roman"/>
              </w:rPr>
              <w:t>层燃炉</w:t>
            </w:r>
          </w:p>
        </w:tc>
        <w:tc>
          <w:tcPr>
            <w:tcW w:w="667" w:type="pct"/>
            <w:vMerge w:val="restart"/>
            <w:vAlign w:val="center"/>
          </w:tcPr>
          <w:p>
            <w:pPr>
              <w:widowControl w:val="0"/>
              <w:jc w:val="center"/>
              <w:rPr>
                <w:rFonts w:ascii="Times New Roman" w:hAnsi="Times New Roman" w:cs="Times New Roman"/>
              </w:rPr>
            </w:pPr>
            <w:r>
              <w:rPr>
                <w:rFonts w:ascii="Times New Roman" w:hAnsi="Times New Roman" w:cs="Times New Roman"/>
              </w:rPr>
              <w:t>所有规模</w:t>
            </w:r>
          </w:p>
        </w:tc>
        <w:tc>
          <w:tcPr>
            <w:tcW w:w="832" w:type="pct"/>
            <w:vAlign w:val="center"/>
          </w:tcPr>
          <w:p>
            <w:pPr>
              <w:widowControl w:val="0"/>
              <w:jc w:val="center"/>
              <w:rPr>
                <w:rFonts w:ascii="Times New Roman" w:hAnsi="Times New Roman" w:cs="Times New Roman"/>
              </w:rPr>
            </w:pPr>
            <w:r>
              <w:rPr>
                <w:rFonts w:ascii="Times New Roman" w:hAnsi="Times New Roman" w:cs="Times New Roman"/>
              </w:rPr>
              <w:t>工业废气</w:t>
            </w:r>
          </w:p>
        </w:tc>
        <w:tc>
          <w:tcPr>
            <w:tcW w:w="1509" w:type="pct"/>
            <w:vAlign w:val="center"/>
          </w:tcPr>
          <w:p>
            <w:pPr>
              <w:widowControl w:val="0"/>
              <w:jc w:val="center"/>
              <w:rPr>
                <w:rFonts w:ascii="Times New Roman" w:hAnsi="Times New Roman" w:cs="Times New Roman"/>
              </w:rPr>
            </w:pPr>
            <w:r>
              <w:rPr>
                <w:rFonts w:ascii="Times New Roman" w:hAnsi="Times New Roman" w:cs="Times New Roman"/>
              </w:rPr>
              <w:t>6240.28标立方米/吨-原料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continue"/>
            <w:vAlign w:val="center"/>
          </w:tcPr>
          <w:p>
            <w:pPr>
              <w:jc w:val="center"/>
              <w:rPr>
                <w:rFonts w:ascii="Times New Roman" w:hAnsi="Times New Roman" w:cs="Times New Roman"/>
              </w:rPr>
            </w:pPr>
          </w:p>
        </w:tc>
        <w:tc>
          <w:tcPr>
            <w:tcW w:w="799" w:type="pct"/>
            <w:vMerge w:val="continue"/>
            <w:vAlign w:val="center"/>
          </w:tcPr>
          <w:p>
            <w:pPr>
              <w:jc w:val="center"/>
              <w:rPr>
                <w:rFonts w:ascii="Times New Roman" w:hAnsi="Times New Roman" w:cs="Times New Roman"/>
              </w:rPr>
            </w:pPr>
          </w:p>
        </w:tc>
        <w:tc>
          <w:tcPr>
            <w:tcW w:w="536" w:type="pct"/>
            <w:vMerge w:val="continue"/>
            <w:vAlign w:val="center"/>
          </w:tcPr>
          <w:p>
            <w:pPr>
              <w:jc w:val="center"/>
              <w:rPr>
                <w:rFonts w:ascii="Times New Roman" w:hAnsi="Times New Roman" w:cs="Times New Roman"/>
              </w:rPr>
            </w:pPr>
          </w:p>
        </w:tc>
        <w:tc>
          <w:tcPr>
            <w:tcW w:w="667" w:type="pct"/>
            <w:vMerge w:val="continue"/>
            <w:vAlign w:val="center"/>
          </w:tcPr>
          <w:p>
            <w:pPr>
              <w:jc w:val="center"/>
              <w:rPr>
                <w:rFonts w:ascii="Times New Roman" w:hAnsi="Times New Roman" w:cs="Times New Roman"/>
              </w:rPr>
            </w:pPr>
          </w:p>
        </w:tc>
        <w:tc>
          <w:tcPr>
            <w:tcW w:w="832" w:type="pct"/>
            <w:vAlign w:val="center"/>
          </w:tcPr>
          <w:p>
            <w:pPr>
              <w:widowControl w:val="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509" w:type="pct"/>
            <w:vAlign w:val="center"/>
          </w:tcPr>
          <w:p>
            <w:pPr>
              <w:widowControl w:val="0"/>
              <w:jc w:val="center"/>
              <w:rPr>
                <w:rFonts w:ascii="Times New Roman" w:hAnsi="Times New Roman" w:cs="Times New Roman"/>
              </w:rPr>
            </w:pPr>
            <w:r>
              <w:rPr>
                <w:rFonts w:ascii="Times New Roman" w:hAnsi="Times New Roman" w:cs="Times New Roman"/>
              </w:rPr>
              <w:t>S=17*S千克/吨-原料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continue"/>
            <w:vAlign w:val="center"/>
          </w:tcPr>
          <w:p>
            <w:pPr>
              <w:jc w:val="center"/>
              <w:rPr>
                <w:rFonts w:ascii="Times New Roman" w:hAnsi="Times New Roman" w:cs="Times New Roman"/>
              </w:rPr>
            </w:pPr>
          </w:p>
        </w:tc>
        <w:tc>
          <w:tcPr>
            <w:tcW w:w="799" w:type="pct"/>
            <w:vMerge w:val="continue"/>
            <w:vAlign w:val="center"/>
          </w:tcPr>
          <w:p>
            <w:pPr>
              <w:jc w:val="center"/>
              <w:rPr>
                <w:rFonts w:ascii="Times New Roman" w:hAnsi="Times New Roman" w:cs="Times New Roman"/>
              </w:rPr>
            </w:pPr>
          </w:p>
        </w:tc>
        <w:tc>
          <w:tcPr>
            <w:tcW w:w="536" w:type="pct"/>
            <w:vMerge w:val="continue"/>
            <w:vAlign w:val="center"/>
          </w:tcPr>
          <w:p>
            <w:pPr>
              <w:jc w:val="center"/>
              <w:rPr>
                <w:rFonts w:ascii="Times New Roman" w:hAnsi="Times New Roman" w:cs="Times New Roman"/>
              </w:rPr>
            </w:pPr>
          </w:p>
        </w:tc>
        <w:tc>
          <w:tcPr>
            <w:tcW w:w="667" w:type="pct"/>
            <w:vMerge w:val="continue"/>
            <w:vAlign w:val="center"/>
          </w:tcPr>
          <w:p>
            <w:pPr>
              <w:jc w:val="center"/>
              <w:rPr>
                <w:rFonts w:ascii="Times New Roman" w:hAnsi="Times New Roman" w:cs="Times New Roman"/>
              </w:rPr>
            </w:pPr>
          </w:p>
        </w:tc>
        <w:tc>
          <w:tcPr>
            <w:tcW w:w="832" w:type="pct"/>
            <w:vAlign w:val="center"/>
          </w:tcPr>
          <w:p>
            <w:pPr>
              <w:widowControl w:val="0"/>
              <w:jc w:val="center"/>
              <w:rPr>
                <w:rFonts w:ascii="Times New Roman" w:hAnsi="Times New Roman" w:cs="Times New Roman"/>
              </w:rPr>
            </w:pPr>
            <w:r>
              <w:rPr>
                <w:rFonts w:ascii="Times New Roman" w:hAnsi="Times New Roman" w:cs="Times New Roman"/>
              </w:rPr>
              <w:t>NOx</w:t>
            </w:r>
          </w:p>
        </w:tc>
        <w:tc>
          <w:tcPr>
            <w:tcW w:w="1509" w:type="pct"/>
            <w:vAlign w:val="center"/>
          </w:tcPr>
          <w:p>
            <w:pPr>
              <w:widowControl w:val="0"/>
              <w:jc w:val="center"/>
              <w:rPr>
                <w:rFonts w:ascii="Times New Roman" w:hAnsi="Times New Roman" w:cs="Times New Roman"/>
              </w:rPr>
            </w:pPr>
            <w:r>
              <w:rPr>
                <w:rFonts w:ascii="Times New Roman" w:hAnsi="Times New Roman" w:cs="Times New Roman"/>
              </w:rPr>
              <w:t>1.02千克/吨-原料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continue"/>
            <w:vAlign w:val="center"/>
          </w:tcPr>
          <w:p>
            <w:pPr>
              <w:jc w:val="center"/>
              <w:rPr>
                <w:rFonts w:ascii="Times New Roman" w:hAnsi="Times New Roman" w:cs="Times New Roman"/>
              </w:rPr>
            </w:pPr>
          </w:p>
        </w:tc>
        <w:tc>
          <w:tcPr>
            <w:tcW w:w="799" w:type="pct"/>
            <w:vMerge w:val="continue"/>
            <w:vAlign w:val="center"/>
          </w:tcPr>
          <w:p>
            <w:pPr>
              <w:jc w:val="center"/>
              <w:rPr>
                <w:rFonts w:ascii="Times New Roman" w:hAnsi="Times New Roman" w:cs="Times New Roman"/>
              </w:rPr>
            </w:pPr>
          </w:p>
        </w:tc>
        <w:tc>
          <w:tcPr>
            <w:tcW w:w="536" w:type="pct"/>
            <w:vMerge w:val="continue"/>
            <w:vAlign w:val="center"/>
          </w:tcPr>
          <w:p>
            <w:pPr>
              <w:jc w:val="center"/>
              <w:rPr>
                <w:rFonts w:ascii="Times New Roman" w:hAnsi="Times New Roman" w:cs="Times New Roman"/>
              </w:rPr>
            </w:pPr>
          </w:p>
        </w:tc>
        <w:tc>
          <w:tcPr>
            <w:tcW w:w="667" w:type="pct"/>
            <w:vMerge w:val="continue"/>
            <w:vAlign w:val="center"/>
          </w:tcPr>
          <w:p>
            <w:pPr>
              <w:jc w:val="center"/>
              <w:rPr>
                <w:rFonts w:ascii="Times New Roman" w:hAnsi="Times New Roman" w:cs="Times New Roman"/>
              </w:rPr>
            </w:pPr>
          </w:p>
        </w:tc>
        <w:tc>
          <w:tcPr>
            <w:tcW w:w="832" w:type="pct"/>
            <w:vAlign w:val="center"/>
          </w:tcPr>
          <w:p>
            <w:pPr>
              <w:widowControl w:val="0"/>
              <w:jc w:val="center"/>
              <w:rPr>
                <w:rFonts w:ascii="Times New Roman" w:hAnsi="Times New Roman" w:cs="Times New Roman"/>
              </w:rPr>
            </w:pPr>
            <w:r>
              <w:rPr>
                <w:rFonts w:ascii="Times New Roman" w:hAnsi="Times New Roman" w:cs="Times New Roman"/>
              </w:rPr>
              <w:t>烟尘</w:t>
            </w:r>
          </w:p>
        </w:tc>
        <w:tc>
          <w:tcPr>
            <w:tcW w:w="1509" w:type="pct"/>
            <w:vAlign w:val="center"/>
          </w:tcPr>
          <w:p>
            <w:pPr>
              <w:pStyle w:val="61"/>
              <w:jc w:val="center"/>
              <w:rPr>
                <w:rFonts w:ascii="Times New Roman" w:hAnsi="Times New Roman" w:cs="Times New Roman" w:eastAsiaTheme="minorEastAsia"/>
              </w:rPr>
            </w:pPr>
            <w:r>
              <w:rPr>
                <w:rFonts w:ascii="Times New Roman" w:hAnsi="Times New Roman" w:cs="Times New Roman" w:eastAsiaTheme="minorEastAsia"/>
              </w:rPr>
              <w:t>0.5千克/吨-原料</w:t>
            </w:r>
          </w:p>
        </w:tc>
      </w:tr>
    </w:tbl>
    <w:p>
      <w:pPr>
        <w:pStyle w:val="3"/>
        <w:ind w:firstLine="360"/>
        <w:rPr>
          <w:sz w:val="18"/>
          <w:szCs w:val="18"/>
        </w:rPr>
      </w:pPr>
      <w:r>
        <w:rPr>
          <w:rFonts w:hint="eastAsia"/>
          <w:sz w:val="18"/>
          <w:szCs w:val="18"/>
        </w:rPr>
        <w:t>注：二氧化硫的产排污系数是以含硫量（</w:t>
      </w:r>
      <w:r>
        <w:rPr>
          <w:sz w:val="18"/>
          <w:szCs w:val="18"/>
        </w:rPr>
        <w:t>S</w:t>
      </w:r>
      <w:r>
        <w:rPr>
          <w:rFonts w:hint="eastAsia"/>
          <w:sz w:val="18"/>
          <w:szCs w:val="18"/>
        </w:rPr>
        <w:t>％）的形式表示的，其中含硫量（</w:t>
      </w:r>
      <w:r>
        <w:rPr>
          <w:sz w:val="18"/>
          <w:szCs w:val="18"/>
        </w:rPr>
        <w:t>S</w:t>
      </w:r>
      <w:r>
        <w:rPr>
          <w:rFonts w:hint="eastAsia"/>
          <w:sz w:val="18"/>
          <w:szCs w:val="18"/>
        </w:rPr>
        <w:t>％）是指生物质收到基硫分含量，以质量百分数的形式表示。生物质中含硫量（</w:t>
      </w:r>
      <w:r>
        <w:rPr>
          <w:sz w:val="18"/>
          <w:szCs w:val="18"/>
        </w:rPr>
        <w:t>S</w:t>
      </w:r>
      <w:r>
        <w:rPr>
          <w:rFonts w:hint="eastAsia"/>
          <w:sz w:val="18"/>
          <w:szCs w:val="18"/>
        </w:rPr>
        <w:t>％）一般为</w:t>
      </w:r>
      <w:r>
        <w:rPr>
          <w:sz w:val="18"/>
          <w:szCs w:val="18"/>
        </w:rPr>
        <w:t>0.02</w:t>
      </w:r>
      <w:r>
        <w:rPr>
          <w:rFonts w:hint="eastAsia"/>
          <w:sz w:val="18"/>
          <w:szCs w:val="18"/>
        </w:rPr>
        <w:t>％，则</w:t>
      </w:r>
      <w:r>
        <w:rPr>
          <w:sz w:val="18"/>
          <w:szCs w:val="18"/>
        </w:rPr>
        <w:t>S=0.02</w:t>
      </w:r>
      <w:r>
        <w:rPr>
          <w:rFonts w:hint="eastAsia"/>
          <w:sz w:val="18"/>
          <w:szCs w:val="18"/>
        </w:rPr>
        <w:t>。</w:t>
      </w:r>
    </w:p>
    <w:p>
      <w:pPr>
        <w:pStyle w:val="3"/>
        <w:ind w:firstLine="480"/>
      </w:pPr>
      <w:r>
        <w:rPr>
          <w:rFonts w:hint="eastAsia"/>
        </w:rPr>
        <w:t>经计算得锅炉烟气产生量为</w:t>
      </w:r>
      <w:r>
        <w:t>374.4</w:t>
      </w:r>
      <w:r>
        <w:rPr>
          <w:rFonts w:hint="eastAsia"/>
        </w:rPr>
        <w:t>万</w:t>
      </w:r>
      <w:r>
        <w:t>m</w:t>
      </w:r>
      <w:r>
        <w:rPr>
          <w:vertAlign w:val="superscript"/>
        </w:rPr>
        <w:t>3</w:t>
      </w:r>
      <w:r>
        <w:t>/a</w:t>
      </w:r>
      <w:r>
        <w:rPr>
          <w:rFonts w:hint="eastAsia"/>
        </w:rPr>
        <w:t>，烟尘产生量为</w:t>
      </w:r>
      <w:r>
        <w:t>0.3t/a</w:t>
      </w:r>
      <w:r>
        <w:rPr>
          <w:rFonts w:hint="eastAsia"/>
        </w:rPr>
        <w:t>（</w:t>
      </w:r>
      <w:r>
        <w:t>0.125 kg/h</w:t>
      </w:r>
      <w:r>
        <w:rPr>
          <w:rFonts w:hint="eastAsia"/>
        </w:rPr>
        <w:t>），则烟尘产生浓度为</w:t>
      </w:r>
      <w:r>
        <w:t>41.7mg/m</w:t>
      </w:r>
      <w:r>
        <w:rPr>
          <w:vertAlign w:val="superscript"/>
        </w:rPr>
        <w:t>3</w:t>
      </w:r>
      <w:r>
        <w:rPr>
          <w:rFonts w:hint="eastAsia"/>
        </w:rPr>
        <w:t>，</w:t>
      </w:r>
      <w:r>
        <w:t>SO</w:t>
      </w:r>
      <w:r>
        <w:rPr>
          <w:vertAlign w:val="subscript"/>
        </w:rPr>
        <w:t>2</w:t>
      </w:r>
      <w:r>
        <w:rPr>
          <w:rFonts w:hint="eastAsia"/>
        </w:rPr>
        <w:t>的产生量为</w:t>
      </w:r>
      <w:r>
        <w:t>0.204t/a</w:t>
      </w:r>
      <w:r>
        <w:rPr>
          <w:rFonts w:hint="eastAsia"/>
        </w:rPr>
        <w:t>（</w:t>
      </w:r>
      <w:r>
        <w:t>0.085kg/h</w:t>
      </w:r>
      <w:r>
        <w:rPr>
          <w:rFonts w:hint="eastAsia"/>
        </w:rPr>
        <w:t>），产生浓度为</w:t>
      </w:r>
      <w:r>
        <w:t>28.3mg/m</w:t>
      </w:r>
      <w:r>
        <w:rPr>
          <w:vertAlign w:val="superscript"/>
        </w:rPr>
        <w:t>3</w:t>
      </w:r>
      <w:r>
        <w:rPr>
          <w:rFonts w:hint="eastAsia"/>
        </w:rPr>
        <w:t>，</w:t>
      </w:r>
      <w:r>
        <w:t>NOx</w:t>
      </w:r>
      <w:r>
        <w:rPr>
          <w:rFonts w:hint="eastAsia"/>
        </w:rPr>
        <w:t>的产生量为</w:t>
      </w:r>
      <w:r>
        <w:t>0.612t/a</w:t>
      </w:r>
      <w:r>
        <w:rPr>
          <w:rFonts w:hint="eastAsia"/>
        </w:rPr>
        <w:t>（</w:t>
      </w:r>
      <w:r>
        <w:t>0.255kg/h</w:t>
      </w:r>
      <w:r>
        <w:rPr>
          <w:rFonts w:hint="eastAsia"/>
        </w:rPr>
        <w:t>），产生浓度为</w:t>
      </w:r>
      <w:r>
        <w:t>85mg/m</w:t>
      </w:r>
      <w:r>
        <w:rPr>
          <w:vertAlign w:val="superscript"/>
        </w:rPr>
        <w:t>3</w:t>
      </w:r>
      <w:r>
        <w:rPr>
          <w:rFonts w:hint="eastAsia"/>
        </w:rPr>
        <w:t>。燃烧废气经过布袋除尘器（对SO</w:t>
      </w:r>
      <w:r>
        <w:rPr>
          <w:rFonts w:hint="eastAsia"/>
          <w:vertAlign w:val="subscript"/>
        </w:rPr>
        <w:t>2</w:t>
      </w:r>
      <w:r>
        <w:rPr>
          <w:rFonts w:hint="eastAsia"/>
        </w:rPr>
        <w:t>、NO</w:t>
      </w:r>
      <w:r>
        <w:rPr>
          <w:rFonts w:hint="eastAsia"/>
          <w:vertAlign w:val="subscript"/>
        </w:rPr>
        <w:t>X</w:t>
      </w:r>
      <w:r>
        <w:rPr>
          <w:rFonts w:hint="eastAsia"/>
        </w:rPr>
        <w:t>处理效率忽略不计，烟尘处理效率按99%计）处理后通过25m 高(以蒸汽发生器所在地面为基准)，内径0.3m 烟囱排放，计算后燃烧废气污染物产生排放情况见表4.2-8。</w:t>
      </w: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表4.2-8  改扩建项目生物质成型燃烧锅炉污染物排放情况表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910"/>
        <w:gridCol w:w="1049"/>
        <w:gridCol w:w="1077"/>
        <w:gridCol w:w="1134"/>
        <w:gridCol w:w="939"/>
        <w:gridCol w:w="903"/>
        <w:gridCol w:w="113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污染物</w:t>
            </w:r>
          </w:p>
        </w:tc>
        <w:tc>
          <w:tcPr>
            <w:tcW w:w="496"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产生量t/a</w:t>
            </w:r>
          </w:p>
        </w:tc>
        <w:tc>
          <w:tcPr>
            <w:tcW w:w="57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产生速率kg/h</w:t>
            </w:r>
          </w:p>
        </w:tc>
        <w:tc>
          <w:tcPr>
            <w:tcW w:w="587"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产生浓度mg/m</w:t>
            </w:r>
            <w:r>
              <w:rPr>
                <w:rFonts w:ascii="Times New Roman" w:hAnsi="Times New Roman" w:cs="Times New Roman"/>
                <w:color w:val="FF0000"/>
                <w:u w:val="single"/>
                <w:vertAlign w:val="superscript"/>
              </w:rPr>
              <w:t>3</w:t>
            </w:r>
          </w:p>
        </w:tc>
        <w:tc>
          <w:tcPr>
            <w:tcW w:w="618"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处理设施</w:t>
            </w:r>
          </w:p>
        </w:tc>
        <w:tc>
          <w:tcPr>
            <w:tcW w:w="51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处理效率%</w:t>
            </w:r>
          </w:p>
        </w:tc>
        <w:tc>
          <w:tcPr>
            <w:tcW w:w="492"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排放量t/a</w:t>
            </w:r>
          </w:p>
        </w:tc>
        <w:tc>
          <w:tcPr>
            <w:tcW w:w="619"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排放速率kg/h</w:t>
            </w:r>
          </w:p>
        </w:tc>
        <w:tc>
          <w:tcPr>
            <w:tcW w:w="613"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排放浓度mg/m</w:t>
            </w:r>
            <w:r>
              <w:rPr>
                <w:rFonts w:ascii="Times New Roman" w:hAnsi="Times New Roman" w:cs="Times New Roman"/>
                <w:color w:val="FF0000"/>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491"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烟尘</w:t>
            </w:r>
          </w:p>
        </w:tc>
        <w:tc>
          <w:tcPr>
            <w:tcW w:w="496"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0.3</w:t>
            </w:r>
          </w:p>
        </w:tc>
        <w:tc>
          <w:tcPr>
            <w:tcW w:w="57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0.125</w:t>
            </w:r>
          </w:p>
        </w:tc>
        <w:tc>
          <w:tcPr>
            <w:tcW w:w="587"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41.7</w:t>
            </w:r>
          </w:p>
        </w:tc>
        <w:tc>
          <w:tcPr>
            <w:tcW w:w="618" w:type="pct"/>
            <w:vMerge w:val="restar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color w:val="FF0000"/>
                <w:sz w:val="24"/>
                <w:u w:val="single"/>
              </w:rPr>
              <w:t>布</w:t>
            </w:r>
            <w:r>
              <w:rPr>
                <w:rFonts w:ascii="Times New Roman" w:hAnsi="Times New Roman" w:eastAsiaTheme="minorEastAsia"/>
                <w:color w:val="FF0000"/>
                <w:u w:val="single"/>
              </w:rPr>
              <w:t>袋除尘处理+25m高排气筒</w:t>
            </w:r>
          </w:p>
        </w:tc>
        <w:tc>
          <w:tcPr>
            <w:tcW w:w="512" w:type="pct"/>
            <w:vMerge w:val="restart"/>
            <w:vAlign w:val="center"/>
          </w:tcPr>
          <w:p>
            <w:pPr>
              <w:pStyle w:val="62"/>
              <w:adjustRightInd w:val="0"/>
              <w:snapToGrid w:val="0"/>
              <w:ind w:firstLine="0" w:firstLineChars="0"/>
              <w:jc w:val="center"/>
              <w:rPr>
                <w:rFonts w:ascii="Times New Roman" w:hAnsi="Times New Roman"/>
                <w:color w:val="FF0000"/>
                <w:szCs w:val="21"/>
                <w:u w:val="single"/>
              </w:rPr>
            </w:pPr>
            <w:r>
              <w:rPr>
                <w:rFonts w:hint="eastAsia" w:ascii="Times New Roman" w:hAnsi="Times New Roman"/>
                <w:color w:val="FF0000"/>
                <w:szCs w:val="21"/>
                <w:u w:val="single"/>
              </w:rPr>
              <w:t>99</w:t>
            </w:r>
            <w:r>
              <w:rPr>
                <w:rFonts w:ascii="Times New Roman" w:hAnsi="Times New Roman"/>
                <w:color w:val="FF0000"/>
                <w:szCs w:val="21"/>
                <w:u w:val="single"/>
              </w:rPr>
              <w:t>%</w:t>
            </w:r>
          </w:p>
        </w:tc>
        <w:tc>
          <w:tcPr>
            <w:tcW w:w="492" w:type="pct"/>
            <w:vAlign w:val="center"/>
          </w:tcPr>
          <w:p>
            <w:pPr>
              <w:pStyle w:val="62"/>
              <w:adjustRightInd w:val="0"/>
              <w:snapToGrid w:val="0"/>
              <w:ind w:firstLine="0" w:firstLineChars="0"/>
              <w:jc w:val="center"/>
              <w:rPr>
                <w:rFonts w:ascii="Times New Roman" w:hAnsi="Times New Roman"/>
                <w:color w:val="FF0000"/>
                <w:szCs w:val="21"/>
                <w:u w:val="single"/>
              </w:rPr>
            </w:pPr>
            <w:r>
              <w:rPr>
                <w:rFonts w:hint="eastAsia" w:ascii="Times New Roman" w:hAnsi="Times New Roman"/>
                <w:color w:val="FF0000"/>
                <w:szCs w:val="21"/>
                <w:u w:val="single"/>
              </w:rPr>
              <w:t>0.003</w:t>
            </w:r>
          </w:p>
        </w:tc>
        <w:tc>
          <w:tcPr>
            <w:tcW w:w="619"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0.0</w:t>
            </w:r>
            <w:r>
              <w:rPr>
                <w:rFonts w:hint="eastAsia" w:ascii="Times New Roman" w:hAnsi="Times New Roman"/>
                <w:color w:val="FF0000"/>
                <w:szCs w:val="21"/>
                <w:u w:val="single"/>
              </w:rPr>
              <w:t>0</w:t>
            </w:r>
            <w:r>
              <w:rPr>
                <w:rFonts w:ascii="Times New Roman" w:hAnsi="Times New Roman"/>
                <w:color w:val="FF0000"/>
                <w:szCs w:val="21"/>
                <w:u w:val="single"/>
              </w:rPr>
              <w:t>125</w:t>
            </w:r>
          </w:p>
        </w:tc>
        <w:tc>
          <w:tcPr>
            <w:tcW w:w="613" w:type="pct"/>
            <w:vAlign w:val="center"/>
          </w:tcPr>
          <w:p>
            <w:pPr>
              <w:pStyle w:val="62"/>
              <w:adjustRightInd w:val="0"/>
              <w:snapToGrid w:val="0"/>
              <w:ind w:firstLine="0" w:firstLineChars="0"/>
              <w:jc w:val="center"/>
              <w:rPr>
                <w:rFonts w:ascii="Times New Roman" w:hAnsi="Times New Roman"/>
                <w:color w:val="FF0000"/>
                <w:szCs w:val="21"/>
                <w:u w:val="single"/>
              </w:rPr>
            </w:pPr>
            <w:r>
              <w:rPr>
                <w:rFonts w:hint="eastAsia" w:ascii="Times New Roman" w:hAnsi="Times New Roman"/>
                <w:color w:val="FF0000"/>
                <w:szCs w:val="21"/>
                <w:u w:val="single"/>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91"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SO</w:t>
            </w:r>
            <w:r>
              <w:rPr>
                <w:rFonts w:ascii="Times New Roman" w:hAnsi="Times New Roman" w:eastAsiaTheme="minorEastAsia"/>
                <w:color w:val="FF0000"/>
                <w:szCs w:val="21"/>
                <w:u w:val="single"/>
                <w:vertAlign w:val="subscript"/>
              </w:rPr>
              <w:t>2</w:t>
            </w:r>
          </w:p>
        </w:tc>
        <w:tc>
          <w:tcPr>
            <w:tcW w:w="496"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0.204</w:t>
            </w:r>
          </w:p>
        </w:tc>
        <w:tc>
          <w:tcPr>
            <w:tcW w:w="57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0.085</w:t>
            </w:r>
          </w:p>
        </w:tc>
        <w:tc>
          <w:tcPr>
            <w:tcW w:w="587"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28.3</w:t>
            </w:r>
          </w:p>
        </w:tc>
        <w:tc>
          <w:tcPr>
            <w:tcW w:w="618" w:type="pct"/>
            <w:vMerge w:val="continue"/>
            <w:vAlign w:val="center"/>
          </w:tcPr>
          <w:p>
            <w:pPr>
              <w:pStyle w:val="62"/>
              <w:adjustRightInd w:val="0"/>
              <w:snapToGrid w:val="0"/>
              <w:ind w:firstLine="0" w:firstLineChars="0"/>
              <w:jc w:val="center"/>
              <w:rPr>
                <w:rFonts w:ascii="Times New Roman" w:hAnsi="Times New Roman" w:eastAsiaTheme="minorEastAsia"/>
                <w:color w:val="FF0000"/>
                <w:szCs w:val="21"/>
                <w:u w:val="single"/>
              </w:rPr>
            </w:pPr>
          </w:p>
        </w:tc>
        <w:tc>
          <w:tcPr>
            <w:tcW w:w="512" w:type="pct"/>
            <w:vMerge w:val="continue"/>
            <w:vAlign w:val="center"/>
          </w:tcPr>
          <w:p>
            <w:pPr>
              <w:pStyle w:val="62"/>
              <w:adjustRightInd w:val="0"/>
              <w:snapToGrid w:val="0"/>
              <w:jc w:val="center"/>
              <w:rPr>
                <w:rFonts w:ascii="Times New Roman" w:hAnsi="Times New Roman"/>
                <w:color w:val="FF0000"/>
                <w:szCs w:val="21"/>
                <w:u w:val="single"/>
              </w:rPr>
            </w:pPr>
          </w:p>
        </w:tc>
        <w:tc>
          <w:tcPr>
            <w:tcW w:w="49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0.204</w:t>
            </w:r>
          </w:p>
        </w:tc>
        <w:tc>
          <w:tcPr>
            <w:tcW w:w="619"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0.085</w:t>
            </w:r>
          </w:p>
        </w:tc>
        <w:tc>
          <w:tcPr>
            <w:tcW w:w="613"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91"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NOx</w:t>
            </w:r>
          </w:p>
        </w:tc>
        <w:tc>
          <w:tcPr>
            <w:tcW w:w="496"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0.612</w:t>
            </w:r>
          </w:p>
        </w:tc>
        <w:tc>
          <w:tcPr>
            <w:tcW w:w="57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0.255</w:t>
            </w:r>
          </w:p>
        </w:tc>
        <w:tc>
          <w:tcPr>
            <w:tcW w:w="587"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85</w:t>
            </w:r>
          </w:p>
        </w:tc>
        <w:tc>
          <w:tcPr>
            <w:tcW w:w="618" w:type="pct"/>
            <w:vMerge w:val="continue"/>
            <w:vAlign w:val="center"/>
          </w:tcPr>
          <w:p>
            <w:pPr>
              <w:pStyle w:val="62"/>
              <w:adjustRightInd w:val="0"/>
              <w:snapToGrid w:val="0"/>
              <w:ind w:firstLine="0" w:firstLineChars="0"/>
              <w:jc w:val="center"/>
              <w:rPr>
                <w:rFonts w:ascii="Times New Roman" w:hAnsi="Times New Roman"/>
                <w:color w:val="FF0000"/>
                <w:szCs w:val="21"/>
                <w:u w:val="single"/>
              </w:rPr>
            </w:pPr>
          </w:p>
        </w:tc>
        <w:tc>
          <w:tcPr>
            <w:tcW w:w="512" w:type="pct"/>
            <w:vMerge w:val="continue"/>
            <w:vAlign w:val="center"/>
          </w:tcPr>
          <w:p>
            <w:pPr>
              <w:pStyle w:val="62"/>
              <w:adjustRightInd w:val="0"/>
              <w:snapToGrid w:val="0"/>
              <w:ind w:firstLine="0" w:firstLineChars="0"/>
              <w:jc w:val="center"/>
              <w:rPr>
                <w:rFonts w:ascii="Times New Roman" w:hAnsi="Times New Roman"/>
                <w:color w:val="FF0000"/>
                <w:szCs w:val="21"/>
                <w:u w:val="single"/>
              </w:rPr>
            </w:pPr>
          </w:p>
        </w:tc>
        <w:tc>
          <w:tcPr>
            <w:tcW w:w="49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0.612</w:t>
            </w:r>
          </w:p>
        </w:tc>
        <w:tc>
          <w:tcPr>
            <w:tcW w:w="619"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0.255</w:t>
            </w:r>
          </w:p>
        </w:tc>
        <w:tc>
          <w:tcPr>
            <w:tcW w:w="613"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85</w:t>
            </w:r>
          </w:p>
        </w:tc>
      </w:tr>
    </w:tbl>
    <w:p>
      <w:pPr>
        <w:pStyle w:val="3"/>
        <w:ind w:firstLine="360"/>
        <w:rPr>
          <w:sz w:val="18"/>
          <w:szCs w:val="18"/>
        </w:rPr>
      </w:pPr>
      <w:r>
        <w:rPr>
          <w:rFonts w:hint="eastAsia"/>
          <w:sz w:val="18"/>
          <w:szCs w:val="18"/>
        </w:rPr>
        <w:t>注：去除效率参照《排放源统计调查产排污核算方法与系数手册》中的“</w:t>
      </w:r>
      <w:r>
        <w:rPr>
          <w:sz w:val="18"/>
          <w:szCs w:val="18"/>
        </w:rPr>
        <w:t xml:space="preserve">4430 </w:t>
      </w:r>
      <w:r>
        <w:rPr>
          <w:rFonts w:hint="eastAsia"/>
          <w:sz w:val="18"/>
          <w:szCs w:val="18"/>
        </w:rPr>
        <w:t>工业锅炉（热力供应）行业系数手册”的去除效率计算。</w:t>
      </w:r>
    </w:p>
    <w:p>
      <w:pPr>
        <w:pStyle w:val="3"/>
        <w:ind w:firstLine="480"/>
        <w:rPr>
          <w:rFonts w:cs="Times New Roman"/>
        </w:rPr>
      </w:pPr>
      <w:r>
        <w:rPr>
          <w:rFonts w:hint="eastAsia" w:cs="Times New Roman"/>
        </w:rPr>
        <w:t>2、恶臭</w:t>
      </w:r>
    </w:p>
    <w:p>
      <w:pPr>
        <w:pStyle w:val="3"/>
        <w:ind w:firstLine="480"/>
        <w:rPr>
          <w:rFonts w:ascii="宋体" w:cs="宋体" w:eastAsiaTheme="minorEastAsia"/>
          <w:kern w:val="0"/>
          <w:szCs w:val="24"/>
        </w:rPr>
      </w:pPr>
      <w:r>
        <w:rPr>
          <w:rFonts w:hint="eastAsia" w:cs="Times New Roman"/>
        </w:rPr>
        <w:t>（1）</w:t>
      </w:r>
      <w:r>
        <w:rPr>
          <w:rFonts w:hint="eastAsia" w:ascii="宋体" w:cs="宋体" w:eastAsiaTheme="minorEastAsia"/>
          <w:kern w:val="0"/>
          <w:szCs w:val="24"/>
        </w:rPr>
        <w:t>屠宰车间（含待宰区）</w:t>
      </w:r>
      <w:r>
        <w:rPr>
          <w:rFonts w:hint="eastAsia" w:ascii="宋体" w:cs="宋体"/>
          <w:kern w:val="0"/>
          <w:szCs w:val="24"/>
        </w:rPr>
        <w:t>恶臭</w:t>
      </w:r>
    </w:p>
    <w:p>
      <w:pPr>
        <w:pStyle w:val="3"/>
        <w:ind w:firstLine="480"/>
        <w:rPr>
          <w:rFonts w:ascii="宋体" w:cs="宋体" w:eastAsiaTheme="minorEastAsia"/>
          <w:kern w:val="0"/>
          <w:szCs w:val="24"/>
        </w:rPr>
      </w:pPr>
      <w:r>
        <w:rPr>
          <w:rFonts w:hint="eastAsia" w:ascii="宋体" w:cs="宋体" w:eastAsiaTheme="minorEastAsia"/>
          <w:kern w:val="0"/>
          <w:szCs w:val="24"/>
        </w:rPr>
        <w:t>本项目屠宰车间和待宰区分为肉牛屠宰和禽类屠宰两个区域。</w:t>
      </w:r>
    </w:p>
    <w:p>
      <w:pPr>
        <w:pStyle w:val="3"/>
        <w:ind w:firstLine="480"/>
        <w:rPr>
          <w:rFonts w:cs="Times New Roman" w:eastAsiaTheme="minorEastAsia"/>
          <w:kern w:val="0"/>
          <w:szCs w:val="24"/>
        </w:rPr>
      </w:pPr>
      <w:r>
        <w:rPr>
          <w:rFonts w:cs="Times New Roman" w:eastAsiaTheme="minorEastAsia"/>
          <w:kern w:val="0"/>
          <w:szCs w:val="24"/>
        </w:rPr>
        <w:t>本项目产生的恶臭主要包括待宰区肉牛、活禽鸡、鸭的粪便恶臭，屠宰区（屠宰工序恶臭、肉牛、家禽胃容物恶臭）等。恶臭是多组分低浓度的混合气体，其成分可达几十到几百种，各成分之间即有协同作用也有拮抗作用。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恶臭污染物中对人体危害较大的是氨气和硫化氢。主要恶臭物质的理化性质见表</w:t>
      </w:r>
      <w:r>
        <w:rPr>
          <w:rFonts w:hint="eastAsia" w:cs="Times New Roman" w:eastAsiaTheme="minorEastAsia"/>
          <w:kern w:val="0"/>
          <w:szCs w:val="24"/>
        </w:rPr>
        <w:t>4.2-9</w:t>
      </w:r>
      <w:r>
        <w:rPr>
          <w:rFonts w:cs="Times New Roman" w:eastAsiaTheme="minorEastAsia"/>
          <w:kern w:val="0"/>
          <w:szCs w:val="24"/>
        </w:rPr>
        <w:t>。</w:t>
      </w:r>
    </w:p>
    <w:p>
      <w:pPr>
        <w:pStyle w:val="3"/>
        <w:spacing w:line="240" w:lineRule="auto"/>
        <w:ind w:firstLine="0" w:firstLineChars="0"/>
        <w:jc w:val="center"/>
        <w:rPr>
          <w:rFonts w:cs="Times New Roman"/>
        </w:rPr>
      </w:pPr>
      <w:r>
        <w:rPr>
          <w:rFonts w:hint="eastAsia" w:cs="Times New Roman" w:eastAsiaTheme="minorEastAsia"/>
          <w:b/>
        </w:rPr>
        <w:t>表4.2-9  主要恶臭物质理化特征</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704"/>
        <w:gridCol w:w="1010"/>
        <w:gridCol w:w="848"/>
        <w:gridCol w:w="1556"/>
        <w:gridCol w:w="4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pStyle w:val="49"/>
              <w:rPr>
                <w:rFonts w:cs="Times New Roman"/>
              </w:rPr>
            </w:pPr>
            <w:r>
              <w:rPr>
                <w:rFonts w:cs="Times New Roman"/>
              </w:rPr>
              <w:t>恶臭物质</w:t>
            </w:r>
          </w:p>
        </w:tc>
        <w:tc>
          <w:tcPr>
            <w:tcW w:w="386" w:type="pct"/>
            <w:vAlign w:val="center"/>
          </w:tcPr>
          <w:p>
            <w:pPr>
              <w:pStyle w:val="49"/>
              <w:rPr>
                <w:rFonts w:cs="Times New Roman"/>
              </w:rPr>
            </w:pPr>
            <w:r>
              <w:rPr>
                <w:rFonts w:cs="Times New Roman"/>
              </w:rPr>
              <w:t>分子式</w:t>
            </w:r>
          </w:p>
        </w:tc>
        <w:tc>
          <w:tcPr>
            <w:tcW w:w="541" w:type="pct"/>
            <w:vAlign w:val="center"/>
          </w:tcPr>
          <w:p>
            <w:pPr>
              <w:pStyle w:val="49"/>
              <w:rPr>
                <w:rFonts w:cs="Times New Roman"/>
              </w:rPr>
            </w:pPr>
            <w:r>
              <w:rPr>
                <w:rFonts w:cs="Times New Roman"/>
              </w:rPr>
              <w:t>嗅阈值（ppm）</w:t>
            </w:r>
          </w:p>
        </w:tc>
        <w:tc>
          <w:tcPr>
            <w:tcW w:w="464" w:type="pct"/>
            <w:vAlign w:val="center"/>
          </w:tcPr>
          <w:p>
            <w:pPr>
              <w:pStyle w:val="49"/>
              <w:rPr>
                <w:rFonts w:cs="Times New Roman"/>
              </w:rPr>
            </w:pPr>
            <w:r>
              <w:rPr>
                <w:rFonts w:cs="Times New Roman"/>
              </w:rPr>
              <w:t>臭气特征</w:t>
            </w:r>
          </w:p>
        </w:tc>
        <w:tc>
          <w:tcPr>
            <w:tcW w:w="850" w:type="pct"/>
            <w:vAlign w:val="center"/>
          </w:tcPr>
          <w:p>
            <w:pPr>
              <w:pStyle w:val="49"/>
              <w:rPr>
                <w:rFonts w:cs="Times New Roman"/>
              </w:rPr>
            </w:pPr>
            <w:r>
              <w:rPr>
                <w:rFonts w:cs="Times New Roman"/>
              </w:rPr>
              <w:t>中毒症状</w:t>
            </w:r>
          </w:p>
        </w:tc>
        <w:tc>
          <w:tcPr>
            <w:tcW w:w="2391" w:type="pct"/>
            <w:vAlign w:val="center"/>
          </w:tcPr>
          <w:p>
            <w:pPr>
              <w:pStyle w:val="49"/>
              <w:rPr>
                <w:rFonts w:cs="Times New Roman"/>
              </w:rPr>
            </w:pPr>
            <w:r>
              <w:rPr>
                <w:rFonts w:cs="Times New Roma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pStyle w:val="49"/>
              <w:rPr>
                <w:rFonts w:cs="Times New Roman"/>
              </w:rPr>
            </w:pPr>
            <w:r>
              <w:rPr>
                <w:rFonts w:cs="Times New Roman"/>
              </w:rPr>
              <w:t>氨</w:t>
            </w:r>
          </w:p>
        </w:tc>
        <w:tc>
          <w:tcPr>
            <w:tcW w:w="386" w:type="pct"/>
            <w:vAlign w:val="center"/>
          </w:tcPr>
          <w:p>
            <w:pPr>
              <w:pStyle w:val="49"/>
              <w:rPr>
                <w:rFonts w:cs="Times New Roman"/>
              </w:rPr>
            </w:pPr>
            <w:r>
              <w:rPr>
                <w:rFonts w:cs="Times New Roman"/>
              </w:rPr>
              <w:t>NH</w:t>
            </w:r>
            <w:r>
              <w:rPr>
                <w:rFonts w:cs="Times New Roman"/>
                <w:vertAlign w:val="subscript"/>
              </w:rPr>
              <w:t>3</w:t>
            </w:r>
          </w:p>
        </w:tc>
        <w:tc>
          <w:tcPr>
            <w:tcW w:w="541" w:type="pct"/>
            <w:vAlign w:val="center"/>
          </w:tcPr>
          <w:p>
            <w:pPr>
              <w:pStyle w:val="49"/>
              <w:rPr>
                <w:rFonts w:cs="Times New Roman"/>
              </w:rPr>
            </w:pPr>
            <w:r>
              <w:rPr>
                <w:rFonts w:cs="Times New Roman"/>
              </w:rPr>
              <w:t>0.8</w:t>
            </w:r>
          </w:p>
        </w:tc>
        <w:tc>
          <w:tcPr>
            <w:tcW w:w="464" w:type="pct"/>
            <w:vAlign w:val="center"/>
          </w:tcPr>
          <w:p>
            <w:pPr>
              <w:pStyle w:val="49"/>
              <w:rPr>
                <w:rFonts w:cs="Times New Roman"/>
              </w:rPr>
            </w:pPr>
            <w:r>
              <w:rPr>
                <w:rFonts w:hint="eastAsia" w:cs="Times New Roman"/>
              </w:rPr>
              <w:t>刺激臭</w:t>
            </w:r>
          </w:p>
        </w:tc>
        <w:tc>
          <w:tcPr>
            <w:tcW w:w="850" w:type="pct"/>
            <w:vAlign w:val="center"/>
          </w:tcPr>
          <w:p>
            <w:pPr>
              <w:pStyle w:val="49"/>
              <w:rPr>
                <w:rFonts w:cs="Times New Roman"/>
              </w:rPr>
            </w:pPr>
            <w:r>
              <w:rPr>
                <w:rFonts w:cs="Times New Roman"/>
              </w:rPr>
              <w:t>充血、呼吸障碍，头痛，发晕，昏迷</w:t>
            </w:r>
          </w:p>
        </w:tc>
        <w:tc>
          <w:tcPr>
            <w:tcW w:w="2391" w:type="pct"/>
            <w:vAlign w:val="center"/>
          </w:tcPr>
          <w:p>
            <w:pPr>
              <w:pStyle w:val="49"/>
              <w:rPr>
                <w:rFonts w:cs="Times New Roman"/>
              </w:rPr>
            </w:pPr>
            <w:r>
              <w:rPr>
                <w:rFonts w:cs="Times New Roman"/>
              </w:rPr>
              <w:t>无色气体，具有强烈的刺激气味。氨的嗅阈值为0.8ppm，密度0.7710，比重0.5971（空气=1.00），易液化为无色的液体。在常温下加压即可使其液化。沸点33.5</w:t>
            </w:r>
            <w:r>
              <w:rPr>
                <w:rFonts w:hint="eastAsia" w:ascii="宋体" w:hAnsi="宋体" w:cs="宋体"/>
              </w:rPr>
              <w:t>℃</w:t>
            </w:r>
            <w:r>
              <w:rPr>
                <w:rFonts w:cs="Times New Roman"/>
              </w:rPr>
              <w:t>。也易被固化成雪状的固体，熔点-77.7</w:t>
            </w:r>
            <w:r>
              <w:rPr>
                <w:rFonts w:hint="eastAsia" w:ascii="宋体" w:hAnsi="宋体" w:cs="宋体"/>
              </w:rPr>
              <w:t>℃</w:t>
            </w:r>
            <w:r>
              <w:rPr>
                <w:rFonts w:cs="Times New Roman"/>
              </w:rPr>
              <w:t>，溶于水、乙醇和乙醚。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pStyle w:val="49"/>
              <w:rPr>
                <w:rFonts w:cs="Times New Roman"/>
              </w:rPr>
            </w:pPr>
            <w:r>
              <w:rPr>
                <w:rFonts w:cs="Times New Roman"/>
              </w:rPr>
              <w:t>硫化氢</w:t>
            </w:r>
          </w:p>
        </w:tc>
        <w:tc>
          <w:tcPr>
            <w:tcW w:w="386" w:type="pct"/>
            <w:vAlign w:val="center"/>
          </w:tcPr>
          <w:p>
            <w:pPr>
              <w:pStyle w:val="49"/>
              <w:rPr>
                <w:rFonts w:cs="Times New Roman"/>
              </w:rPr>
            </w:pPr>
            <w:r>
              <w:rPr>
                <w:rFonts w:cs="Times New Roman"/>
              </w:rPr>
              <w:t>H</w:t>
            </w:r>
            <w:r>
              <w:rPr>
                <w:rFonts w:cs="Times New Roman"/>
                <w:vertAlign w:val="subscript"/>
              </w:rPr>
              <w:t>2</w:t>
            </w:r>
            <w:r>
              <w:rPr>
                <w:rFonts w:cs="Times New Roman"/>
              </w:rPr>
              <w:t>S</w:t>
            </w:r>
          </w:p>
        </w:tc>
        <w:tc>
          <w:tcPr>
            <w:tcW w:w="541" w:type="pct"/>
            <w:vAlign w:val="center"/>
          </w:tcPr>
          <w:p>
            <w:pPr>
              <w:pStyle w:val="49"/>
              <w:rPr>
                <w:rFonts w:cs="Times New Roman"/>
              </w:rPr>
            </w:pPr>
            <w:r>
              <w:rPr>
                <w:rFonts w:cs="Times New Roman"/>
              </w:rPr>
              <w:t>0.0005</w:t>
            </w:r>
          </w:p>
        </w:tc>
        <w:tc>
          <w:tcPr>
            <w:tcW w:w="464" w:type="pct"/>
            <w:vAlign w:val="center"/>
          </w:tcPr>
          <w:p>
            <w:pPr>
              <w:pStyle w:val="49"/>
              <w:rPr>
                <w:rFonts w:cs="Times New Roman"/>
              </w:rPr>
            </w:pPr>
            <w:r>
              <w:rPr>
                <w:rFonts w:cs="Times New Roman"/>
              </w:rPr>
              <w:t>臭鸡蛋味</w:t>
            </w:r>
          </w:p>
        </w:tc>
        <w:tc>
          <w:tcPr>
            <w:tcW w:w="850" w:type="pct"/>
            <w:vAlign w:val="center"/>
          </w:tcPr>
          <w:p>
            <w:pPr>
              <w:pStyle w:val="49"/>
              <w:rPr>
                <w:rFonts w:cs="Times New Roman"/>
              </w:rPr>
            </w:pPr>
            <w:r>
              <w:rPr>
                <w:rFonts w:cs="Times New Roman"/>
              </w:rPr>
              <w:t>刺激鼻子和眼睛，引起肺炎和支气管炎</w:t>
            </w:r>
          </w:p>
        </w:tc>
        <w:tc>
          <w:tcPr>
            <w:tcW w:w="2391" w:type="pct"/>
            <w:vAlign w:val="center"/>
          </w:tcPr>
          <w:p>
            <w:pPr>
              <w:pStyle w:val="49"/>
              <w:rPr>
                <w:rFonts w:cs="Times New Roman"/>
              </w:rPr>
            </w:pPr>
            <w:r>
              <w:rPr>
                <w:rFonts w:cs="Times New Roman"/>
              </w:rPr>
              <w:t>无色气体，有恶臭和毒性。硫化氢的嗅觉阈值是0.0005ppm，具有臭鸡蛋味，密度1.539，比重1.1906，熔点-82.9</w:t>
            </w:r>
            <w:r>
              <w:rPr>
                <w:rFonts w:hint="eastAsia" w:ascii="宋体" w:hAnsi="宋体" w:cs="宋体"/>
              </w:rPr>
              <w:t>℃</w:t>
            </w:r>
            <w:r>
              <w:rPr>
                <w:rFonts w:cs="Times New Roman"/>
              </w:rPr>
              <w:t>，沸点-61.8</w:t>
            </w:r>
            <w:r>
              <w:rPr>
                <w:rFonts w:hint="eastAsia" w:ascii="宋体" w:hAnsi="宋体" w:cs="宋体"/>
              </w:rPr>
              <w:t>℃</w:t>
            </w:r>
            <w:r>
              <w:rPr>
                <w:rFonts w:cs="Times New Roman"/>
              </w:rPr>
              <w:t>。</w:t>
            </w:r>
          </w:p>
        </w:tc>
      </w:tr>
    </w:tbl>
    <w:p>
      <w:pPr>
        <w:pStyle w:val="3"/>
        <w:ind w:firstLine="480"/>
        <w:rPr>
          <w:rFonts w:cs="Times New Roman" w:eastAsiaTheme="minorEastAsia"/>
          <w:kern w:val="0"/>
          <w:szCs w:val="24"/>
        </w:rPr>
      </w:pPr>
      <w:r>
        <w:rPr>
          <w:rFonts w:cs="Times New Roman" w:eastAsiaTheme="minorEastAsia"/>
          <w:kern w:val="0"/>
          <w:szCs w:val="24"/>
        </w:rPr>
        <w:t>恶臭本身不一定具有毒性，但会使人产生不快感，长期遭受恶臭污染，会影响居民的生活，降低工作效率，严重时会使人恶心、呕吐，甚至会诱发某些疾病。在国际上，通常根据嗅觉判别标准，将臭气强度划分为6 级，见表</w:t>
      </w:r>
      <w:r>
        <w:rPr>
          <w:rFonts w:hint="eastAsia" w:cs="Times New Roman" w:eastAsiaTheme="minorEastAsia"/>
          <w:kern w:val="0"/>
          <w:szCs w:val="24"/>
        </w:rPr>
        <w:t>4</w:t>
      </w:r>
      <w:r>
        <w:rPr>
          <w:rFonts w:cs="Times New Roman" w:eastAsiaTheme="minorEastAsia"/>
          <w:kern w:val="0"/>
          <w:szCs w:val="24"/>
        </w:rPr>
        <w:t>.</w:t>
      </w:r>
      <w:r>
        <w:rPr>
          <w:rFonts w:hint="eastAsia" w:cs="Times New Roman" w:eastAsiaTheme="minorEastAsia"/>
          <w:kern w:val="0"/>
          <w:szCs w:val="24"/>
        </w:rPr>
        <w:t>2</w:t>
      </w:r>
      <w:r>
        <w:rPr>
          <w:rFonts w:cs="Times New Roman" w:eastAsiaTheme="minorEastAsia"/>
          <w:kern w:val="0"/>
          <w:szCs w:val="24"/>
        </w:rPr>
        <w:t>-</w:t>
      </w:r>
      <w:r>
        <w:rPr>
          <w:rFonts w:hint="eastAsia" w:cs="Times New Roman" w:eastAsiaTheme="minorEastAsia"/>
          <w:kern w:val="0"/>
          <w:szCs w:val="24"/>
        </w:rPr>
        <w:t>10</w:t>
      </w:r>
      <w:r>
        <w:rPr>
          <w:rFonts w:cs="Times New Roman" w:eastAsiaTheme="minorEastAsia"/>
          <w:kern w:val="0"/>
          <w:szCs w:val="24"/>
        </w:rPr>
        <w:t>。本环评引用《养殖屠宰项目环境影响评价技术方法研究》文献中总结的经验计算数值，根据恶臭强度可估算出对应的污染物浓度值，根据恶臭强度可估算出对应的污染物浓度值，详见下表</w:t>
      </w:r>
      <w:r>
        <w:rPr>
          <w:rFonts w:hint="eastAsia" w:cs="Times New Roman" w:eastAsiaTheme="minorEastAsia"/>
          <w:kern w:val="0"/>
          <w:szCs w:val="24"/>
        </w:rPr>
        <w:t>4.2-11</w:t>
      </w:r>
      <w:r>
        <w:rPr>
          <w:rFonts w:cs="Times New Roman" w:eastAsiaTheme="minorEastAsia"/>
          <w:kern w:val="0"/>
          <w:szCs w:val="24"/>
        </w:rPr>
        <w:t>。</w:t>
      </w:r>
    </w:p>
    <w:p>
      <w:pPr>
        <w:pStyle w:val="3"/>
        <w:spacing w:line="240" w:lineRule="auto"/>
        <w:ind w:firstLine="0" w:firstLineChars="0"/>
        <w:jc w:val="center"/>
        <w:rPr>
          <w:rFonts w:cs="Times New Roman"/>
        </w:rPr>
      </w:pPr>
      <w:r>
        <w:rPr>
          <w:rFonts w:hint="eastAsia" w:cs="Times New Roman" w:eastAsiaTheme="minorEastAsia"/>
          <w:b/>
        </w:rPr>
        <w:t>表4.2-10  臭气强度分级法</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臭气强度（级）</w:t>
            </w:r>
          </w:p>
        </w:tc>
        <w:tc>
          <w:tcPr>
            <w:tcW w:w="6938" w:type="dxa"/>
            <w:vAlign w:val="center"/>
          </w:tcPr>
          <w:p>
            <w:pPr>
              <w:pStyle w:val="49"/>
              <w:rPr>
                <w:rFonts w:cs="Times New Roman"/>
              </w:rPr>
            </w:pPr>
            <w:r>
              <w:rPr>
                <w:rFonts w:hint="eastAsia" w:ascii="宋体" w:cs="宋体"/>
                <w:kern w:val="0"/>
              </w:rPr>
              <w:t>嗅觉判别标准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0</w:t>
            </w:r>
          </w:p>
        </w:tc>
        <w:tc>
          <w:tcPr>
            <w:tcW w:w="6938" w:type="dxa"/>
            <w:vAlign w:val="center"/>
          </w:tcPr>
          <w:p>
            <w:pPr>
              <w:pStyle w:val="49"/>
              <w:rPr>
                <w:rFonts w:cs="Times New Roman"/>
              </w:rPr>
            </w:pPr>
            <w:r>
              <w:rPr>
                <w:rFonts w:hint="eastAsia" w:ascii="宋体" w:cs="宋体"/>
                <w:kern w:val="0"/>
              </w:rPr>
              <w:t>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1</w:t>
            </w:r>
          </w:p>
        </w:tc>
        <w:tc>
          <w:tcPr>
            <w:tcW w:w="6938" w:type="dxa"/>
            <w:vAlign w:val="center"/>
          </w:tcPr>
          <w:p>
            <w:pPr>
              <w:pStyle w:val="49"/>
              <w:rPr>
                <w:rFonts w:cs="Times New Roman"/>
              </w:rPr>
            </w:pPr>
            <w:r>
              <w:rPr>
                <w:rFonts w:hint="eastAsia" w:ascii="宋体" w:cs="宋体"/>
                <w:kern w:val="0"/>
              </w:rPr>
              <w:t>勉强可感到的轻微臭味（感觉阈值浓度水平）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2</w:t>
            </w:r>
          </w:p>
        </w:tc>
        <w:tc>
          <w:tcPr>
            <w:tcW w:w="6938" w:type="dxa"/>
            <w:vAlign w:val="center"/>
          </w:tcPr>
          <w:p>
            <w:pPr>
              <w:pStyle w:val="49"/>
              <w:rPr>
                <w:rFonts w:cs="Times New Roman"/>
              </w:rPr>
            </w:pPr>
            <w:r>
              <w:rPr>
                <w:rFonts w:hint="eastAsia" w:ascii="宋体" w:cs="宋体"/>
                <w:kern w:val="0"/>
              </w:rPr>
              <w:t>容易感到轻微臭味（识别阈值浓度水平）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3</w:t>
            </w:r>
          </w:p>
        </w:tc>
        <w:tc>
          <w:tcPr>
            <w:tcW w:w="6938" w:type="dxa"/>
            <w:vAlign w:val="center"/>
          </w:tcPr>
          <w:p>
            <w:pPr>
              <w:pStyle w:val="49"/>
              <w:rPr>
                <w:rFonts w:cs="Times New Roman"/>
              </w:rPr>
            </w:pPr>
            <w:r>
              <w:rPr>
                <w:rFonts w:hint="eastAsia" w:ascii="宋体" w:cs="宋体"/>
                <w:kern w:val="0"/>
              </w:rPr>
              <w:t>明显感到臭味（可嗅出臭气种类）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4</w:t>
            </w:r>
          </w:p>
        </w:tc>
        <w:tc>
          <w:tcPr>
            <w:tcW w:w="6938" w:type="dxa"/>
            <w:vAlign w:val="center"/>
          </w:tcPr>
          <w:p>
            <w:pPr>
              <w:pStyle w:val="49"/>
              <w:rPr>
                <w:rFonts w:cs="Times New Roman"/>
              </w:rPr>
            </w:pPr>
            <w:r>
              <w:rPr>
                <w:rFonts w:hint="eastAsia" w:ascii="宋体" w:cs="宋体"/>
                <w:kern w:val="0"/>
              </w:rPr>
              <w:t>强烈臭味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5" w:type="dxa"/>
            <w:vAlign w:val="center"/>
          </w:tcPr>
          <w:p>
            <w:pPr>
              <w:pStyle w:val="49"/>
              <w:rPr>
                <w:rFonts w:cs="Times New Roman"/>
              </w:rPr>
            </w:pPr>
            <w:r>
              <w:rPr>
                <w:rFonts w:hint="eastAsia" w:cs="Times New Roman"/>
              </w:rPr>
              <w:t>5</w:t>
            </w:r>
          </w:p>
        </w:tc>
        <w:tc>
          <w:tcPr>
            <w:tcW w:w="6938" w:type="dxa"/>
            <w:vAlign w:val="center"/>
          </w:tcPr>
          <w:p>
            <w:pPr>
              <w:pStyle w:val="49"/>
              <w:rPr>
                <w:rFonts w:cs="Times New Roman"/>
              </w:rPr>
            </w:pPr>
            <w:r>
              <w:rPr>
                <w:rFonts w:hint="eastAsia" w:ascii="宋体" w:cs="宋体"/>
                <w:kern w:val="0"/>
              </w:rPr>
              <w:t>无法忍受的强烈气味</w:t>
            </w:r>
          </w:p>
        </w:tc>
      </w:tr>
    </w:tbl>
    <w:p>
      <w:pPr>
        <w:pStyle w:val="3"/>
        <w:spacing w:line="240" w:lineRule="auto"/>
        <w:ind w:firstLine="0" w:firstLineChars="0"/>
        <w:jc w:val="center"/>
        <w:rPr>
          <w:rFonts w:cs="Times New Roman"/>
        </w:rPr>
      </w:pPr>
      <w:r>
        <w:rPr>
          <w:rFonts w:hint="eastAsia" w:cs="Times New Roman" w:eastAsiaTheme="minorEastAsia"/>
          <w:b/>
        </w:rPr>
        <w:t>表4.2-11  臭气物质浓度与恶臭强度的关系</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7"/>
        <w:gridCol w:w="3058"/>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臭气浓度（级）</w:t>
            </w:r>
          </w:p>
        </w:tc>
        <w:tc>
          <w:tcPr>
            <w:tcW w:w="3058" w:type="dxa"/>
            <w:vAlign w:val="center"/>
          </w:tcPr>
          <w:p>
            <w:pPr>
              <w:pStyle w:val="49"/>
              <w:rPr>
                <w:rFonts w:cs="Times New Roman"/>
              </w:rPr>
            </w:pPr>
            <w:r>
              <w:rPr>
                <w:rFonts w:cs="Times New Roman"/>
              </w:rPr>
              <w:t>NH</w:t>
            </w:r>
            <w:r>
              <w:rPr>
                <w:rFonts w:cs="Times New Roman"/>
                <w:vertAlign w:val="subscript"/>
              </w:rPr>
              <w:t>3</w:t>
            </w:r>
            <w:r>
              <w:rPr>
                <w:rFonts w:cs="Times New Roman"/>
              </w:rPr>
              <w:t xml:space="preserve"> </w:t>
            </w:r>
            <w:r>
              <w:rPr>
                <w:rFonts w:hint="eastAsia" w:cs="Times New Roman"/>
              </w:rPr>
              <w:t>浓度</w:t>
            </w:r>
            <w:r>
              <w:rPr>
                <w:rFonts w:cs="Times New Roman"/>
              </w:rPr>
              <w:t>(mg/m</w:t>
            </w:r>
            <w:r>
              <w:rPr>
                <w:rFonts w:cs="Times New Roman"/>
                <w:vertAlign w:val="superscript"/>
              </w:rPr>
              <w:t>3</w:t>
            </w:r>
            <w:r>
              <w:rPr>
                <w:rFonts w:cs="Times New Roman"/>
              </w:rPr>
              <w:t>)</w:t>
            </w:r>
          </w:p>
        </w:tc>
        <w:tc>
          <w:tcPr>
            <w:tcW w:w="3058" w:type="dxa"/>
            <w:vAlign w:val="center"/>
          </w:tcPr>
          <w:p>
            <w:pPr>
              <w:pStyle w:val="49"/>
              <w:rPr>
                <w:rFonts w:cs="Times New Roman"/>
              </w:rPr>
            </w:pPr>
            <w:r>
              <w:rPr>
                <w:rFonts w:cs="Times New Roman"/>
              </w:rPr>
              <w:t>H</w:t>
            </w:r>
            <w:r>
              <w:rPr>
                <w:rFonts w:cs="Times New Roman"/>
                <w:vertAlign w:val="subscript"/>
              </w:rPr>
              <w:t>2</w:t>
            </w:r>
            <w:r>
              <w:rPr>
                <w:rFonts w:cs="Times New Roman"/>
              </w:rPr>
              <w:t xml:space="preserve">S </w:t>
            </w:r>
            <w:r>
              <w:rPr>
                <w:rFonts w:hint="eastAsia" w:cs="Times New Roman"/>
              </w:rPr>
              <w:t>浓度</w:t>
            </w:r>
            <w:r>
              <w:rPr>
                <w:rFonts w:cs="Times New Roman"/>
              </w:rPr>
              <w:t>(mg/m</w:t>
            </w:r>
            <w:r>
              <w:rPr>
                <w:rFonts w:cs="Times New Roman"/>
                <w:vertAlign w:val="superscript"/>
              </w:rPr>
              <w:t>3</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1</w:t>
            </w:r>
          </w:p>
        </w:tc>
        <w:tc>
          <w:tcPr>
            <w:tcW w:w="3058" w:type="dxa"/>
            <w:vAlign w:val="center"/>
          </w:tcPr>
          <w:p>
            <w:pPr>
              <w:pStyle w:val="49"/>
              <w:rPr>
                <w:rFonts w:cs="Times New Roman"/>
              </w:rPr>
            </w:pPr>
            <w:r>
              <w:rPr>
                <w:rFonts w:hint="eastAsia" w:cs="Times New Roman"/>
              </w:rPr>
              <w:t>0.1</w:t>
            </w:r>
          </w:p>
        </w:tc>
        <w:tc>
          <w:tcPr>
            <w:tcW w:w="3058" w:type="dxa"/>
            <w:vAlign w:val="center"/>
          </w:tcPr>
          <w:p>
            <w:pPr>
              <w:pStyle w:val="49"/>
              <w:rPr>
                <w:rFonts w:cs="Times New Roman"/>
              </w:rPr>
            </w:pPr>
            <w:r>
              <w:rPr>
                <w:rFonts w:hint="eastAsia" w:cs="Times New Roma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2</w:t>
            </w:r>
          </w:p>
        </w:tc>
        <w:tc>
          <w:tcPr>
            <w:tcW w:w="3058" w:type="dxa"/>
            <w:vAlign w:val="center"/>
          </w:tcPr>
          <w:p>
            <w:pPr>
              <w:pStyle w:val="49"/>
              <w:rPr>
                <w:rFonts w:cs="Times New Roman"/>
              </w:rPr>
            </w:pPr>
            <w:r>
              <w:rPr>
                <w:rFonts w:hint="eastAsia" w:cs="Times New Roman"/>
              </w:rPr>
              <w:t>0.5</w:t>
            </w:r>
          </w:p>
        </w:tc>
        <w:tc>
          <w:tcPr>
            <w:tcW w:w="3058" w:type="dxa"/>
            <w:vAlign w:val="center"/>
          </w:tcPr>
          <w:p>
            <w:pPr>
              <w:pStyle w:val="49"/>
              <w:rPr>
                <w:rFonts w:cs="Times New Roman"/>
              </w:rPr>
            </w:pPr>
            <w:r>
              <w:rPr>
                <w:rFonts w:hint="eastAsia" w:cs="Times New Roma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2.5</w:t>
            </w:r>
          </w:p>
        </w:tc>
        <w:tc>
          <w:tcPr>
            <w:tcW w:w="3058" w:type="dxa"/>
            <w:vAlign w:val="center"/>
          </w:tcPr>
          <w:p>
            <w:pPr>
              <w:pStyle w:val="49"/>
              <w:rPr>
                <w:rFonts w:cs="Times New Roman"/>
              </w:rPr>
            </w:pPr>
            <w:r>
              <w:rPr>
                <w:rFonts w:hint="eastAsia" w:cs="Times New Roman"/>
              </w:rPr>
              <w:t>1</w:t>
            </w:r>
          </w:p>
        </w:tc>
        <w:tc>
          <w:tcPr>
            <w:tcW w:w="3058" w:type="dxa"/>
            <w:vAlign w:val="center"/>
          </w:tcPr>
          <w:p>
            <w:pPr>
              <w:pStyle w:val="49"/>
              <w:rPr>
                <w:rFonts w:cs="Times New Roman"/>
              </w:rPr>
            </w:pPr>
            <w:r>
              <w:rPr>
                <w:rFonts w:hint="eastAsia"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3</w:t>
            </w:r>
          </w:p>
        </w:tc>
        <w:tc>
          <w:tcPr>
            <w:tcW w:w="3058" w:type="dxa"/>
            <w:vAlign w:val="center"/>
          </w:tcPr>
          <w:p>
            <w:pPr>
              <w:pStyle w:val="49"/>
              <w:rPr>
                <w:rFonts w:cs="Times New Roman"/>
              </w:rPr>
            </w:pPr>
            <w:r>
              <w:rPr>
                <w:rFonts w:hint="eastAsia" w:cs="Times New Roman"/>
              </w:rPr>
              <w:t>2</w:t>
            </w:r>
          </w:p>
        </w:tc>
        <w:tc>
          <w:tcPr>
            <w:tcW w:w="3058" w:type="dxa"/>
            <w:vAlign w:val="center"/>
          </w:tcPr>
          <w:p>
            <w:pPr>
              <w:pStyle w:val="49"/>
              <w:rPr>
                <w:rFonts w:cs="Times New Roman"/>
              </w:rPr>
            </w:pPr>
            <w:r>
              <w:rPr>
                <w:rFonts w:hint="eastAsia" w:cs="Times New Roma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3.5</w:t>
            </w:r>
          </w:p>
        </w:tc>
        <w:tc>
          <w:tcPr>
            <w:tcW w:w="3058" w:type="dxa"/>
            <w:vAlign w:val="center"/>
          </w:tcPr>
          <w:p>
            <w:pPr>
              <w:pStyle w:val="49"/>
              <w:rPr>
                <w:rFonts w:cs="Times New Roman"/>
              </w:rPr>
            </w:pPr>
            <w:r>
              <w:rPr>
                <w:rFonts w:hint="eastAsia" w:cs="Times New Roman"/>
              </w:rPr>
              <w:t>5</w:t>
            </w:r>
          </w:p>
        </w:tc>
        <w:tc>
          <w:tcPr>
            <w:tcW w:w="3058" w:type="dxa"/>
            <w:vAlign w:val="center"/>
          </w:tcPr>
          <w:p>
            <w:pPr>
              <w:pStyle w:val="49"/>
              <w:rPr>
                <w:rFonts w:cs="Times New Roman"/>
              </w:rPr>
            </w:pPr>
            <w:r>
              <w:rPr>
                <w:rFonts w:hint="eastAsia" w:cs="Times New Roma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4</w:t>
            </w:r>
          </w:p>
        </w:tc>
        <w:tc>
          <w:tcPr>
            <w:tcW w:w="3058" w:type="dxa"/>
            <w:vAlign w:val="center"/>
          </w:tcPr>
          <w:p>
            <w:pPr>
              <w:pStyle w:val="49"/>
              <w:rPr>
                <w:rFonts w:cs="Times New Roman"/>
              </w:rPr>
            </w:pPr>
            <w:r>
              <w:rPr>
                <w:rFonts w:hint="eastAsia" w:cs="Times New Roman"/>
              </w:rPr>
              <w:t>10</w:t>
            </w:r>
          </w:p>
        </w:tc>
        <w:tc>
          <w:tcPr>
            <w:tcW w:w="3058" w:type="dxa"/>
            <w:vAlign w:val="center"/>
          </w:tcPr>
          <w:p>
            <w:pPr>
              <w:pStyle w:val="49"/>
              <w:rPr>
                <w:rFonts w:cs="Times New Roman"/>
              </w:rPr>
            </w:pPr>
            <w:r>
              <w:rPr>
                <w:rFonts w:hint="eastAsia" w:cs="Times New Roma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hint="eastAsia" w:cs="Times New Roman"/>
              </w:rPr>
              <w:t>5</w:t>
            </w:r>
          </w:p>
        </w:tc>
        <w:tc>
          <w:tcPr>
            <w:tcW w:w="3058" w:type="dxa"/>
            <w:vAlign w:val="center"/>
          </w:tcPr>
          <w:p>
            <w:pPr>
              <w:pStyle w:val="49"/>
              <w:rPr>
                <w:rFonts w:cs="Times New Roman"/>
              </w:rPr>
            </w:pPr>
            <w:r>
              <w:rPr>
                <w:rFonts w:hint="eastAsia" w:cs="Times New Roman"/>
              </w:rPr>
              <w:t>40</w:t>
            </w:r>
          </w:p>
        </w:tc>
        <w:tc>
          <w:tcPr>
            <w:tcW w:w="3058" w:type="dxa"/>
            <w:vAlign w:val="center"/>
          </w:tcPr>
          <w:p>
            <w:pPr>
              <w:pStyle w:val="49"/>
              <w:rPr>
                <w:rFonts w:cs="Times New Roman"/>
              </w:rPr>
            </w:pPr>
            <w:r>
              <w:rPr>
                <w:rFonts w:hint="eastAsia"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7" w:type="dxa"/>
            <w:vAlign w:val="center"/>
          </w:tcPr>
          <w:p>
            <w:pPr>
              <w:pStyle w:val="49"/>
              <w:rPr>
                <w:rFonts w:cs="Times New Roman"/>
              </w:rPr>
            </w:pPr>
            <w:r>
              <w:rPr>
                <w:rFonts w:cs="Times New Roman"/>
              </w:rPr>
              <w:t>臭气特征</w:t>
            </w:r>
          </w:p>
        </w:tc>
        <w:tc>
          <w:tcPr>
            <w:tcW w:w="3058" w:type="dxa"/>
            <w:vAlign w:val="center"/>
          </w:tcPr>
          <w:p>
            <w:pPr>
              <w:pStyle w:val="49"/>
              <w:rPr>
                <w:rFonts w:cs="Times New Roman"/>
              </w:rPr>
            </w:pPr>
            <w:r>
              <w:rPr>
                <w:rFonts w:hint="eastAsia" w:cs="Times New Roman"/>
              </w:rPr>
              <w:t>刺激臭</w:t>
            </w:r>
          </w:p>
        </w:tc>
        <w:tc>
          <w:tcPr>
            <w:tcW w:w="3058" w:type="dxa"/>
            <w:vAlign w:val="center"/>
          </w:tcPr>
          <w:p>
            <w:pPr>
              <w:pStyle w:val="49"/>
              <w:rPr>
                <w:rFonts w:cs="Times New Roman"/>
              </w:rPr>
            </w:pPr>
            <w:r>
              <w:rPr>
                <w:rFonts w:cs="Times New Roman"/>
              </w:rPr>
              <w:t>臭鸡蛋味</w:t>
            </w:r>
          </w:p>
        </w:tc>
      </w:tr>
    </w:tbl>
    <w:p>
      <w:pPr>
        <w:pStyle w:val="3"/>
        <w:ind w:firstLine="480"/>
        <w:rPr>
          <w:rFonts w:cs="Times New Roman" w:eastAsiaTheme="minorEastAsia"/>
          <w:color w:val="FF0000"/>
          <w:u w:val="single"/>
        </w:rPr>
      </w:pPr>
      <w:r>
        <w:rPr>
          <w:rFonts w:hint="eastAsia" w:cs="Times New Roman" w:eastAsiaTheme="minorEastAsia"/>
          <w:color w:val="FF0000"/>
          <w:u w:val="single"/>
        </w:rPr>
        <w:t>本项目共设一个牛屠宰区和一个禽类屠宰区，其中牛屠宰区设置有两个待宰车间两个屠宰车间，皆为密闭车间，均采用半自动化屠宰工艺，产生的废物能及时清理，车间臭味较小，但仍能感受到轻微臭味，根据上表数据，确定牛屠宰车间、待宰车间的恶臭强度等级为2~2.5 级，取NH</w:t>
      </w:r>
      <w:r>
        <w:rPr>
          <w:rFonts w:hint="eastAsia" w:cs="Times New Roman" w:eastAsiaTheme="minorEastAsia"/>
          <w:color w:val="FF0000"/>
          <w:u w:val="single"/>
          <w:vertAlign w:val="subscript"/>
        </w:rPr>
        <w:t>3</w:t>
      </w:r>
      <w:r>
        <w:rPr>
          <w:rFonts w:hint="eastAsia" w:cs="Times New Roman" w:eastAsiaTheme="minorEastAsia"/>
          <w:color w:val="FF0000"/>
          <w:u w:val="single"/>
        </w:rPr>
        <w:t>浓度为1.0mg/m</w:t>
      </w:r>
      <w:r>
        <w:rPr>
          <w:rFonts w:hint="eastAsia" w:cs="Times New Roman" w:eastAsiaTheme="minorEastAsia"/>
          <w:color w:val="FF0000"/>
          <w:u w:val="single"/>
          <w:vertAlign w:val="superscript"/>
        </w:rPr>
        <w:t>3</w:t>
      </w:r>
      <w:r>
        <w:rPr>
          <w:rFonts w:hint="eastAsia" w:cs="Times New Roman" w:eastAsiaTheme="minorEastAsia"/>
          <w:color w:val="FF0000"/>
          <w:u w:val="single"/>
        </w:rPr>
        <w:t>，H</w:t>
      </w:r>
      <w:r>
        <w:rPr>
          <w:rFonts w:hint="eastAsia" w:cs="Times New Roman" w:eastAsiaTheme="minorEastAsia"/>
          <w:color w:val="FF0000"/>
          <w:u w:val="single"/>
          <w:vertAlign w:val="subscript"/>
        </w:rPr>
        <w:t>2</w:t>
      </w:r>
      <w:r>
        <w:rPr>
          <w:rFonts w:hint="eastAsia" w:cs="Times New Roman" w:eastAsiaTheme="minorEastAsia"/>
          <w:color w:val="FF0000"/>
          <w:u w:val="single"/>
        </w:rPr>
        <w:t>S 浓度为0.02mg/m</w:t>
      </w:r>
      <w:r>
        <w:rPr>
          <w:rFonts w:hint="eastAsia" w:cs="Times New Roman" w:eastAsiaTheme="minorEastAsia"/>
          <w:color w:val="FF0000"/>
          <w:u w:val="single"/>
          <w:vertAlign w:val="superscript"/>
        </w:rPr>
        <w:t>3</w:t>
      </w:r>
      <w:r>
        <w:rPr>
          <w:rFonts w:hint="eastAsia" w:cs="Times New Roman" w:eastAsiaTheme="minorEastAsia"/>
          <w:color w:val="FF0000"/>
          <w:u w:val="single"/>
        </w:rPr>
        <w:t>。禽类屠宰采用全自动化生产线，禽类入场后，笼装、叠放在待宰区，在待宰区静养绝食，当天进行屠宰。由于本项目家禽在运输途中没有喂养，只是补充水分，进入待宰区后家禽粪便、尿液较少，则待宰区产生的恶臭气体较少，根据上表数据确定家禽屠宰车间、待宰车间的恶臭强度等级为2 级，取NH</w:t>
      </w:r>
      <w:r>
        <w:rPr>
          <w:rFonts w:hint="eastAsia" w:cs="Times New Roman" w:eastAsiaTheme="minorEastAsia"/>
          <w:color w:val="FF0000"/>
          <w:u w:val="single"/>
          <w:vertAlign w:val="subscript"/>
        </w:rPr>
        <w:t>3</w:t>
      </w:r>
      <w:r>
        <w:rPr>
          <w:rFonts w:hint="eastAsia" w:cs="Times New Roman" w:eastAsiaTheme="minorEastAsia"/>
          <w:color w:val="FF0000"/>
          <w:u w:val="single"/>
        </w:rPr>
        <w:t>浓度为0.5mg/m</w:t>
      </w:r>
      <w:r>
        <w:rPr>
          <w:rFonts w:hint="eastAsia" w:cs="Times New Roman" w:eastAsiaTheme="minorEastAsia"/>
          <w:color w:val="FF0000"/>
          <w:u w:val="single"/>
          <w:vertAlign w:val="superscript"/>
        </w:rPr>
        <w:t>3</w:t>
      </w:r>
      <w:r>
        <w:rPr>
          <w:rFonts w:hint="eastAsia" w:cs="Times New Roman" w:eastAsiaTheme="minorEastAsia"/>
          <w:color w:val="FF0000"/>
          <w:u w:val="single"/>
        </w:rPr>
        <w:t>，H</w:t>
      </w:r>
      <w:r>
        <w:rPr>
          <w:rFonts w:hint="eastAsia" w:cs="Times New Roman" w:eastAsiaTheme="minorEastAsia"/>
          <w:color w:val="FF0000"/>
          <w:u w:val="single"/>
          <w:vertAlign w:val="subscript"/>
        </w:rPr>
        <w:t>2</w:t>
      </w:r>
      <w:r>
        <w:rPr>
          <w:rFonts w:hint="eastAsia" w:cs="Times New Roman" w:eastAsiaTheme="minorEastAsia"/>
          <w:color w:val="FF0000"/>
          <w:u w:val="single"/>
        </w:rPr>
        <w:t>S 浓度为0.006mg/m</w:t>
      </w:r>
      <w:r>
        <w:rPr>
          <w:rFonts w:hint="eastAsia" w:cs="Times New Roman" w:eastAsiaTheme="minorEastAsia"/>
          <w:color w:val="FF0000"/>
          <w:u w:val="single"/>
          <w:vertAlign w:val="superscript"/>
        </w:rPr>
        <w:t>3</w:t>
      </w:r>
      <w:r>
        <w:rPr>
          <w:rFonts w:hint="eastAsia" w:cs="Times New Roman" w:eastAsiaTheme="minorEastAsia"/>
          <w:color w:val="FF0000"/>
          <w:u w:val="single"/>
        </w:rPr>
        <w:t>。</w:t>
      </w:r>
    </w:p>
    <w:p>
      <w:pPr>
        <w:pStyle w:val="3"/>
        <w:ind w:firstLine="480"/>
        <w:rPr>
          <w:rFonts w:cs="Times New Roman" w:eastAsiaTheme="minorEastAsia"/>
          <w:color w:val="FF0000"/>
          <w:u w:val="single"/>
        </w:rPr>
      </w:pPr>
      <w:r>
        <w:rPr>
          <w:rFonts w:hint="eastAsia" w:cs="Times New Roman" w:eastAsiaTheme="minorEastAsia"/>
          <w:color w:val="FF0000"/>
          <w:u w:val="single"/>
        </w:rPr>
        <w:t>根据《牛羊屠宰与分割车间设计规范》（GB51225-2017），屠宰车间可采用机械通风，新风系统应设过滤装置。本项目换风次数参考《牛羊屠宰与分割车间设计规范》（GB51225-2017）推荐换风次数取6次/h。本项目牛屠宰车间非清洁区面积约为1480m</w:t>
      </w:r>
      <w:r>
        <w:rPr>
          <w:rFonts w:hint="eastAsia" w:cs="Times New Roman" w:eastAsiaTheme="minorEastAsia"/>
          <w:color w:val="FF0000"/>
          <w:u w:val="single"/>
          <w:vertAlign w:val="superscript"/>
        </w:rPr>
        <w:t>2</w:t>
      </w:r>
      <w:r>
        <w:rPr>
          <w:rFonts w:hint="eastAsia" w:cs="Times New Roman" w:eastAsiaTheme="minorEastAsia"/>
          <w:color w:val="FF0000"/>
          <w:u w:val="single"/>
        </w:rPr>
        <w:t>，高度为4.5m，计算得出换风量为39960m</w:t>
      </w:r>
      <w:r>
        <w:rPr>
          <w:rFonts w:hint="eastAsia" w:cs="Times New Roman" w:eastAsiaTheme="minorEastAsia"/>
          <w:color w:val="FF0000"/>
          <w:u w:val="single"/>
          <w:vertAlign w:val="superscript"/>
        </w:rPr>
        <w:t>3</w:t>
      </w:r>
      <w:r>
        <w:rPr>
          <w:rFonts w:hint="eastAsia" w:cs="Times New Roman" w:eastAsiaTheme="minorEastAsia"/>
          <w:color w:val="FF0000"/>
          <w:u w:val="single"/>
        </w:rPr>
        <w:t>/h。项目设计风机风量为40000 m</w:t>
      </w:r>
      <w:r>
        <w:rPr>
          <w:rFonts w:hint="eastAsia" w:cs="Times New Roman" w:eastAsiaTheme="minorEastAsia"/>
          <w:color w:val="FF0000"/>
          <w:u w:val="single"/>
          <w:vertAlign w:val="superscript"/>
        </w:rPr>
        <w:t>3</w:t>
      </w:r>
      <w:r>
        <w:rPr>
          <w:rFonts w:hint="eastAsia" w:cs="Times New Roman" w:eastAsiaTheme="minorEastAsia"/>
          <w:color w:val="FF0000"/>
          <w:u w:val="single"/>
        </w:rPr>
        <w:t>/h。</w:t>
      </w:r>
    </w:p>
    <w:p>
      <w:pPr>
        <w:pStyle w:val="3"/>
        <w:ind w:firstLine="480"/>
        <w:rPr>
          <w:rFonts w:cs="Times New Roman" w:eastAsiaTheme="minorEastAsia"/>
          <w:color w:val="FF0000"/>
          <w:u w:val="single"/>
        </w:rPr>
      </w:pPr>
      <w:r>
        <w:rPr>
          <w:rFonts w:hint="eastAsia" w:cs="Times New Roman" w:eastAsiaTheme="minorEastAsia"/>
          <w:color w:val="FF0000"/>
          <w:u w:val="single"/>
        </w:rPr>
        <w:t>根据《禽类屠宰与分割车间设计规范》(SBJ15-2008)：屠宰车间通风次数不宜小于5次/h，评价按5次/h。本项目家禽屠宰车间非清洁区面积为1850m</w:t>
      </w:r>
      <w:r>
        <w:rPr>
          <w:rFonts w:hint="eastAsia" w:cs="Times New Roman" w:eastAsiaTheme="minorEastAsia"/>
          <w:color w:val="FF0000"/>
          <w:u w:val="single"/>
          <w:vertAlign w:val="superscript"/>
        </w:rPr>
        <w:t>2</w:t>
      </w:r>
      <w:r>
        <w:rPr>
          <w:rFonts w:hint="eastAsia" w:cs="Times New Roman" w:eastAsiaTheme="minorEastAsia"/>
          <w:color w:val="FF0000"/>
          <w:u w:val="single"/>
        </w:rPr>
        <w:t>，高度为4.5m，计算得出换风量为41625m</w:t>
      </w:r>
      <w:r>
        <w:rPr>
          <w:rFonts w:hint="eastAsia" w:cs="Times New Roman" w:eastAsiaTheme="minorEastAsia"/>
          <w:color w:val="FF0000"/>
          <w:u w:val="single"/>
          <w:vertAlign w:val="superscript"/>
        </w:rPr>
        <w:t>3</w:t>
      </w:r>
      <w:r>
        <w:rPr>
          <w:rFonts w:hint="eastAsia" w:cs="Times New Roman" w:eastAsiaTheme="minorEastAsia"/>
          <w:color w:val="FF0000"/>
          <w:u w:val="single"/>
        </w:rPr>
        <w:t>/h。项目涉及风机风量为42000 m</w:t>
      </w:r>
      <w:r>
        <w:rPr>
          <w:rFonts w:hint="eastAsia" w:cs="Times New Roman" w:eastAsiaTheme="minorEastAsia"/>
          <w:color w:val="FF0000"/>
          <w:u w:val="single"/>
          <w:vertAlign w:val="superscript"/>
        </w:rPr>
        <w:t>3</w:t>
      </w:r>
      <w:r>
        <w:rPr>
          <w:rFonts w:hint="eastAsia" w:cs="Times New Roman" w:eastAsiaTheme="minorEastAsia"/>
          <w:color w:val="FF0000"/>
          <w:u w:val="single"/>
        </w:rPr>
        <w:t>/h。</w:t>
      </w:r>
    </w:p>
    <w:p>
      <w:pPr>
        <w:pStyle w:val="3"/>
        <w:ind w:firstLine="480"/>
        <w:rPr>
          <w:rFonts w:cs="Times New Roman" w:eastAsiaTheme="minorEastAsia"/>
          <w:color w:val="FF0000"/>
          <w:u w:val="single"/>
        </w:rPr>
        <w:sectPr>
          <w:pgSz w:w="11906" w:h="16838"/>
          <w:pgMar w:top="1474" w:right="1361" w:bottom="1474" w:left="1588" w:header="851" w:footer="992" w:gutter="0"/>
          <w:cols w:space="425" w:num="1"/>
          <w:docGrid w:type="lines" w:linePitch="312" w:charSpace="0"/>
        </w:sectPr>
      </w:pPr>
      <w:r>
        <w:rPr>
          <w:rFonts w:hint="eastAsia" w:cs="Times New Roman" w:eastAsiaTheme="minorEastAsia"/>
          <w:color w:val="FF0000"/>
          <w:u w:val="single"/>
        </w:rPr>
        <w:t>本项目臭气主要通过及时清理积存的牛、鸡、鸭粪尿、清洗地面、通风换气以及在待宰圈上方安装除臭剂喷头喷雾除臭，喷洒天然植物提取液等方式加以控制，尽量减少臭气产生量。参照《新型天然植物提取液除臭工艺》（西南给排水，2007年第5期）的介绍，新型天然植物提取液除臭效率可大于70%，本次评价除臭液除臭效率按70%计算。待宰圈恶臭污染物产排情况见下表。</w:t>
      </w:r>
    </w:p>
    <w:p>
      <w:pPr>
        <w:pStyle w:val="3"/>
        <w:spacing w:line="240" w:lineRule="auto"/>
        <w:ind w:firstLine="0" w:firstLineChars="0"/>
        <w:jc w:val="center"/>
        <w:rPr>
          <w:rFonts w:cs="Times New Roman"/>
        </w:rPr>
      </w:pPr>
      <w:r>
        <w:rPr>
          <w:rFonts w:hint="eastAsia" w:cs="Times New Roman" w:eastAsiaTheme="minorEastAsia"/>
          <w:b/>
        </w:rPr>
        <w:t>表4.2-12  恶臭排放源强</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207"/>
        <w:gridCol w:w="1038"/>
        <w:gridCol w:w="1594"/>
        <w:gridCol w:w="1413"/>
        <w:gridCol w:w="3089"/>
        <w:gridCol w:w="1298"/>
        <w:gridCol w:w="152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28" w:type="pct"/>
            <w:vMerge w:val="restar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产污区域</w:t>
            </w:r>
          </w:p>
        </w:tc>
        <w:tc>
          <w:tcPr>
            <w:tcW w:w="428" w:type="pct"/>
            <w:vMerge w:val="restar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产污单元</w:t>
            </w:r>
          </w:p>
        </w:tc>
        <w:tc>
          <w:tcPr>
            <w:tcW w:w="1434" w:type="pct"/>
            <w:gridSpan w:val="3"/>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产生情况</w:t>
            </w:r>
          </w:p>
        </w:tc>
        <w:tc>
          <w:tcPr>
            <w:tcW w:w="1095" w:type="pct"/>
            <w:vMerge w:val="restar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采取措施</w:t>
            </w:r>
          </w:p>
        </w:tc>
        <w:tc>
          <w:tcPr>
            <w:tcW w:w="1615" w:type="pct"/>
            <w:gridSpan w:val="3"/>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8" w:type="pct"/>
            <w:vMerge w:val="continue"/>
            <w:vAlign w:val="center"/>
          </w:tcPr>
          <w:p>
            <w:pPr>
              <w:jc w:val="center"/>
              <w:rPr>
                <w:rFonts w:ascii="Times New Roman" w:hAnsi="Times New Roman" w:cs="Times New Roman"/>
                <w:color w:val="FF0000"/>
                <w:u w:val="single"/>
              </w:rPr>
            </w:pPr>
          </w:p>
        </w:tc>
        <w:tc>
          <w:tcPr>
            <w:tcW w:w="428" w:type="pct"/>
            <w:vMerge w:val="continue"/>
            <w:vAlign w:val="center"/>
          </w:tcPr>
          <w:p>
            <w:pPr>
              <w:jc w:val="center"/>
              <w:rPr>
                <w:rFonts w:ascii="Times New Roman" w:hAnsi="Times New Roman" w:cs="Times New Roman"/>
                <w:color w:val="FF0000"/>
                <w:u w:val="single"/>
              </w:rPr>
            </w:pPr>
          </w:p>
        </w:tc>
        <w:tc>
          <w:tcPr>
            <w:tcW w:w="368"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产生量t/a</w:t>
            </w:r>
          </w:p>
        </w:tc>
        <w:tc>
          <w:tcPr>
            <w:tcW w:w="565"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产生浓度</w:t>
            </w:r>
          </w:p>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mg/m</w:t>
            </w:r>
            <w:r>
              <w:rPr>
                <w:rFonts w:ascii="Times New Roman" w:hAnsi="Times New Roman"/>
                <w:color w:val="FF0000"/>
                <w:szCs w:val="21"/>
                <w:u w:val="single"/>
                <w:vertAlign w:val="superscript"/>
              </w:rPr>
              <w:t>3</w:t>
            </w:r>
          </w:p>
        </w:tc>
        <w:tc>
          <w:tcPr>
            <w:tcW w:w="501"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产生速率kg/h</w:t>
            </w:r>
          </w:p>
        </w:tc>
        <w:tc>
          <w:tcPr>
            <w:tcW w:w="1095" w:type="pct"/>
            <w:vMerge w:val="continue"/>
            <w:vAlign w:val="center"/>
          </w:tcPr>
          <w:p>
            <w:pPr>
              <w:jc w:val="center"/>
              <w:rPr>
                <w:rFonts w:ascii="Times New Roman" w:hAnsi="Times New Roman" w:cs="Times New Roman"/>
                <w:color w:val="FF0000"/>
                <w:u w:val="single"/>
              </w:rPr>
            </w:pPr>
          </w:p>
        </w:tc>
        <w:tc>
          <w:tcPr>
            <w:tcW w:w="460"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排放量t/a</w:t>
            </w:r>
          </w:p>
        </w:tc>
        <w:tc>
          <w:tcPr>
            <w:tcW w:w="541"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排放浓度</w:t>
            </w:r>
          </w:p>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mg/m</w:t>
            </w:r>
            <w:r>
              <w:rPr>
                <w:rFonts w:ascii="Times New Roman" w:hAnsi="Times New Roman"/>
                <w:color w:val="FF0000"/>
                <w:szCs w:val="21"/>
                <w:u w:val="single"/>
                <w:vertAlign w:val="superscript"/>
              </w:rPr>
              <w:t>3</w:t>
            </w:r>
          </w:p>
        </w:tc>
        <w:tc>
          <w:tcPr>
            <w:tcW w:w="614" w:type="pct"/>
            <w:vAlign w:val="center"/>
          </w:tcPr>
          <w:p>
            <w:pPr>
              <w:pStyle w:val="19"/>
              <w:spacing w:after="0" w:line="240" w:lineRule="auto"/>
              <w:ind w:left="0" w:leftChars="0"/>
              <w:jc w:val="center"/>
              <w:rPr>
                <w:rFonts w:ascii="Times New Roman" w:hAnsi="Times New Roman"/>
                <w:color w:val="FF0000"/>
                <w:szCs w:val="21"/>
                <w:u w:val="single"/>
              </w:rPr>
            </w:pPr>
            <w:r>
              <w:rPr>
                <w:rFonts w:ascii="Times New Roman" w:hAnsi="Times New Roman"/>
                <w:color w:val="FF0000"/>
                <w:szCs w:val="21"/>
                <w:u w:val="singl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8" w:type="pct"/>
            <w:vMerge w:val="restar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肉牛屠宰区</w:t>
            </w:r>
          </w:p>
        </w:tc>
        <w:tc>
          <w:tcPr>
            <w:tcW w:w="42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NH</w:t>
            </w:r>
            <w:r>
              <w:rPr>
                <w:rFonts w:ascii="Times New Roman" w:hAnsi="Times New Roman" w:eastAsiaTheme="minorEastAsia"/>
                <w:color w:val="FF0000"/>
                <w:szCs w:val="21"/>
                <w:u w:val="single"/>
                <w:vertAlign w:val="subscript"/>
              </w:rPr>
              <w:t>3</w:t>
            </w:r>
          </w:p>
        </w:tc>
        <w:tc>
          <w:tcPr>
            <w:tcW w:w="36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0.096</w:t>
            </w:r>
          </w:p>
        </w:tc>
        <w:tc>
          <w:tcPr>
            <w:tcW w:w="565"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1</w:t>
            </w:r>
          </w:p>
        </w:tc>
        <w:tc>
          <w:tcPr>
            <w:tcW w:w="501"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0.04</w:t>
            </w:r>
          </w:p>
        </w:tc>
        <w:tc>
          <w:tcPr>
            <w:tcW w:w="1095" w:type="pct"/>
            <w:vMerge w:val="restar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设置绿化带，</w:t>
            </w:r>
            <w:r>
              <w:rPr>
                <w:rFonts w:ascii="Times New Roman" w:hAnsi="Times New Roman" w:eastAsiaTheme="minorEastAsia"/>
                <w:color w:val="FF0000"/>
                <w:u w:val="single"/>
              </w:rPr>
              <w:t>通风换气，</w:t>
            </w:r>
            <w:r>
              <w:rPr>
                <w:rFonts w:ascii="Times New Roman" w:hAnsi="Times New Roman" w:eastAsiaTheme="minorEastAsia"/>
                <w:color w:val="FF0000"/>
                <w:szCs w:val="21"/>
                <w:u w:val="single"/>
              </w:rPr>
              <w:t>车间清洗，及时清理废弃物，使用除臭剂，除臭效率约70%</w:t>
            </w:r>
          </w:p>
        </w:tc>
        <w:tc>
          <w:tcPr>
            <w:tcW w:w="46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0.0288</w:t>
            </w:r>
          </w:p>
        </w:tc>
        <w:tc>
          <w:tcPr>
            <w:tcW w:w="54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0.3</w:t>
            </w:r>
          </w:p>
        </w:tc>
        <w:tc>
          <w:tcPr>
            <w:tcW w:w="61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8" w:type="pct"/>
            <w:vMerge w:val="continue"/>
            <w:vAlign w:val="center"/>
          </w:tcPr>
          <w:p>
            <w:pPr>
              <w:pStyle w:val="19"/>
              <w:spacing w:after="0" w:line="240" w:lineRule="auto"/>
              <w:ind w:left="0" w:leftChars="0"/>
              <w:jc w:val="center"/>
              <w:rPr>
                <w:rFonts w:ascii="Times New Roman" w:hAnsi="Times New Roman" w:eastAsiaTheme="minorEastAsia"/>
                <w:color w:val="FF0000"/>
                <w:szCs w:val="21"/>
                <w:u w:val="single"/>
              </w:rPr>
            </w:pPr>
          </w:p>
        </w:tc>
        <w:tc>
          <w:tcPr>
            <w:tcW w:w="42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H</w:t>
            </w:r>
            <w:r>
              <w:rPr>
                <w:rFonts w:ascii="Times New Roman" w:hAnsi="Times New Roman" w:eastAsiaTheme="minorEastAsia"/>
                <w:color w:val="FF0000"/>
                <w:szCs w:val="21"/>
                <w:u w:val="single"/>
                <w:vertAlign w:val="subscript"/>
              </w:rPr>
              <w:t>2</w:t>
            </w:r>
            <w:r>
              <w:rPr>
                <w:rFonts w:ascii="Times New Roman" w:hAnsi="Times New Roman" w:eastAsiaTheme="minorEastAsia"/>
                <w:color w:val="FF0000"/>
                <w:szCs w:val="21"/>
                <w:u w:val="single"/>
              </w:rPr>
              <w:t>S</w:t>
            </w:r>
          </w:p>
        </w:tc>
        <w:tc>
          <w:tcPr>
            <w:tcW w:w="36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0.00192</w:t>
            </w:r>
          </w:p>
        </w:tc>
        <w:tc>
          <w:tcPr>
            <w:tcW w:w="565"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0.02</w:t>
            </w:r>
          </w:p>
        </w:tc>
        <w:tc>
          <w:tcPr>
            <w:tcW w:w="50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0.0008</w:t>
            </w:r>
          </w:p>
        </w:tc>
        <w:tc>
          <w:tcPr>
            <w:tcW w:w="1095" w:type="pct"/>
            <w:vMerge w:val="continue"/>
            <w:vAlign w:val="center"/>
          </w:tcPr>
          <w:p>
            <w:pPr>
              <w:jc w:val="center"/>
              <w:rPr>
                <w:rFonts w:ascii="Times New Roman" w:hAnsi="Times New Roman" w:cs="Times New Roman"/>
                <w:color w:val="FF0000"/>
                <w:u w:val="single"/>
              </w:rPr>
            </w:pPr>
          </w:p>
        </w:tc>
        <w:tc>
          <w:tcPr>
            <w:tcW w:w="46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0.000576</w:t>
            </w:r>
          </w:p>
        </w:tc>
        <w:tc>
          <w:tcPr>
            <w:tcW w:w="54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0.006</w:t>
            </w:r>
          </w:p>
        </w:tc>
        <w:tc>
          <w:tcPr>
            <w:tcW w:w="61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8" w:type="pct"/>
            <w:vMerge w:val="restar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家禽屠宰区</w:t>
            </w:r>
          </w:p>
        </w:tc>
        <w:tc>
          <w:tcPr>
            <w:tcW w:w="42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NH</w:t>
            </w:r>
            <w:r>
              <w:rPr>
                <w:rFonts w:ascii="Times New Roman" w:hAnsi="Times New Roman" w:eastAsiaTheme="minorEastAsia"/>
                <w:color w:val="FF0000"/>
                <w:szCs w:val="21"/>
                <w:u w:val="single"/>
                <w:vertAlign w:val="subscript"/>
              </w:rPr>
              <w:t>3</w:t>
            </w:r>
          </w:p>
        </w:tc>
        <w:tc>
          <w:tcPr>
            <w:tcW w:w="36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0.0504</w:t>
            </w:r>
          </w:p>
        </w:tc>
        <w:tc>
          <w:tcPr>
            <w:tcW w:w="565"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0.5</w:t>
            </w:r>
          </w:p>
        </w:tc>
        <w:tc>
          <w:tcPr>
            <w:tcW w:w="50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0.021</w:t>
            </w:r>
          </w:p>
        </w:tc>
        <w:tc>
          <w:tcPr>
            <w:tcW w:w="1095" w:type="pct"/>
            <w:vMerge w:val="continue"/>
            <w:vAlign w:val="center"/>
          </w:tcPr>
          <w:p>
            <w:pPr>
              <w:jc w:val="center"/>
              <w:rPr>
                <w:rFonts w:ascii="Times New Roman" w:hAnsi="Times New Roman" w:cs="Times New Roman"/>
                <w:color w:val="FF0000"/>
                <w:u w:val="single"/>
              </w:rPr>
            </w:pPr>
          </w:p>
        </w:tc>
        <w:tc>
          <w:tcPr>
            <w:tcW w:w="46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0.01512</w:t>
            </w:r>
          </w:p>
        </w:tc>
        <w:tc>
          <w:tcPr>
            <w:tcW w:w="54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0.15</w:t>
            </w:r>
          </w:p>
        </w:tc>
        <w:tc>
          <w:tcPr>
            <w:tcW w:w="61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8" w:type="pct"/>
            <w:vMerge w:val="continue"/>
            <w:vAlign w:val="center"/>
          </w:tcPr>
          <w:p>
            <w:pPr>
              <w:pStyle w:val="19"/>
              <w:spacing w:after="0" w:line="240" w:lineRule="auto"/>
              <w:ind w:left="0" w:leftChars="0"/>
              <w:jc w:val="center"/>
              <w:rPr>
                <w:rFonts w:ascii="Times New Roman" w:hAnsi="Times New Roman" w:eastAsiaTheme="minorEastAsia"/>
                <w:color w:val="FF0000"/>
                <w:szCs w:val="21"/>
                <w:u w:val="single"/>
              </w:rPr>
            </w:pPr>
          </w:p>
        </w:tc>
        <w:tc>
          <w:tcPr>
            <w:tcW w:w="42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H</w:t>
            </w:r>
            <w:r>
              <w:rPr>
                <w:rFonts w:ascii="Times New Roman" w:hAnsi="Times New Roman" w:eastAsiaTheme="minorEastAsia"/>
                <w:color w:val="FF0000"/>
                <w:szCs w:val="21"/>
                <w:u w:val="single"/>
                <w:vertAlign w:val="subscript"/>
              </w:rPr>
              <w:t>2</w:t>
            </w:r>
            <w:r>
              <w:rPr>
                <w:rFonts w:ascii="Times New Roman" w:hAnsi="Times New Roman" w:eastAsiaTheme="minorEastAsia"/>
                <w:color w:val="FF0000"/>
                <w:szCs w:val="21"/>
                <w:u w:val="single"/>
              </w:rPr>
              <w:t>S</w:t>
            </w:r>
          </w:p>
        </w:tc>
        <w:tc>
          <w:tcPr>
            <w:tcW w:w="368"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0.000605</w:t>
            </w:r>
          </w:p>
        </w:tc>
        <w:tc>
          <w:tcPr>
            <w:tcW w:w="565" w:type="pct"/>
            <w:vAlign w:val="center"/>
          </w:tcPr>
          <w:p>
            <w:pPr>
              <w:pStyle w:val="19"/>
              <w:spacing w:after="0" w:line="240" w:lineRule="auto"/>
              <w:ind w:left="0" w:leftChars="0"/>
              <w:jc w:val="center"/>
              <w:rPr>
                <w:rFonts w:ascii="Times New Roman" w:hAnsi="Times New Roman" w:eastAsiaTheme="minorEastAsia"/>
                <w:color w:val="FF0000"/>
                <w:szCs w:val="21"/>
                <w:u w:val="single"/>
              </w:rPr>
            </w:pPr>
            <w:r>
              <w:rPr>
                <w:rFonts w:hint="eastAsia" w:ascii="Times New Roman" w:hAnsi="Times New Roman" w:eastAsiaTheme="minorEastAsia"/>
                <w:color w:val="FF0000"/>
                <w:szCs w:val="21"/>
                <w:u w:val="single"/>
              </w:rPr>
              <w:t>0.006</w:t>
            </w:r>
          </w:p>
        </w:tc>
        <w:tc>
          <w:tcPr>
            <w:tcW w:w="501"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0.000252</w:t>
            </w:r>
          </w:p>
        </w:tc>
        <w:tc>
          <w:tcPr>
            <w:tcW w:w="1095" w:type="pct"/>
            <w:vMerge w:val="continue"/>
            <w:vAlign w:val="center"/>
          </w:tcPr>
          <w:p>
            <w:pPr>
              <w:jc w:val="center"/>
              <w:rPr>
                <w:rFonts w:ascii="Times New Roman" w:hAnsi="Times New Roman" w:cs="Times New Roman"/>
                <w:color w:val="FF0000"/>
                <w:u w:val="single"/>
              </w:rPr>
            </w:pPr>
          </w:p>
        </w:tc>
        <w:tc>
          <w:tcPr>
            <w:tcW w:w="460"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0.000181</w:t>
            </w:r>
          </w:p>
        </w:tc>
        <w:tc>
          <w:tcPr>
            <w:tcW w:w="541"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0.006</w:t>
            </w:r>
          </w:p>
        </w:tc>
        <w:tc>
          <w:tcPr>
            <w:tcW w:w="61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0.000076</w:t>
            </w:r>
          </w:p>
        </w:tc>
      </w:tr>
    </w:tbl>
    <w:p>
      <w:pPr>
        <w:pStyle w:val="3"/>
        <w:ind w:firstLine="480"/>
        <w:rPr>
          <w:rFonts w:cs="Times New Roman" w:eastAsiaTheme="minorEastAsia"/>
        </w:rPr>
      </w:pPr>
      <w:r>
        <w:rPr>
          <w:rFonts w:hint="eastAsia" w:cs="Times New Roman" w:eastAsiaTheme="minorEastAsia"/>
        </w:rPr>
        <w:t>正常生产过程中，屠宰加工作业恶臭污染物源强与其加工量呈正相关（简化为正比例），为验证选取源强的合理性，本评价通过查询近年来同类行业已批复环境影响报告书的屠宰车间恶臭污染物源强（折算成同等产能后）来进行对比，具体情况如下表。</w:t>
      </w:r>
    </w:p>
    <w:p>
      <w:pPr>
        <w:pStyle w:val="3"/>
        <w:spacing w:line="240" w:lineRule="auto"/>
        <w:ind w:firstLine="0" w:firstLineChars="0"/>
        <w:jc w:val="center"/>
        <w:rPr>
          <w:rFonts w:cs="Times New Roman"/>
        </w:rPr>
      </w:pPr>
      <w:r>
        <w:rPr>
          <w:rFonts w:hint="eastAsia" w:cs="Times New Roman" w:eastAsiaTheme="minorEastAsia"/>
          <w:b/>
        </w:rPr>
        <w:t>表4.2-13  屠宰车间恶臭源强对比一览表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2835"/>
        <w:gridCol w:w="1276"/>
        <w:gridCol w:w="1276"/>
        <w:gridCol w:w="1276"/>
        <w:gridCol w:w="1275"/>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Merge w:val="restart"/>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项目名称</w:t>
            </w:r>
          </w:p>
        </w:tc>
        <w:tc>
          <w:tcPr>
            <w:tcW w:w="2835" w:type="dxa"/>
            <w:vMerge w:val="restart"/>
            <w:vAlign w:val="center"/>
          </w:tcPr>
          <w:p>
            <w:pPr>
              <w:pStyle w:val="19"/>
              <w:spacing w:after="0" w:line="240" w:lineRule="auto"/>
              <w:ind w:left="0" w:leftChars="0"/>
              <w:jc w:val="center"/>
              <w:rPr>
                <w:rFonts w:ascii="Times New Roman" w:hAnsi="Times New Roman" w:eastAsiaTheme="minorEastAsia"/>
                <w:szCs w:val="21"/>
              </w:rPr>
            </w:pPr>
            <w:r>
              <w:rPr>
                <w:rFonts w:hint="eastAsia" w:ascii="宋体" w:hAnsi="宋体" w:cs="宋体"/>
                <w:kern w:val="0"/>
              </w:rPr>
              <w:t>建设规模</w:t>
            </w:r>
          </w:p>
        </w:tc>
        <w:tc>
          <w:tcPr>
            <w:tcW w:w="2552" w:type="dxa"/>
            <w:gridSpan w:val="2"/>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牛屠宰车间</w:t>
            </w:r>
          </w:p>
        </w:tc>
        <w:tc>
          <w:tcPr>
            <w:tcW w:w="2551" w:type="dxa"/>
            <w:gridSpan w:val="2"/>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禽类屠宰车间</w:t>
            </w:r>
          </w:p>
        </w:tc>
        <w:tc>
          <w:tcPr>
            <w:tcW w:w="1524" w:type="dxa"/>
            <w:vMerge w:val="restart"/>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Merge w:val="continue"/>
            <w:vAlign w:val="center"/>
          </w:tcPr>
          <w:p>
            <w:pPr>
              <w:pStyle w:val="19"/>
              <w:spacing w:after="0" w:line="240" w:lineRule="auto"/>
              <w:ind w:left="0" w:leftChars="0"/>
              <w:jc w:val="center"/>
              <w:rPr>
                <w:rFonts w:ascii="Times New Roman" w:hAnsi="Times New Roman" w:eastAsiaTheme="minorEastAsia"/>
                <w:szCs w:val="21"/>
              </w:rPr>
            </w:pPr>
          </w:p>
        </w:tc>
        <w:tc>
          <w:tcPr>
            <w:tcW w:w="2835" w:type="dxa"/>
            <w:vMerge w:val="continue"/>
            <w:vAlign w:val="center"/>
          </w:tcPr>
          <w:p>
            <w:pPr>
              <w:pStyle w:val="19"/>
              <w:spacing w:after="0" w:line="240" w:lineRule="auto"/>
              <w:ind w:left="0" w:leftChars="0"/>
              <w:jc w:val="center"/>
              <w:rPr>
                <w:rFonts w:ascii="Times New Roman" w:hAnsi="Times New Roman" w:eastAsiaTheme="minorEastAsia"/>
                <w:szCs w:val="21"/>
              </w:rPr>
            </w:pP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ascii="Times New Roman" w:hAnsi="Times New Roman" w:eastAsiaTheme="minorEastAsia"/>
                <w:szCs w:val="21"/>
              </w:rPr>
              <w:t>NH</w:t>
            </w:r>
            <w:r>
              <w:rPr>
                <w:rFonts w:ascii="Times New Roman" w:hAnsi="Times New Roman" w:eastAsiaTheme="minorEastAsia"/>
                <w:szCs w:val="21"/>
                <w:vertAlign w:val="subscript"/>
              </w:rPr>
              <w:t>3</w:t>
            </w:r>
            <w:r>
              <w:rPr>
                <w:rFonts w:hint="eastAsia" w:ascii="Times New Roman" w:hAnsi="Times New Roman" w:eastAsiaTheme="minorEastAsia"/>
                <w:szCs w:val="21"/>
              </w:rPr>
              <w:t>（</w:t>
            </w:r>
            <w:r>
              <w:rPr>
                <w:rFonts w:ascii="Times New Roman" w:hAnsi="Times New Roman"/>
                <w:szCs w:val="21"/>
              </w:rPr>
              <w:t>kg/h</w:t>
            </w:r>
            <w:r>
              <w:rPr>
                <w:rFonts w:hint="eastAsia" w:ascii="Times New Roman" w:hAnsi="Times New Roman" w:eastAsiaTheme="minorEastAsia"/>
                <w:szCs w:val="21"/>
              </w:rPr>
              <w:t>）</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S</w:t>
            </w:r>
            <w:r>
              <w:rPr>
                <w:rFonts w:hint="eastAsia" w:ascii="Times New Roman" w:hAnsi="Times New Roman" w:eastAsiaTheme="minorEastAsia"/>
                <w:szCs w:val="21"/>
              </w:rPr>
              <w:t>（</w:t>
            </w:r>
            <w:r>
              <w:rPr>
                <w:rFonts w:ascii="Times New Roman" w:hAnsi="Times New Roman"/>
                <w:szCs w:val="21"/>
              </w:rPr>
              <w:t>kg/h</w:t>
            </w:r>
            <w:r>
              <w:rPr>
                <w:rFonts w:hint="eastAsia" w:ascii="Times New Roman" w:hAnsi="Times New Roman" w:eastAsiaTheme="minorEastAsia"/>
                <w:szCs w:val="21"/>
              </w:rPr>
              <w:t>）</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ascii="Times New Roman" w:hAnsi="Times New Roman" w:eastAsiaTheme="minorEastAsia"/>
                <w:szCs w:val="21"/>
              </w:rPr>
              <w:t>NH</w:t>
            </w:r>
            <w:r>
              <w:rPr>
                <w:rFonts w:ascii="Times New Roman" w:hAnsi="Times New Roman" w:eastAsiaTheme="minorEastAsia"/>
                <w:szCs w:val="21"/>
                <w:vertAlign w:val="subscript"/>
              </w:rPr>
              <w:t>3</w:t>
            </w:r>
            <w:r>
              <w:rPr>
                <w:rFonts w:hint="eastAsia" w:ascii="Times New Roman" w:hAnsi="Times New Roman" w:eastAsiaTheme="minorEastAsia"/>
                <w:szCs w:val="21"/>
              </w:rPr>
              <w:t>（</w:t>
            </w:r>
            <w:r>
              <w:rPr>
                <w:rFonts w:ascii="Times New Roman" w:hAnsi="Times New Roman"/>
                <w:szCs w:val="21"/>
              </w:rPr>
              <w:t>kg/h</w:t>
            </w:r>
            <w:r>
              <w:rPr>
                <w:rFonts w:hint="eastAsia" w:ascii="Times New Roman" w:hAnsi="Times New Roman" w:eastAsiaTheme="minorEastAsia"/>
                <w:szCs w:val="21"/>
              </w:rPr>
              <w:t>）</w:t>
            </w:r>
          </w:p>
        </w:tc>
        <w:tc>
          <w:tcPr>
            <w:tcW w:w="1275" w:type="dxa"/>
            <w:vAlign w:val="center"/>
          </w:tcPr>
          <w:p>
            <w:pPr>
              <w:pStyle w:val="19"/>
              <w:spacing w:after="0" w:line="240" w:lineRule="auto"/>
              <w:ind w:left="0" w:leftChars="0"/>
              <w:jc w:val="center"/>
              <w:rPr>
                <w:rFonts w:ascii="Times New Roman" w:hAnsi="Times New Roman" w:eastAsiaTheme="minorEastAsia"/>
                <w:szCs w:val="21"/>
              </w:rPr>
            </w:pP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S</w:t>
            </w:r>
            <w:r>
              <w:rPr>
                <w:rFonts w:hint="eastAsia" w:ascii="Times New Roman" w:hAnsi="Times New Roman" w:eastAsiaTheme="minorEastAsia"/>
                <w:szCs w:val="21"/>
              </w:rPr>
              <w:t>（</w:t>
            </w:r>
            <w:r>
              <w:rPr>
                <w:rFonts w:ascii="Times New Roman" w:hAnsi="Times New Roman"/>
                <w:szCs w:val="21"/>
              </w:rPr>
              <w:t>kg/h</w:t>
            </w:r>
            <w:r>
              <w:rPr>
                <w:rFonts w:hint="eastAsia" w:ascii="Times New Roman" w:hAnsi="Times New Roman" w:eastAsiaTheme="minorEastAsia"/>
                <w:szCs w:val="21"/>
              </w:rPr>
              <w:t>）</w:t>
            </w:r>
          </w:p>
        </w:tc>
        <w:tc>
          <w:tcPr>
            <w:tcW w:w="1524" w:type="dxa"/>
            <w:vMerge w:val="continue"/>
            <w:vAlign w:val="center"/>
          </w:tcPr>
          <w:p>
            <w:pPr>
              <w:pStyle w:val="19"/>
              <w:spacing w:after="0" w:line="240" w:lineRule="auto"/>
              <w:ind w:left="0" w:leftChars="0"/>
              <w:jc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榕江县牲畜定点屠宰场</w:t>
            </w:r>
          </w:p>
        </w:tc>
        <w:tc>
          <w:tcPr>
            <w:tcW w:w="283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年屠宰生猪18 万头，肉牛1.2 万头，肉羊1.2万头</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0.0041</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0.00018</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27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52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类比法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库尔勒市阿塔农业发展有限公司牛羊定点屠宰场建设项目</w:t>
            </w:r>
          </w:p>
        </w:tc>
        <w:tc>
          <w:tcPr>
            <w:tcW w:w="283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年屠宰10 万头肉牛、80 万只肉羊</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0.0009</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0.0017</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27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52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文献法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永修县古艾禽业有限公司年可屠宰鸭1100 万羽标准化屠宰场建设项目</w:t>
            </w:r>
          </w:p>
        </w:tc>
        <w:tc>
          <w:tcPr>
            <w:tcW w:w="283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年屠宰家禽1100 万羽</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0.08</w:t>
            </w:r>
          </w:p>
        </w:tc>
        <w:tc>
          <w:tcPr>
            <w:tcW w:w="127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0.0214</w:t>
            </w:r>
          </w:p>
        </w:tc>
        <w:tc>
          <w:tcPr>
            <w:tcW w:w="152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类比法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广东梧聚农牧有限公司吴川牛羊屠宰场变更项目</w:t>
            </w:r>
          </w:p>
        </w:tc>
        <w:tc>
          <w:tcPr>
            <w:tcW w:w="2835"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年屠宰牛12000 头、羊7500 头</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0.0479</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0.0021</w:t>
            </w:r>
          </w:p>
        </w:tc>
        <w:tc>
          <w:tcPr>
            <w:tcW w:w="1276" w:type="dxa"/>
            <w:vAlign w:val="center"/>
          </w:tcPr>
          <w:p>
            <w:pPr>
              <w:pStyle w:val="19"/>
              <w:spacing w:after="0" w:line="240" w:lineRule="auto"/>
              <w:ind w:left="0" w:leftChars="0"/>
              <w:jc w:val="center"/>
              <w:rPr>
                <w:rFonts w:ascii="Times New Roman" w:hAnsi="Times New Roman" w:eastAsiaTheme="minorEastAsia"/>
                <w:szCs w:val="21"/>
              </w:rPr>
            </w:pPr>
          </w:p>
        </w:tc>
        <w:tc>
          <w:tcPr>
            <w:tcW w:w="1275" w:type="dxa"/>
            <w:vAlign w:val="center"/>
          </w:tcPr>
          <w:p>
            <w:pPr>
              <w:pStyle w:val="19"/>
              <w:spacing w:after="0" w:line="240" w:lineRule="auto"/>
              <w:ind w:left="0" w:leftChars="0"/>
              <w:jc w:val="center"/>
              <w:rPr>
                <w:rFonts w:ascii="Times New Roman" w:hAnsi="Times New Roman" w:eastAsiaTheme="minorEastAsia"/>
                <w:szCs w:val="21"/>
              </w:rPr>
            </w:pPr>
          </w:p>
        </w:tc>
        <w:tc>
          <w:tcPr>
            <w:tcW w:w="1524" w:type="dxa"/>
            <w:vAlign w:val="center"/>
          </w:tcPr>
          <w:p>
            <w:pPr>
              <w:pStyle w:val="19"/>
              <w:spacing w:after="0" w:line="240" w:lineRule="auto"/>
              <w:ind w:left="0" w:leftChars="0"/>
              <w:jc w:val="center"/>
              <w:rPr>
                <w:rFonts w:ascii="Times New Roman" w:hAnsi="Times New Roman" w:eastAsiaTheme="minorEastAsia"/>
                <w:szCs w:val="21"/>
              </w:rPr>
            </w:pPr>
            <w:r>
              <w:rPr>
                <w:rFonts w:hint="eastAsia" w:ascii="Times New Roman" w:hAnsi="Times New Roman" w:eastAsiaTheme="minorEastAsia"/>
                <w:szCs w:val="21"/>
              </w:rPr>
              <w:t>类比法</w:t>
            </w:r>
          </w:p>
        </w:tc>
      </w:tr>
    </w:tbl>
    <w:p>
      <w:pPr>
        <w:pStyle w:val="3"/>
        <w:ind w:firstLine="480"/>
        <w:rPr>
          <w:rFonts w:cs="Times New Roman" w:eastAsiaTheme="minorEastAsia"/>
        </w:rPr>
        <w:sectPr>
          <w:pgSz w:w="16838" w:h="11906" w:orient="landscape"/>
          <w:pgMar w:top="1588" w:right="1474" w:bottom="1361" w:left="1474" w:header="851" w:footer="992" w:gutter="0"/>
          <w:cols w:space="425" w:num="1"/>
          <w:docGrid w:type="lines" w:linePitch="312" w:charSpace="0"/>
        </w:sectPr>
      </w:pPr>
      <w:r>
        <w:rPr>
          <w:rFonts w:hint="eastAsia" w:cs="Times New Roman" w:eastAsiaTheme="minorEastAsia"/>
        </w:rPr>
        <w:t>根据上表可知，由于目前未有统一源强核算指南或规范，各地环境影响报告书选取的类比项目与文献不同导致产污系数存在较大差异，但总体均比本评价计算出的源强小，说明本项目屠宰车间计算得出恶臭污染物源强相对保守，作为源强核算基础不存在降低环境影响的情况，因此本评价的屠宰车间恶臭污染物源强是合理的。</w:t>
      </w:r>
    </w:p>
    <w:p>
      <w:pPr>
        <w:pStyle w:val="3"/>
        <w:ind w:firstLine="480"/>
        <w:rPr>
          <w:rFonts w:cs="Times New Roman" w:eastAsiaTheme="minorEastAsia"/>
        </w:rPr>
      </w:pPr>
      <w:r>
        <w:rPr>
          <w:rFonts w:hint="eastAsia" w:cs="Times New Roman" w:eastAsiaTheme="minorEastAsia"/>
        </w:rPr>
        <w:t>（2）粪污处理系统恶臭</w:t>
      </w:r>
    </w:p>
    <w:p>
      <w:pPr>
        <w:spacing w:line="360" w:lineRule="auto"/>
        <w:ind w:firstLine="480" w:firstLineChars="200"/>
        <w:rPr>
          <w:rFonts w:ascii="Times New Roman" w:hAnsi="Times New Roman"/>
          <w:sz w:val="24"/>
        </w:rPr>
      </w:pPr>
      <w:r>
        <w:rPr>
          <w:rFonts w:hint="eastAsia" w:ascii="Times New Roman" w:hAnsi="Times New Roman"/>
          <w:sz w:val="24"/>
        </w:rPr>
        <w:t>本项目屠宰废水新建一座粪污处理系统处理，屠宰过程中产生高浓度有机废水，在处理过程中会散发恶臭。</w:t>
      </w:r>
    </w:p>
    <w:p>
      <w:pPr>
        <w:pStyle w:val="3"/>
        <w:ind w:firstLine="480"/>
        <w:rPr>
          <w:rFonts w:eastAsiaTheme="minorEastAsia"/>
        </w:rPr>
      </w:pPr>
      <w:r>
        <w:rPr>
          <w:rFonts w:hint="eastAsia" w:eastAsiaTheme="minorEastAsia"/>
        </w:rPr>
        <w:t>由于恶臭物质的逸出和扩散机理比较复杂，废气源强难于计算，本次评价采用美国</w:t>
      </w:r>
      <w:r>
        <w:rPr>
          <w:rFonts w:eastAsiaTheme="minorEastAsia"/>
        </w:rPr>
        <w:t xml:space="preserve"> EPA</w:t>
      </w:r>
      <w:r>
        <w:rPr>
          <w:rFonts w:hint="eastAsia" w:eastAsiaTheme="minorEastAsia"/>
        </w:rPr>
        <w:t>对城市污水处理厂恶臭污染物产生情况的研究中相关系数对恶臭气体产生情况进行计算，每处理</w:t>
      </w:r>
      <w:r>
        <w:rPr>
          <w:rFonts w:eastAsiaTheme="minorEastAsia"/>
        </w:rPr>
        <w:t>1gBOD</w:t>
      </w:r>
      <w:r>
        <w:rPr>
          <w:rFonts w:eastAsiaTheme="minorEastAsia"/>
          <w:vertAlign w:val="subscript"/>
        </w:rPr>
        <w:t>5</w:t>
      </w:r>
      <w:r>
        <w:rPr>
          <w:rFonts w:hint="eastAsia" w:eastAsiaTheme="minorEastAsia"/>
        </w:rPr>
        <w:t>可产生</w:t>
      </w:r>
      <w:r>
        <w:rPr>
          <w:rFonts w:eastAsiaTheme="minorEastAsia"/>
        </w:rPr>
        <w:t>0.0031gNH</w:t>
      </w:r>
      <w:r>
        <w:rPr>
          <w:rFonts w:eastAsiaTheme="minorEastAsia"/>
          <w:vertAlign w:val="subscript"/>
        </w:rPr>
        <w:t>3</w:t>
      </w:r>
      <w:r>
        <w:rPr>
          <w:rFonts w:hint="eastAsia" w:eastAsiaTheme="minorEastAsia"/>
        </w:rPr>
        <w:t>和</w:t>
      </w:r>
      <w:r>
        <w:rPr>
          <w:rFonts w:eastAsiaTheme="minorEastAsia"/>
        </w:rPr>
        <w:t>0.00012gH</w:t>
      </w:r>
      <w:r>
        <w:rPr>
          <w:rFonts w:eastAsiaTheme="minorEastAsia"/>
          <w:vertAlign w:val="subscript"/>
        </w:rPr>
        <w:t>2</w:t>
      </w:r>
      <w:r>
        <w:rPr>
          <w:rFonts w:eastAsiaTheme="minorEastAsia"/>
        </w:rPr>
        <w:t>S</w:t>
      </w:r>
      <w:r>
        <w:rPr>
          <w:rFonts w:hint="eastAsia" w:eastAsiaTheme="minorEastAsia"/>
        </w:rPr>
        <w:t>，本项目BOD</w:t>
      </w:r>
      <w:r>
        <w:rPr>
          <w:rFonts w:hint="eastAsia" w:eastAsiaTheme="minorEastAsia"/>
          <w:vertAlign w:val="subscript"/>
        </w:rPr>
        <w:t>5</w:t>
      </w:r>
      <w:r>
        <w:rPr>
          <w:rFonts w:hint="eastAsia" w:eastAsiaTheme="minorEastAsia"/>
        </w:rPr>
        <w:t>处理量为159.08t/a，因此污水处理站NH</w:t>
      </w:r>
      <w:r>
        <w:rPr>
          <w:rFonts w:hint="eastAsia" w:eastAsiaTheme="minorEastAsia"/>
          <w:vertAlign w:val="subscript"/>
        </w:rPr>
        <w:t>3</w:t>
      </w:r>
      <w:r>
        <w:rPr>
          <w:rFonts w:hint="eastAsia" w:eastAsiaTheme="minorEastAsia"/>
        </w:rPr>
        <w:t>、H</w:t>
      </w:r>
      <w:r>
        <w:rPr>
          <w:rFonts w:hint="eastAsia" w:eastAsiaTheme="minorEastAsia"/>
          <w:vertAlign w:val="subscript"/>
        </w:rPr>
        <w:t>2</w:t>
      </w:r>
      <w:r>
        <w:rPr>
          <w:rFonts w:hint="eastAsia" w:eastAsiaTheme="minorEastAsia"/>
        </w:rPr>
        <w:t>S产生情况如下表。</w:t>
      </w:r>
    </w:p>
    <w:p>
      <w:pPr>
        <w:pStyle w:val="3"/>
        <w:spacing w:line="240" w:lineRule="auto"/>
        <w:ind w:firstLine="0" w:firstLineChars="0"/>
        <w:jc w:val="center"/>
        <w:rPr>
          <w:rFonts w:cs="Times New Roman"/>
          <w:color w:val="FF0000"/>
        </w:rPr>
      </w:pPr>
      <w:r>
        <w:rPr>
          <w:rFonts w:hint="eastAsia" w:cs="Times New Roman" w:eastAsiaTheme="minorEastAsia"/>
          <w:b/>
          <w:color w:val="FF0000"/>
        </w:rPr>
        <w:t>表4.2-14  粪污处理系统处理过程中污染物产生量一览表</w:t>
      </w:r>
    </w:p>
    <w:tbl>
      <w:tblPr>
        <w:tblStyle w:val="30"/>
        <w:tblW w:w="5000" w:type="pct"/>
        <w:tblInd w:w="0" w:type="dxa"/>
        <w:tblLayout w:type="autofit"/>
        <w:tblCellMar>
          <w:top w:w="0" w:type="dxa"/>
          <w:left w:w="108" w:type="dxa"/>
          <w:bottom w:w="0" w:type="dxa"/>
          <w:right w:w="108" w:type="dxa"/>
        </w:tblCellMar>
      </w:tblPr>
      <w:tblGrid>
        <w:gridCol w:w="2794"/>
        <w:gridCol w:w="1789"/>
        <w:gridCol w:w="2293"/>
        <w:gridCol w:w="2297"/>
      </w:tblGrid>
      <w:tr>
        <w:tblPrEx>
          <w:tblCellMar>
            <w:top w:w="0" w:type="dxa"/>
            <w:left w:w="108" w:type="dxa"/>
            <w:bottom w:w="0" w:type="dxa"/>
            <w:right w:w="108" w:type="dxa"/>
          </w:tblCellMar>
        </w:tblPrEx>
        <w:trPr>
          <w:trHeight w:val="397" w:hRule="atLeast"/>
        </w:trPr>
        <w:tc>
          <w:tcPr>
            <w:tcW w:w="152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p>
        </w:tc>
        <w:tc>
          <w:tcPr>
            <w:tcW w:w="975"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削减</w:t>
            </w:r>
            <w:r>
              <w:rPr>
                <w:color w:val="FF0000"/>
              </w:rPr>
              <w:t>BOD</w:t>
            </w:r>
            <w:r>
              <w:rPr>
                <w:color w:val="FF0000"/>
                <w:vertAlign w:val="subscript"/>
              </w:rPr>
              <w:t>5</w:t>
            </w:r>
          </w:p>
        </w:tc>
        <w:tc>
          <w:tcPr>
            <w:tcW w:w="1250"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NH</w:t>
            </w:r>
            <w:r>
              <w:rPr>
                <w:color w:val="FF0000"/>
                <w:vertAlign w:val="subscript"/>
              </w:rPr>
              <w:t>3</w:t>
            </w:r>
          </w:p>
        </w:tc>
        <w:tc>
          <w:tcPr>
            <w:tcW w:w="1252"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H</w:t>
            </w:r>
            <w:r>
              <w:rPr>
                <w:color w:val="FF0000"/>
                <w:vertAlign w:val="subscript"/>
              </w:rPr>
              <w:t>2</w:t>
            </w:r>
            <w:r>
              <w:rPr>
                <w:color w:val="FF0000"/>
              </w:rPr>
              <w:t>S</w:t>
            </w:r>
          </w:p>
        </w:tc>
      </w:tr>
      <w:tr>
        <w:tblPrEx>
          <w:tblCellMar>
            <w:top w:w="0" w:type="dxa"/>
            <w:left w:w="108" w:type="dxa"/>
            <w:bottom w:w="0" w:type="dxa"/>
            <w:right w:w="108" w:type="dxa"/>
          </w:tblCellMar>
        </w:tblPrEx>
        <w:trPr>
          <w:trHeight w:val="397" w:hRule="atLeast"/>
        </w:trPr>
        <w:tc>
          <w:tcPr>
            <w:tcW w:w="152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产污系数（</w:t>
            </w:r>
            <w:r>
              <w:rPr>
                <w:color w:val="FF0000"/>
              </w:rPr>
              <w:t>g</w:t>
            </w:r>
            <w:r>
              <w:rPr>
                <w:rFonts w:hint="eastAsia"/>
                <w:color w:val="FF0000"/>
              </w:rPr>
              <w:t>）</w:t>
            </w:r>
          </w:p>
        </w:tc>
        <w:tc>
          <w:tcPr>
            <w:tcW w:w="975"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1</w:t>
            </w:r>
          </w:p>
        </w:tc>
        <w:tc>
          <w:tcPr>
            <w:tcW w:w="1250"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0.0031</w:t>
            </w:r>
          </w:p>
        </w:tc>
        <w:tc>
          <w:tcPr>
            <w:tcW w:w="1252"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0.00012</w:t>
            </w:r>
          </w:p>
        </w:tc>
      </w:tr>
      <w:tr>
        <w:tblPrEx>
          <w:tblCellMar>
            <w:top w:w="0" w:type="dxa"/>
            <w:left w:w="108" w:type="dxa"/>
            <w:bottom w:w="0" w:type="dxa"/>
            <w:right w:w="108" w:type="dxa"/>
          </w:tblCellMar>
        </w:tblPrEx>
        <w:trPr>
          <w:trHeight w:val="397" w:hRule="atLeast"/>
        </w:trPr>
        <w:tc>
          <w:tcPr>
            <w:tcW w:w="1523"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处理</w:t>
            </w:r>
            <w:r>
              <w:rPr>
                <w:color w:val="FF0000"/>
              </w:rPr>
              <w:t>BOD</w:t>
            </w:r>
            <w:r>
              <w:rPr>
                <w:color w:val="FF0000"/>
                <w:vertAlign w:val="subscript"/>
              </w:rPr>
              <w:t>5</w:t>
            </w:r>
            <w:r>
              <w:rPr>
                <w:rFonts w:hint="eastAsia"/>
                <w:color w:val="FF0000"/>
              </w:rPr>
              <w:t>产生的恶臭（</w:t>
            </w:r>
            <w:r>
              <w:rPr>
                <w:color w:val="FF0000"/>
              </w:rPr>
              <w:t>t/a</w:t>
            </w:r>
            <w:r>
              <w:rPr>
                <w:rFonts w:hint="eastAsia"/>
                <w:color w:val="FF0000"/>
              </w:rPr>
              <w:t>）</w:t>
            </w:r>
          </w:p>
        </w:tc>
        <w:tc>
          <w:tcPr>
            <w:tcW w:w="975" w:type="pct"/>
            <w:tcBorders>
              <w:top w:val="single" w:color="auto" w:sz="4" w:space="0"/>
              <w:left w:val="single" w:color="auto" w:sz="4" w:space="0"/>
              <w:bottom w:val="single" w:color="auto" w:sz="4" w:space="0"/>
              <w:right w:val="single" w:color="auto" w:sz="4" w:space="0"/>
            </w:tcBorders>
            <w:vAlign w:val="center"/>
          </w:tcPr>
          <w:p>
            <w:pPr>
              <w:pStyle w:val="49"/>
              <w:rPr>
                <w:color w:val="FF0000"/>
              </w:rPr>
            </w:pPr>
            <w:r>
              <w:rPr>
                <w:color w:val="FF0000"/>
              </w:rPr>
              <w:t>114.53</w:t>
            </w:r>
          </w:p>
        </w:tc>
        <w:tc>
          <w:tcPr>
            <w:tcW w:w="1250" w:type="pct"/>
            <w:tcBorders>
              <w:top w:val="single" w:color="auto" w:sz="4" w:space="0"/>
              <w:left w:val="single" w:color="auto" w:sz="4" w:space="0"/>
              <w:bottom w:val="single" w:color="auto" w:sz="4" w:space="0"/>
              <w:right w:val="single" w:color="auto" w:sz="4" w:space="0"/>
            </w:tcBorders>
            <w:vAlign w:val="center"/>
          </w:tcPr>
          <w:p>
            <w:pPr>
              <w:pStyle w:val="49"/>
              <w:rPr>
                <w:rFonts w:eastAsia="等线" w:cs="Times New Roman"/>
                <w:color w:val="FF0000"/>
              </w:rPr>
            </w:pPr>
            <w:r>
              <w:rPr>
                <w:color w:val="FF0000"/>
              </w:rPr>
              <w:t>0.355</w:t>
            </w:r>
          </w:p>
        </w:tc>
        <w:tc>
          <w:tcPr>
            <w:tcW w:w="1252" w:type="pct"/>
            <w:tcBorders>
              <w:top w:val="single" w:color="auto" w:sz="4" w:space="0"/>
              <w:left w:val="single" w:color="auto" w:sz="4" w:space="0"/>
              <w:bottom w:val="single" w:color="auto" w:sz="4" w:space="0"/>
              <w:right w:val="single" w:color="auto" w:sz="4" w:space="0"/>
            </w:tcBorders>
            <w:vAlign w:val="center"/>
          </w:tcPr>
          <w:p>
            <w:pPr>
              <w:pStyle w:val="49"/>
              <w:rPr>
                <w:rFonts w:eastAsia="等线" w:cs="Times New Roman"/>
                <w:color w:val="FF0000"/>
              </w:rPr>
            </w:pPr>
            <w:r>
              <w:rPr>
                <w:color w:val="FF0000"/>
              </w:rPr>
              <w:t>0.0137</w:t>
            </w:r>
          </w:p>
        </w:tc>
      </w:tr>
    </w:tbl>
    <w:p>
      <w:pPr>
        <w:pStyle w:val="3"/>
        <w:ind w:firstLine="480"/>
        <w:rPr>
          <w:rFonts w:eastAsiaTheme="minorEastAsia"/>
          <w:color w:val="FF0000"/>
        </w:rPr>
      </w:pPr>
      <w:r>
        <w:rPr>
          <w:rFonts w:hint="eastAsia" w:cs="Times New Roman" w:eastAsiaTheme="minorEastAsia"/>
          <w:color w:val="FF0000"/>
        </w:rPr>
        <w:t>参照《新型天然植物提取液除臭工艺》（西南给排水，2007年第5期）的介绍，新型天然植物提取液除臭效率可大于70%，本次评价除臭液除臭效率按70%计算</w:t>
      </w:r>
      <w:r>
        <w:rPr>
          <w:rFonts w:hint="eastAsia" w:eastAsiaTheme="minorEastAsia"/>
          <w:color w:val="FF0000"/>
        </w:rPr>
        <w:t>。则污水处理站</w:t>
      </w:r>
      <w:r>
        <w:rPr>
          <w:rFonts w:eastAsiaTheme="minorEastAsia"/>
          <w:color w:val="FF0000"/>
        </w:rPr>
        <w:t>NH</w:t>
      </w:r>
      <w:r>
        <w:rPr>
          <w:rFonts w:eastAsiaTheme="minorEastAsia"/>
          <w:color w:val="FF0000"/>
          <w:vertAlign w:val="subscript"/>
        </w:rPr>
        <w:t>3</w:t>
      </w:r>
      <w:r>
        <w:rPr>
          <w:rFonts w:hint="eastAsia" w:eastAsiaTheme="minorEastAsia"/>
          <w:color w:val="FF0000"/>
        </w:rPr>
        <w:t>、</w:t>
      </w:r>
      <w:r>
        <w:rPr>
          <w:rFonts w:eastAsiaTheme="minorEastAsia"/>
          <w:color w:val="FF0000"/>
        </w:rPr>
        <w:t>H</w:t>
      </w:r>
      <w:r>
        <w:rPr>
          <w:rFonts w:eastAsiaTheme="minorEastAsia"/>
          <w:color w:val="FF0000"/>
          <w:vertAlign w:val="subscript"/>
        </w:rPr>
        <w:t>2</w:t>
      </w:r>
      <w:r>
        <w:rPr>
          <w:rFonts w:eastAsiaTheme="minorEastAsia"/>
          <w:color w:val="FF0000"/>
        </w:rPr>
        <w:t>S</w:t>
      </w:r>
      <w:r>
        <w:rPr>
          <w:rFonts w:hint="eastAsia" w:eastAsiaTheme="minorEastAsia"/>
          <w:color w:val="FF0000"/>
        </w:rPr>
        <w:t>产排情况如下表。</w:t>
      </w:r>
    </w:p>
    <w:p>
      <w:pPr>
        <w:pStyle w:val="3"/>
        <w:spacing w:line="240" w:lineRule="auto"/>
        <w:ind w:firstLine="0" w:firstLineChars="0"/>
        <w:jc w:val="center"/>
        <w:rPr>
          <w:rFonts w:cs="Times New Roman"/>
          <w:color w:val="FF0000"/>
        </w:rPr>
      </w:pPr>
      <w:r>
        <w:rPr>
          <w:rFonts w:hint="eastAsia" w:cs="Times New Roman" w:eastAsiaTheme="minorEastAsia"/>
          <w:b/>
          <w:color w:val="FF0000"/>
        </w:rPr>
        <w:t>表4.2-14  污水处理站污染物产生及排放一览表</w:t>
      </w:r>
    </w:p>
    <w:tbl>
      <w:tblPr>
        <w:tblStyle w:val="30"/>
        <w:tblW w:w="5000" w:type="pct"/>
        <w:tblInd w:w="0" w:type="dxa"/>
        <w:tblLayout w:type="autofit"/>
        <w:tblCellMar>
          <w:top w:w="0" w:type="dxa"/>
          <w:left w:w="108" w:type="dxa"/>
          <w:bottom w:w="0" w:type="dxa"/>
          <w:right w:w="108" w:type="dxa"/>
        </w:tblCellMar>
      </w:tblPr>
      <w:tblGrid>
        <w:gridCol w:w="1515"/>
        <w:gridCol w:w="1539"/>
        <w:gridCol w:w="1532"/>
        <w:gridCol w:w="1517"/>
        <w:gridCol w:w="1539"/>
        <w:gridCol w:w="1531"/>
      </w:tblGrid>
      <w:tr>
        <w:tblPrEx>
          <w:tblCellMar>
            <w:top w:w="0" w:type="dxa"/>
            <w:left w:w="108" w:type="dxa"/>
            <w:bottom w:w="0" w:type="dxa"/>
            <w:right w:w="108" w:type="dxa"/>
          </w:tblCellMar>
        </w:tblPrEx>
        <w:trPr>
          <w:trHeight w:val="454" w:hRule="atLeast"/>
        </w:trPr>
        <w:tc>
          <w:tcPr>
            <w:tcW w:w="8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污染物</w:t>
            </w:r>
          </w:p>
        </w:tc>
        <w:tc>
          <w:tcPr>
            <w:tcW w:w="83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产生速率</w:t>
            </w:r>
          </w:p>
          <w:p>
            <w:pPr>
              <w:pStyle w:val="49"/>
              <w:rPr>
                <w:rFonts w:cs="Times New Roman"/>
                <w:color w:val="FF0000"/>
              </w:rPr>
            </w:pPr>
            <w:r>
              <w:rPr>
                <w:rFonts w:cs="Times New Roman"/>
                <w:color w:val="FF0000"/>
              </w:rPr>
              <w:t>（kg/h）</w:t>
            </w:r>
          </w:p>
        </w:tc>
        <w:tc>
          <w:tcPr>
            <w:tcW w:w="83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产生量</w:t>
            </w:r>
          </w:p>
          <w:p>
            <w:pPr>
              <w:pStyle w:val="49"/>
              <w:rPr>
                <w:rFonts w:cs="Times New Roman"/>
                <w:color w:val="FF0000"/>
              </w:rPr>
            </w:pPr>
            <w:r>
              <w:rPr>
                <w:rFonts w:cs="Times New Roman"/>
                <w:color w:val="FF0000"/>
              </w:rPr>
              <w:t>（t/a）</w:t>
            </w:r>
          </w:p>
        </w:tc>
        <w:tc>
          <w:tcPr>
            <w:tcW w:w="8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治理效率</w:t>
            </w:r>
          </w:p>
        </w:tc>
        <w:tc>
          <w:tcPr>
            <w:tcW w:w="83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排放速率</w:t>
            </w:r>
          </w:p>
          <w:p>
            <w:pPr>
              <w:pStyle w:val="49"/>
              <w:rPr>
                <w:rFonts w:cs="Times New Roman"/>
                <w:color w:val="FF0000"/>
              </w:rPr>
            </w:pPr>
            <w:r>
              <w:rPr>
                <w:rFonts w:cs="Times New Roman"/>
                <w:color w:val="FF0000"/>
              </w:rPr>
              <w:t>（kg/h）</w:t>
            </w:r>
          </w:p>
        </w:tc>
        <w:tc>
          <w:tcPr>
            <w:tcW w:w="83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排放量</w:t>
            </w:r>
          </w:p>
          <w:p>
            <w:pPr>
              <w:pStyle w:val="49"/>
              <w:rPr>
                <w:rFonts w:cs="Times New Roman"/>
                <w:color w:val="FF0000"/>
              </w:rPr>
            </w:pPr>
            <w:r>
              <w:rPr>
                <w:rFonts w:cs="Times New Roman"/>
                <w:color w:val="FF0000"/>
              </w:rPr>
              <w:t>（t/a）</w:t>
            </w:r>
          </w:p>
        </w:tc>
      </w:tr>
      <w:tr>
        <w:tblPrEx>
          <w:tblCellMar>
            <w:top w:w="0" w:type="dxa"/>
            <w:left w:w="108" w:type="dxa"/>
            <w:bottom w:w="0" w:type="dxa"/>
            <w:right w:w="108" w:type="dxa"/>
          </w:tblCellMar>
        </w:tblPrEx>
        <w:trPr>
          <w:trHeight w:val="454" w:hRule="atLeast"/>
        </w:trPr>
        <w:tc>
          <w:tcPr>
            <w:tcW w:w="8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NH</w:t>
            </w:r>
            <w:r>
              <w:rPr>
                <w:rFonts w:cs="Times New Roman"/>
                <w:color w:val="FF0000"/>
                <w:vertAlign w:val="subscript"/>
              </w:rPr>
              <w:t>3</w:t>
            </w:r>
          </w:p>
        </w:tc>
        <w:tc>
          <w:tcPr>
            <w:tcW w:w="839" w:type="pct"/>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等线" w:cs="Times New Roman"/>
                <w:color w:val="FF0000"/>
                <w:kern w:val="0"/>
              </w:rPr>
            </w:pPr>
            <w:r>
              <w:rPr>
                <w:rFonts w:ascii="Times New Roman" w:hAnsi="Times New Roman"/>
                <w:color w:val="FF0000"/>
              </w:rPr>
              <w:t>0.0405</w:t>
            </w:r>
          </w:p>
        </w:tc>
        <w:tc>
          <w:tcPr>
            <w:tcW w:w="83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color w:val="FF0000"/>
              </w:rPr>
              <w:t>0.355</w:t>
            </w:r>
          </w:p>
        </w:tc>
        <w:tc>
          <w:tcPr>
            <w:tcW w:w="827" w:type="pct"/>
            <w:vMerge w:val="restart"/>
            <w:tcBorders>
              <w:top w:val="single" w:color="auto" w:sz="4" w:space="0"/>
              <w:left w:val="single" w:color="auto" w:sz="4" w:space="0"/>
              <w:right w:val="single" w:color="auto" w:sz="4" w:space="0"/>
            </w:tcBorders>
            <w:vAlign w:val="center"/>
          </w:tcPr>
          <w:p>
            <w:pPr>
              <w:pStyle w:val="49"/>
              <w:rPr>
                <w:rFonts w:cs="Times New Roman"/>
                <w:color w:val="FF0000"/>
              </w:rPr>
            </w:pPr>
            <w:r>
              <w:rPr>
                <w:rFonts w:cs="Times New Roman"/>
                <w:color w:val="FF0000"/>
              </w:rPr>
              <w:t>设置绿化带、喷洒除臭剂</w:t>
            </w:r>
          </w:p>
          <w:p>
            <w:pPr>
              <w:pStyle w:val="49"/>
              <w:rPr>
                <w:rFonts w:cs="Times New Roman"/>
                <w:color w:val="FF0000"/>
              </w:rPr>
            </w:pPr>
            <w:r>
              <w:rPr>
                <w:rFonts w:cs="Times New Roman"/>
                <w:color w:val="FF0000"/>
              </w:rPr>
              <w:t>除臭效率约70%</w:t>
            </w:r>
          </w:p>
        </w:tc>
        <w:tc>
          <w:tcPr>
            <w:tcW w:w="839" w:type="pct"/>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等线" w:cs="Times New Roman"/>
                <w:color w:val="FF0000"/>
                <w:kern w:val="0"/>
              </w:rPr>
            </w:pPr>
            <w:r>
              <w:rPr>
                <w:rFonts w:ascii="Times New Roman" w:hAnsi="Times New Roman"/>
                <w:color w:val="FF0000"/>
              </w:rPr>
              <w:t>0.01215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等线" w:cs="Times New Roman"/>
                <w:color w:val="FF0000"/>
                <w:kern w:val="0"/>
              </w:rPr>
            </w:pPr>
            <w:r>
              <w:rPr>
                <w:rFonts w:ascii="Times New Roman" w:hAnsi="Times New Roman"/>
                <w:color w:val="FF0000"/>
              </w:rPr>
              <w:t>0.1065</w:t>
            </w:r>
          </w:p>
        </w:tc>
      </w:tr>
      <w:tr>
        <w:tblPrEx>
          <w:tblCellMar>
            <w:top w:w="0" w:type="dxa"/>
            <w:left w:w="108" w:type="dxa"/>
            <w:bottom w:w="0" w:type="dxa"/>
            <w:right w:w="108" w:type="dxa"/>
          </w:tblCellMar>
        </w:tblPrEx>
        <w:trPr>
          <w:trHeight w:val="454" w:hRule="atLeast"/>
        </w:trPr>
        <w:tc>
          <w:tcPr>
            <w:tcW w:w="82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rFonts w:cs="Times New Roman"/>
                <w:color w:val="FF0000"/>
              </w:rPr>
              <w:t>H</w:t>
            </w:r>
            <w:r>
              <w:rPr>
                <w:rFonts w:cs="Times New Roman"/>
                <w:color w:val="FF0000"/>
                <w:vertAlign w:val="subscript"/>
              </w:rPr>
              <w:t>2</w:t>
            </w:r>
            <w:r>
              <w:rPr>
                <w:rFonts w:cs="Times New Roman"/>
                <w:color w:val="FF0000"/>
              </w:rPr>
              <w:t>S</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rPr>
            </w:pPr>
            <w:r>
              <w:rPr>
                <w:rFonts w:ascii="Times New Roman" w:hAnsi="Times New Roman"/>
                <w:color w:val="FF0000"/>
              </w:rPr>
              <w:t>0.00156</w:t>
            </w:r>
          </w:p>
        </w:tc>
        <w:tc>
          <w:tcPr>
            <w:tcW w:w="83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rPr>
            </w:pPr>
            <w:r>
              <w:rPr>
                <w:color w:val="FF0000"/>
              </w:rPr>
              <w:t>0.0137</w:t>
            </w:r>
          </w:p>
        </w:tc>
        <w:tc>
          <w:tcPr>
            <w:tcW w:w="827" w:type="pct"/>
            <w:vMerge w:val="continue"/>
            <w:tcBorders>
              <w:left w:val="single" w:color="auto" w:sz="4" w:space="0"/>
              <w:bottom w:val="single" w:color="auto" w:sz="4" w:space="0"/>
              <w:right w:val="single" w:color="auto" w:sz="4" w:space="0"/>
            </w:tcBorders>
            <w:vAlign w:val="center"/>
          </w:tcPr>
          <w:p>
            <w:pPr>
              <w:pStyle w:val="49"/>
              <w:rPr>
                <w:rFonts w:cs="Times New Roman"/>
                <w:color w:val="FF0000"/>
              </w:rPr>
            </w:pP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rPr>
            </w:pPr>
            <w:r>
              <w:rPr>
                <w:rFonts w:ascii="Times New Roman" w:hAnsi="Times New Roman"/>
                <w:color w:val="FF0000"/>
              </w:rPr>
              <w:t>0.000468</w:t>
            </w:r>
          </w:p>
        </w:tc>
        <w:tc>
          <w:tcPr>
            <w:tcW w:w="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rPr>
            </w:pPr>
            <w:r>
              <w:rPr>
                <w:rFonts w:ascii="Times New Roman" w:hAnsi="Times New Roman"/>
                <w:color w:val="FF0000"/>
              </w:rPr>
              <w:t>0.00411</w:t>
            </w:r>
          </w:p>
        </w:tc>
      </w:tr>
    </w:tbl>
    <w:p>
      <w:pPr>
        <w:pStyle w:val="3"/>
        <w:ind w:firstLine="480"/>
        <w:rPr>
          <w:rFonts w:eastAsiaTheme="minorEastAsia"/>
        </w:rPr>
      </w:pPr>
    </w:p>
    <w:p>
      <w:pPr>
        <w:pStyle w:val="3"/>
        <w:ind w:firstLine="480"/>
        <w:rPr>
          <w:rFonts w:eastAsiaTheme="minorEastAsia"/>
        </w:rPr>
      </w:pPr>
      <w:r>
        <w:rPr>
          <w:rFonts w:hint="eastAsia" w:eastAsiaTheme="minorEastAsia"/>
        </w:rPr>
        <w:t>（3）小节</w:t>
      </w:r>
    </w:p>
    <w:p>
      <w:pPr>
        <w:pStyle w:val="3"/>
        <w:ind w:firstLine="480"/>
        <w:rPr>
          <w:color w:val="FF0000"/>
          <w:kern w:val="0"/>
          <w:u w:val="single"/>
        </w:rPr>
      </w:pPr>
      <w:r>
        <w:rPr>
          <w:rFonts w:hint="eastAsia"/>
          <w:color w:val="FF0000"/>
          <w:kern w:val="0"/>
          <w:u w:val="single"/>
        </w:rPr>
        <w:t>综上，本项目恶臭气体（</w:t>
      </w:r>
      <w:r>
        <w:rPr>
          <w:color w:val="FF0000"/>
          <w:kern w:val="0"/>
          <w:u w:val="single"/>
        </w:rPr>
        <w:t>NH</w:t>
      </w:r>
      <w:r>
        <w:rPr>
          <w:color w:val="FF0000"/>
          <w:kern w:val="0"/>
          <w:u w:val="single"/>
          <w:vertAlign w:val="subscript"/>
        </w:rPr>
        <w:t>3</w:t>
      </w:r>
      <w:r>
        <w:rPr>
          <w:rFonts w:hint="eastAsia"/>
          <w:color w:val="FF0000"/>
          <w:kern w:val="0"/>
          <w:u w:val="single"/>
        </w:rPr>
        <w:t>和</w:t>
      </w:r>
      <w:r>
        <w:rPr>
          <w:color w:val="FF0000"/>
          <w:kern w:val="0"/>
          <w:u w:val="single"/>
        </w:rPr>
        <w:t>H</w:t>
      </w:r>
      <w:r>
        <w:rPr>
          <w:color w:val="FF0000"/>
          <w:kern w:val="0"/>
          <w:u w:val="single"/>
          <w:vertAlign w:val="subscript"/>
        </w:rPr>
        <w:t>2</w:t>
      </w:r>
      <w:r>
        <w:rPr>
          <w:color w:val="FF0000"/>
          <w:kern w:val="0"/>
          <w:u w:val="single"/>
        </w:rPr>
        <w:t>S</w:t>
      </w:r>
      <w:r>
        <w:rPr>
          <w:rFonts w:hint="eastAsia"/>
          <w:color w:val="FF0000"/>
          <w:kern w:val="0"/>
          <w:u w:val="single"/>
        </w:rPr>
        <w:t>）产排情况详见表4.2-15。</w:t>
      </w: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表4.2-15  本项目恶臭气体产排情况一览表</w:t>
      </w:r>
    </w:p>
    <w:tbl>
      <w:tblPr>
        <w:tblStyle w:val="30"/>
        <w:tblW w:w="5000" w:type="pct"/>
        <w:tblInd w:w="0" w:type="dxa"/>
        <w:tblLayout w:type="autofit"/>
        <w:tblCellMar>
          <w:top w:w="0" w:type="dxa"/>
          <w:left w:w="108" w:type="dxa"/>
          <w:bottom w:w="0" w:type="dxa"/>
          <w:right w:w="108" w:type="dxa"/>
        </w:tblCellMar>
      </w:tblPr>
      <w:tblGrid>
        <w:gridCol w:w="671"/>
        <w:gridCol w:w="1617"/>
        <w:gridCol w:w="1147"/>
        <w:gridCol w:w="1147"/>
        <w:gridCol w:w="1147"/>
        <w:gridCol w:w="1147"/>
        <w:gridCol w:w="1152"/>
        <w:gridCol w:w="1145"/>
      </w:tblGrid>
      <w:tr>
        <w:tblPrEx>
          <w:tblCellMar>
            <w:top w:w="0" w:type="dxa"/>
            <w:left w:w="108" w:type="dxa"/>
            <w:bottom w:w="0" w:type="dxa"/>
            <w:right w:w="108" w:type="dxa"/>
          </w:tblCellMar>
        </w:tblPrEx>
        <w:trPr>
          <w:trHeight w:val="285" w:hRule="atLeast"/>
        </w:trPr>
        <w:tc>
          <w:tcPr>
            <w:tcW w:w="1247" w:type="pct"/>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污染源</w:t>
            </w:r>
          </w:p>
        </w:tc>
        <w:tc>
          <w:tcPr>
            <w:tcW w:w="625" w:type="pct"/>
            <w:vMerge w:val="restart"/>
            <w:tcBorders>
              <w:top w:val="single" w:color="auto" w:sz="8" w:space="0"/>
              <w:left w:val="single" w:color="000000" w:sz="8" w:space="0"/>
              <w:bottom w:val="single" w:color="000000"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污染物</w:t>
            </w:r>
          </w:p>
        </w:tc>
        <w:tc>
          <w:tcPr>
            <w:tcW w:w="1250" w:type="pct"/>
            <w:gridSpan w:val="2"/>
            <w:tcBorders>
              <w:top w:val="single" w:color="auto" w:sz="8" w:space="0"/>
              <w:left w:val="nil"/>
              <w:bottom w:val="single" w:color="000000" w:sz="8" w:space="0"/>
              <w:right w:val="single" w:color="000000"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污染物产生</w:t>
            </w:r>
          </w:p>
        </w:tc>
        <w:tc>
          <w:tcPr>
            <w:tcW w:w="1253" w:type="pct"/>
            <w:gridSpan w:val="2"/>
            <w:tcBorders>
              <w:top w:val="single" w:color="auto" w:sz="8" w:space="0"/>
              <w:left w:val="nil"/>
              <w:bottom w:val="single" w:color="000000" w:sz="8" w:space="0"/>
              <w:right w:val="single" w:color="000000"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污染物排放</w:t>
            </w:r>
          </w:p>
        </w:tc>
        <w:tc>
          <w:tcPr>
            <w:tcW w:w="624"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排放时间（</w:t>
            </w:r>
            <w:r>
              <w:rPr>
                <w:rFonts w:ascii="Times New Roman" w:hAnsi="Times New Roman" w:eastAsia="宋体" w:cs="Times New Roman"/>
                <w:color w:val="FF0000"/>
                <w:kern w:val="0"/>
                <w:u w:val="single"/>
              </w:rPr>
              <w:t>h/a</w:t>
            </w:r>
            <w:r>
              <w:rPr>
                <w:rFonts w:hint="eastAsia" w:ascii="宋体" w:hAnsi="宋体" w:eastAsia="宋体" w:cs="宋体"/>
                <w:color w:val="FF0000"/>
                <w:kern w:val="0"/>
                <w:u w:val="single"/>
              </w:rPr>
              <w:t>）</w:t>
            </w:r>
          </w:p>
        </w:tc>
      </w:tr>
      <w:tr>
        <w:tblPrEx>
          <w:tblCellMar>
            <w:top w:w="0" w:type="dxa"/>
            <w:left w:w="108" w:type="dxa"/>
            <w:bottom w:w="0" w:type="dxa"/>
            <w:right w:w="108" w:type="dxa"/>
          </w:tblCellMar>
        </w:tblPrEx>
        <w:trPr>
          <w:trHeight w:val="540" w:hRule="atLeast"/>
        </w:trPr>
        <w:tc>
          <w:tcPr>
            <w:tcW w:w="1247" w:type="pct"/>
            <w:gridSpan w:val="2"/>
            <w:vMerge w:val="continue"/>
            <w:tcBorders>
              <w:top w:val="single" w:color="auto" w:sz="8" w:space="0"/>
              <w:left w:val="single" w:color="auto" w:sz="8" w:space="0"/>
              <w:bottom w:val="single" w:color="000000" w:sz="8" w:space="0"/>
              <w:right w:val="single" w:color="000000" w:sz="8" w:space="0"/>
            </w:tcBorders>
            <w:vAlign w:val="center"/>
          </w:tcPr>
          <w:p>
            <w:pPr>
              <w:adjustRightInd/>
              <w:snapToGrid/>
              <w:jc w:val="left"/>
              <w:rPr>
                <w:rFonts w:ascii="宋体" w:hAnsi="宋体" w:eastAsia="宋体" w:cs="宋体"/>
                <w:color w:val="FF0000"/>
                <w:kern w:val="0"/>
                <w:u w:val="single"/>
              </w:rPr>
            </w:pPr>
          </w:p>
        </w:tc>
        <w:tc>
          <w:tcPr>
            <w:tcW w:w="625" w:type="pct"/>
            <w:vMerge w:val="continue"/>
            <w:tcBorders>
              <w:top w:val="single" w:color="auto" w:sz="8" w:space="0"/>
              <w:left w:val="single" w:color="000000"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产生速率（</w:t>
            </w:r>
            <w:r>
              <w:rPr>
                <w:rFonts w:ascii="Times New Roman" w:hAnsi="Times New Roman" w:eastAsia="宋体" w:cs="Times New Roman"/>
                <w:color w:val="FF0000"/>
                <w:kern w:val="0"/>
                <w:u w:val="single"/>
              </w:rPr>
              <w:t>kg/h</w:t>
            </w:r>
            <w:r>
              <w:rPr>
                <w:rFonts w:hint="eastAsia" w:ascii="宋体" w:hAnsi="宋体" w:eastAsia="宋体" w:cs="宋体"/>
                <w:color w:val="FF0000"/>
                <w:kern w:val="0"/>
                <w:u w:val="single"/>
              </w:rPr>
              <w:t>）</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产生量（</w:t>
            </w:r>
            <w:r>
              <w:rPr>
                <w:rFonts w:ascii="Times New Roman" w:hAnsi="Times New Roman" w:eastAsia="宋体" w:cs="Times New Roman"/>
                <w:color w:val="FF0000"/>
                <w:kern w:val="0"/>
                <w:u w:val="single"/>
              </w:rPr>
              <w:t>t/a</w:t>
            </w:r>
            <w:r>
              <w:rPr>
                <w:rFonts w:hint="eastAsia" w:ascii="宋体" w:hAnsi="宋体" w:eastAsia="宋体" w:cs="宋体"/>
                <w:color w:val="FF0000"/>
                <w:kern w:val="0"/>
                <w:u w:val="single"/>
              </w:rPr>
              <w:t>）</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排放速率（</w:t>
            </w:r>
            <w:r>
              <w:rPr>
                <w:rFonts w:ascii="Times New Roman" w:hAnsi="Times New Roman" w:eastAsia="宋体" w:cs="Times New Roman"/>
                <w:color w:val="FF0000"/>
                <w:kern w:val="0"/>
                <w:u w:val="single"/>
              </w:rPr>
              <w:t>kg/h</w:t>
            </w:r>
            <w:r>
              <w:rPr>
                <w:rFonts w:hint="eastAsia" w:ascii="宋体" w:hAnsi="宋体" w:eastAsia="宋体" w:cs="宋体"/>
                <w:color w:val="FF0000"/>
                <w:kern w:val="0"/>
                <w:u w:val="single"/>
              </w:rPr>
              <w:t>）</w:t>
            </w:r>
          </w:p>
        </w:tc>
        <w:tc>
          <w:tcPr>
            <w:tcW w:w="628" w:type="pct"/>
            <w:tcBorders>
              <w:top w:val="nil"/>
              <w:left w:val="nil"/>
              <w:bottom w:val="single" w:color="auto"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排放量（</w:t>
            </w:r>
            <w:r>
              <w:rPr>
                <w:rFonts w:ascii="Times New Roman" w:hAnsi="Times New Roman" w:eastAsia="宋体" w:cs="Times New Roman"/>
                <w:color w:val="FF0000"/>
                <w:kern w:val="0"/>
                <w:u w:val="single"/>
              </w:rPr>
              <w:t>t/a</w:t>
            </w:r>
            <w:r>
              <w:rPr>
                <w:rFonts w:hint="eastAsia" w:ascii="宋体" w:hAnsi="宋体" w:eastAsia="宋体" w:cs="宋体"/>
                <w:color w:val="FF0000"/>
                <w:kern w:val="0"/>
                <w:u w:val="single"/>
              </w:rPr>
              <w:t>）</w:t>
            </w:r>
          </w:p>
        </w:tc>
        <w:tc>
          <w:tcPr>
            <w:tcW w:w="624" w:type="pct"/>
            <w:vMerge w:val="continue"/>
            <w:tcBorders>
              <w:top w:val="single" w:color="auto" w:sz="8" w:space="0"/>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r>
      <w:tr>
        <w:tblPrEx>
          <w:tblCellMar>
            <w:top w:w="0" w:type="dxa"/>
            <w:left w:w="108" w:type="dxa"/>
            <w:bottom w:w="0" w:type="dxa"/>
            <w:right w:w="108" w:type="dxa"/>
          </w:tblCellMar>
        </w:tblPrEx>
        <w:trPr>
          <w:trHeight w:val="315" w:hRule="atLeast"/>
        </w:trPr>
        <w:tc>
          <w:tcPr>
            <w:tcW w:w="366"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无组织排放</w:t>
            </w:r>
          </w:p>
        </w:tc>
        <w:tc>
          <w:tcPr>
            <w:tcW w:w="881"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rPr>
                <w:rFonts w:ascii="宋体" w:hAnsi="宋体" w:eastAsia="宋体" w:cs="宋体"/>
                <w:color w:val="FF0000"/>
                <w:kern w:val="0"/>
                <w:u w:val="single"/>
              </w:rPr>
            </w:pPr>
            <w:r>
              <w:rPr>
                <w:rFonts w:hint="eastAsia" w:ascii="宋体" w:hAnsi="宋体" w:eastAsia="宋体" w:cs="宋体"/>
                <w:color w:val="FF0000"/>
                <w:kern w:val="0"/>
                <w:u w:val="single"/>
              </w:rPr>
              <w:t>肉牛屠宰区（待宰区）</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NH</w:t>
            </w:r>
            <w:r>
              <w:rPr>
                <w:rFonts w:ascii="Times New Roman" w:hAnsi="Times New Roman" w:eastAsia="宋体" w:cs="Times New Roman"/>
                <w:color w:val="FF0000"/>
                <w:kern w:val="0"/>
                <w:u w:val="single"/>
                <w:vertAlign w:val="subscript"/>
              </w:rPr>
              <w:t>3</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rFonts w:hint="eastAsia"/>
                <w:color w:val="FF0000"/>
                <w:u w:val="single"/>
              </w:rPr>
              <w:t>0.04</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rFonts w:hint="eastAsia"/>
                <w:color w:val="FF0000"/>
                <w:u w:val="single"/>
              </w:rPr>
              <w:t>0.096</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0.012</w:t>
            </w:r>
          </w:p>
        </w:tc>
        <w:tc>
          <w:tcPr>
            <w:tcW w:w="628"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w:t>
            </w:r>
            <w:r>
              <w:rPr>
                <w:rFonts w:hint="eastAsia"/>
                <w:color w:val="FF0000"/>
                <w:u w:val="single"/>
              </w:rPr>
              <w:t>0</w:t>
            </w:r>
            <w:r>
              <w:rPr>
                <w:color w:val="FF0000"/>
                <w:u w:val="single"/>
              </w:rPr>
              <w:t>288</w:t>
            </w:r>
          </w:p>
        </w:tc>
        <w:tc>
          <w:tcPr>
            <w:tcW w:w="624"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eastAsia="宋体" w:cs="Times New Roman"/>
                <w:color w:val="FF0000"/>
                <w:kern w:val="0"/>
                <w:u w:val="single"/>
              </w:rPr>
              <w:t>2400</w:t>
            </w:r>
          </w:p>
        </w:tc>
      </w:tr>
      <w:tr>
        <w:tblPrEx>
          <w:tblCellMar>
            <w:top w:w="0" w:type="dxa"/>
            <w:left w:w="108" w:type="dxa"/>
            <w:bottom w:w="0" w:type="dxa"/>
            <w:right w:w="108" w:type="dxa"/>
          </w:tblCellMar>
        </w:tblPrEx>
        <w:trPr>
          <w:trHeight w:val="315" w:hRule="atLeast"/>
        </w:trPr>
        <w:tc>
          <w:tcPr>
            <w:tcW w:w="366"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881"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H</w:t>
            </w:r>
            <w:r>
              <w:rPr>
                <w:rFonts w:ascii="Times New Roman" w:hAnsi="Times New Roman" w:eastAsia="宋体" w:cs="Times New Roman"/>
                <w:color w:val="FF0000"/>
                <w:kern w:val="0"/>
                <w:u w:val="single"/>
                <w:vertAlign w:val="subscript"/>
              </w:rPr>
              <w:t>2</w:t>
            </w:r>
            <w:r>
              <w:rPr>
                <w:rFonts w:ascii="Times New Roman" w:hAnsi="Times New Roman" w:eastAsia="宋体" w:cs="Times New Roman"/>
                <w:color w:val="FF0000"/>
                <w:kern w:val="0"/>
                <w:u w:val="single"/>
              </w:rPr>
              <w:t>S</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rFonts w:hint="eastAsia"/>
                <w:color w:val="FF0000"/>
                <w:u w:val="single"/>
              </w:rPr>
              <w:t>0.0008</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rFonts w:hint="eastAsia"/>
                <w:color w:val="FF0000"/>
                <w:u w:val="single"/>
              </w:rPr>
              <w:t>0.00192</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0.00024</w:t>
            </w:r>
          </w:p>
        </w:tc>
        <w:tc>
          <w:tcPr>
            <w:tcW w:w="628"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0.000576</w:t>
            </w:r>
          </w:p>
        </w:tc>
        <w:tc>
          <w:tcPr>
            <w:tcW w:w="624"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Times New Roman" w:hAnsi="Times New Roman" w:eastAsia="宋体" w:cs="Times New Roman"/>
                <w:color w:val="FF0000"/>
                <w:kern w:val="0"/>
                <w:u w:val="single"/>
              </w:rPr>
            </w:pPr>
          </w:p>
        </w:tc>
      </w:tr>
      <w:tr>
        <w:tblPrEx>
          <w:tblCellMar>
            <w:top w:w="0" w:type="dxa"/>
            <w:left w:w="108" w:type="dxa"/>
            <w:bottom w:w="0" w:type="dxa"/>
            <w:right w:w="108" w:type="dxa"/>
          </w:tblCellMar>
        </w:tblPrEx>
        <w:trPr>
          <w:trHeight w:val="315" w:hRule="atLeast"/>
        </w:trPr>
        <w:tc>
          <w:tcPr>
            <w:tcW w:w="366"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881"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rPr>
                <w:rFonts w:ascii="宋体" w:hAnsi="宋体" w:eastAsia="宋体" w:cs="宋体"/>
                <w:color w:val="FF0000"/>
                <w:kern w:val="0"/>
                <w:u w:val="single"/>
              </w:rPr>
            </w:pPr>
            <w:r>
              <w:rPr>
                <w:rFonts w:hint="eastAsia" w:ascii="宋体" w:hAnsi="宋体" w:eastAsia="宋体" w:cs="宋体"/>
                <w:color w:val="FF0000"/>
                <w:kern w:val="0"/>
                <w:u w:val="single"/>
              </w:rPr>
              <w:t>家禽屠宰区（待宰区）</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NH</w:t>
            </w:r>
            <w:r>
              <w:rPr>
                <w:rFonts w:ascii="Times New Roman" w:hAnsi="Times New Roman" w:eastAsia="宋体" w:cs="Times New Roman"/>
                <w:color w:val="FF0000"/>
                <w:kern w:val="0"/>
                <w:u w:val="single"/>
                <w:vertAlign w:val="subscript"/>
              </w:rPr>
              <w:t>3</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0.021</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0.0504</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0.0063</w:t>
            </w:r>
          </w:p>
        </w:tc>
        <w:tc>
          <w:tcPr>
            <w:tcW w:w="628"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0.01512</w:t>
            </w:r>
          </w:p>
        </w:tc>
        <w:tc>
          <w:tcPr>
            <w:tcW w:w="624"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eastAsia="宋体" w:cs="Times New Roman"/>
                <w:color w:val="FF0000"/>
                <w:kern w:val="0"/>
                <w:u w:val="single"/>
              </w:rPr>
              <w:t>2400</w:t>
            </w:r>
          </w:p>
        </w:tc>
      </w:tr>
      <w:tr>
        <w:tblPrEx>
          <w:tblCellMar>
            <w:top w:w="0" w:type="dxa"/>
            <w:left w:w="108" w:type="dxa"/>
            <w:bottom w:w="0" w:type="dxa"/>
            <w:right w:w="108" w:type="dxa"/>
          </w:tblCellMar>
        </w:tblPrEx>
        <w:trPr>
          <w:trHeight w:val="315" w:hRule="atLeast"/>
        </w:trPr>
        <w:tc>
          <w:tcPr>
            <w:tcW w:w="366"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881"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H</w:t>
            </w:r>
            <w:r>
              <w:rPr>
                <w:rFonts w:ascii="Times New Roman" w:hAnsi="Times New Roman" w:eastAsia="宋体" w:cs="Times New Roman"/>
                <w:color w:val="FF0000"/>
                <w:kern w:val="0"/>
                <w:u w:val="single"/>
                <w:vertAlign w:val="subscript"/>
              </w:rPr>
              <w:t>2</w:t>
            </w:r>
            <w:r>
              <w:rPr>
                <w:rFonts w:ascii="Times New Roman" w:hAnsi="Times New Roman" w:eastAsia="宋体" w:cs="Times New Roman"/>
                <w:color w:val="FF0000"/>
                <w:kern w:val="0"/>
                <w:u w:val="single"/>
              </w:rPr>
              <w:t>S</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0.000252</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0.000605</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0.000076</w:t>
            </w:r>
          </w:p>
        </w:tc>
        <w:tc>
          <w:tcPr>
            <w:tcW w:w="628"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color w:val="FF0000"/>
                <w:u w:val="single"/>
              </w:rPr>
              <w:t>0.000181</w:t>
            </w:r>
          </w:p>
        </w:tc>
        <w:tc>
          <w:tcPr>
            <w:tcW w:w="624"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Times New Roman" w:hAnsi="Times New Roman" w:eastAsia="宋体" w:cs="Times New Roman"/>
                <w:color w:val="FF0000"/>
                <w:kern w:val="0"/>
                <w:u w:val="single"/>
              </w:rPr>
            </w:pPr>
          </w:p>
        </w:tc>
      </w:tr>
      <w:tr>
        <w:tblPrEx>
          <w:tblCellMar>
            <w:top w:w="0" w:type="dxa"/>
            <w:left w:w="108" w:type="dxa"/>
            <w:bottom w:w="0" w:type="dxa"/>
            <w:right w:w="108" w:type="dxa"/>
          </w:tblCellMar>
        </w:tblPrEx>
        <w:trPr>
          <w:trHeight w:val="315" w:hRule="atLeast"/>
        </w:trPr>
        <w:tc>
          <w:tcPr>
            <w:tcW w:w="366"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881"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粪污处理区</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NH</w:t>
            </w:r>
            <w:r>
              <w:rPr>
                <w:rFonts w:ascii="Times New Roman" w:hAnsi="Times New Roman" w:eastAsia="宋体" w:cs="Times New Roman"/>
                <w:color w:val="FF0000"/>
                <w:kern w:val="0"/>
                <w:u w:val="single"/>
                <w:vertAlign w:val="subscript"/>
              </w:rPr>
              <w:t>3</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0.0405</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0.355</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0.01215</w:t>
            </w:r>
          </w:p>
        </w:tc>
        <w:tc>
          <w:tcPr>
            <w:tcW w:w="628"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0.1065</w:t>
            </w:r>
          </w:p>
        </w:tc>
        <w:tc>
          <w:tcPr>
            <w:tcW w:w="624" w:type="pct"/>
            <w:vMerge w:val="restart"/>
            <w:tcBorders>
              <w:top w:val="nil"/>
              <w:left w:val="single" w:color="auto" w:sz="8" w:space="0"/>
              <w:bottom w:val="single" w:color="000000"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hint="eastAsia" w:ascii="Times New Roman" w:hAnsi="Times New Roman" w:eastAsia="宋体" w:cs="Times New Roman"/>
                <w:color w:val="FF0000"/>
                <w:kern w:val="0"/>
                <w:u w:val="single"/>
              </w:rPr>
              <w:t>8760</w:t>
            </w:r>
          </w:p>
        </w:tc>
      </w:tr>
      <w:tr>
        <w:tblPrEx>
          <w:tblCellMar>
            <w:top w:w="0" w:type="dxa"/>
            <w:left w:w="108" w:type="dxa"/>
            <w:bottom w:w="0" w:type="dxa"/>
            <w:right w:w="108" w:type="dxa"/>
          </w:tblCellMar>
        </w:tblPrEx>
        <w:trPr>
          <w:trHeight w:val="315" w:hRule="atLeast"/>
        </w:trPr>
        <w:tc>
          <w:tcPr>
            <w:tcW w:w="366"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881"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宋体" w:hAnsi="宋体" w:eastAsia="宋体" w:cs="宋体"/>
                <w:color w:val="FF0000"/>
                <w:kern w:val="0"/>
                <w:u w:val="single"/>
              </w:rPr>
            </w:pP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H</w:t>
            </w:r>
            <w:r>
              <w:rPr>
                <w:rFonts w:ascii="Times New Roman" w:hAnsi="Times New Roman" w:eastAsia="宋体" w:cs="Times New Roman"/>
                <w:color w:val="FF0000"/>
                <w:kern w:val="0"/>
                <w:u w:val="single"/>
                <w:vertAlign w:val="subscript"/>
              </w:rPr>
              <w:t>2</w:t>
            </w:r>
            <w:r>
              <w:rPr>
                <w:rFonts w:ascii="Times New Roman" w:hAnsi="Times New Roman" w:eastAsia="宋体" w:cs="Times New Roman"/>
                <w:color w:val="FF0000"/>
                <w:kern w:val="0"/>
                <w:u w:val="single"/>
              </w:rPr>
              <w:t>S</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0.00156</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0.0137</w:t>
            </w:r>
          </w:p>
        </w:tc>
        <w:tc>
          <w:tcPr>
            <w:tcW w:w="625"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0.000468</w:t>
            </w:r>
          </w:p>
        </w:tc>
        <w:tc>
          <w:tcPr>
            <w:tcW w:w="628" w:type="pct"/>
            <w:tcBorders>
              <w:top w:val="nil"/>
              <w:left w:val="nil"/>
              <w:bottom w:val="single" w:color="auto" w:sz="8" w:space="0"/>
              <w:right w:val="single" w:color="auto" w:sz="8" w:space="0"/>
            </w:tcBorders>
            <w:shd w:val="clear" w:color="auto" w:fill="auto"/>
            <w:vAlign w:val="center"/>
          </w:tcPr>
          <w:p>
            <w:pPr>
              <w:pStyle w:val="49"/>
              <w:rPr>
                <w:color w:val="FF0000"/>
                <w:sz w:val="22"/>
                <w:u w:val="single"/>
              </w:rPr>
            </w:pPr>
            <w:r>
              <w:rPr>
                <w:color w:val="FF0000"/>
                <w:u w:val="single"/>
              </w:rPr>
              <w:t>0.00411</w:t>
            </w:r>
          </w:p>
        </w:tc>
        <w:tc>
          <w:tcPr>
            <w:tcW w:w="624" w:type="pct"/>
            <w:vMerge w:val="continue"/>
            <w:tcBorders>
              <w:top w:val="nil"/>
              <w:left w:val="single" w:color="auto" w:sz="8" w:space="0"/>
              <w:bottom w:val="single" w:color="000000" w:sz="8" w:space="0"/>
              <w:right w:val="single" w:color="auto" w:sz="8" w:space="0"/>
            </w:tcBorders>
            <w:vAlign w:val="center"/>
          </w:tcPr>
          <w:p>
            <w:pPr>
              <w:adjustRightInd/>
              <w:snapToGrid/>
              <w:jc w:val="left"/>
              <w:rPr>
                <w:rFonts w:ascii="Times New Roman" w:hAnsi="Times New Roman" w:eastAsia="宋体" w:cs="Times New Roman"/>
                <w:color w:val="FF0000"/>
                <w:kern w:val="0"/>
                <w:u w:val="single"/>
              </w:rPr>
            </w:pPr>
          </w:p>
        </w:tc>
      </w:tr>
      <w:tr>
        <w:tblPrEx>
          <w:tblCellMar>
            <w:top w:w="0" w:type="dxa"/>
            <w:left w:w="108" w:type="dxa"/>
            <w:bottom w:w="0" w:type="dxa"/>
            <w:right w:w="108" w:type="dxa"/>
          </w:tblCellMar>
        </w:tblPrEx>
        <w:trPr>
          <w:trHeight w:val="315" w:hRule="atLeast"/>
        </w:trPr>
        <w:tc>
          <w:tcPr>
            <w:tcW w:w="1247" w:type="pct"/>
            <w:gridSpan w:val="2"/>
            <w:vMerge w:val="restart"/>
            <w:tcBorders>
              <w:top w:val="single" w:color="000000" w:sz="8" w:space="0"/>
              <w:left w:val="single" w:color="auto" w:sz="8" w:space="0"/>
              <w:bottom w:val="single" w:color="000000" w:sz="8" w:space="0"/>
              <w:right w:val="single" w:color="000000" w:sz="8" w:space="0"/>
            </w:tcBorders>
            <w:shd w:val="clear" w:color="auto" w:fill="auto"/>
            <w:vAlign w:val="center"/>
          </w:tcPr>
          <w:p>
            <w:pPr>
              <w:adjustRightInd/>
              <w:snapToGrid/>
              <w:jc w:val="center"/>
              <w:rPr>
                <w:rFonts w:ascii="宋体" w:hAnsi="宋体" w:eastAsia="宋体" w:cs="宋体"/>
                <w:color w:val="FF0000"/>
                <w:kern w:val="0"/>
                <w:u w:val="single"/>
              </w:rPr>
            </w:pPr>
            <w:r>
              <w:rPr>
                <w:rFonts w:hint="eastAsia" w:ascii="宋体" w:hAnsi="宋体" w:eastAsia="宋体" w:cs="宋体"/>
                <w:color w:val="FF0000"/>
                <w:kern w:val="0"/>
                <w:u w:val="single"/>
              </w:rPr>
              <w:t>恶臭气体合计</w:t>
            </w: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NH</w:t>
            </w:r>
            <w:r>
              <w:rPr>
                <w:rFonts w:ascii="Times New Roman" w:hAnsi="Times New Roman" w:eastAsia="宋体" w:cs="Times New Roman"/>
                <w:color w:val="FF0000"/>
                <w:kern w:val="0"/>
                <w:u w:val="single"/>
                <w:vertAlign w:val="subscript"/>
              </w:rPr>
              <w:t>3</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0.1015</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0.5014</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0.03045</w:t>
            </w:r>
          </w:p>
        </w:tc>
        <w:tc>
          <w:tcPr>
            <w:tcW w:w="628"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0.15042</w:t>
            </w:r>
          </w:p>
        </w:tc>
        <w:tc>
          <w:tcPr>
            <w:tcW w:w="624"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w:t>
            </w:r>
          </w:p>
        </w:tc>
      </w:tr>
      <w:tr>
        <w:tblPrEx>
          <w:tblCellMar>
            <w:top w:w="0" w:type="dxa"/>
            <w:left w:w="108" w:type="dxa"/>
            <w:bottom w:w="0" w:type="dxa"/>
            <w:right w:w="108" w:type="dxa"/>
          </w:tblCellMar>
        </w:tblPrEx>
        <w:trPr>
          <w:trHeight w:val="315" w:hRule="atLeast"/>
        </w:trPr>
        <w:tc>
          <w:tcPr>
            <w:tcW w:w="1247" w:type="pct"/>
            <w:gridSpan w:val="2"/>
            <w:vMerge w:val="continue"/>
            <w:tcBorders>
              <w:top w:val="single" w:color="000000" w:sz="8" w:space="0"/>
              <w:left w:val="single" w:color="auto" w:sz="8" w:space="0"/>
              <w:bottom w:val="single" w:color="000000" w:sz="8" w:space="0"/>
              <w:right w:val="single" w:color="000000" w:sz="8" w:space="0"/>
            </w:tcBorders>
            <w:vAlign w:val="center"/>
          </w:tcPr>
          <w:p>
            <w:pPr>
              <w:adjustRightInd/>
              <w:snapToGrid/>
              <w:jc w:val="left"/>
              <w:rPr>
                <w:rFonts w:ascii="宋体" w:hAnsi="宋体" w:eastAsia="宋体" w:cs="宋体"/>
                <w:color w:val="FF0000"/>
                <w:kern w:val="0"/>
                <w:u w:val="single"/>
              </w:rPr>
            </w:pPr>
          </w:p>
        </w:tc>
        <w:tc>
          <w:tcPr>
            <w:tcW w:w="625"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H</w:t>
            </w:r>
            <w:r>
              <w:rPr>
                <w:rFonts w:ascii="Times New Roman" w:hAnsi="Times New Roman" w:eastAsia="宋体" w:cs="Times New Roman"/>
                <w:color w:val="FF0000"/>
                <w:kern w:val="0"/>
                <w:u w:val="single"/>
                <w:vertAlign w:val="subscript"/>
              </w:rPr>
              <w:t>2</w:t>
            </w:r>
            <w:r>
              <w:rPr>
                <w:rFonts w:ascii="Times New Roman" w:hAnsi="Times New Roman" w:eastAsia="宋体" w:cs="Times New Roman"/>
                <w:color w:val="FF0000"/>
                <w:kern w:val="0"/>
                <w:u w:val="single"/>
              </w:rPr>
              <w:t>S</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0.002612</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0.016225</w:t>
            </w:r>
          </w:p>
        </w:tc>
        <w:tc>
          <w:tcPr>
            <w:tcW w:w="625"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0.000784</w:t>
            </w:r>
          </w:p>
        </w:tc>
        <w:tc>
          <w:tcPr>
            <w:tcW w:w="628" w:type="pct"/>
            <w:tcBorders>
              <w:top w:val="nil"/>
              <w:left w:val="nil"/>
              <w:bottom w:val="single" w:color="auto" w:sz="8" w:space="0"/>
              <w:right w:val="single" w:color="auto" w:sz="8" w:space="0"/>
            </w:tcBorders>
            <w:shd w:val="clear" w:color="auto" w:fill="auto"/>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0.004867</w:t>
            </w:r>
          </w:p>
        </w:tc>
        <w:tc>
          <w:tcPr>
            <w:tcW w:w="624" w:type="pct"/>
            <w:tcBorders>
              <w:top w:val="nil"/>
              <w:left w:val="nil"/>
              <w:bottom w:val="single" w:color="auto" w:sz="8" w:space="0"/>
              <w:right w:val="single" w:color="auto" w:sz="8" w:space="0"/>
            </w:tcBorders>
            <w:shd w:val="clear" w:color="auto" w:fill="auto"/>
            <w:vAlign w:val="center"/>
          </w:tcPr>
          <w:p>
            <w:pPr>
              <w:adjustRightInd/>
              <w:snapToGrid/>
              <w:jc w:val="center"/>
              <w:rPr>
                <w:rFonts w:ascii="Times New Roman" w:hAnsi="Times New Roman" w:eastAsia="宋体" w:cs="Times New Roman"/>
                <w:color w:val="FF0000"/>
                <w:kern w:val="0"/>
                <w:u w:val="single"/>
              </w:rPr>
            </w:pPr>
            <w:r>
              <w:rPr>
                <w:rFonts w:ascii="Times New Roman" w:hAnsi="Times New Roman" w:eastAsia="宋体" w:cs="Times New Roman"/>
                <w:color w:val="FF0000"/>
                <w:kern w:val="0"/>
                <w:u w:val="single"/>
              </w:rPr>
              <w:t>/</w:t>
            </w:r>
          </w:p>
        </w:tc>
      </w:tr>
    </w:tbl>
    <w:p>
      <w:pPr>
        <w:pStyle w:val="3"/>
        <w:ind w:firstLine="480"/>
        <w:rPr>
          <w:rFonts w:eastAsiaTheme="minorEastAsia"/>
        </w:rPr>
      </w:pPr>
    </w:p>
    <w:p>
      <w:pPr>
        <w:pStyle w:val="3"/>
        <w:ind w:firstLine="480"/>
        <w:rPr>
          <w:rFonts w:eastAsiaTheme="minorEastAsia"/>
        </w:rPr>
      </w:pPr>
    </w:p>
    <w:p>
      <w:pPr>
        <w:pStyle w:val="3"/>
        <w:ind w:firstLine="480"/>
        <w:rPr>
          <w:rFonts w:eastAsiaTheme="minorEastAsia"/>
        </w:rPr>
      </w:pPr>
      <w:r>
        <w:rPr>
          <w:rFonts w:hint="eastAsia" w:eastAsiaTheme="minorEastAsia"/>
        </w:rPr>
        <w:t>3、沼气</w:t>
      </w:r>
    </w:p>
    <w:p>
      <w:pPr>
        <w:pStyle w:val="3"/>
        <w:ind w:firstLine="480"/>
        <w:rPr>
          <w:rFonts w:cs="Times New Roman" w:eastAsiaTheme="minorEastAsia"/>
        </w:rPr>
      </w:pPr>
      <w:r>
        <w:rPr>
          <w:rFonts w:hint="eastAsia" w:cs="Times New Roman" w:eastAsiaTheme="minorEastAsia"/>
        </w:rPr>
        <w:t>项目运营后，屠宰废水经过沼气池发酵产生沼气。根据建设方提供资料，屠宰废水经过</w:t>
      </w:r>
      <w:bookmarkStart w:id="22" w:name="OLE_LINK4"/>
      <w:r>
        <w:rPr>
          <w:rFonts w:hint="eastAsia" w:cs="Times New Roman" w:eastAsiaTheme="minorEastAsia"/>
        </w:rPr>
        <w:t>沼气池发酵处理后</w:t>
      </w:r>
      <w:r>
        <w:rPr>
          <w:rFonts w:cs="Times New Roman" w:eastAsiaTheme="minorEastAsia"/>
        </w:rPr>
        <w:t>COD</w:t>
      </w:r>
      <w:r>
        <w:rPr>
          <w:rFonts w:hint="eastAsia" w:cs="Times New Roman" w:eastAsiaTheme="minorEastAsia"/>
        </w:rPr>
        <w:t>去除率</w:t>
      </w:r>
      <w:bookmarkEnd w:id="22"/>
      <w:r>
        <w:rPr>
          <w:rFonts w:hint="eastAsia" w:cs="Times New Roman" w:eastAsiaTheme="minorEastAsia"/>
        </w:rPr>
        <w:t>为30</w:t>
      </w:r>
      <w:r>
        <w:rPr>
          <w:rFonts w:cs="Times New Roman" w:eastAsiaTheme="minorEastAsia"/>
        </w:rPr>
        <w:t>%</w:t>
      </w:r>
      <w:r>
        <w:rPr>
          <w:rFonts w:hint="eastAsia" w:cs="Times New Roman" w:eastAsiaTheme="minorEastAsia"/>
        </w:rPr>
        <w:t>，即项目废水在沼气池处理工序去除</w:t>
      </w:r>
      <w:r>
        <w:rPr>
          <w:rFonts w:cs="Times New Roman" w:eastAsiaTheme="minorEastAsia"/>
        </w:rPr>
        <w:t>COD</w:t>
      </w:r>
      <w:r>
        <w:rPr>
          <w:rFonts w:hint="eastAsia" w:cs="Times New Roman" w:eastAsiaTheme="minorEastAsia"/>
        </w:rPr>
        <w:t>100.47</w:t>
      </w:r>
      <w:r>
        <w:rPr>
          <w:rFonts w:cs="Times New Roman" w:eastAsiaTheme="minorEastAsia"/>
        </w:rPr>
        <w:t>t/a</w:t>
      </w:r>
      <w:r>
        <w:rPr>
          <w:rFonts w:hint="eastAsia" w:cs="Times New Roman" w:eastAsiaTheme="minorEastAsia"/>
        </w:rPr>
        <w:t>，根据经验计算，每削减</w:t>
      </w:r>
      <w:r>
        <w:rPr>
          <w:rFonts w:cs="Times New Roman" w:eastAsiaTheme="minorEastAsia"/>
        </w:rPr>
        <w:t>1kgCOD</w:t>
      </w:r>
      <w:r>
        <w:rPr>
          <w:rFonts w:hint="eastAsia" w:cs="Times New Roman" w:eastAsiaTheme="minorEastAsia"/>
        </w:rPr>
        <w:t>可产生</w:t>
      </w:r>
      <w:r>
        <w:rPr>
          <w:rFonts w:cs="Times New Roman" w:eastAsiaTheme="minorEastAsia"/>
        </w:rPr>
        <w:t>0.5m</w:t>
      </w:r>
      <w:r>
        <w:rPr>
          <w:rFonts w:cs="Times New Roman" w:eastAsiaTheme="minorEastAsia"/>
          <w:vertAlign w:val="superscript"/>
        </w:rPr>
        <w:t>3</w:t>
      </w:r>
      <w:r>
        <w:rPr>
          <w:rFonts w:hint="eastAsia" w:cs="Times New Roman" w:eastAsiaTheme="minorEastAsia"/>
        </w:rPr>
        <w:t>沼气，则本项目沼气产生量为50235</w:t>
      </w:r>
      <w:r>
        <w:rPr>
          <w:rFonts w:cs="Times New Roman" w:eastAsiaTheme="minorEastAsia"/>
        </w:rPr>
        <w:t>m</w:t>
      </w:r>
      <w:r>
        <w:rPr>
          <w:rFonts w:cs="Times New Roman" w:eastAsiaTheme="minorEastAsia"/>
          <w:vertAlign w:val="superscript"/>
        </w:rPr>
        <w:t>3</w:t>
      </w:r>
      <w:r>
        <w:rPr>
          <w:rFonts w:cs="Times New Roman" w:eastAsiaTheme="minorEastAsia"/>
        </w:rPr>
        <w:t>/a</w:t>
      </w:r>
      <w:r>
        <w:rPr>
          <w:rFonts w:hint="eastAsia" w:cs="Times New Roman" w:eastAsiaTheme="minorEastAsia"/>
        </w:rPr>
        <w:t>（即167.45</w:t>
      </w:r>
      <w:r>
        <w:rPr>
          <w:rFonts w:cs="Times New Roman" w:eastAsiaTheme="minorEastAsia"/>
        </w:rPr>
        <w:t>m</w:t>
      </w:r>
      <w:r>
        <w:rPr>
          <w:rFonts w:cs="Times New Roman" w:eastAsiaTheme="minorEastAsia"/>
          <w:vertAlign w:val="superscript"/>
        </w:rPr>
        <w:t>3</w:t>
      </w:r>
      <w:r>
        <w:rPr>
          <w:rFonts w:cs="Times New Roman" w:eastAsiaTheme="minorEastAsia"/>
        </w:rPr>
        <w:t>/d</w:t>
      </w:r>
      <w:r>
        <w:rPr>
          <w:rFonts w:hint="eastAsia" w:cs="Times New Roman" w:eastAsiaTheme="minorEastAsia"/>
        </w:rPr>
        <w:t>）。本项目沼气直接高空燃烧。</w:t>
      </w:r>
    </w:p>
    <w:p>
      <w:pPr>
        <w:pStyle w:val="3"/>
        <w:ind w:firstLine="480"/>
        <w:rPr>
          <w:kern w:val="0"/>
        </w:rPr>
      </w:pPr>
      <w:r>
        <w:rPr>
          <w:rFonts w:hint="eastAsia" w:cs="Times New Roman" w:eastAsiaTheme="minorEastAsia"/>
        </w:rPr>
        <w:t>4、</w:t>
      </w:r>
      <w:r>
        <w:rPr>
          <w:rFonts w:hint="eastAsia"/>
          <w:kern w:val="0"/>
        </w:rPr>
        <w:t>废气污染源源强核算</w:t>
      </w:r>
    </w:p>
    <w:p>
      <w:pPr>
        <w:pStyle w:val="3"/>
        <w:ind w:firstLine="480"/>
        <w:rPr>
          <w:rFonts w:cs="Times New Roman"/>
          <w:kern w:val="0"/>
        </w:rPr>
      </w:pPr>
      <w:r>
        <w:rPr>
          <w:rFonts w:hint="eastAsia" w:cs="Times New Roman"/>
          <w:kern w:val="0"/>
        </w:rPr>
        <w:t>本项目主要废气污染源汇总情况见表4</w:t>
      </w:r>
      <w:r>
        <w:rPr>
          <w:rFonts w:cs="Times New Roman"/>
          <w:kern w:val="0"/>
        </w:rPr>
        <w:t>.2-</w:t>
      </w:r>
      <w:r>
        <w:rPr>
          <w:rFonts w:hint="eastAsia" w:cs="Times New Roman"/>
          <w:kern w:val="0"/>
        </w:rPr>
        <w:t>18。</w:t>
      </w:r>
    </w:p>
    <w:p>
      <w:pPr>
        <w:pStyle w:val="3"/>
        <w:spacing w:line="240" w:lineRule="auto"/>
        <w:ind w:firstLine="0" w:firstLineChars="0"/>
        <w:jc w:val="center"/>
        <w:rPr>
          <w:rFonts w:cs="Times New Roman" w:eastAsiaTheme="minorEastAsia"/>
          <w:b/>
          <w:color w:val="FF0000"/>
          <w:u w:val="single"/>
        </w:rPr>
      </w:pPr>
      <w:r>
        <w:rPr>
          <w:rFonts w:hint="eastAsia" w:cs="Times New Roman" w:eastAsiaTheme="minorEastAsia"/>
          <w:b/>
          <w:color w:val="FF0000"/>
          <w:u w:val="single"/>
        </w:rPr>
        <w:t>表4</w:t>
      </w:r>
      <w:r>
        <w:rPr>
          <w:rFonts w:cs="Times New Roman" w:eastAsiaTheme="minorEastAsia"/>
          <w:b/>
          <w:color w:val="FF0000"/>
          <w:u w:val="single"/>
        </w:rPr>
        <w:t>.2-1</w:t>
      </w:r>
      <w:r>
        <w:rPr>
          <w:rFonts w:hint="eastAsia" w:cs="Times New Roman" w:eastAsiaTheme="minorEastAsia"/>
          <w:b/>
          <w:color w:val="FF0000"/>
          <w:u w:val="single"/>
        </w:rPr>
        <w:t>8</w:t>
      </w:r>
      <w:r>
        <w:rPr>
          <w:rFonts w:cs="Times New Roman" w:eastAsiaTheme="minorEastAsia"/>
          <w:b/>
          <w:color w:val="FF0000"/>
          <w:u w:val="single"/>
        </w:rPr>
        <w:t xml:space="preserve">   </w:t>
      </w:r>
      <w:r>
        <w:rPr>
          <w:rFonts w:hint="eastAsia" w:cs="Times New Roman" w:eastAsiaTheme="minorEastAsia"/>
          <w:b/>
          <w:color w:val="FF0000"/>
          <w:u w:val="single"/>
        </w:rPr>
        <w:t>项目废气污染源汇总一览表</w:t>
      </w:r>
    </w:p>
    <w:tbl>
      <w:tblPr>
        <w:tblStyle w:val="30"/>
        <w:tblW w:w="5000" w:type="pct"/>
        <w:tblInd w:w="0" w:type="dxa"/>
        <w:tblLayout w:type="autofit"/>
        <w:tblCellMar>
          <w:top w:w="0" w:type="dxa"/>
          <w:left w:w="108" w:type="dxa"/>
          <w:bottom w:w="0" w:type="dxa"/>
          <w:right w:w="108" w:type="dxa"/>
        </w:tblCellMar>
      </w:tblPr>
      <w:tblGrid>
        <w:gridCol w:w="739"/>
        <w:gridCol w:w="629"/>
        <w:gridCol w:w="774"/>
        <w:gridCol w:w="1196"/>
        <w:gridCol w:w="1042"/>
        <w:gridCol w:w="1466"/>
        <w:gridCol w:w="811"/>
        <w:gridCol w:w="1365"/>
        <w:gridCol w:w="1151"/>
      </w:tblGrid>
      <w:tr>
        <w:tblPrEx>
          <w:tblCellMar>
            <w:top w:w="0" w:type="dxa"/>
            <w:left w:w="108" w:type="dxa"/>
            <w:bottom w:w="0" w:type="dxa"/>
            <w:right w:w="108" w:type="dxa"/>
          </w:tblCellMar>
        </w:tblPrEx>
        <w:trPr>
          <w:trHeight w:val="397" w:hRule="atLeast"/>
        </w:trPr>
        <w:tc>
          <w:tcPr>
            <w:tcW w:w="40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产污地点</w:t>
            </w:r>
          </w:p>
        </w:tc>
        <w:tc>
          <w:tcPr>
            <w:tcW w:w="34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污染源</w:t>
            </w:r>
          </w:p>
        </w:tc>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污染物</w:t>
            </w:r>
          </w:p>
        </w:tc>
        <w:tc>
          <w:tcPr>
            <w:tcW w:w="1220" w:type="pct"/>
            <w:gridSpan w:val="2"/>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污染物产生</w:t>
            </w:r>
          </w:p>
        </w:tc>
        <w:tc>
          <w:tcPr>
            <w:tcW w:w="1241" w:type="pct"/>
            <w:gridSpan w:val="2"/>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治理措施</w:t>
            </w:r>
          </w:p>
        </w:tc>
        <w:tc>
          <w:tcPr>
            <w:tcW w:w="1371" w:type="pct"/>
            <w:gridSpan w:val="2"/>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污染物排放</w:t>
            </w:r>
          </w:p>
        </w:tc>
      </w:tr>
      <w:tr>
        <w:tblPrEx>
          <w:tblCellMar>
            <w:top w:w="0" w:type="dxa"/>
            <w:left w:w="108" w:type="dxa"/>
            <w:bottom w:w="0" w:type="dxa"/>
            <w:right w:w="108" w:type="dxa"/>
          </w:tblCellMar>
        </w:tblPrEx>
        <w:trPr>
          <w:trHeight w:val="397" w:hRule="atLeast"/>
        </w:trPr>
        <w:tc>
          <w:tcPr>
            <w:tcW w:w="40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65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产生浓度</w:t>
            </w:r>
          </w:p>
          <w:p>
            <w:pPr>
              <w:pStyle w:val="49"/>
              <w:rPr>
                <w:rFonts w:cs="Times New Roman"/>
                <w:color w:val="FF0000"/>
                <w:u w:val="single"/>
              </w:rPr>
            </w:pPr>
            <w:r>
              <w:rPr>
                <w:rFonts w:cs="Times New Roman"/>
                <w:color w:val="FF0000"/>
                <w:u w:val="single"/>
              </w:rPr>
              <w:t>（mg/m</w:t>
            </w:r>
            <w:r>
              <w:rPr>
                <w:rFonts w:cs="Times New Roman"/>
                <w:color w:val="FF0000"/>
                <w:u w:val="single"/>
                <w:vertAlign w:val="superscript"/>
              </w:rPr>
              <w:t>3</w:t>
            </w:r>
            <w:r>
              <w:rPr>
                <w:rFonts w:cs="Times New Roman"/>
                <w:color w:val="FF0000"/>
                <w:u w:val="single"/>
              </w:rPr>
              <w:t>）</w:t>
            </w:r>
          </w:p>
        </w:tc>
        <w:tc>
          <w:tcPr>
            <w:tcW w:w="568"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产生量</w:t>
            </w:r>
          </w:p>
          <w:p>
            <w:pPr>
              <w:pStyle w:val="49"/>
              <w:rPr>
                <w:rFonts w:cs="Times New Roman"/>
                <w:color w:val="FF0000"/>
                <w:u w:val="single"/>
              </w:rPr>
            </w:pPr>
            <w:r>
              <w:rPr>
                <w:rFonts w:cs="Times New Roman"/>
                <w:color w:val="FF0000"/>
                <w:u w:val="single"/>
              </w:rPr>
              <w:t>（t/a）</w:t>
            </w:r>
          </w:p>
        </w:tc>
        <w:tc>
          <w:tcPr>
            <w:tcW w:w="79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工艺</w:t>
            </w: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效率（%）</w:t>
            </w:r>
          </w:p>
        </w:tc>
        <w:tc>
          <w:tcPr>
            <w:tcW w:w="7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排放浓度（mg/m</w:t>
            </w:r>
            <w:r>
              <w:rPr>
                <w:rFonts w:cs="Times New Roman"/>
                <w:color w:val="FF0000"/>
                <w:u w:val="single"/>
                <w:vertAlign w:val="superscript"/>
              </w:rPr>
              <w:t>3</w:t>
            </w:r>
            <w:r>
              <w:rPr>
                <w:rFonts w:cs="Times New Roman"/>
                <w:color w:val="FF0000"/>
                <w:u w:val="single"/>
              </w:rPr>
              <w:t>）</w:t>
            </w:r>
          </w:p>
        </w:tc>
        <w:tc>
          <w:tcPr>
            <w:tcW w:w="6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排放量</w:t>
            </w:r>
          </w:p>
          <w:p>
            <w:pPr>
              <w:pStyle w:val="49"/>
              <w:rPr>
                <w:rFonts w:cs="Times New Roman"/>
                <w:color w:val="FF0000"/>
                <w:u w:val="single"/>
              </w:rPr>
            </w:pPr>
            <w:r>
              <w:rPr>
                <w:rFonts w:cs="Times New Roman"/>
                <w:color w:val="FF0000"/>
                <w:u w:val="single"/>
              </w:rPr>
              <w:t>（t/a）</w:t>
            </w:r>
          </w:p>
        </w:tc>
      </w:tr>
      <w:tr>
        <w:tblPrEx>
          <w:tblCellMar>
            <w:top w:w="0" w:type="dxa"/>
            <w:left w:w="108" w:type="dxa"/>
            <w:bottom w:w="0" w:type="dxa"/>
            <w:right w:w="108" w:type="dxa"/>
          </w:tblCellMar>
        </w:tblPrEx>
        <w:trPr>
          <w:trHeight w:val="397" w:hRule="atLeast"/>
        </w:trPr>
        <w:tc>
          <w:tcPr>
            <w:tcW w:w="403"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生物质锅炉</w:t>
            </w:r>
          </w:p>
        </w:tc>
        <w:tc>
          <w:tcPr>
            <w:tcW w:w="343"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有组织排放</w:t>
            </w:r>
          </w:p>
        </w:tc>
        <w:tc>
          <w:tcPr>
            <w:tcW w:w="422" w:type="pct"/>
            <w:tcBorders>
              <w:top w:val="single" w:color="auto" w:sz="4" w:space="0"/>
              <w:left w:val="single" w:color="auto" w:sz="4" w:space="0"/>
              <w:bottom w:val="single" w:color="auto" w:sz="4" w:space="0"/>
              <w:right w:val="single" w:color="auto" w:sz="4" w:space="0"/>
            </w:tcBorders>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烟尘</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41.7</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0.3</w:t>
            </w:r>
          </w:p>
        </w:tc>
        <w:tc>
          <w:tcPr>
            <w:tcW w:w="799"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布袋除尘处理+25m高排气筒</w:t>
            </w: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99</w:t>
            </w:r>
          </w:p>
        </w:tc>
        <w:tc>
          <w:tcPr>
            <w:tcW w:w="744"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hint="eastAsia" w:ascii="Times New Roman" w:hAnsi="Times New Roman"/>
                <w:color w:val="FF0000"/>
                <w:u w:val="single"/>
              </w:rPr>
              <w:t>0.417</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0.0</w:t>
            </w:r>
            <w:r>
              <w:rPr>
                <w:rFonts w:hint="eastAsia" w:ascii="Times New Roman" w:hAnsi="Times New Roman" w:cs="Times New Roman"/>
                <w:color w:val="FF0000"/>
                <w:u w:val="single"/>
              </w:rPr>
              <w:t>0</w:t>
            </w:r>
            <w:r>
              <w:rPr>
                <w:rFonts w:ascii="Times New Roman" w:hAnsi="Times New Roman" w:cs="Times New Roman"/>
                <w:color w:val="FF0000"/>
                <w:u w:val="single"/>
              </w:rPr>
              <w:t>3</w:t>
            </w:r>
          </w:p>
        </w:tc>
      </w:tr>
      <w:tr>
        <w:tblPrEx>
          <w:tblCellMar>
            <w:top w:w="0" w:type="dxa"/>
            <w:left w:w="108" w:type="dxa"/>
            <w:bottom w:w="0" w:type="dxa"/>
            <w:right w:w="108" w:type="dxa"/>
          </w:tblCellMar>
        </w:tblPrEx>
        <w:trPr>
          <w:trHeight w:val="397" w:hRule="atLeast"/>
        </w:trPr>
        <w:tc>
          <w:tcPr>
            <w:tcW w:w="403" w:type="pct"/>
            <w:vMerge w:val="continue"/>
            <w:tcBorders>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SO</w:t>
            </w:r>
            <w:r>
              <w:rPr>
                <w:rFonts w:ascii="Times New Roman" w:hAnsi="Times New Roman" w:eastAsiaTheme="minorEastAsia"/>
                <w:color w:val="FF0000"/>
                <w:szCs w:val="21"/>
                <w:u w:val="single"/>
                <w:vertAlign w:val="subscript"/>
              </w:rPr>
              <w:t>2</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28.3</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0.204</w:t>
            </w:r>
          </w:p>
        </w:tc>
        <w:tc>
          <w:tcPr>
            <w:tcW w:w="799" w:type="pct"/>
            <w:vMerge w:val="continue"/>
            <w:tcBorders>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w:t>
            </w:r>
          </w:p>
        </w:tc>
        <w:tc>
          <w:tcPr>
            <w:tcW w:w="744"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28.3</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0.204</w:t>
            </w:r>
          </w:p>
        </w:tc>
      </w:tr>
      <w:tr>
        <w:tblPrEx>
          <w:tblCellMar>
            <w:top w:w="0" w:type="dxa"/>
            <w:left w:w="108" w:type="dxa"/>
            <w:bottom w:w="0" w:type="dxa"/>
            <w:right w:w="108" w:type="dxa"/>
          </w:tblCellMar>
        </w:tblPrEx>
        <w:trPr>
          <w:trHeight w:val="397" w:hRule="atLeast"/>
        </w:trPr>
        <w:tc>
          <w:tcPr>
            <w:tcW w:w="403"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NOx</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85</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0.612</w:t>
            </w:r>
          </w:p>
        </w:tc>
        <w:tc>
          <w:tcPr>
            <w:tcW w:w="799"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w:t>
            </w:r>
          </w:p>
        </w:tc>
        <w:tc>
          <w:tcPr>
            <w:tcW w:w="744"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85</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0.612</w:t>
            </w:r>
          </w:p>
        </w:tc>
      </w:tr>
      <w:tr>
        <w:tblPrEx>
          <w:tblCellMar>
            <w:top w:w="0" w:type="dxa"/>
            <w:left w:w="108" w:type="dxa"/>
            <w:bottom w:w="0" w:type="dxa"/>
            <w:right w:w="108" w:type="dxa"/>
          </w:tblCellMar>
        </w:tblPrEx>
        <w:trPr>
          <w:trHeight w:val="397" w:hRule="atLeast"/>
        </w:trPr>
        <w:tc>
          <w:tcPr>
            <w:tcW w:w="40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牛屠宰区（待宰区）</w:t>
            </w:r>
          </w:p>
        </w:tc>
        <w:tc>
          <w:tcPr>
            <w:tcW w:w="34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无组织排放</w:t>
            </w: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1</w:t>
            </w:r>
          </w:p>
        </w:tc>
        <w:tc>
          <w:tcPr>
            <w:tcW w:w="568"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 w:val="22"/>
                <w:u w:val="single"/>
              </w:rPr>
            </w:pPr>
            <w:r>
              <w:rPr>
                <w:color w:val="FF0000"/>
                <w:u w:val="single"/>
              </w:rPr>
              <w:t>0.04</w:t>
            </w:r>
          </w:p>
        </w:tc>
        <w:tc>
          <w:tcPr>
            <w:tcW w:w="799"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设置绿化带，通风换气，车间清洗，及时清理废弃物，使用除臭剂</w:t>
            </w: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 w:val="22"/>
                <w:u w:val="single"/>
              </w:rPr>
            </w:pPr>
            <w:r>
              <w:rPr>
                <w:rFonts w:cs="Times New Roman"/>
                <w:color w:val="FF0000"/>
                <w:sz w:val="22"/>
                <w:u w:val="single"/>
              </w:rPr>
              <w:t>0.3</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0.012</w:t>
            </w:r>
          </w:p>
        </w:tc>
      </w:tr>
      <w:tr>
        <w:tblPrEx>
          <w:tblCellMar>
            <w:top w:w="0" w:type="dxa"/>
            <w:left w:w="108" w:type="dxa"/>
            <w:bottom w:w="0" w:type="dxa"/>
            <w:right w:w="108" w:type="dxa"/>
          </w:tblCellMar>
        </w:tblPrEx>
        <w:trPr>
          <w:trHeight w:val="397" w:hRule="atLeast"/>
        </w:trPr>
        <w:tc>
          <w:tcPr>
            <w:tcW w:w="40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0.02</w:t>
            </w:r>
          </w:p>
        </w:tc>
        <w:tc>
          <w:tcPr>
            <w:tcW w:w="568"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 w:val="22"/>
                <w:u w:val="single"/>
              </w:rPr>
            </w:pPr>
            <w:r>
              <w:rPr>
                <w:color w:val="FF0000"/>
                <w:u w:val="single"/>
              </w:rPr>
              <w:t>0.0008</w:t>
            </w:r>
          </w:p>
        </w:tc>
        <w:tc>
          <w:tcPr>
            <w:tcW w:w="799" w:type="pct"/>
            <w:vMerge w:val="continue"/>
            <w:tcBorders>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 w:val="22"/>
                <w:u w:val="single"/>
              </w:rPr>
            </w:pPr>
            <w:r>
              <w:rPr>
                <w:rFonts w:cs="Times New Roman"/>
                <w:color w:val="FF0000"/>
                <w:sz w:val="22"/>
                <w:u w:val="single"/>
              </w:rPr>
              <w:t>0.006</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0.00024</w:t>
            </w:r>
          </w:p>
        </w:tc>
      </w:tr>
      <w:tr>
        <w:tblPrEx>
          <w:tblCellMar>
            <w:top w:w="0" w:type="dxa"/>
            <w:left w:w="108" w:type="dxa"/>
            <w:bottom w:w="0" w:type="dxa"/>
            <w:right w:w="108" w:type="dxa"/>
          </w:tblCellMar>
        </w:tblPrEx>
        <w:trPr>
          <w:trHeight w:val="397" w:hRule="atLeast"/>
        </w:trPr>
        <w:tc>
          <w:tcPr>
            <w:tcW w:w="403" w:type="pct"/>
            <w:vMerge w:val="restart"/>
            <w:tcBorders>
              <w:top w:val="single" w:color="auto" w:sz="4" w:space="0"/>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r>
              <w:rPr>
                <w:rFonts w:ascii="Times New Roman" w:hAnsi="Times New Roman" w:cs="Times New Roman"/>
                <w:color w:val="FF0000"/>
                <w:u w:val="single"/>
              </w:rPr>
              <w:t>禽类屠宰区（待宰区）</w:t>
            </w:r>
          </w:p>
        </w:tc>
        <w:tc>
          <w:tcPr>
            <w:tcW w:w="343" w:type="pct"/>
            <w:vMerge w:val="restart"/>
            <w:tcBorders>
              <w:top w:val="single" w:color="auto" w:sz="4" w:space="0"/>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r>
              <w:rPr>
                <w:rFonts w:ascii="Times New Roman" w:hAnsi="Times New Roman" w:cs="Times New Roman"/>
                <w:color w:val="FF0000"/>
                <w:u w:val="single"/>
              </w:rPr>
              <w:t>无组织排放</w:t>
            </w: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0.5</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0.021</w:t>
            </w:r>
          </w:p>
        </w:tc>
        <w:tc>
          <w:tcPr>
            <w:tcW w:w="799" w:type="pct"/>
            <w:vMerge w:val="continue"/>
            <w:tcBorders>
              <w:left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0.15</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0.0063</w:t>
            </w:r>
          </w:p>
        </w:tc>
      </w:tr>
      <w:tr>
        <w:tblPrEx>
          <w:tblCellMar>
            <w:top w:w="0" w:type="dxa"/>
            <w:left w:w="108" w:type="dxa"/>
            <w:bottom w:w="0" w:type="dxa"/>
            <w:right w:w="108" w:type="dxa"/>
          </w:tblCellMar>
        </w:tblPrEx>
        <w:trPr>
          <w:trHeight w:val="397" w:hRule="atLeast"/>
        </w:trPr>
        <w:tc>
          <w:tcPr>
            <w:tcW w:w="403"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652"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0.006</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0.000252</w:t>
            </w:r>
          </w:p>
        </w:tc>
        <w:tc>
          <w:tcPr>
            <w:tcW w:w="799" w:type="pct"/>
            <w:vMerge w:val="continue"/>
            <w:tcBorders>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hint="eastAsia" w:ascii="Times New Roman" w:hAnsi="Times New Roman"/>
                <w:color w:val="FF0000"/>
                <w:u w:val="single"/>
              </w:rPr>
              <w:t>0.0018</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0.000076</w:t>
            </w:r>
          </w:p>
        </w:tc>
      </w:tr>
      <w:tr>
        <w:tblPrEx>
          <w:tblCellMar>
            <w:top w:w="0" w:type="dxa"/>
            <w:left w:w="108" w:type="dxa"/>
            <w:bottom w:w="0" w:type="dxa"/>
            <w:right w:w="108" w:type="dxa"/>
          </w:tblCellMar>
        </w:tblPrEx>
        <w:trPr>
          <w:trHeight w:val="397" w:hRule="atLeast"/>
        </w:trPr>
        <w:tc>
          <w:tcPr>
            <w:tcW w:w="40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粪污处理系统</w:t>
            </w:r>
          </w:p>
        </w:tc>
        <w:tc>
          <w:tcPr>
            <w:tcW w:w="343"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有组织排放</w:t>
            </w: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6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0.355</w:t>
            </w:r>
          </w:p>
        </w:tc>
        <w:tc>
          <w:tcPr>
            <w:tcW w:w="799"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设置绿化带、喷洒除臭剂</w:t>
            </w: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0.1065</w:t>
            </w:r>
          </w:p>
        </w:tc>
      </w:tr>
      <w:tr>
        <w:tblPrEx>
          <w:tblCellMar>
            <w:top w:w="0" w:type="dxa"/>
            <w:left w:w="108" w:type="dxa"/>
            <w:bottom w:w="0" w:type="dxa"/>
            <w:right w:w="108" w:type="dxa"/>
          </w:tblCellMar>
        </w:tblPrEx>
        <w:trPr>
          <w:trHeight w:val="397" w:hRule="atLeast"/>
        </w:trPr>
        <w:tc>
          <w:tcPr>
            <w:tcW w:w="40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343"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6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568"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0.0137</w:t>
            </w:r>
          </w:p>
        </w:tc>
        <w:tc>
          <w:tcPr>
            <w:tcW w:w="799"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cs="Times New Roman"/>
                <w:color w:val="FF0000"/>
                <w:u w:val="single"/>
              </w:rPr>
            </w:pPr>
          </w:p>
        </w:tc>
        <w:tc>
          <w:tcPr>
            <w:tcW w:w="44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70</w:t>
            </w: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627" w:type="pct"/>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0.00411</w:t>
            </w:r>
          </w:p>
        </w:tc>
      </w:tr>
    </w:tbl>
    <w:p>
      <w:pPr>
        <w:pStyle w:val="3"/>
        <w:ind w:firstLine="480"/>
        <w:rPr>
          <w:rFonts w:cs="Times New Roman" w:eastAsiaTheme="minorEastAsia"/>
        </w:rPr>
        <w:sectPr>
          <w:pgSz w:w="11906" w:h="16838"/>
          <w:pgMar w:top="1474" w:right="1361" w:bottom="1474" w:left="1588" w:header="851" w:footer="992" w:gutter="0"/>
          <w:cols w:space="425" w:num="1"/>
          <w:docGrid w:type="lines" w:linePitch="312" w:charSpace="0"/>
        </w:sectPr>
      </w:pPr>
    </w:p>
    <w:p>
      <w:pPr>
        <w:pStyle w:val="3"/>
        <w:ind w:firstLine="0" w:firstLineChars="0"/>
        <w:outlineLvl w:val="2"/>
      </w:pPr>
      <w:r>
        <w:rPr>
          <w:rFonts w:hint="eastAsia"/>
        </w:rPr>
        <w:t>4.2.5</w:t>
      </w:r>
      <w:r>
        <w:rPr>
          <w:rFonts w:hint="eastAsia"/>
        </w:rPr>
        <w:tab/>
      </w:r>
      <w:r>
        <w:rPr>
          <w:rFonts w:hint="eastAsia" w:eastAsia="黑体" w:cstheme="majorBidi"/>
          <w:bCs/>
          <w:szCs w:val="32"/>
        </w:rPr>
        <w:t>噪声污染源强分析</w:t>
      </w:r>
    </w:p>
    <w:p>
      <w:pPr>
        <w:pStyle w:val="3"/>
        <w:ind w:firstLine="480"/>
        <w:rPr>
          <w:rFonts w:cs="Times New Roman"/>
          <w:kern w:val="0"/>
        </w:rPr>
      </w:pPr>
      <w:r>
        <w:rPr>
          <w:rFonts w:hint="eastAsia" w:cs="Times New Roman"/>
          <w:kern w:val="0"/>
        </w:rPr>
        <w:t>本项目噪声污染源主要包括屠宰车间设备、制冷系统的压缩机、粪污处理站内的泵房的噪声、、锅炉房的锅炉噪声、</w:t>
      </w:r>
      <w:r>
        <w:rPr>
          <w:rFonts w:hint="eastAsia"/>
        </w:rPr>
        <w:t>待宰间牛、鸡鸭叫声和运输车辆产生的车辆噪声</w:t>
      </w:r>
      <w:r>
        <w:rPr>
          <w:rFonts w:hint="eastAsia" w:cs="Times New Roman"/>
          <w:kern w:val="0"/>
        </w:rPr>
        <w:t>等。具体各噪声源及其源强见4</w:t>
      </w:r>
      <w:r>
        <w:rPr>
          <w:rFonts w:cs="Times New Roman"/>
          <w:kern w:val="0"/>
        </w:rPr>
        <w:t>.</w:t>
      </w:r>
      <w:r>
        <w:rPr>
          <w:rFonts w:hint="eastAsia" w:cs="Times New Roman"/>
          <w:kern w:val="0"/>
        </w:rPr>
        <w:t>2</w:t>
      </w:r>
      <w:r>
        <w:rPr>
          <w:rFonts w:cs="Times New Roman"/>
          <w:kern w:val="0"/>
        </w:rPr>
        <w:t>-1</w:t>
      </w:r>
      <w:r>
        <w:rPr>
          <w:rFonts w:hint="eastAsia" w:cs="Times New Roman"/>
          <w:kern w:val="0"/>
        </w:rPr>
        <w:t>9。</w:t>
      </w:r>
    </w:p>
    <w:p>
      <w:pPr>
        <w:pStyle w:val="3"/>
        <w:spacing w:line="240" w:lineRule="auto"/>
        <w:ind w:firstLine="0" w:firstLineChars="0"/>
        <w:jc w:val="center"/>
        <w:rPr>
          <w:rFonts w:cs="Times New Roman" w:eastAsiaTheme="minorEastAsia"/>
          <w:b/>
        </w:rPr>
      </w:pPr>
      <w:r>
        <w:rPr>
          <w:rFonts w:hint="eastAsia" w:cs="Times New Roman" w:eastAsiaTheme="minorEastAsia"/>
          <w:b/>
        </w:rPr>
        <w:t>表4</w:t>
      </w:r>
      <w:r>
        <w:rPr>
          <w:rFonts w:cs="Times New Roman" w:eastAsiaTheme="minorEastAsia"/>
          <w:b/>
        </w:rPr>
        <w:t>.2-1</w:t>
      </w:r>
      <w:r>
        <w:rPr>
          <w:rFonts w:hint="eastAsia" w:cs="Times New Roman" w:eastAsiaTheme="minorEastAsia"/>
          <w:b/>
        </w:rPr>
        <w:t>9</w:t>
      </w:r>
      <w:r>
        <w:rPr>
          <w:rFonts w:cs="Times New Roman" w:eastAsiaTheme="minorEastAsia"/>
          <w:b/>
        </w:rPr>
        <w:t xml:space="preserve">   </w:t>
      </w:r>
      <w:r>
        <w:rPr>
          <w:rFonts w:hint="eastAsia" w:cs="Times New Roman" w:eastAsiaTheme="minorEastAsia"/>
          <w:b/>
        </w:rPr>
        <w:t>项目主要噪声源强一览表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124"/>
        <w:gridCol w:w="1125"/>
        <w:gridCol w:w="988"/>
        <w:gridCol w:w="1821"/>
        <w:gridCol w:w="788"/>
        <w:gridCol w:w="168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序号</w:t>
            </w:r>
          </w:p>
        </w:tc>
        <w:tc>
          <w:tcPr>
            <w:tcW w:w="1137" w:type="dxa"/>
            <w:vAlign w:val="center"/>
          </w:tcPr>
          <w:p>
            <w:pPr>
              <w:pStyle w:val="49"/>
              <w:rPr>
                <w:rFonts w:cs="Times New Roman"/>
              </w:rPr>
            </w:pPr>
            <w:r>
              <w:rPr>
                <w:rFonts w:hint="eastAsia" w:cs="Times New Roman"/>
              </w:rPr>
              <w:t>噪声源</w:t>
            </w:r>
          </w:p>
        </w:tc>
        <w:tc>
          <w:tcPr>
            <w:tcW w:w="1134" w:type="dxa"/>
            <w:vAlign w:val="center"/>
          </w:tcPr>
          <w:p>
            <w:pPr>
              <w:pStyle w:val="49"/>
              <w:rPr>
                <w:rFonts w:cs="Times New Roman"/>
              </w:rPr>
            </w:pPr>
            <w:r>
              <w:rPr>
                <w:rFonts w:hint="eastAsia" w:cs="Times New Roman"/>
              </w:rPr>
              <w:t>位置</w:t>
            </w:r>
          </w:p>
        </w:tc>
        <w:tc>
          <w:tcPr>
            <w:tcW w:w="992" w:type="dxa"/>
            <w:vAlign w:val="center"/>
          </w:tcPr>
          <w:p>
            <w:pPr>
              <w:pStyle w:val="49"/>
              <w:rPr>
                <w:rFonts w:cs="Times New Roman"/>
              </w:rPr>
            </w:pPr>
            <w:r>
              <w:rPr>
                <w:rFonts w:hint="eastAsia" w:cs="Times New Roman"/>
              </w:rPr>
              <w:t>源强dB(A)</w:t>
            </w:r>
          </w:p>
        </w:tc>
        <w:tc>
          <w:tcPr>
            <w:tcW w:w="1843" w:type="dxa"/>
            <w:vAlign w:val="center"/>
          </w:tcPr>
          <w:p>
            <w:pPr>
              <w:pStyle w:val="49"/>
              <w:rPr>
                <w:rFonts w:cs="Times New Roman"/>
              </w:rPr>
            </w:pPr>
            <w:r>
              <w:rPr>
                <w:rFonts w:hint="eastAsia" w:cs="Times New Roman"/>
              </w:rPr>
              <w:t>治理措施</w:t>
            </w:r>
          </w:p>
        </w:tc>
        <w:tc>
          <w:tcPr>
            <w:tcW w:w="708" w:type="dxa"/>
            <w:vAlign w:val="center"/>
          </w:tcPr>
          <w:p>
            <w:pPr>
              <w:pStyle w:val="49"/>
              <w:rPr>
                <w:rFonts w:cs="Times New Roman" w:eastAsiaTheme="minorEastAsia"/>
                <w:kern w:val="0"/>
              </w:rPr>
            </w:pPr>
            <w:r>
              <w:rPr>
                <w:rFonts w:hint="eastAsia" w:ascii="宋体" w:cs="宋体"/>
                <w:kern w:val="0"/>
              </w:rPr>
              <w:t>降噪效果</w:t>
            </w:r>
          </w:p>
        </w:tc>
        <w:tc>
          <w:tcPr>
            <w:tcW w:w="1701" w:type="dxa"/>
            <w:vAlign w:val="center"/>
          </w:tcPr>
          <w:p>
            <w:pPr>
              <w:pStyle w:val="49"/>
              <w:rPr>
                <w:rFonts w:cs="Times New Roman" w:eastAsiaTheme="minorEastAsia"/>
                <w:kern w:val="0"/>
              </w:rPr>
            </w:pPr>
            <w:r>
              <w:rPr>
                <w:rFonts w:hint="eastAsia" w:cs="Times New Roman" w:eastAsiaTheme="minorEastAsia"/>
                <w:kern w:val="0"/>
              </w:rPr>
              <w:t>排放源强</w:t>
            </w:r>
            <w:r>
              <w:rPr>
                <w:rFonts w:cs="Times New Roman" w:eastAsiaTheme="minorEastAsia"/>
                <w:kern w:val="0"/>
              </w:rPr>
              <w:t>dB(A)</w:t>
            </w:r>
          </w:p>
        </w:tc>
        <w:tc>
          <w:tcPr>
            <w:tcW w:w="1127" w:type="dxa"/>
            <w:vAlign w:val="center"/>
          </w:tcPr>
          <w:p>
            <w:pPr>
              <w:pStyle w:val="49"/>
              <w:rPr>
                <w:rFonts w:cs="Times New Roman" w:eastAsiaTheme="minorEastAsia"/>
                <w:kern w:val="0"/>
              </w:rPr>
            </w:pPr>
            <w:r>
              <w:rPr>
                <w:rFonts w:hint="eastAsia" w:cs="Times New Roman" w:eastAsiaTheme="minorEastAsia"/>
                <w:kern w:val="0"/>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1</w:t>
            </w:r>
          </w:p>
        </w:tc>
        <w:tc>
          <w:tcPr>
            <w:tcW w:w="1137" w:type="dxa"/>
            <w:vAlign w:val="center"/>
          </w:tcPr>
          <w:p>
            <w:pPr>
              <w:pStyle w:val="49"/>
              <w:rPr>
                <w:rFonts w:cs="Times New Roman"/>
              </w:rPr>
            </w:pPr>
            <w:r>
              <w:rPr>
                <w:rFonts w:hint="eastAsia" w:cs="Times New Roman"/>
              </w:rPr>
              <w:t>屠宰车间</w:t>
            </w:r>
          </w:p>
        </w:tc>
        <w:tc>
          <w:tcPr>
            <w:tcW w:w="1134" w:type="dxa"/>
            <w:vAlign w:val="center"/>
          </w:tcPr>
          <w:p>
            <w:pPr>
              <w:pStyle w:val="49"/>
              <w:rPr>
                <w:rFonts w:cs="Times New Roman"/>
              </w:rPr>
            </w:pPr>
            <w:r>
              <w:rPr>
                <w:rFonts w:hint="eastAsia" w:cs="Times New Roman"/>
              </w:rPr>
              <w:t>屠宰设备</w:t>
            </w:r>
          </w:p>
        </w:tc>
        <w:tc>
          <w:tcPr>
            <w:tcW w:w="992" w:type="dxa"/>
            <w:vAlign w:val="center"/>
          </w:tcPr>
          <w:p>
            <w:pPr>
              <w:pStyle w:val="49"/>
              <w:rPr>
                <w:rFonts w:cs="Times New Roman"/>
              </w:rPr>
            </w:pPr>
            <w:r>
              <w:rPr>
                <w:rFonts w:cs="Times New Roman"/>
              </w:rPr>
              <w:t>65~80</w:t>
            </w:r>
          </w:p>
        </w:tc>
        <w:tc>
          <w:tcPr>
            <w:tcW w:w="1843" w:type="dxa"/>
            <w:vAlign w:val="center"/>
          </w:tcPr>
          <w:p>
            <w:pPr>
              <w:pStyle w:val="49"/>
              <w:rPr>
                <w:rFonts w:cs="Times New Roman"/>
              </w:rPr>
            </w:pPr>
            <w:r>
              <w:rPr>
                <w:rFonts w:hint="eastAsia" w:cs="Times New Roman"/>
              </w:rPr>
              <w:t>隔声</w:t>
            </w:r>
          </w:p>
        </w:tc>
        <w:tc>
          <w:tcPr>
            <w:tcW w:w="708" w:type="dxa"/>
            <w:vMerge w:val="restart"/>
            <w:vAlign w:val="center"/>
          </w:tcPr>
          <w:p>
            <w:pPr>
              <w:pStyle w:val="49"/>
              <w:rPr>
                <w:rFonts w:cs="Times New Roman" w:eastAsiaTheme="minorEastAsia"/>
                <w:kern w:val="0"/>
              </w:rPr>
            </w:pPr>
            <w:r>
              <w:rPr>
                <w:rFonts w:hint="eastAsia" w:cs="Times New Roman" w:eastAsiaTheme="minorEastAsia"/>
                <w:kern w:val="0"/>
              </w:rPr>
              <w:t>10~15 dB（A）</w:t>
            </w:r>
          </w:p>
        </w:tc>
        <w:tc>
          <w:tcPr>
            <w:tcW w:w="1701" w:type="dxa"/>
            <w:vAlign w:val="center"/>
          </w:tcPr>
          <w:p>
            <w:pPr>
              <w:pStyle w:val="49"/>
              <w:rPr>
                <w:rFonts w:cs="Times New Roman" w:eastAsiaTheme="minorEastAsia"/>
                <w:kern w:val="0"/>
              </w:rPr>
            </w:pPr>
            <w:r>
              <w:rPr>
                <w:rFonts w:hint="eastAsia" w:cs="Times New Roman" w:eastAsiaTheme="minorEastAsia"/>
                <w:kern w:val="0"/>
              </w:rPr>
              <w:t>70</w:t>
            </w:r>
          </w:p>
        </w:tc>
        <w:tc>
          <w:tcPr>
            <w:tcW w:w="1127" w:type="dxa"/>
            <w:vAlign w:val="center"/>
          </w:tcPr>
          <w:p>
            <w:pPr>
              <w:pStyle w:val="49"/>
              <w:rPr>
                <w:rFonts w:eastAsia="TimesNewRomanPSMT" w:cs="Times New Roman"/>
                <w:kern w:val="0"/>
              </w:rPr>
            </w:pPr>
            <w:r>
              <w:rPr>
                <w:rFonts w:hint="eastAsia" w:ascii="宋体" w:cs="宋体"/>
                <w:kern w:val="0"/>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2</w:t>
            </w:r>
          </w:p>
        </w:tc>
        <w:tc>
          <w:tcPr>
            <w:tcW w:w="1137" w:type="dxa"/>
            <w:vAlign w:val="center"/>
          </w:tcPr>
          <w:p>
            <w:pPr>
              <w:pStyle w:val="49"/>
              <w:rPr>
                <w:rFonts w:cs="Times New Roman"/>
              </w:rPr>
            </w:pPr>
            <w:r>
              <w:rPr>
                <w:rFonts w:hint="eastAsia" w:cs="Times New Roman"/>
              </w:rPr>
              <w:t>冷库</w:t>
            </w:r>
          </w:p>
        </w:tc>
        <w:tc>
          <w:tcPr>
            <w:tcW w:w="1134" w:type="dxa"/>
            <w:vAlign w:val="center"/>
          </w:tcPr>
          <w:p>
            <w:pPr>
              <w:pStyle w:val="49"/>
              <w:rPr>
                <w:rFonts w:cs="Times New Roman"/>
              </w:rPr>
            </w:pPr>
            <w:r>
              <w:rPr>
                <w:rFonts w:hint="eastAsia" w:cs="Times New Roman"/>
              </w:rPr>
              <w:t>压缩机</w:t>
            </w:r>
          </w:p>
        </w:tc>
        <w:tc>
          <w:tcPr>
            <w:tcW w:w="992" w:type="dxa"/>
            <w:vAlign w:val="center"/>
          </w:tcPr>
          <w:p>
            <w:pPr>
              <w:pStyle w:val="49"/>
              <w:rPr>
                <w:rFonts w:cs="Times New Roman"/>
              </w:rPr>
            </w:pPr>
            <w:r>
              <w:rPr>
                <w:rFonts w:hint="eastAsia" w:cs="Times New Roman"/>
              </w:rPr>
              <w:t>70</w:t>
            </w:r>
            <w:r>
              <w:rPr>
                <w:rFonts w:cs="Times New Roman"/>
              </w:rPr>
              <w:t>~</w:t>
            </w:r>
            <w:r>
              <w:rPr>
                <w:rFonts w:hint="eastAsia" w:cs="Times New Roman"/>
              </w:rPr>
              <w:t>85</w:t>
            </w:r>
          </w:p>
        </w:tc>
        <w:tc>
          <w:tcPr>
            <w:tcW w:w="1843" w:type="dxa"/>
            <w:vAlign w:val="center"/>
          </w:tcPr>
          <w:p>
            <w:pPr>
              <w:pStyle w:val="49"/>
              <w:rPr>
                <w:rFonts w:cs="Times New Roman"/>
              </w:rPr>
            </w:pPr>
            <w:r>
              <w:rPr>
                <w:rFonts w:hint="eastAsia" w:cs="Times New Roman"/>
              </w:rPr>
              <w:t>隔声、减震</w:t>
            </w:r>
          </w:p>
        </w:tc>
        <w:tc>
          <w:tcPr>
            <w:tcW w:w="708" w:type="dxa"/>
            <w:vMerge w:val="continue"/>
            <w:vAlign w:val="center"/>
          </w:tcPr>
          <w:p>
            <w:pPr>
              <w:pStyle w:val="49"/>
              <w:rPr>
                <w:rFonts w:eastAsia="TimesNewRomanPSMT" w:cs="Times New Roman"/>
                <w:kern w:val="0"/>
              </w:rPr>
            </w:pPr>
          </w:p>
        </w:tc>
        <w:tc>
          <w:tcPr>
            <w:tcW w:w="1701" w:type="dxa"/>
            <w:vAlign w:val="center"/>
          </w:tcPr>
          <w:p>
            <w:pPr>
              <w:pStyle w:val="49"/>
              <w:rPr>
                <w:rFonts w:cs="Times New Roman" w:eastAsiaTheme="minorEastAsia"/>
                <w:kern w:val="0"/>
              </w:rPr>
            </w:pPr>
            <w:r>
              <w:rPr>
                <w:rFonts w:hint="eastAsia" w:cs="Times New Roman" w:eastAsiaTheme="minorEastAsia"/>
                <w:kern w:val="0"/>
              </w:rPr>
              <w:t>75</w:t>
            </w:r>
          </w:p>
        </w:tc>
        <w:tc>
          <w:tcPr>
            <w:tcW w:w="1127" w:type="dxa"/>
            <w:vAlign w:val="center"/>
          </w:tcPr>
          <w:p>
            <w:pPr>
              <w:pStyle w:val="49"/>
              <w:rPr>
                <w:rFonts w:eastAsia="TimesNewRomanPSMT" w:cs="Times New Roman"/>
                <w:kern w:val="0"/>
              </w:rPr>
            </w:pPr>
            <w:r>
              <w:rPr>
                <w:rFonts w:hint="eastAsia" w:ascii="宋体" w:cs="宋体"/>
                <w:kern w:val="0"/>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3</w:t>
            </w:r>
          </w:p>
        </w:tc>
        <w:tc>
          <w:tcPr>
            <w:tcW w:w="1137" w:type="dxa"/>
            <w:vAlign w:val="center"/>
          </w:tcPr>
          <w:p>
            <w:pPr>
              <w:pStyle w:val="49"/>
              <w:rPr>
                <w:rFonts w:cs="Times New Roman"/>
              </w:rPr>
            </w:pPr>
            <w:r>
              <w:rPr>
                <w:rFonts w:hint="eastAsia" w:cs="Times New Roman"/>
              </w:rPr>
              <w:t>粪污处理区</w:t>
            </w:r>
          </w:p>
        </w:tc>
        <w:tc>
          <w:tcPr>
            <w:tcW w:w="1134" w:type="dxa"/>
            <w:vAlign w:val="center"/>
          </w:tcPr>
          <w:p>
            <w:pPr>
              <w:pStyle w:val="49"/>
              <w:rPr>
                <w:rFonts w:cs="Times New Roman"/>
              </w:rPr>
            </w:pPr>
            <w:r>
              <w:rPr>
                <w:rFonts w:hint="eastAsia" w:cs="Times New Roman"/>
              </w:rPr>
              <w:t>水泵</w:t>
            </w:r>
          </w:p>
        </w:tc>
        <w:tc>
          <w:tcPr>
            <w:tcW w:w="992" w:type="dxa"/>
            <w:vAlign w:val="center"/>
          </w:tcPr>
          <w:p>
            <w:pPr>
              <w:pStyle w:val="49"/>
              <w:rPr>
                <w:rFonts w:cs="Times New Roman"/>
              </w:rPr>
            </w:pPr>
            <w:r>
              <w:rPr>
                <w:rFonts w:hint="eastAsia" w:cs="Times New Roman"/>
              </w:rPr>
              <w:t>65</w:t>
            </w:r>
            <w:r>
              <w:rPr>
                <w:rFonts w:cs="Times New Roman"/>
              </w:rPr>
              <w:t>~</w:t>
            </w:r>
            <w:r>
              <w:rPr>
                <w:rFonts w:hint="eastAsia" w:cs="Times New Roman"/>
              </w:rPr>
              <w:t>75</w:t>
            </w:r>
          </w:p>
        </w:tc>
        <w:tc>
          <w:tcPr>
            <w:tcW w:w="1843" w:type="dxa"/>
            <w:vAlign w:val="center"/>
          </w:tcPr>
          <w:p>
            <w:pPr>
              <w:pStyle w:val="49"/>
              <w:rPr>
                <w:rFonts w:cs="Times New Roman"/>
              </w:rPr>
            </w:pPr>
            <w:r>
              <w:rPr>
                <w:rFonts w:hint="eastAsia" w:cs="Times New Roman"/>
              </w:rPr>
              <w:t>隔声、减震</w:t>
            </w:r>
          </w:p>
        </w:tc>
        <w:tc>
          <w:tcPr>
            <w:tcW w:w="708" w:type="dxa"/>
            <w:vMerge w:val="continue"/>
            <w:vAlign w:val="center"/>
          </w:tcPr>
          <w:p>
            <w:pPr>
              <w:pStyle w:val="49"/>
              <w:rPr>
                <w:rFonts w:eastAsia="TimesNewRomanPSMT" w:cs="Times New Roman"/>
                <w:kern w:val="0"/>
              </w:rPr>
            </w:pPr>
          </w:p>
        </w:tc>
        <w:tc>
          <w:tcPr>
            <w:tcW w:w="1701" w:type="dxa"/>
            <w:vAlign w:val="center"/>
          </w:tcPr>
          <w:p>
            <w:pPr>
              <w:pStyle w:val="49"/>
              <w:rPr>
                <w:rFonts w:cs="Times New Roman" w:eastAsiaTheme="minorEastAsia"/>
                <w:kern w:val="0"/>
              </w:rPr>
            </w:pPr>
            <w:r>
              <w:rPr>
                <w:rFonts w:hint="eastAsia" w:cs="Times New Roman" w:eastAsiaTheme="minorEastAsia"/>
                <w:kern w:val="0"/>
              </w:rPr>
              <w:t>65</w:t>
            </w:r>
          </w:p>
        </w:tc>
        <w:tc>
          <w:tcPr>
            <w:tcW w:w="1127" w:type="dxa"/>
            <w:vAlign w:val="center"/>
          </w:tcPr>
          <w:p>
            <w:pPr>
              <w:pStyle w:val="49"/>
              <w:rPr>
                <w:rFonts w:eastAsia="TimesNewRomanPSMT" w:cs="Times New Roman"/>
                <w:kern w:val="0"/>
              </w:rPr>
            </w:pPr>
            <w:r>
              <w:rPr>
                <w:rFonts w:hint="eastAsia" w:ascii="宋体" w:cs="宋体"/>
                <w:kern w:val="0"/>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4</w:t>
            </w:r>
          </w:p>
        </w:tc>
        <w:tc>
          <w:tcPr>
            <w:tcW w:w="1137" w:type="dxa"/>
            <w:vAlign w:val="center"/>
          </w:tcPr>
          <w:p>
            <w:pPr>
              <w:pStyle w:val="49"/>
              <w:rPr>
                <w:rFonts w:cs="Times New Roman"/>
              </w:rPr>
            </w:pPr>
            <w:r>
              <w:rPr>
                <w:rFonts w:hint="eastAsia" w:cs="Times New Roman"/>
              </w:rPr>
              <w:t>锅炉房</w:t>
            </w:r>
          </w:p>
        </w:tc>
        <w:tc>
          <w:tcPr>
            <w:tcW w:w="1134" w:type="dxa"/>
            <w:vAlign w:val="center"/>
          </w:tcPr>
          <w:p>
            <w:pPr>
              <w:pStyle w:val="49"/>
              <w:rPr>
                <w:rFonts w:cs="Times New Roman"/>
              </w:rPr>
            </w:pPr>
            <w:r>
              <w:rPr>
                <w:rFonts w:hint="eastAsia" w:cs="Times New Roman"/>
              </w:rPr>
              <w:t>锅炉</w:t>
            </w:r>
          </w:p>
        </w:tc>
        <w:tc>
          <w:tcPr>
            <w:tcW w:w="992" w:type="dxa"/>
            <w:vAlign w:val="center"/>
          </w:tcPr>
          <w:p>
            <w:pPr>
              <w:pStyle w:val="49"/>
              <w:rPr>
                <w:rFonts w:cs="Times New Roman"/>
              </w:rPr>
            </w:pPr>
            <w:r>
              <w:rPr>
                <w:rFonts w:hint="eastAsia" w:cs="Times New Roman"/>
              </w:rPr>
              <w:t>65</w:t>
            </w:r>
            <w:r>
              <w:rPr>
                <w:rFonts w:cs="Times New Roman"/>
              </w:rPr>
              <w:t>~</w:t>
            </w:r>
            <w:r>
              <w:rPr>
                <w:rFonts w:hint="eastAsia" w:cs="Times New Roman"/>
              </w:rPr>
              <w:t>75</w:t>
            </w:r>
          </w:p>
        </w:tc>
        <w:tc>
          <w:tcPr>
            <w:tcW w:w="1843" w:type="dxa"/>
            <w:vAlign w:val="center"/>
          </w:tcPr>
          <w:p>
            <w:pPr>
              <w:pStyle w:val="49"/>
              <w:rPr>
                <w:rFonts w:cs="Times New Roman"/>
              </w:rPr>
            </w:pPr>
            <w:r>
              <w:rPr>
                <w:rFonts w:hint="eastAsia" w:cs="Times New Roman"/>
              </w:rPr>
              <w:t>隔声</w:t>
            </w:r>
          </w:p>
        </w:tc>
        <w:tc>
          <w:tcPr>
            <w:tcW w:w="708" w:type="dxa"/>
            <w:vMerge w:val="continue"/>
            <w:vAlign w:val="center"/>
          </w:tcPr>
          <w:p>
            <w:pPr>
              <w:pStyle w:val="49"/>
              <w:rPr>
                <w:rFonts w:eastAsia="TimesNewRomanPSMT" w:cs="Times New Roman"/>
                <w:kern w:val="0"/>
              </w:rPr>
            </w:pPr>
          </w:p>
        </w:tc>
        <w:tc>
          <w:tcPr>
            <w:tcW w:w="1701" w:type="dxa"/>
            <w:vAlign w:val="center"/>
          </w:tcPr>
          <w:p>
            <w:pPr>
              <w:pStyle w:val="49"/>
              <w:rPr>
                <w:rFonts w:cs="Times New Roman" w:eastAsiaTheme="minorEastAsia"/>
                <w:kern w:val="0"/>
              </w:rPr>
            </w:pPr>
            <w:r>
              <w:rPr>
                <w:rFonts w:hint="eastAsia" w:cs="Times New Roman" w:eastAsiaTheme="minorEastAsia"/>
                <w:kern w:val="0"/>
              </w:rPr>
              <w:t>65</w:t>
            </w:r>
          </w:p>
        </w:tc>
        <w:tc>
          <w:tcPr>
            <w:tcW w:w="1127" w:type="dxa"/>
            <w:vAlign w:val="center"/>
          </w:tcPr>
          <w:p>
            <w:pPr>
              <w:pStyle w:val="49"/>
              <w:rPr>
                <w:rFonts w:eastAsia="TimesNewRomanPSMT" w:cs="Times New Roman"/>
                <w:kern w:val="0"/>
              </w:rPr>
            </w:pPr>
            <w:r>
              <w:rPr>
                <w:rFonts w:hint="eastAsia" w:ascii="宋体" w:cs="宋体"/>
                <w:kern w:val="0"/>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5</w:t>
            </w:r>
          </w:p>
        </w:tc>
        <w:tc>
          <w:tcPr>
            <w:tcW w:w="1137" w:type="dxa"/>
            <w:vAlign w:val="center"/>
          </w:tcPr>
          <w:p>
            <w:pPr>
              <w:pStyle w:val="49"/>
              <w:rPr>
                <w:rFonts w:cs="Times New Roman"/>
              </w:rPr>
            </w:pPr>
            <w:r>
              <w:rPr>
                <w:rFonts w:hint="eastAsia" w:cs="Times New Roman"/>
              </w:rPr>
              <w:t>待宰车间</w:t>
            </w:r>
          </w:p>
        </w:tc>
        <w:tc>
          <w:tcPr>
            <w:tcW w:w="1134" w:type="dxa"/>
            <w:vAlign w:val="center"/>
          </w:tcPr>
          <w:p>
            <w:pPr>
              <w:pStyle w:val="49"/>
              <w:rPr>
                <w:rFonts w:cs="Times New Roman"/>
              </w:rPr>
            </w:pPr>
            <w:r>
              <w:rPr>
                <w:rFonts w:hint="eastAsia" w:cs="Times New Roman"/>
              </w:rPr>
              <w:t>牛、鸡鸭叫声</w:t>
            </w:r>
          </w:p>
        </w:tc>
        <w:tc>
          <w:tcPr>
            <w:tcW w:w="992" w:type="dxa"/>
            <w:vAlign w:val="center"/>
          </w:tcPr>
          <w:p>
            <w:pPr>
              <w:pStyle w:val="49"/>
              <w:rPr>
                <w:rFonts w:cs="Times New Roman"/>
              </w:rPr>
            </w:pPr>
            <w:r>
              <w:rPr>
                <w:rFonts w:hint="eastAsia" w:cs="Times New Roman"/>
              </w:rPr>
              <w:t>峰值85</w:t>
            </w:r>
          </w:p>
        </w:tc>
        <w:tc>
          <w:tcPr>
            <w:tcW w:w="1843" w:type="dxa"/>
            <w:vAlign w:val="center"/>
          </w:tcPr>
          <w:p>
            <w:pPr>
              <w:pStyle w:val="49"/>
              <w:rPr>
                <w:rFonts w:cs="Times New Roman"/>
              </w:rPr>
            </w:pPr>
            <w:r>
              <w:rPr>
                <w:rFonts w:hint="eastAsia" w:cs="Times New Roman"/>
              </w:rPr>
              <w:t>隔声、喂水管理</w:t>
            </w:r>
          </w:p>
        </w:tc>
        <w:tc>
          <w:tcPr>
            <w:tcW w:w="708" w:type="dxa"/>
            <w:vMerge w:val="continue"/>
            <w:vAlign w:val="center"/>
          </w:tcPr>
          <w:p>
            <w:pPr>
              <w:pStyle w:val="49"/>
              <w:rPr>
                <w:rFonts w:eastAsia="TimesNewRomanPSMT" w:cs="Times New Roman"/>
                <w:kern w:val="0"/>
              </w:rPr>
            </w:pPr>
          </w:p>
        </w:tc>
        <w:tc>
          <w:tcPr>
            <w:tcW w:w="1701" w:type="dxa"/>
            <w:vAlign w:val="center"/>
          </w:tcPr>
          <w:p>
            <w:pPr>
              <w:pStyle w:val="49"/>
              <w:rPr>
                <w:rFonts w:cs="Times New Roman" w:eastAsiaTheme="minorEastAsia"/>
                <w:kern w:val="0"/>
              </w:rPr>
            </w:pPr>
            <w:r>
              <w:rPr>
                <w:rFonts w:hint="eastAsia" w:cs="Times New Roman" w:eastAsiaTheme="minorEastAsia"/>
                <w:kern w:val="0"/>
              </w:rPr>
              <w:t>75</w:t>
            </w:r>
          </w:p>
        </w:tc>
        <w:tc>
          <w:tcPr>
            <w:tcW w:w="1127" w:type="dxa"/>
            <w:vAlign w:val="center"/>
          </w:tcPr>
          <w:p>
            <w:pPr>
              <w:pStyle w:val="49"/>
              <w:rPr>
                <w:rFonts w:eastAsia="TimesNewRomanPSMT" w:cs="Times New Roman"/>
                <w:kern w:val="0"/>
              </w:rPr>
            </w:pPr>
            <w:r>
              <w:rPr>
                <w:rFonts w:hint="eastAsia" w:ascii="宋体" w:cs="宋体" w:eastAsiaTheme="minorEastAsia"/>
                <w:kern w:val="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vAlign w:val="center"/>
          </w:tcPr>
          <w:p>
            <w:pPr>
              <w:pStyle w:val="49"/>
              <w:rPr>
                <w:rFonts w:cs="Times New Roman"/>
              </w:rPr>
            </w:pPr>
            <w:r>
              <w:rPr>
                <w:rFonts w:hint="eastAsia" w:cs="Times New Roman"/>
              </w:rPr>
              <w:t>6</w:t>
            </w:r>
          </w:p>
        </w:tc>
        <w:tc>
          <w:tcPr>
            <w:tcW w:w="2271" w:type="dxa"/>
            <w:gridSpan w:val="2"/>
            <w:vAlign w:val="center"/>
          </w:tcPr>
          <w:p>
            <w:pPr>
              <w:pStyle w:val="49"/>
              <w:rPr>
                <w:rFonts w:cs="Times New Roman"/>
              </w:rPr>
            </w:pPr>
            <w:r>
              <w:rPr>
                <w:rFonts w:hint="eastAsia" w:cs="Times New Roman"/>
              </w:rPr>
              <w:t>运输车辆</w:t>
            </w:r>
          </w:p>
        </w:tc>
        <w:tc>
          <w:tcPr>
            <w:tcW w:w="992" w:type="dxa"/>
            <w:vAlign w:val="center"/>
          </w:tcPr>
          <w:p>
            <w:pPr>
              <w:pStyle w:val="49"/>
              <w:rPr>
                <w:rFonts w:cs="Times New Roman"/>
              </w:rPr>
            </w:pPr>
            <w:r>
              <w:rPr>
                <w:rFonts w:cs="Times New Roman"/>
              </w:rPr>
              <w:t>70~80</w:t>
            </w:r>
          </w:p>
        </w:tc>
        <w:tc>
          <w:tcPr>
            <w:tcW w:w="1843" w:type="dxa"/>
            <w:vAlign w:val="center"/>
          </w:tcPr>
          <w:p>
            <w:pPr>
              <w:pStyle w:val="49"/>
              <w:rPr>
                <w:rFonts w:cs="Times New Roman"/>
              </w:rPr>
            </w:pPr>
            <w:r>
              <w:rPr>
                <w:rFonts w:hint="eastAsia" w:cs="Times New Roman"/>
              </w:rPr>
              <w:t>加强管理、加强绿化</w:t>
            </w:r>
          </w:p>
        </w:tc>
        <w:tc>
          <w:tcPr>
            <w:tcW w:w="708" w:type="dxa"/>
            <w:vMerge w:val="continue"/>
            <w:vAlign w:val="center"/>
          </w:tcPr>
          <w:p>
            <w:pPr>
              <w:pStyle w:val="49"/>
              <w:rPr>
                <w:rFonts w:eastAsia="TimesNewRomanPSMT" w:cs="Times New Roman"/>
                <w:kern w:val="0"/>
              </w:rPr>
            </w:pPr>
          </w:p>
        </w:tc>
        <w:tc>
          <w:tcPr>
            <w:tcW w:w="1701" w:type="dxa"/>
            <w:vAlign w:val="center"/>
          </w:tcPr>
          <w:p>
            <w:pPr>
              <w:pStyle w:val="49"/>
              <w:rPr>
                <w:rFonts w:cs="Times New Roman" w:eastAsiaTheme="minorEastAsia"/>
                <w:kern w:val="0"/>
              </w:rPr>
            </w:pPr>
            <w:r>
              <w:rPr>
                <w:rFonts w:hint="eastAsia" w:cs="Times New Roman" w:eastAsiaTheme="minorEastAsia"/>
                <w:kern w:val="0"/>
              </w:rPr>
              <w:t>70</w:t>
            </w:r>
          </w:p>
        </w:tc>
        <w:tc>
          <w:tcPr>
            <w:tcW w:w="1127" w:type="dxa"/>
            <w:vAlign w:val="center"/>
          </w:tcPr>
          <w:p>
            <w:pPr>
              <w:pStyle w:val="49"/>
              <w:rPr>
                <w:rFonts w:cs="Times New Roman" w:eastAsiaTheme="minorEastAsia"/>
                <w:kern w:val="0"/>
              </w:rPr>
            </w:pPr>
            <w:r>
              <w:rPr>
                <w:rFonts w:hint="eastAsia" w:ascii="宋体" w:cs="宋体" w:eastAsiaTheme="minorEastAsia"/>
                <w:kern w:val="0"/>
              </w:rPr>
              <w:t>间断</w:t>
            </w:r>
          </w:p>
        </w:tc>
      </w:tr>
    </w:tbl>
    <w:p>
      <w:pPr>
        <w:pStyle w:val="3"/>
        <w:ind w:firstLine="480"/>
        <w:rPr>
          <w:rFonts w:cs="Times New Roman"/>
          <w:kern w:val="0"/>
        </w:rPr>
      </w:pPr>
      <w:r>
        <w:rPr>
          <w:rFonts w:hint="eastAsia" w:cs="Times New Roman"/>
          <w:kern w:val="0"/>
        </w:rPr>
        <w:t>畜禽叫声及噪声设备均属室内噪声源，经墙体隔音等可降噪20</w:t>
      </w:r>
      <w:r>
        <w:rPr>
          <w:rFonts w:cs="Times New Roman"/>
          <w:kern w:val="0"/>
        </w:rPr>
        <w:t xml:space="preserve"> dB</w:t>
      </w:r>
      <w:r>
        <w:rPr>
          <w:rFonts w:hint="eastAsia" w:cs="Times New Roman"/>
          <w:kern w:val="0"/>
        </w:rPr>
        <w:t>（</w:t>
      </w:r>
      <w:r>
        <w:rPr>
          <w:rFonts w:cs="Times New Roman"/>
          <w:kern w:val="0"/>
        </w:rPr>
        <w:t>A</w:t>
      </w:r>
      <w:r>
        <w:rPr>
          <w:rFonts w:hint="eastAsia" w:cs="Times New Roman"/>
          <w:kern w:val="0"/>
        </w:rPr>
        <w:t>），车辆运输噪声可经过加强车辆管理、加强绿化等降低对外环境的影响。</w:t>
      </w:r>
    </w:p>
    <w:p>
      <w:pPr>
        <w:pStyle w:val="3"/>
        <w:ind w:firstLine="0" w:firstLineChars="0"/>
        <w:outlineLvl w:val="2"/>
      </w:pPr>
      <w:r>
        <w:rPr>
          <w:rFonts w:hint="eastAsia"/>
        </w:rPr>
        <w:t>4.2.6</w:t>
      </w:r>
      <w:r>
        <w:rPr>
          <w:rFonts w:hint="eastAsia"/>
        </w:rPr>
        <w:tab/>
      </w:r>
      <w:r>
        <w:rPr>
          <w:rFonts w:hint="eastAsia" w:eastAsia="黑体" w:cstheme="majorBidi"/>
          <w:bCs/>
          <w:szCs w:val="32"/>
        </w:rPr>
        <w:t>固体废物污染源强分析</w:t>
      </w:r>
    </w:p>
    <w:p>
      <w:pPr>
        <w:pStyle w:val="3"/>
        <w:ind w:firstLine="480"/>
        <w:rPr>
          <w:rFonts w:cs="Times New Roman"/>
          <w:color w:val="FF0000"/>
          <w:kern w:val="0"/>
          <w:u w:val="single"/>
        </w:rPr>
      </w:pPr>
      <w:r>
        <w:rPr>
          <w:rFonts w:hint="eastAsia" w:cs="Times New Roman"/>
          <w:color w:val="FF0000"/>
          <w:kern w:val="0"/>
          <w:u w:val="single"/>
        </w:rPr>
        <w:t>根据《建设项目危险废物环境影响评价指南》（环保部公告，</w:t>
      </w:r>
      <w:r>
        <w:rPr>
          <w:rFonts w:cs="Times New Roman"/>
          <w:color w:val="FF0000"/>
          <w:kern w:val="0"/>
          <w:u w:val="single"/>
        </w:rPr>
        <w:t xml:space="preserve">2017 </w:t>
      </w:r>
      <w:r>
        <w:rPr>
          <w:rFonts w:hint="eastAsia" w:cs="Times New Roman"/>
          <w:color w:val="FF0000"/>
          <w:kern w:val="0"/>
          <w:u w:val="single"/>
        </w:rPr>
        <w:t>年第</w:t>
      </w:r>
      <w:r>
        <w:rPr>
          <w:rFonts w:cs="Times New Roman"/>
          <w:color w:val="FF0000"/>
          <w:kern w:val="0"/>
          <w:u w:val="single"/>
        </w:rPr>
        <w:t xml:space="preserve">43 </w:t>
      </w:r>
      <w:r>
        <w:rPr>
          <w:rFonts w:hint="eastAsia" w:cs="Times New Roman"/>
          <w:color w:val="FF0000"/>
          <w:kern w:val="0"/>
          <w:u w:val="single"/>
        </w:rPr>
        <w:t>号）以及对照《国家危险废物名录（</w:t>
      </w:r>
      <w:r>
        <w:rPr>
          <w:rFonts w:cs="Times New Roman"/>
          <w:color w:val="FF0000"/>
          <w:kern w:val="0"/>
          <w:u w:val="single"/>
        </w:rPr>
        <w:t xml:space="preserve">2021 </w:t>
      </w:r>
      <w:r>
        <w:rPr>
          <w:rFonts w:hint="eastAsia" w:cs="Times New Roman"/>
          <w:color w:val="FF0000"/>
          <w:kern w:val="0"/>
          <w:u w:val="single"/>
        </w:rPr>
        <w:t>年版）》、《一般固体废物分类与代码》（</w:t>
      </w:r>
      <w:r>
        <w:rPr>
          <w:rFonts w:cs="Times New Roman"/>
          <w:color w:val="FF0000"/>
          <w:kern w:val="0"/>
          <w:u w:val="single"/>
        </w:rPr>
        <w:t>GB/T39198-2020</w:t>
      </w:r>
      <w:r>
        <w:rPr>
          <w:rFonts w:hint="eastAsia" w:cs="Times New Roman"/>
          <w:color w:val="FF0000"/>
          <w:kern w:val="0"/>
          <w:u w:val="single"/>
        </w:rPr>
        <w:t>），结合工程分析，本项目产生的固废详见如下。</w:t>
      </w:r>
    </w:p>
    <w:p>
      <w:pPr>
        <w:pStyle w:val="3"/>
        <w:ind w:firstLine="480"/>
        <w:rPr>
          <w:rFonts w:cs="Times New Roman"/>
          <w:color w:val="FF0000"/>
          <w:kern w:val="0"/>
          <w:u w:val="single"/>
        </w:rPr>
      </w:pPr>
      <w:r>
        <w:rPr>
          <w:rFonts w:hint="eastAsia" w:cs="Times New Roman"/>
          <w:color w:val="FF0000"/>
          <w:kern w:val="0"/>
          <w:u w:val="single"/>
        </w:rPr>
        <w:t>1、一般固体废物</w:t>
      </w:r>
    </w:p>
    <w:p>
      <w:pPr>
        <w:pStyle w:val="3"/>
        <w:ind w:firstLine="480"/>
        <w:rPr>
          <w:rFonts w:cs="Times New Roman"/>
          <w:color w:val="FF0000"/>
          <w:kern w:val="0"/>
          <w:u w:val="single"/>
        </w:rPr>
      </w:pPr>
      <w:r>
        <w:rPr>
          <w:rFonts w:hint="eastAsia" w:cs="Times New Roman"/>
          <w:color w:val="FF0000"/>
          <w:kern w:val="0"/>
          <w:u w:val="single"/>
        </w:rPr>
        <w:t>（1）不合格家禽</w:t>
      </w:r>
    </w:p>
    <w:p>
      <w:pPr>
        <w:pStyle w:val="3"/>
        <w:ind w:firstLine="480"/>
        <w:rPr>
          <w:rFonts w:cs="Times New Roman"/>
          <w:color w:val="FF0000"/>
          <w:kern w:val="0"/>
          <w:u w:val="single"/>
        </w:rPr>
      </w:pPr>
      <w:r>
        <w:rPr>
          <w:rFonts w:hint="eastAsia" w:cs="Times New Roman"/>
          <w:color w:val="FF0000"/>
          <w:kern w:val="0"/>
          <w:u w:val="single"/>
        </w:rPr>
        <w:t>根据建设单位提供的经验数据，同时调查同类型项目，正常情况下检验工序产生的死鸡、死鸭，一般是运输过程挤压致死。通过调查多家畜禽屠宰企业，发现一般情况下，在运输过程中挤压致死的鸡、鸭或者检验不合格的鸡、鸭的总产生量一般占运输量的万分之一左右，本次环评按活屠重的万分之一计，则本项目产生的死鸡、鸭的量为2.125</w:t>
      </w:r>
      <w:r>
        <w:rPr>
          <w:rFonts w:cs="Times New Roman"/>
          <w:color w:val="FF0000"/>
          <w:kern w:val="0"/>
          <w:u w:val="single"/>
        </w:rPr>
        <w:t>t/a</w:t>
      </w:r>
      <w:r>
        <w:rPr>
          <w:rFonts w:hint="eastAsia" w:cs="Times New Roman"/>
          <w:color w:val="FF0000"/>
          <w:kern w:val="0"/>
          <w:u w:val="single"/>
        </w:rPr>
        <w:t>。</w:t>
      </w:r>
    </w:p>
    <w:p>
      <w:pPr>
        <w:pStyle w:val="3"/>
        <w:ind w:firstLine="480"/>
        <w:rPr>
          <w:rFonts w:ascii="宋体" w:hAnsi="宋体" w:cs="宋体"/>
          <w:color w:val="FF0000"/>
          <w:kern w:val="0"/>
          <w:szCs w:val="24"/>
          <w:u w:val="single"/>
        </w:rPr>
      </w:pPr>
      <w:r>
        <w:rPr>
          <w:rFonts w:hint="eastAsia" w:cs="Times New Roman"/>
          <w:color w:val="FF0000"/>
          <w:kern w:val="0"/>
          <w:u w:val="single"/>
        </w:rPr>
        <w:t>（2）</w:t>
      </w:r>
      <w:r>
        <w:rPr>
          <w:rFonts w:hint="eastAsia" w:ascii="宋体" w:hAnsi="宋体" w:cs="宋体"/>
          <w:color w:val="FF0000"/>
          <w:kern w:val="0"/>
          <w:szCs w:val="24"/>
          <w:u w:val="single"/>
        </w:rPr>
        <w:t>病死牛</w:t>
      </w:r>
    </w:p>
    <w:p>
      <w:pPr>
        <w:pStyle w:val="3"/>
        <w:ind w:firstLine="480"/>
        <w:rPr>
          <w:rFonts w:cs="Times New Roman"/>
          <w:color w:val="FF0000"/>
          <w:kern w:val="0"/>
          <w:u w:val="single"/>
        </w:rPr>
      </w:pPr>
      <w:r>
        <w:rPr>
          <w:rFonts w:hint="eastAsia" w:cs="Times New Roman"/>
          <w:color w:val="FF0000"/>
          <w:kern w:val="0"/>
          <w:u w:val="single"/>
        </w:rPr>
        <w:t>本项目所有牛均检疫合格后再运输至屠宰厂，每年急宰的极少，根据建设单位提供的经验数据，急宰牛预计为</w:t>
      </w:r>
      <w:r>
        <w:rPr>
          <w:rFonts w:cs="Times New Roman"/>
          <w:color w:val="FF0000"/>
          <w:kern w:val="0"/>
          <w:u w:val="single"/>
        </w:rPr>
        <w:t xml:space="preserve">1 </w:t>
      </w:r>
      <w:r>
        <w:rPr>
          <w:rFonts w:hint="eastAsia" w:cs="Times New Roman"/>
          <w:color w:val="FF0000"/>
          <w:kern w:val="0"/>
          <w:u w:val="single"/>
        </w:rPr>
        <w:t>头</w:t>
      </w:r>
      <w:r>
        <w:rPr>
          <w:rFonts w:cs="Times New Roman"/>
          <w:color w:val="FF0000"/>
          <w:kern w:val="0"/>
          <w:u w:val="single"/>
        </w:rPr>
        <w:t>/a</w:t>
      </w:r>
      <w:r>
        <w:rPr>
          <w:rFonts w:hint="eastAsia" w:cs="Times New Roman"/>
          <w:color w:val="FF0000"/>
          <w:kern w:val="0"/>
          <w:u w:val="single"/>
        </w:rPr>
        <w:t>，即</w:t>
      </w:r>
      <w:r>
        <w:rPr>
          <w:rFonts w:cs="Times New Roman"/>
          <w:color w:val="FF0000"/>
          <w:kern w:val="0"/>
          <w:u w:val="single"/>
        </w:rPr>
        <w:t>0.5t/a</w:t>
      </w:r>
      <w:r>
        <w:rPr>
          <w:rFonts w:hint="eastAsia" w:cs="Times New Roman"/>
          <w:color w:val="FF0000"/>
          <w:kern w:val="0"/>
          <w:u w:val="single"/>
        </w:rPr>
        <w:t>。病死牛急宰后冷柜贮存，交由有资质的集中病死畜禽无害化处理中心收集处理。</w:t>
      </w:r>
    </w:p>
    <w:p>
      <w:pPr>
        <w:pStyle w:val="3"/>
        <w:ind w:firstLine="480"/>
        <w:rPr>
          <w:rFonts w:cs="Times New Roman"/>
          <w:color w:val="FF0000"/>
          <w:kern w:val="0"/>
          <w:u w:val="single"/>
        </w:rPr>
      </w:pPr>
      <w:r>
        <w:rPr>
          <w:rFonts w:hint="eastAsia" w:cs="Times New Roman"/>
          <w:color w:val="FF0000"/>
          <w:kern w:val="0"/>
          <w:u w:val="single"/>
        </w:rPr>
        <w:t>（3）粪便</w:t>
      </w:r>
    </w:p>
    <w:p>
      <w:pPr>
        <w:pStyle w:val="3"/>
        <w:ind w:firstLine="480"/>
        <w:rPr>
          <w:rFonts w:cs="Times New Roman"/>
          <w:color w:val="FF0000"/>
          <w:kern w:val="0"/>
          <w:u w:val="single"/>
        </w:rPr>
      </w:pPr>
      <w:r>
        <w:rPr>
          <w:rFonts w:hint="eastAsia" w:cs="Times New Roman"/>
          <w:color w:val="FF0000"/>
          <w:kern w:val="0"/>
          <w:u w:val="single"/>
        </w:rPr>
        <w:t>根据“章节4.2.2.1物料平衡”可知，本项目粪便产生量为2998.33</w:t>
      </w:r>
      <w:r>
        <w:rPr>
          <w:rFonts w:cs="Times New Roman"/>
          <w:color w:val="FF0000"/>
          <w:kern w:val="0"/>
          <w:u w:val="single"/>
        </w:rPr>
        <w:t>kg/d</w:t>
      </w:r>
      <w:r>
        <w:rPr>
          <w:rFonts w:hint="eastAsia" w:cs="Times New Roman"/>
          <w:color w:val="FF0000"/>
          <w:kern w:val="0"/>
          <w:u w:val="single"/>
        </w:rPr>
        <w:t>，合899.5</w:t>
      </w:r>
      <w:r>
        <w:rPr>
          <w:rFonts w:cs="Times New Roman"/>
          <w:color w:val="FF0000"/>
          <w:kern w:val="0"/>
          <w:u w:val="single"/>
        </w:rPr>
        <w:t>t/a</w:t>
      </w:r>
      <w:r>
        <w:rPr>
          <w:rFonts w:hint="eastAsia" w:cs="Times New Roman"/>
          <w:color w:val="FF0000"/>
          <w:kern w:val="0"/>
          <w:u w:val="single"/>
        </w:rPr>
        <w:t>。粪便日产日清，</w:t>
      </w:r>
      <w:r>
        <w:rPr>
          <w:rFonts w:hint="eastAsia" w:cs="Times New Roman"/>
          <w:color w:val="FF0000"/>
          <w:u w:val="single"/>
        </w:rPr>
        <w:t>交由衡阳县喜耕田有机肥厂回收处理</w:t>
      </w:r>
      <w:r>
        <w:rPr>
          <w:rFonts w:hint="eastAsia" w:cs="Times New Roman"/>
          <w:color w:val="FF0000"/>
          <w:kern w:val="0"/>
          <w:u w:val="single"/>
        </w:rPr>
        <w:t>。</w:t>
      </w:r>
    </w:p>
    <w:p>
      <w:pPr>
        <w:pStyle w:val="3"/>
        <w:ind w:firstLine="480"/>
        <w:rPr>
          <w:rFonts w:ascii="宋体" w:hAnsi="宋体" w:cs="宋体"/>
          <w:color w:val="FF0000"/>
          <w:kern w:val="0"/>
          <w:szCs w:val="24"/>
          <w:u w:val="single"/>
        </w:rPr>
      </w:pPr>
      <w:r>
        <w:rPr>
          <w:rFonts w:hint="eastAsia" w:cs="Times New Roman"/>
          <w:color w:val="FF0000"/>
          <w:kern w:val="0"/>
          <w:u w:val="single"/>
        </w:rPr>
        <w:t>（4）</w:t>
      </w:r>
      <w:r>
        <w:rPr>
          <w:rFonts w:hint="eastAsia" w:ascii="宋体" w:hAnsi="宋体" w:cs="宋体"/>
          <w:color w:val="FF0000"/>
          <w:kern w:val="0"/>
          <w:szCs w:val="24"/>
          <w:u w:val="single"/>
        </w:rPr>
        <w:t>内脏容物和屠宰</w:t>
      </w:r>
      <w:r>
        <w:rPr>
          <w:rFonts w:hint="eastAsia" w:cs="Times New Roman"/>
          <w:color w:val="FF0000"/>
          <w:kern w:val="0"/>
          <w:u w:val="single"/>
        </w:rPr>
        <w:t>废弃物</w:t>
      </w:r>
    </w:p>
    <w:p>
      <w:pPr>
        <w:pStyle w:val="3"/>
        <w:ind w:firstLine="480"/>
        <w:rPr>
          <w:rFonts w:cs="Times New Roman"/>
          <w:color w:val="FF0000"/>
          <w:kern w:val="0"/>
          <w:u w:val="single"/>
        </w:rPr>
      </w:pPr>
      <w:r>
        <w:rPr>
          <w:rFonts w:hint="eastAsia" w:cs="Times New Roman"/>
          <w:color w:val="FF0000"/>
          <w:kern w:val="0"/>
          <w:u w:val="single"/>
        </w:rPr>
        <w:t>根据“章节4.2.2.1物料平衡”可知，本项目内脏容物产生量为201.67</w:t>
      </w:r>
      <w:r>
        <w:rPr>
          <w:rFonts w:cs="Times New Roman"/>
          <w:color w:val="FF0000"/>
          <w:kern w:val="0"/>
          <w:u w:val="single"/>
        </w:rPr>
        <w:t>kg/d</w:t>
      </w:r>
      <w:r>
        <w:rPr>
          <w:rFonts w:hint="eastAsia" w:cs="Times New Roman"/>
          <w:color w:val="FF0000"/>
          <w:kern w:val="0"/>
          <w:u w:val="single"/>
        </w:rPr>
        <w:t>，合60.5</w:t>
      </w:r>
      <w:r>
        <w:rPr>
          <w:rFonts w:cs="Times New Roman"/>
          <w:color w:val="FF0000"/>
          <w:kern w:val="0"/>
          <w:u w:val="single"/>
        </w:rPr>
        <w:t>t/a</w:t>
      </w:r>
      <w:r>
        <w:rPr>
          <w:rFonts w:hint="eastAsia" w:cs="Times New Roman"/>
          <w:color w:val="FF0000"/>
          <w:kern w:val="0"/>
          <w:u w:val="single"/>
        </w:rPr>
        <w:t>；屠宰废弃物产生量为6875</w:t>
      </w:r>
      <w:r>
        <w:rPr>
          <w:rFonts w:cs="Times New Roman"/>
          <w:color w:val="FF0000"/>
          <w:kern w:val="0"/>
          <w:u w:val="single"/>
        </w:rPr>
        <w:t>kg/d</w:t>
      </w:r>
      <w:r>
        <w:rPr>
          <w:rFonts w:hint="eastAsia" w:cs="Times New Roman"/>
          <w:color w:val="FF0000"/>
          <w:kern w:val="0"/>
          <w:u w:val="single"/>
        </w:rPr>
        <w:t>，合2062.5</w:t>
      </w:r>
      <w:r>
        <w:rPr>
          <w:rFonts w:cs="Times New Roman"/>
          <w:color w:val="FF0000"/>
          <w:kern w:val="0"/>
          <w:u w:val="single"/>
        </w:rPr>
        <w:t>t/a</w:t>
      </w:r>
      <w:r>
        <w:rPr>
          <w:rFonts w:hint="eastAsia" w:cs="Times New Roman"/>
          <w:color w:val="FF0000"/>
          <w:kern w:val="0"/>
          <w:u w:val="single"/>
        </w:rPr>
        <w:t>。内脏容物和屠宰废弃物</w:t>
      </w:r>
      <w:r>
        <w:rPr>
          <w:rFonts w:hint="eastAsia"/>
          <w:color w:val="FF0000"/>
          <w:u w:val="single"/>
        </w:rPr>
        <w:t>由密闭容器收集后，暂存于冷柜内一般固废暂存区，日产日清，由附近养殖户清运作为饲料</w:t>
      </w:r>
      <w:r>
        <w:rPr>
          <w:rFonts w:hint="eastAsia" w:cs="Times New Roman"/>
          <w:color w:val="FF0000"/>
          <w:kern w:val="0"/>
          <w:u w:val="single"/>
        </w:rPr>
        <w:t>。</w:t>
      </w:r>
    </w:p>
    <w:p>
      <w:pPr>
        <w:pStyle w:val="3"/>
        <w:ind w:firstLine="480"/>
        <w:rPr>
          <w:color w:val="FF0000"/>
          <w:u w:val="single"/>
        </w:rPr>
      </w:pPr>
      <w:r>
        <w:rPr>
          <w:rFonts w:hint="eastAsia" w:cs="Times New Roman"/>
          <w:color w:val="FF0000"/>
          <w:kern w:val="0"/>
          <w:u w:val="single"/>
        </w:rPr>
        <w:t>（5）</w:t>
      </w:r>
      <w:r>
        <w:rPr>
          <w:rFonts w:hint="eastAsia"/>
          <w:color w:val="FF0000"/>
          <w:u w:val="single"/>
        </w:rPr>
        <w:t>腊鸭毛混合物</w:t>
      </w:r>
    </w:p>
    <w:p>
      <w:pPr>
        <w:pStyle w:val="3"/>
        <w:ind w:firstLine="480"/>
        <w:rPr>
          <w:color w:val="FF0000"/>
          <w:u w:val="single"/>
        </w:rPr>
      </w:pPr>
      <w:r>
        <w:rPr>
          <w:rFonts w:hint="eastAsia"/>
          <w:color w:val="FF0000"/>
          <w:u w:val="single"/>
        </w:rPr>
        <w:t>蜡脱毛工序产生的蜡毛混合物经分离后，蜡重复利用，鸭毛脱水后装入编织袋，少量无法分离的蜡毛混合物压成蜡饼，类比同类型项目分析可知，该部分废物主要为食用蜡和鸭绒毛，产生量约6.15</w:t>
      </w:r>
      <w:r>
        <w:rPr>
          <w:color w:val="FF0000"/>
          <w:u w:val="single"/>
        </w:rPr>
        <w:t>t/a</w:t>
      </w:r>
      <w:r>
        <w:rPr>
          <w:rFonts w:hint="eastAsia"/>
          <w:color w:val="FF0000"/>
          <w:u w:val="single"/>
        </w:rPr>
        <w:t>。</w:t>
      </w:r>
    </w:p>
    <w:p>
      <w:pPr>
        <w:pStyle w:val="3"/>
        <w:ind w:firstLine="480"/>
        <w:rPr>
          <w:rFonts w:ascii="宋体" w:hAnsi="宋体" w:cs="宋体"/>
          <w:color w:val="FF0000"/>
          <w:kern w:val="0"/>
          <w:szCs w:val="24"/>
          <w:u w:val="single"/>
        </w:rPr>
      </w:pPr>
      <w:r>
        <w:rPr>
          <w:rFonts w:hint="eastAsia"/>
          <w:color w:val="FF0000"/>
          <w:u w:val="single"/>
        </w:rPr>
        <w:t>（6）</w:t>
      </w:r>
      <w:r>
        <w:rPr>
          <w:rFonts w:hint="eastAsia" w:ascii="宋体" w:hAnsi="宋体" w:cs="宋体"/>
          <w:color w:val="FF0000"/>
          <w:kern w:val="0"/>
          <w:szCs w:val="24"/>
          <w:u w:val="single"/>
        </w:rPr>
        <w:t>栅渣</w:t>
      </w:r>
    </w:p>
    <w:p>
      <w:pPr>
        <w:pStyle w:val="3"/>
        <w:ind w:firstLine="480"/>
        <w:rPr>
          <w:color w:val="FF0000"/>
          <w:u w:val="single"/>
        </w:rPr>
      </w:pPr>
      <w:r>
        <w:rPr>
          <w:rFonts w:hint="eastAsia"/>
          <w:color w:val="FF0000"/>
          <w:u w:val="single"/>
        </w:rPr>
        <w:t>废水进入污水处理站前须进行固液分离，会有格栅残渣产生，主要为零碎块、脂肪、毛发、未消化草料等残留物，该部分固废主要是内脏容物及屠宰废弃物未被收集，随车间清洗进入废水的部分。根据“章节4.2.2.1物料平衡”，取栅渣产生量为内脏容物及屠宰废弃物产生量的</w:t>
      </w:r>
      <w:r>
        <w:rPr>
          <w:color w:val="FF0000"/>
          <w:u w:val="single"/>
        </w:rPr>
        <w:t>1%</w:t>
      </w:r>
      <w:r>
        <w:rPr>
          <w:rFonts w:hint="eastAsia"/>
          <w:color w:val="FF0000"/>
          <w:u w:val="single"/>
        </w:rPr>
        <w:t>，计算得出栅渣产生量为70.77</w:t>
      </w:r>
      <w:r>
        <w:rPr>
          <w:color w:val="FF0000"/>
          <w:u w:val="single"/>
        </w:rPr>
        <w:t>kg/d</w:t>
      </w:r>
      <w:r>
        <w:rPr>
          <w:rFonts w:hint="eastAsia"/>
          <w:color w:val="FF0000"/>
          <w:u w:val="single"/>
        </w:rPr>
        <w:t>，合21.23</w:t>
      </w:r>
      <w:r>
        <w:rPr>
          <w:color w:val="FF0000"/>
          <w:u w:val="single"/>
        </w:rPr>
        <w:t>t/a</w:t>
      </w:r>
      <w:r>
        <w:rPr>
          <w:rFonts w:hint="eastAsia"/>
          <w:color w:val="FF0000"/>
          <w:u w:val="single"/>
        </w:rPr>
        <w:t>。栅渣日产日清，</w:t>
      </w:r>
      <w:r>
        <w:rPr>
          <w:rFonts w:hint="eastAsia" w:cs="Times New Roman"/>
          <w:color w:val="FF0000"/>
          <w:u w:val="single"/>
        </w:rPr>
        <w:t>交由衡阳县喜耕田有机肥厂回收处理</w:t>
      </w:r>
      <w:r>
        <w:rPr>
          <w:rFonts w:hint="eastAsia"/>
          <w:color w:val="FF0000"/>
          <w:u w:val="single"/>
        </w:rPr>
        <w:t>。</w:t>
      </w:r>
    </w:p>
    <w:p>
      <w:pPr>
        <w:pStyle w:val="3"/>
        <w:ind w:firstLine="480"/>
        <w:rPr>
          <w:color w:val="FF0000"/>
          <w:u w:val="single"/>
        </w:rPr>
      </w:pPr>
      <w:r>
        <w:rPr>
          <w:rFonts w:hint="eastAsia"/>
          <w:color w:val="FF0000"/>
          <w:u w:val="single"/>
        </w:rPr>
        <w:t>（7）粪渣、沼渣</w:t>
      </w:r>
    </w:p>
    <w:p>
      <w:pPr>
        <w:pStyle w:val="3"/>
        <w:ind w:firstLine="480"/>
        <w:rPr>
          <w:rFonts w:ascii="宋体" w:hAnsi="宋体" w:cs="宋体"/>
          <w:color w:val="FF0000"/>
          <w:kern w:val="0"/>
          <w:szCs w:val="24"/>
          <w:u w:val="single"/>
        </w:rPr>
      </w:pPr>
      <w:r>
        <w:rPr>
          <w:rFonts w:hint="eastAsia"/>
          <w:color w:val="FF0000"/>
          <w:u w:val="single"/>
        </w:rPr>
        <w:t>厂区粪污处理设施会产生粪渣、沼渣，其产生量按</w:t>
      </w:r>
      <w:r>
        <w:rPr>
          <w:color w:val="FF0000"/>
          <w:u w:val="single"/>
        </w:rPr>
        <w:t>0.4kg</w:t>
      </w:r>
      <w:r>
        <w:rPr>
          <w:rFonts w:hint="eastAsia"/>
          <w:color w:val="FF0000"/>
          <w:u w:val="single"/>
        </w:rPr>
        <w:t>沼渣</w:t>
      </w:r>
      <w:r>
        <w:rPr>
          <w:color w:val="FF0000"/>
          <w:u w:val="single"/>
        </w:rPr>
        <w:t>/kgBOD</w:t>
      </w:r>
      <w:r>
        <w:rPr>
          <w:color w:val="FF0000"/>
          <w:u w:val="single"/>
          <w:vertAlign w:val="subscript"/>
        </w:rPr>
        <w:t>5</w:t>
      </w:r>
      <w:r>
        <w:rPr>
          <w:rFonts w:hint="eastAsia"/>
          <w:color w:val="FF0000"/>
          <w:u w:val="single"/>
        </w:rPr>
        <w:t>，项目处理污水量为</w:t>
      </w:r>
      <w:r>
        <w:rPr>
          <w:color w:val="FF0000"/>
          <w:u w:val="single"/>
        </w:rPr>
        <w:t>167450m</w:t>
      </w:r>
      <w:r>
        <w:rPr>
          <w:color w:val="FF0000"/>
          <w:u w:val="single"/>
          <w:vertAlign w:val="superscript"/>
        </w:rPr>
        <w:t>3</w:t>
      </w:r>
      <w:r>
        <w:rPr>
          <w:color w:val="FF0000"/>
          <w:u w:val="single"/>
        </w:rPr>
        <w:t>/a</w:t>
      </w:r>
      <w:r>
        <w:rPr>
          <w:rFonts w:hint="eastAsia"/>
          <w:color w:val="FF0000"/>
          <w:u w:val="single"/>
        </w:rPr>
        <w:t>，</w:t>
      </w:r>
      <w:r>
        <w:rPr>
          <w:color w:val="FF0000"/>
          <w:u w:val="single"/>
        </w:rPr>
        <w:t xml:space="preserve"> BOD</w:t>
      </w:r>
      <w:r>
        <w:rPr>
          <w:color w:val="FF0000"/>
          <w:u w:val="single"/>
          <w:vertAlign w:val="subscript"/>
        </w:rPr>
        <w:t>5</w:t>
      </w:r>
      <w:r>
        <w:rPr>
          <w:rFonts w:hint="eastAsia"/>
          <w:color w:val="FF0000"/>
          <w:u w:val="single"/>
        </w:rPr>
        <w:t>进水浓度按1000</w:t>
      </w:r>
      <w:r>
        <w:rPr>
          <w:color w:val="FF0000"/>
          <w:u w:val="single"/>
        </w:rPr>
        <w:t>mg/L</w:t>
      </w:r>
      <w:r>
        <w:rPr>
          <w:rFonts w:hint="eastAsia"/>
          <w:color w:val="FF0000"/>
          <w:u w:val="single"/>
        </w:rPr>
        <w:t>、出水浓度50</w:t>
      </w:r>
      <w:r>
        <w:rPr>
          <w:color w:val="FF0000"/>
          <w:u w:val="single"/>
        </w:rPr>
        <w:t>mg/L</w:t>
      </w:r>
      <w:r>
        <w:rPr>
          <w:rFonts w:hint="eastAsia"/>
          <w:color w:val="FF0000"/>
          <w:u w:val="single"/>
        </w:rPr>
        <w:t>计，经推算项目粪渣、沼渣产生量为212.1</w:t>
      </w:r>
      <w:r>
        <w:rPr>
          <w:color w:val="FF0000"/>
          <w:u w:val="single"/>
        </w:rPr>
        <w:t xml:space="preserve"> kg/d</w:t>
      </w:r>
      <w:r>
        <w:rPr>
          <w:rFonts w:hint="eastAsia"/>
          <w:color w:val="FF0000"/>
          <w:u w:val="single"/>
        </w:rPr>
        <w:t xml:space="preserve"> ，63.63</w:t>
      </w:r>
      <w:r>
        <w:rPr>
          <w:color w:val="FF0000"/>
          <w:u w:val="single"/>
        </w:rPr>
        <w:t>t/a</w:t>
      </w:r>
      <w:r>
        <w:rPr>
          <w:rFonts w:hint="eastAsia"/>
          <w:color w:val="FF0000"/>
          <w:u w:val="single"/>
        </w:rPr>
        <w:t>。粪渣、沼渣</w:t>
      </w:r>
      <w:r>
        <w:rPr>
          <w:rFonts w:hint="eastAsia" w:ascii="宋体" w:hAnsi="宋体" w:cs="宋体"/>
          <w:color w:val="FF0000"/>
          <w:kern w:val="0"/>
          <w:szCs w:val="24"/>
          <w:u w:val="single"/>
        </w:rPr>
        <w:t>定期清理，</w:t>
      </w:r>
      <w:r>
        <w:rPr>
          <w:rFonts w:hint="eastAsia"/>
          <w:color w:val="FF0000"/>
          <w:u w:val="single"/>
        </w:rPr>
        <w:t>送至</w:t>
      </w:r>
      <w:r>
        <w:rPr>
          <w:rFonts w:hint="eastAsia" w:cs="Times New Roman"/>
          <w:color w:val="FF0000"/>
          <w:u w:val="single"/>
        </w:rPr>
        <w:t>衡阳县喜耕田有机肥厂回收处理</w:t>
      </w:r>
      <w:r>
        <w:rPr>
          <w:rFonts w:hint="eastAsia" w:ascii="宋体" w:hAnsi="宋体" w:cs="宋体"/>
          <w:color w:val="FF0000"/>
          <w:kern w:val="0"/>
          <w:szCs w:val="24"/>
          <w:u w:val="single"/>
        </w:rPr>
        <w:t>。</w:t>
      </w:r>
    </w:p>
    <w:p>
      <w:pPr>
        <w:pStyle w:val="3"/>
        <w:ind w:firstLine="480"/>
        <w:rPr>
          <w:color w:val="FF0000"/>
          <w:u w:val="single"/>
        </w:rPr>
      </w:pPr>
      <w:r>
        <w:rPr>
          <w:rFonts w:hint="eastAsia"/>
          <w:color w:val="FF0000"/>
          <w:u w:val="single"/>
        </w:rPr>
        <w:t>（8）生物质炉渣</w:t>
      </w:r>
    </w:p>
    <w:p>
      <w:pPr>
        <w:pStyle w:val="3"/>
        <w:ind w:firstLine="480"/>
        <w:rPr>
          <w:color w:val="FF0000"/>
          <w:u w:val="single"/>
        </w:rPr>
      </w:pPr>
      <w:r>
        <w:rPr>
          <w:rFonts w:hint="eastAsia"/>
          <w:color w:val="FF0000"/>
          <w:u w:val="single"/>
        </w:rPr>
        <w:t>锅炉采用生物质成型燃料，年用量各为600</w:t>
      </w:r>
      <w:r>
        <w:rPr>
          <w:color w:val="FF0000"/>
          <w:u w:val="single"/>
        </w:rPr>
        <w:t>t</w:t>
      </w:r>
      <w:r>
        <w:rPr>
          <w:rFonts w:hint="eastAsia"/>
          <w:color w:val="FF0000"/>
          <w:u w:val="single"/>
        </w:rPr>
        <w:t>，生物质蒸汽锅炉燃烧炉渣产污系数为</w:t>
      </w:r>
      <w:r>
        <w:rPr>
          <w:color w:val="FF0000"/>
          <w:u w:val="single"/>
        </w:rPr>
        <w:t>9.24akg</w:t>
      </w:r>
      <w:r>
        <w:rPr>
          <w:rFonts w:hint="eastAsia"/>
          <w:color w:val="FF0000"/>
          <w:u w:val="single"/>
        </w:rPr>
        <w:t>（干基）</w:t>
      </w:r>
      <w:r>
        <w:rPr>
          <w:color w:val="FF0000"/>
          <w:u w:val="single"/>
        </w:rPr>
        <w:t>/t</w:t>
      </w:r>
      <w:r>
        <w:rPr>
          <w:rFonts w:hint="eastAsia"/>
          <w:color w:val="FF0000"/>
          <w:u w:val="single"/>
        </w:rPr>
        <w:t>•原料（</w:t>
      </w:r>
      <w:r>
        <w:rPr>
          <w:color w:val="FF0000"/>
          <w:u w:val="single"/>
        </w:rPr>
        <w:t xml:space="preserve">a </w:t>
      </w:r>
      <w:r>
        <w:rPr>
          <w:rFonts w:hint="eastAsia"/>
          <w:color w:val="FF0000"/>
          <w:u w:val="single"/>
        </w:rPr>
        <w:t>为灰分百分含量，取</w:t>
      </w:r>
      <w:r>
        <w:rPr>
          <w:color w:val="FF0000"/>
          <w:u w:val="single"/>
        </w:rPr>
        <w:t>1.49</w:t>
      </w:r>
      <w:r>
        <w:rPr>
          <w:rFonts w:hint="eastAsia"/>
          <w:color w:val="FF0000"/>
          <w:u w:val="single"/>
        </w:rPr>
        <w:t>），则炉渣产生量约为8.26</w:t>
      </w:r>
      <w:r>
        <w:rPr>
          <w:color w:val="FF0000"/>
          <w:u w:val="single"/>
        </w:rPr>
        <w:t>t/a</w:t>
      </w:r>
      <w:r>
        <w:rPr>
          <w:rFonts w:hint="eastAsia"/>
          <w:color w:val="FF0000"/>
          <w:u w:val="single"/>
        </w:rPr>
        <w:t>。</w:t>
      </w:r>
    </w:p>
    <w:p>
      <w:pPr>
        <w:pStyle w:val="3"/>
        <w:ind w:firstLine="480"/>
        <w:rPr>
          <w:rFonts w:cs="Times New Roman"/>
          <w:color w:val="FF0000"/>
          <w:kern w:val="0"/>
          <w:u w:val="single"/>
        </w:rPr>
      </w:pPr>
      <w:r>
        <w:rPr>
          <w:rFonts w:hint="eastAsia" w:cs="Times New Roman"/>
          <w:color w:val="FF0000"/>
          <w:kern w:val="0"/>
          <w:u w:val="single"/>
        </w:rPr>
        <w:t>2、危险废物</w:t>
      </w:r>
    </w:p>
    <w:p>
      <w:pPr>
        <w:pStyle w:val="3"/>
        <w:ind w:firstLine="480"/>
        <w:rPr>
          <w:rFonts w:cs="Times New Roman"/>
          <w:color w:val="FF0000"/>
          <w:kern w:val="0"/>
          <w:u w:val="single"/>
        </w:rPr>
      </w:pPr>
      <w:r>
        <w:rPr>
          <w:rFonts w:hint="eastAsia" w:cs="Times New Roman"/>
          <w:color w:val="FF0000"/>
          <w:kern w:val="0"/>
          <w:u w:val="single"/>
        </w:rPr>
        <w:t>（1）</w:t>
      </w:r>
      <w:r>
        <w:rPr>
          <w:rFonts w:hint="eastAsia" w:ascii="宋体" w:cs="宋体"/>
          <w:color w:val="FF0000"/>
          <w:kern w:val="0"/>
          <w:szCs w:val="24"/>
          <w:u w:val="single"/>
        </w:rPr>
        <w:t>废冷冻机油</w:t>
      </w:r>
    </w:p>
    <w:p>
      <w:pPr>
        <w:pStyle w:val="3"/>
        <w:ind w:firstLine="480"/>
        <w:rPr>
          <w:color w:val="FF0000"/>
          <w:u w:val="single"/>
        </w:rPr>
      </w:pPr>
      <w:r>
        <w:rPr>
          <w:rFonts w:hint="eastAsia"/>
          <w:color w:val="FF0000"/>
          <w:u w:val="single"/>
        </w:rPr>
        <w:t>本项目制冷机房产生的废冷冻机油约为</w:t>
      </w:r>
      <w:r>
        <w:rPr>
          <w:color w:val="FF0000"/>
          <w:u w:val="single"/>
        </w:rPr>
        <w:t>0.5t/a</w:t>
      </w:r>
      <w:r>
        <w:rPr>
          <w:rFonts w:hint="eastAsia"/>
          <w:color w:val="FF0000"/>
          <w:u w:val="single"/>
        </w:rPr>
        <w:t>。根据《国家危险废物名录》（2021</w:t>
      </w:r>
      <w:r>
        <w:rPr>
          <w:color w:val="FF0000"/>
          <w:u w:val="single"/>
        </w:rPr>
        <w:t xml:space="preserve"> </w:t>
      </w:r>
      <w:r>
        <w:rPr>
          <w:rFonts w:hint="eastAsia"/>
          <w:color w:val="FF0000"/>
          <w:u w:val="single"/>
        </w:rPr>
        <w:t>版），废物属于“</w:t>
      </w:r>
      <w:r>
        <w:rPr>
          <w:color w:val="FF0000"/>
          <w:u w:val="single"/>
        </w:rPr>
        <w:t xml:space="preserve">HW08 </w:t>
      </w:r>
      <w:r>
        <w:rPr>
          <w:rFonts w:hint="eastAsia"/>
          <w:color w:val="FF0000"/>
          <w:u w:val="single"/>
        </w:rPr>
        <w:t>废矿物油与含矿物油废物”中的“</w:t>
      </w:r>
      <w:r>
        <w:rPr>
          <w:color w:val="FF0000"/>
          <w:u w:val="single"/>
        </w:rPr>
        <w:t xml:space="preserve">900-219-08 </w:t>
      </w:r>
      <w:r>
        <w:rPr>
          <w:rFonts w:hint="eastAsia"/>
          <w:color w:val="FF0000"/>
          <w:u w:val="single"/>
        </w:rPr>
        <w:t>冷冻压缩设备维护、更换和拆解过程中产生的废冷冻机油”，收集暂存于厂区内危险废物暂存间，定期委托有危险废物处理资质的单位处理。</w:t>
      </w:r>
    </w:p>
    <w:p>
      <w:pPr>
        <w:pStyle w:val="3"/>
        <w:ind w:firstLine="480"/>
        <w:rPr>
          <w:rFonts w:ascii="宋体" w:hAnsi="宋体" w:cs="宋体"/>
          <w:color w:val="FF0000"/>
          <w:kern w:val="0"/>
          <w:szCs w:val="24"/>
          <w:u w:val="single"/>
        </w:rPr>
      </w:pPr>
      <w:r>
        <w:rPr>
          <w:rFonts w:hint="eastAsia"/>
          <w:color w:val="FF0000"/>
          <w:u w:val="single"/>
        </w:rPr>
        <w:t>（2）</w:t>
      </w:r>
      <w:r>
        <w:rPr>
          <w:rFonts w:hint="eastAsia" w:ascii="宋体" w:hAnsi="宋体" w:cs="宋体"/>
          <w:color w:val="FF0000"/>
          <w:kern w:val="0"/>
          <w:szCs w:val="24"/>
          <w:u w:val="single"/>
        </w:rPr>
        <w:t>检疫废物</w:t>
      </w:r>
    </w:p>
    <w:p>
      <w:pPr>
        <w:pStyle w:val="3"/>
        <w:ind w:firstLine="480"/>
        <w:rPr>
          <w:color w:val="FF0000"/>
          <w:u w:val="single"/>
        </w:rPr>
      </w:pPr>
      <w:r>
        <w:rPr>
          <w:rFonts w:hint="eastAsia"/>
          <w:color w:val="FF0000"/>
          <w:u w:val="single"/>
        </w:rPr>
        <w:t>检疫废物是检测人员通过抽检方式对内脏进行取样检测后产生的废物，取样规格为</w:t>
      </w:r>
      <w:r>
        <w:rPr>
          <w:color w:val="FF0000"/>
          <w:u w:val="single"/>
        </w:rPr>
        <w:t>50g/</w:t>
      </w:r>
      <w:r>
        <w:rPr>
          <w:rFonts w:hint="eastAsia"/>
          <w:color w:val="FF0000"/>
          <w:u w:val="single"/>
        </w:rPr>
        <w:t>次，每班约检测</w:t>
      </w:r>
      <w:r>
        <w:rPr>
          <w:color w:val="FF0000"/>
          <w:u w:val="single"/>
        </w:rPr>
        <w:t xml:space="preserve">10 </w:t>
      </w:r>
      <w:r>
        <w:rPr>
          <w:rFonts w:hint="eastAsia"/>
          <w:color w:val="FF0000"/>
          <w:u w:val="single"/>
        </w:rPr>
        <w:t>次，则检疫废物产生量为</w:t>
      </w:r>
      <w:r>
        <w:rPr>
          <w:color w:val="FF0000"/>
          <w:u w:val="single"/>
        </w:rPr>
        <w:t>1kg/d</w:t>
      </w:r>
      <w:r>
        <w:rPr>
          <w:rFonts w:hint="eastAsia"/>
          <w:color w:val="FF0000"/>
          <w:u w:val="single"/>
        </w:rPr>
        <w:t>，合</w:t>
      </w:r>
      <w:r>
        <w:rPr>
          <w:color w:val="FF0000"/>
          <w:u w:val="single"/>
        </w:rPr>
        <w:t>0.3t/a</w:t>
      </w:r>
      <w:r>
        <w:rPr>
          <w:rFonts w:hint="eastAsia"/>
          <w:color w:val="FF0000"/>
          <w:u w:val="single"/>
        </w:rPr>
        <w:t>。根据《国家危险废物名录》（</w:t>
      </w:r>
      <w:r>
        <w:rPr>
          <w:color w:val="FF0000"/>
          <w:u w:val="single"/>
        </w:rPr>
        <w:t xml:space="preserve">2021 </w:t>
      </w:r>
      <w:r>
        <w:rPr>
          <w:rFonts w:hint="eastAsia"/>
          <w:color w:val="FF0000"/>
          <w:u w:val="single"/>
        </w:rPr>
        <w:t>年版），检疫废物属于危险废物，类别为</w:t>
      </w:r>
      <w:r>
        <w:rPr>
          <w:color w:val="FF0000"/>
          <w:u w:val="single"/>
        </w:rPr>
        <w:t xml:space="preserve">HW49 </w:t>
      </w:r>
      <w:r>
        <w:rPr>
          <w:rFonts w:hint="eastAsia"/>
          <w:color w:val="FF0000"/>
          <w:u w:val="single"/>
        </w:rPr>
        <w:t>其他废物，代码为</w:t>
      </w:r>
      <w:r>
        <w:rPr>
          <w:color w:val="FF0000"/>
          <w:u w:val="single"/>
        </w:rPr>
        <w:t>900-047-49</w:t>
      </w:r>
      <w:r>
        <w:rPr>
          <w:rFonts w:hint="eastAsia"/>
          <w:color w:val="FF0000"/>
          <w:u w:val="single"/>
        </w:rPr>
        <w:t>。检疫废物收集后暂存于危废暂存间，定期交有相应资质单位处置。</w:t>
      </w:r>
    </w:p>
    <w:p>
      <w:pPr>
        <w:pStyle w:val="3"/>
        <w:ind w:firstLine="480"/>
        <w:rPr>
          <w:color w:val="FF0000"/>
          <w:u w:val="single"/>
        </w:rPr>
      </w:pPr>
      <w:r>
        <w:rPr>
          <w:rFonts w:hint="eastAsia"/>
          <w:color w:val="FF0000"/>
          <w:u w:val="single"/>
        </w:rPr>
        <w:t>3、生活垃圾</w:t>
      </w:r>
    </w:p>
    <w:p>
      <w:pPr>
        <w:pStyle w:val="3"/>
        <w:ind w:firstLine="480"/>
      </w:pPr>
      <w:r>
        <w:rPr>
          <w:rFonts w:hint="eastAsia"/>
          <w:color w:val="FF0000"/>
          <w:u w:val="single"/>
        </w:rPr>
        <w:t>项目建成后拟招聘员工20人，均不在厂区内食宿。员工生活垃圾产生量按</w:t>
      </w:r>
      <w:r>
        <w:rPr>
          <w:color w:val="FF0000"/>
          <w:u w:val="single"/>
        </w:rPr>
        <w:t>0.5kg/</w:t>
      </w:r>
      <w:r>
        <w:rPr>
          <w:rFonts w:hint="eastAsia"/>
          <w:color w:val="FF0000"/>
          <w:u w:val="single"/>
        </w:rPr>
        <w:t>人•</w:t>
      </w:r>
      <w:r>
        <w:rPr>
          <w:color w:val="FF0000"/>
          <w:u w:val="single"/>
        </w:rPr>
        <w:t xml:space="preserve">d </w:t>
      </w:r>
      <w:r>
        <w:rPr>
          <w:rFonts w:hint="eastAsia"/>
          <w:color w:val="FF0000"/>
          <w:u w:val="single"/>
        </w:rPr>
        <w:t>计，则该项目建成后生活垃圾产生量约为10kg</w:t>
      </w:r>
      <w:r>
        <w:rPr>
          <w:color w:val="FF0000"/>
          <w:u w:val="single"/>
        </w:rPr>
        <w:t>/d</w:t>
      </w:r>
      <w:r>
        <w:rPr>
          <w:rFonts w:hint="eastAsia"/>
          <w:color w:val="FF0000"/>
          <w:u w:val="single"/>
        </w:rPr>
        <w:t>（3</w:t>
      </w:r>
      <w:r>
        <w:rPr>
          <w:color w:val="FF0000"/>
          <w:u w:val="single"/>
        </w:rPr>
        <w:t>t/a</w:t>
      </w:r>
      <w:r>
        <w:rPr>
          <w:rFonts w:hint="eastAsia"/>
          <w:color w:val="FF0000"/>
          <w:u w:val="single"/>
        </w:rPr>
        <w:t>），经收集后交由环卫部门清运，做到日产日清。</w:t>
      </w:r>
    </w:p>
    <w:p>
      <w:pPr>
        <w:pStyle w:val="3"/>
        <w:ind w:firstLine="480"/>
      </w:pPr>
      <w:r>
        <w:rPr>
          <w:rFonts w:hint="eastAsia"/>
        </w:rPr>
        <w:t>项目固废产生情况见表4.2-20。</w:t>
      </w:r>
    </w:p>
    <w:p>
      <w:pPr>
        <w:pStyle w:val="3"/>
        <w:spacing w:line="240" w:lineRule="auto"/>
        <w:ind w:firstLine="0" w:firstLineChars="0"/>
        <w:jc w:val="center"/>
        <w:rPr>
          <w:rFonts w:cs="Times New Roman" w:eastAsiaTheme="minorEastAsia"/>
          <w:b/>
        </w:rPr>
      </w:pPr>
      <w:r>
        <w:rPr>
          <w:rFonts w:hint="eastAsia" w:cs="Times New Roman" w:eastAsiaTheme="minorEastAsia"/>
          <w:b/>
        </w:rPr>
        <w:t>表4</w:t>
      </w:r>
      <w:r>
        <w:rPr>
          <w:rFonts w:cs="Times New Roman" w:eastAsiaTheme="minorEastAsia"/>
          <w:b/>
        </w:rPr>
        <w:t>.2-</w:t>
      </w:r>
      <w:r>
        <w:rPr>
          <w:rFonts w:hint="eastAsia" w:cs="Times New Roman" w:eastAsiaTheme="minorEastAsia"/>
          <w:b/>
        </w:rPr>
        <w:t>20</w:t>
      </w:r>
      <w:r>
        <w:rPr>
          <w:rFonts w:cs="Times New Roman" w:eastAsiaTheme="minorEastAsia"/>
          <w:b/>
        </w:rPr>
        <w:t xml:space="preserve">   </w:t>
      </w:r>
      <w:r>
        <w:rPr>
          <w:rFonts w:hint="eastAsia" w:cs="Times New Roman" w:eastAsiaTheme="minorEastAsia"/>
          <w:b/>
        </w:rPr>
        <w:t>项目固废产生及处置情况汇总表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1701"/>
        <w:gridCol w:w="1418"/>
        <w:gridCol w:w="2126"/>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371"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序号</w:t>
            </w:r>
          </w:p>
        </w:tc>
        <w:tc>
          <w:tcPr>
            <w:tcW w:w="6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类别</w:t>
            </w: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污染物</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产生量（</w:t>
            </w:r>
            <w:r>
              <w:rPr>
                <w:rFonts w:cs="Times New Roman"/>
                <w:color w:val="FF0000"/>
                <w:u w:val="single"/>
              </w:rPr>
              <w:t>t/a</w:t>
            </w:r>
            <w:r>
              <w:rPr>
                <w:rFonts w:hint="eastAsia" w:cs="Times New Roman"/>
                <w:color w:val="FF0000"/>
                <w:u w:val="single"/>
              </w:rPr>
              <w:t>）</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代号</w:t>
            </w:r>
          </w:p>
        </w:tc>
        <w:tc>
          <w:tcPr>
            <w:tcW w:w="11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采取的处理措施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1</w:t>
            </w:r>
          </w:p>
        </w:tc>
        <w:tc>
          <w:tcPr>
            <w:tcW w:w="615"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一般固废</w:t>
            </w: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不合格家禽</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2.125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900-999-999</w:t>
            </w:r>
          </w:p>
        </w:tc>
        <w:tc>
          <w:tcPr>
            <w:tcW w:w="1155"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急宰后冷柜贮存，交由有资质的集中病死畜禽无害化处理中心收集处理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2</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ascii="宋体" w:hAnsi="宋体" w:cs="宋体"/>
                <w:color w:val="FF0000"/>
                <w:szCs w:val="24"/>
                <w:u w:val="single"/>
              </w:rPr>
              <w:t>病死牛</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0.5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900-999-999</w:t>
            </w:r>
          </w:p>
        </w:tc>
        <w:tc>
          <w:tcPr>
            <w:tcW w:w="1155" w:type="pct"/>
            <w:vMerge w:val="continue"/>
            <w:tcBorders>
              <w:left w:val="single" w:color="auto" w:sz="4" w:space="0"/>
              <w:bottom w:val="single" w:color="auto" w:sz="4" w:space="0"/>
              <w:right w:val="single" w:color="auto" w:sz="4" w:space="0"/>
            </w:tcBorders>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3</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粪便</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899.5</w:t>
            </w:r>
          </w:p>
        </w:tc>
        <w:tc>
          <w:tcPr>
            <w:tcW w:w="1159" w:type="pct"/>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color w:val="FF0000"/>
                <w:u w:val="single"/>
              </w:rPr>
            </w:pPr>
            <w:r>
              <w:rPr>
                <w:rFonts w:ascii="Times New Roman" w:hAnsi="Times New Roman" w:eastAsia="宋体" w:cs="Times New Roman"/>
                <w:color w:val="FF0000"/>
                <w:u w:val="single"/>
              </w:rPr>
              <w:t>030-001-33</w:t>
            </w:r>
          </w:p>
        </w:tc>
        <w:tc>
          <w:tcPr>
            <w:tcW w:w="1155" w:type="pct"/>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日产日清，交由</w:t>
            </w:r>
            <w:r>
              <w:rPr>
                <w:rFonts w:hint="eastAsia" w:cs="Times New Roman"/>
                <w:color w:val="FF0000"/>
                <w:u w:val="single"/>
              </w:rPr>
              <w:t>衡阳县喜耕田有机肥厂回收处理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4</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ascii="宋体" w:hAnsi="宋体" w:cs="宋体"/>
                <w:color w:val="FF0000"/>
                <w:szCs w:val="24"/>
                <w:u w:val="single"/>
              </w:rPr>
              <w:t>内脏容物</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60.5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900-999-999</w:t>
            </w:r>
          </w:p>
        </w:tc>
        <w:tc>
          <w:tcPr>
            <w:tcW w:w="1155"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密闭容器收集后，暂存于冷柜内一般固废暂存区，日产日清，由附近养殖户清运作为饲料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5</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ascii="宋体" w:hAnsi="宋体" w:cs="宋体"/>
                <w:color w:val="FF0000"/>
                <w:szCs w:val="24"/>
                <w:u w:val="single"/>
              </w:rPr>
              <w:t>屠宰</w:t>
            </w:r>
            <w:r>
              <w:rPr>
                <w:rFonts w:hint="eastAsia" w:cs="Times New Roman"/>
                <w:color w:val="FF0000"/>
                <w:u w:val="single"/>
              </w:rPr>
              <w:t>废弃物</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2062.5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900-999-999</w:t>
            </w:r>
          </w:p>
        </w:tc>
        <w:tc>
          <w:tcPr>
            <w:tcW w:w="1155" w:type="pct"/>
            <w:vMerge w:val="continue"/>
            <w:tcBorders>
              <w:left w:val="single" w:color="auto" w:sz="4" w:space="0"/>
              <w:bottom w:val="single" w:color="auto" w:sz="4" w:space="0"/>
              <w:right w:val="single" w:color="auto" w:sz="4" w:space="0"/>
            </w:tcBorders>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6</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olor w:val="FF0000"/>
                <w:u w:val="single"/>
              </w:rPr>
              <w:t>腊鸭毛混合物</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color w:val="FF0000"/>
                <w:u w:val="single"/>
              </w:rPr>
              <w:t>6.15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900-999-999</w:t>
            </w:r>
          </w:p>
        </w:tc>
        <w:tc>
          <w:tcPr>
            <w:tcW w:w="11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食用蜡供应厂家回收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7</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ascii="宋体" w:hAnsi="宋体" w:cs="宋体"/>
                <w:color w:val="FF0000"/>
                <w:szCs w:val="24"/>
                <w:u w:val="single"/>
              </w:rPr>
              <w:t>栅渣</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color w:val="FF0000"/>
                <w:u w:val="single"/>
              </w:rPr>
              <w:t>21.23</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900-999-62</w:t>
            </w:r>
          </w:p>
        </w:tc>
        <w:tc>
          <w:tcPr>
            <w:tcW w:w="1155" w:type="pc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日产日清，交有处理能力单位回收利用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8</w:t>
            </w:r>
          </w:p>
        </w:tc>
        <w:tc>
          <w:tcPr>
            <w:tcW w:w="615" w:type="pct"/>
            <w:vMerge w:val="continue"/>
            <w:tcBorders>
              <w:left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ascii="宋体" w:hAnsi="宋体" w:cs="宋体"/>
                <w:color w:val="FF0000"/>
                <w:szCs w:val="24"/>
                <w:u w:val="single"/>
              </w:rPr>
            </w:pPr>
            <w:r>
              <w:rPr>
                <w:rFonts w:hint="eastAsia"/>
                <w:color w:val="FF0000"/>
                <w:u w:val="single"/>
              </w:rPr>
              <w:t>粪渣、沼渣</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63.63</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900-999-62</w:t>
            </w:r>
          </w:p>
        </w:tc>
        <w:tc>
          <w:tcPr>
            <w:tcW w:w="1155"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定期清理，</w:t>
            </w:r>
            <w:r>
              <w:rPr>
                <w:rFonts w:hint="eastAsia"/>
                <w:color w:val="FF0000"/>
                <w:u w:val="single"/>
              </w:rPr>
              <w:t>送至</w:t>
            </w:r>
            <w:r>
              <w:rPr>
                <w:rFonts w:hint="eastAsia" w:cs="Times New Roman"/>
                <w:color w:val="FF0000"/>
                <w:u w:val="single"/>
              </w:rPr>
              <w:t>衡阳县喜耕田有机肥厂回收处理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9</w:t>
            </w:r>
          </w:p>
        </w:tc>
        <w:tc>
          <w:tcPr>
            <w:tcW w:w="615" w:type="pct"/>
            <w:vMerge w:val="continue"/>
            <w:tcBorders>
              <w:left w:val="single" w:color="auto" w:sz="4" w:space="0"/>
              <w:bottom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ascii="宋体" w:hAnsi="宋体" w:cs="宋体"/>
                <w:color w:val="FF0000"/>
                <w:szCs w:val="24"/>
                <w:u w:val="single"/>
              </w:rPr>
            </w:pPr>
            <w:r>
              <w:rPr>
                <w:rFonts w:hint="eastAsia"/>
                <w:color w:val="FF0000"/>
                <w:u w:val="single"/>
              </w:rPr>
              <w:t>生物质炉渣</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8.26</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cs="Times New Roman"/>
                <w:color w:val="FF0000"/>
                <w:u w:val="single"/>
              </w:rPr>
              <w:t>900-999-64</w:t>
            </w:r>
          </w:p>
        </w:tc>
        <w:tc>
          <w:tcPr>
            <w:tcW w:w="11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用作农肥（草木灰）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10</w:t>
            </w:r>
          </w:p>
        </w:tc>
        <w:tc>
          <w:tcPr>
            <w:tcW w:w="615" w:type="pct"/>
            <w:vMerge w:val="restart"/>
            <w:tcBorders>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危险废物</w:t>
            </w: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ascii="宋体" w:hAnsi="宋体" w:cs="宋体"/>
                <w:color w:val="FF0000"/>
                <w:szCs w:val="24"/>
                <w:u w:val="single"/>
              </w:rPr>
            </w:pPr>
            <w:r>
              <w:rPr>
                <w:rFonts w:hint="eastAsia" w:ascii="宋体" w:hAnsi="宋体" w:cs="宋体"/>
                <w:color w:val="FF0000"/>
                <w:szCs w:val="24"/>
                <w:u w:val="single"/>
              </w:rPr>
              <w:t>废冷冻机油</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color w:val="FF0000"/>
                <w:u w:val="single"/>
              </w:rPr>
              <w:t>0.5</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olor w:val="FF0000"/>
                <w:u w:val="single"/>
              </w:rPr>
              <w:t>900-219-08</w:t>
            </w:r>
          </w:p>
        </w:tc>
        <w:tc>
          <w:tcPr>
            <w:tcW w:w="1155" w:type="pct"/>
            <w:vMerge w:val="restart"/>
            <w:tcBorders>
              <w:top w:val="single" w:color="auto" w:sz="4" w:space="0"/>
              <w:left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收集暂存于厂区内危险废物暂存间，交有危险废物处理资质的单位进行处理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11</w:t>
            </w:r>
          </w:p>
        </w:tc>
        <w:tc>
          <w:tcPr>
            <w:tcW w:w="615" w:type="pct"/>
            <w:vMerge w:val="continue"/>
            <w:tcBorders>
              <w:left w:val="single" w:color="auto" w:sz="4" w:space="0"/>
              <w:bottom w:val="single" w:color="auto" w:sz="4" w:space="0"/>
              <w:right w:val="single" w:color="auto" w:sz="4" w:space="0"/>
            </w:tcBorders>
            <w:vAlign w:val="center"/>
          </w:tcPr>
          <w:p>
            <w:pPr>
              <w:pStyle w:val="49"/>
              <w:rPr>
                <w:rFonts w:cs="Times New Roman"/>
                <w:color w:val="FF0000"/>
                <w:u w:val="single"/>
              </w:rPr>
            </w:pP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ascii="宋体" w:hAnsi="宋体" w:cs="宋体"/>
                <w:color w:val="FF0000"/>
                <w:szCs w:val="24"/>
                <w:u w:val="single"/>
              </w:rPr>
            </w:pPr>
            <w:r>
              <w:rPr>
                <w:rFonts w:hint="eastAsia" w:ascii="宋体" w:hAnsi="宋体" w:cs="宋体"/>
                <w:color w:val="FF0000"/>
                <w:szCs w:val="24"/>
                <w:u w:val="single"/>
              </w:rPr>
              <w:t>检疫废物</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0.3</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olor w:val="FF0000"/>
                <w:u w:val="single"/>
              </w:rPr>
              <w:t>900-047-49</w:t>
            </w:r>
          </w:p>
        </w:tc>
        <w:tc>
          <w:tcPr>
            <w:tcW w:w="1155" w:type="pct"/>
            <w:vMerge w:val="continue"/>
            <w:tcBorders>
              <w:left w:val="single" w:color="auto" w:sz="4" w:space="0"/>
              <w:bottom w:val="single" w:color="auto" w:sz="4" w:space="0"/>
              <w:right w:val="single" w:color="auto" w:sz="4" w:space="0"/>
            </w:tcBorders>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12</w:t>
            </w:r>
          </w:p>
        </w:tc>
        <w:tc>
          <w:tcPr>
            <w:tcW w:w="615" w:type="pct"/>
            <w:tcBorders>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生活垃圾</w:t>
            </w:r>
          </w:p>
        </w:tc>
        <w:tc>
          <w:tcPr>
            <w:tcW w:w="927" w:type="pct"/>
            <w:tcBorders>
              <w:top w:val="single" w:color="auto" w:sz="4" w:space="0"/>
              <w:left w:val="single" w:color="auto" w:sz="4" w:space="0"/>
              <w:bottom w:val="single" w:color="auto" w:sz="4" w:space="0"/>
              <w:right w:val="single" w:color="auto" w:sz="4" w:space="0"/>
            </w:tcBorders>
            <w:vAlign w:val="center"/>
          </w:tcPr>
          <w:p>
            <w:pPr>
              <w:pStyle w:val="49"/>
              <w:rPr>
                <w:rFonts w:ascii="宋体" w:hAnsi="宋体" w:cs="宋体"/>
                <w:color w:val="FF0000"/>
                <w:szCs w:val="24"/>
                <w:u w:val="single"/>
              </w:rPr>
            </w:pPr>
            <w:r>
              <w:rPr>
                <w:rFonts w:hint="eastAsia" w:ascii="宋体" w:hAnsi="宋体" w:cs="宋体"/>
                <w:color w:val="FF0000"/>
                <w:szCs w:val="24"/>
                <w:u w:val="single"/>
              </w:rPr>
              <w:t>员工垃圾</w:t>
            </w:r>
          </w:p>
        </w:tc>
        <w:tc>
          <w:tcPr>
            <w:tcW w:w="773"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3</w:t>
            </w:r>
          </w:p>
        </w:tc>
        <w:tc>
          <w:tcPr>
            <w:tcW w:w="115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w:t>
            </w:r>
          </w:p>
        </w:tc>
        <w:tc>
          <w:tcPr>
            <w:tcW w:w="115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u w:val="single"/>
              </w:rPr>
            </w:pPr>
            <w:r>
              <w:rPr>
                <w:rFonts w:hint="eastAsia" w:cs="Times New Roman"/>
                <w:color w:val="FF0000"/>
                <w:u w:val="single"/>
              </w:rPr>
              <w:t>交由环卫部门处理</w:t>
            </w:r>
          </w:p>
        </w:tc>
      </w:tr>
    </w:tbl>
    <w:p>
      <w:pPr>
        <w:pStyle w:val="3"/>
        <w:ind w:firstLine="480"/>
        <w:sectPr>
          <w:pgSz w:w="11906" w:h="16838"/>
          <w:pgMar w:top="1474" w:right="1361" w:bottom="1474" w:left="1588" w:header="851" w:footer="992" w:gutter="0"/>
          <w:cols w:space="425" w:num="1"/>
          <w:docGrid w:type="lines" w:linePitch="312" w:charSpace="0"/>
        </w:sectPr>
      </w:pPr>
    </w:p>
    <w:p>
      <w:pPr>
        <w:pStyle w:val="3"/>
        <w:spacing w:line="240" w:lineRule="auto"/>
        <w:ind w:firstLine="0" w:firstLineChars="0"/>
        <w:jc w:val="center"/>
        <w:rPr>
          <w:rFonts w:cs="Times New Roman" w:eastAsiaTheme="minorEastAsia"/>
          <w:b/>
        </w:rPr>
      </w:pPr>
      <w:r>
        <w:rPr>
          <w:rFonts w:hint="eastAsia" w:cs="Times New Roman" w:eastAsiaTheme="minorEastAsia"/>
          <w:b/>
        </w:rPr>
        <w:t>表4</w:t>
      </w:r>
      <w:r>
        <w:rPr>
          <w:rFonts w:cs="Times New Roman" w:eastAsiaTheme="minorEastAsia"/>
          <w:b/>
        </w:rPr>
        <w:t>.2-</w:t>
      </w:r>
      <w:r>
        <w:rPr>
          <w:rFonts w:hint="eastAsia" w:cs="Times New Roman" w:eastAsiaTheme="minorEastAsia"/>
          <w:b/>
        </w:rPr>
        <w:t>21</w:t>
      </w:r>
      <w:r>
        <w:rPr>
          <w:rFonts w:cs="Times New Roman" w:eastAsiaTheme="minorEastAsia"/>
          <w:b/>
        </w:rPr>
        <w:t xml:space="preserve">   </w:t>
      </w:r>
      <w:r>
        <w:rPr>
          <w:rFonts w:hint="eastAsia" w:cs="Times New Roman" w:eastAsiaTheme="minorEastAsia"/>
          <w:b/>
        </w:rPr>
        <w:t>危险废物产生情况汇总表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16"/>
        <w:gridCol w:w="776"/>
        <w:gridCol w:w="1207"/>
        <w:gridCol w:w="908"/>
        <w:gridCol w:w="853"/>
        <w:gridCol w:w="426"/>
        <w:gridCol w:w="648"/>
        <w:gridCol w:w="708"/>
        <w:gridCol w:w="708"/>
        <w:gridCol w:w="569"/>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 w:type="pct"/>
            <w:vAlign w:val="center"/>
          </w:tcPr>
          <w:p>
            <w:pPr>
              <w:pStyle w:val="49"/>
              <w:rPr>
                <w:rFonts w:cs="Times New Roman"/>
              </w:rPr>
            </w:pPr>
            <w:r>
              <w:rPr>
                <w:rFonts w:hint="eastAsia" w:cs="Times New Roman"/>
              </w:rPr>
              <w:t>序号</w:t>
            </w:r>
          </w:p>
        </w:tc>
        <w:tc>
          <w:tcPr>
            <w:tcW w:w="445" w:type="pct"/>
            <w:vAlign w:val="center"/>
          </w:tcPr>
          <w:p>
            <w:pPr>
              <w:widowControl w:val="0"/>
              <w:autoSpaceDE w:val="0"/>
              <w:autoSpaceDN w:val="0"/>
              <w:snapToGrid/>
              <w:jc w:val="center"/>
              <w:rPr>
                <w:rFonts w:cs="Times New Roman"/>
              </w:rPr>
            </w:pPr>
            <w:r>
              <w:rPr>
                <w:rFonts w:hint="eastAsia" w:cs="Times New Roman"/>
              </w:rPr>
              <w:t>危险废物名称</w:t>
            </w:r>
          </w:p>
        </w:tc>
        <w:tc>
          <w:tcPr>
            <w:tcW w:w="423" w:type="pct"/>
            <w:vAlign w:val="center"/>
          </w:tcPr>
          <w:p>
            <w:pPr>
              <w:pStyle w:val="49"/>
              <w:rPr>
                <w:rFonts w:cs="Times New Roman"/>
              </w:rPr>
            </w:pPr>
            <w:r>
              <w:rPr>
                <w:rFonts w:hint="eastAsia" w:cs="Times New Roman"/>
              </w:rPr>
              <w:t>危险废物类别</w:t>
            </w:r>
          </w:p>
        </w:tc>
        <w:tc>
          <w:tcPr>
            <w:tcW w:w="658" w:type="pct"/>
            <w:vAlign w:val="center"/>
          </w:tcPr>
          <w:p>
            <w:pPr>
              <w:pStyle w:val="49"/>
              <w:rPr>
                <w:rFonts w:cs="Times New Roman"/>
              </w:rPr>
            </w:pPr>
            <w:r>
              <w:rPr>
                <w:rFonts w:hint="eastAsia" w:cs="Times New Roman"/>
              </w:rPr>
              <w:t>危险废物代码</w:t>
            </w:r>
          </w:p>
        </w:tc>
        <w:tc>
          <w:tcPr>
            <w:tcW w:w="495" w:type="pct"/>
            <w:vAlign w:val="center"/>
          </w:tcPr>
          <w:p>
            <w:pPr>
              <w:pStyle w:val="49"/>
              <w:rPr>
                <w:rFonts w:cs="Times New Roman"/>
              </w:rPr>
            </w:pPr>
            <w:r>
              <w:rPr>
                <w:rFonts w:hint="eastAsia" w:cs="Times New Roman"/>
              </w:rPr>
              <w:t>产生量（t/a）</w:t>
            </w:r>
          </w:p>
        </w:tc>
        <w:tc>
          <w:tcPr>
            <w:tcW w:w="465" w:type="pct"/>
            <w:vAlign w:val="center"/>
          </w:tcPr>
          <w:p>
            <w:pPr>
              <w:pStyle w:val="49"/>
              <w:rPr>
                <w:rFonts w:cs="Times New Roman"/>
              </w:rPr>
            </w:pPr>
            <w:r>
              <w:rPr>
                <w:rFonts w:hint="eastAsia" w:cs="Times New Roman"/>
              </w:rPr>
              <w:t>产生工序及装置</w:t>
            </w:r>
          </w:p>
        </w:tc>
        <w:tc>
          <w:tcPr>
            <w:tcW w:w="232" w:type="pct"/>
            <w:vAlign w:val="center"/>
          </w:tcPr>
          <w:p>
            <w:pPr>
              <w:pStyle w:val="49"/>
              <w:rPr>
                <w:rFonts w:cs="Times New Roman"/>
              </w:rPr>
            </w:pPr>
            <w:r>
              <w:rPr>
                <w:rFonts w:hint="eastAsia" w:cs="Times New Roman"/>
              </w:rPr>
              <w:t>形态</w:t>
            </w:r>
          </w:p>
        </w:tc>
        <w:tc>
          <w:tcPr>
            <w:tcW w:w="353" w:type="pct"/>
            <w:vAlign w:val="center"/>
          </w:tcPr>
          <w:p>
            <w:pPr>
              <w:pStyle w:val="49"/>
              <w:rPr>
                <w:rFonts w:cs="Times New Roman"/>
              </w:rPr>
            </w:pPr>
            <w:r>
              <w:rPr>
                <w:rFonts w:hint="eastAsia" w:cs="Times New Roman"/>
              </w:rPr>
              <w:t>主要成分</w:t>
            </w:r>
          </w:p>
        </w:tc>
        <w:tc>
          <w:tcPr>
            <w:tcW w:w="386" w:type="pct"/>
            <w:vAlign w:val="center"/>
          </w:tcPr>
          <w:p>
            <w:pPr>
              <w:pStyle w:val="49"/>
              <w:rPr>
                <w:rFonts w:cs="Times New Roman"/>
              </w:rPr>
            </w:pPr>
            <w:r>
              <w:rPr>
                <w:rFonts w:hint="eastAsia" w:cs="Times New Roman"/>
              </w:rPr>
              <w:t>有害成分</w:t>
            </w:r>
          </w:p>
        </w:tc>
        <w:tc>
          <w:tcPr>
            <w:tcW w:w="386" w:type="pct"/>
            <w:vAlign w:val="center"/>
          </w:tcPr>
          <w:p>
            <w:pPr>
              <w:pStyle w:val="49"/>
              <w:rPr>
                <w:rFonts w:cs="Times New Roman"/>
              </w:rPr>
            </w:pPr>
            <w:r>
              <w:rPr>
                <w:rFonts w:hint="eastAsia" w:cs="Times New Roman"/>
              </w:rPr>
              <w:t>产废周期</w:t>
            </w:r>
          </w:p>
        </w:tc>
        <w:tc>
          <w:tcPr>
            <w:tcW w:w="310" w:type="pct"/>
            <w:vAlign w:val="center"/>
          </w:tcPr>
          <w:p>
            <w:pPr>
              <w:pStyle w:val="49"/>
              <w:rPr>
                <w:rFonts w:cs="Times New Roman"/>
              </w:rPr>
            </w:pPr>
            <w:r>
              <w:rPr>
                <w:rFonts w:hint="eastAsia" w:cs="Times New Roman"/>
              </w:rPr>
              <w:t>危险特性</w:t>
            </w:r>
          </w:p>
        </w:tc>
        <w:tc>
          <w:tcPr>
            <w:tcW w:w="614" w:type="pct"/>
            <w:vAlign w:val="center"/>
          </w:tcPr>
          <w:p>
            <w:pPr>
              <w:pStyle w:val="49"/>
              <w:rPr>
                <w:rFonts w:cs="Times New Roman"/>
              </w:rPr>
            </w:pPr>
            <w:r>
              <w:rPr>
                <w:rFonts w:hint="eastAsia" w:cs="Times New Roma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233" w:type="pct"/>
            <w:vAlign w:val="center"/>
          </w:tcPr>
          <w:p>
            <w:pPr>
              <w:pStyle w:val="49"/>
              <w:rPr>
                <w:rFonts w:cs="Times New Roman"/>
              </w:rPr>
            </w:pPr>
            <w:r>
              <w:rPr>
                <w:rFonts w:hint="eastAsia" w:cs="Times New Roman"/>
              </w:rPr>
              <w:t>1</w:t>
            </w:r>
          </w:p>
        </w:tc>
        <w:tc>
          <w:tcPr>
            <w:tcW w:w="445" w:type="pct"/>
            <w:vAlign w:val="center"/>
          </w:tcPr>
          <w:p>
            <w:pPr>
              <w:pStyle w:val="49"/>
              <w:rPr>
                <w:rFonts w:cs="Times New Roman"/>
              </w:rPr>
            </w:pPr>
            <w:r>
              <w:rPr>
                <w:rFonts w:hint="eastAsia" w:ascii="宋体" w:hAnsi="宋体" w:cs="宋体"/>
                <w:szCs w:val="24"/>
              </w:rPr>
              <w:t>废冷冻机油</w:t>
            </w:r>
          </w:p>
        </w:tc>
        <w:tc>
          <w:tcPr>
            <w:tcW w:w="423" w:type="pct"/>
            <w:vAlign w:val="center"/>
          </w:tcPr>
          <w:p>
            <w:pPr>
              <w:pStyle w:val="49"/>
              <w:rPr>
                <w:rFonts w:cs="Times New Roman"/>
              </w:rPr>
            </w:pPr>
            <w:r>
              <w:rPr>
                <w:rFonts w:hint="eastAsia" w:cs="Times New Roman"/>
              </w:rPr>
              <w:t>HW08</w:t>
            </w:r>
          </w:p>
        </w:tc>
        <w:tc>
          <w:tcPr>
            <w:tcW w:w="658" w:type="pct"/>
            <w:vAlign w:val="center"/>
          </w:tcPr>
          <w:p>
            <w:pPr>
              <w:pStyle w:val="49"/>
              <w:rPr>
                <w:rFonts w:cs="Times New Roman"/>
              </w:rPr>
            </w:pPr>
            <w:r>
              <w:rPr>
                <w:rFonts w:hint="eastAsia"/>
              </w:rPr>
              <w:t>900-219-08</w:t>
            </w:r>
          </w:p>
        </w:tc>
        <w:tc>
          <w:tcPr>
            <w:tcW w:w="495" w:type="pct"/>
            <w:vAlign w:val="center"/>
          </w:tcPr>
          <w:p>
            <w:pPr>
              <w:pStyle w:val="49"/>
              <w:rPr>
                <w:rFonts w:cs="Times New Roman"/>
              </w:rPr>
            </w:pPr>
            <w:r>
              <w:t>0.5</w:t>
            </w:r>
          </w:p>
        </w:tc>
        <w:tc>
          <w:tcPr>
            <w:tcW w:w="465" w:type="pct"/>
            <w:vAlign w:val="center"/>
          </w:tcPr>
          <w:p>
            <w:pPr>
              <w:pStyle w:val="49"/>
              <w:rPr>
                <w:rFonts w:cs="Times New Roman"/>
              </w:rPr>
            </w:pPr>
            <w:r>
              <w:rPr>
                <w:rFonts w:hint="eastAsia" w:cs="Times New Roman"/>
              </w:rPr>
              <w:t>制冷机废冷冻机油更换</w:t>
            </w:r>
          </w:p>
        </w:tc>
        <w:tc>
          <w:tcPr>
            <w:tcW w:w="232" w:type="pct"/>
            <w:vAlign w:val="center"/>
          </w:tcPr>
          <w:p>
            <w:pPr>
              <w:pStyle w:val="49"/>
              <w:rPr>
                <w:rFonts w:cs="Times New Roman"/>
              </w:rPr>
            </w:pPr>
            <w:r>
              <w:rPr>
                <w:rFonts w:hint="eastAsia" w:cs="Times New Roman"/>
              </w:rPr>
              <w:t>液</w:t>
            </w:r>
          </w:p>
        </w:tc>
        <w:tc>
          <w:tcPr>
            <w:tcW w:w="353" w:type="pct"/>
            <w:vAlign w:val="center"/>
          </w:tcPr>
          <w:p>
            <w:pPr>
              <w:pStyle w:val="49"/>
              <w:rPr>
                <w:rFonts w:cs="Times New Roman"/>
              </w:rPr>
            </w:pPr>
            <w:r>
              <w:rPr>
                <w:rFonts w:hint="eastAsia" w:cs="Times New Roman"/>
              </w:rPr>
              <w:t>矿物油</w:t>
            </w:r>
          </w:p>
        </w:tc>
        <w:tc>
          <w:tcPr>
            <w:tcW w:w="386" w:type="pct"/>
            <w:vAlign w:val="center"/>
          </w:tcPr>
          <w:p>
            <w:pPr>
              <w:pStyle w:val="49"/>
              <w:rPr>
                <w:rFonts w:cs="Times New Roman"/>
              </w:rPr>
            </w:pPr>
            <w:r>
              <w:rPr>
                <w:rFonts w:hint="eastAsia" w:cs="Times New Roman"/>
              </w:rPr>
              <w:t>烃类、烷烃类</w:t>
            </w:r>
          </w:p>
        </w:tc>
        <w:tc>
          <w:tcPr>
            <w:tcW w:w="386" w:type="pct"/>
            <w:vAlign w:val="center"/>
          </w:tcPr>
          <w:p>
            <w:pPr>
              <w:pStyle w:val="49"/>
              <w:rPr>
                <w:rFonts w:cs="Times New Roman"/>
              </w:rPr>
            </w:pPr>
            <w:r>
              <w:rPr>
                <w:rFonts w:hint="eastAsia" w:cs="Times New Roman"/>
              </w:rPr>
              <w:t>1年</w:t>
            </w:r>
          </w:p>
        </w:tc>
        <w:tc>
          <w:tcPr>
            <w:tcW w:w="310" w:type="pct"/>
            <w:vAlign w:val="center"/>
          </w:tcPr>
          <w:p>
            <w:pPr>
              <w:pStyle w:val="49"/>
              <w:rPr>
                <w:rFonts w:cs="Times New Roman"/>
              </w:rPr>
            </w:pPr>
            <w:r>
              <w:rPr>
                <w:rFonts w:hint="eastAsia" w:cs="Times New Roman"/>
              </w:rPr>
              <w:t>可燃</w:t>
            </w:r>
          </w:p>
        </w:tc>
        <w:tc>
          <w:tcPr>
            <w:tcW w:w="614" w:type="pct"/>
            <w:vMerge w:val="restart"/>
            <w:vAlign w:val="center"/>
          </w:tcPr>
          <w:p>
            <w:pPr>
              <w:pStyle w:val="49"/>
              <w:rPr>
                <w:rFonts w:cs="Times New Roman"/>
              </w:rPr>
            </w:pPr>
            <w:r>
              <w:rPr>
                <w:rFonts w:hint="eastAsia" w:cs="Times New Roman"/>
              </w:rPr>
              <w:t>采用防渗防漏的专用容器装密封，暂存于危险废物暂存间，分类单层存放，危险废物暂存间设计为防风、防雨、防晒、防渗漏的独立房间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3" w:type="pct"/>
            <w:vAlign w:val="center"/>
          </w:tcPr>
          <w:p>
            <w:pPr>
              <w:pStyle w:val="49"/>
              <w:rPr>
                <w:rFonts w:cs="Times New Roman"/>
              </w:rPr>
            </w:pPr>
            <w:r>
              <w:rPr>
                <w:rFonts w:hint="eastAsia" w:cs="Times New Roman"/>
              </w:rPr>
              <w:t>2</w:t>
            </w:r>
          </w:p>
        </w:tc>
        <w:tc>
          <w:tcPr>
            <w:tcW w:w="445" w:type="pct"/>
            <w:vAlign w:val="center"/>
          </w:tcPr>
          <w:p>
            <w:pPr>
              <w:pStyle w:val="49"/>
              <w:rPr>
                <w:rFonts w:cs="Times New Roman"/>
              </w:rPr>
            </w:pPr>
            <w:r>
              <w:rPr>
                <w:rFonts w:hint="eastAsia" w:ascii="宋体" w:hAnsi="宋体" w:cs="宋体"/>
                <w:szCs w:val="24"/>
              </w:rPr>
              <w:t>检疫废物</w:t>
            </w:r>
          </w:p>
        </w:tc>
        <w:tc>
          <w:tcPr>
            <w:tcW w:w="423" w:type="pct"/>
            <w:vAlign w:val="center"/>
          </w:tcPr>
          <w:p>
            <w:pPr>
              <w:pStyle w:val="49"/>
              <w:rPr>
                <w:rFonts w:cs="Times New Roman"/>
              </w:rPr>
            </w:pPr>
            <w:r>
              <w:rPr>
                <w:rFonts w:cs="Times New Roman"/>
              </w:rPr>
              <w:t>HW49</w:t>
            </w:r>
          </w:p>
        </w:tc>
        <w:tc>
          <w:tcPr>
            <w:tcW w:w="658" w:type="pct"/>
            <w:vAlign w:val="center"/>
          </w:tcPr>
          <w:p>
            <w:pPr>
              <w:pStyle w:val="49"/>
              <w:rPr>
                <w:rFonts w:cs="Times New Roman"/>
              </w:rPr>
            </w:pPr>
            <w:r>
              <w:rPr>
                <w:rFonts w:hint="eastAsia"/>
              </w:rPr>
              <w:t>900-047-49</w:t>
            </w:r>
          </w:p>
        </w:tc>
        <w:tc>
          <w:tcPr>
            <w:tcW w:w="495" w:type="pct"/>
            <w:vAlign w:val="center"/>
          </w:tcPr>
          <w:p>
            <w:pPr>
              <w:pStyle w:val="49"/>
              <w:rPr>
                <w:rFonts w:cs="Times New Roman"/>
              </w:rPr>
            </w:pPr>
            <w:r>
              <w:rPr>
                <w:rFonts w:hint="eastAsia" w:cs="Times New Roman"/>
              </w:rPr>
              <w:t>0.3</w:t>
            </w:r>
          </w:p>
        </w:tc>
        <w:tc>
          <w:tcPr>
            <w:tcW w:w="465" w:type="pct"/>
            <w:vAlign w:val="center"/>
          </w:tcPr>
          <w:p>
            <w:pPr>
              <w:pStyle w:val="49"/>
              <w:rPr>
                <w:rFonts w:cs="Times New Roman"/>
              </w:rPr>
            </w:pPr>
            <w:r>
              <w:rPr>
                <w:rFonts w:hint="eastAsia" w:cs="Times New Roman"/>
              </w:rPr>
              <w:t>胴体</w:t>
            </w:r>
          </w:p>
          <w:p>
            <w:pPr>
              <w:pStyle w:val="49"/>
              <w:rPr>
                <w:rFonts w:cs="Times New Roman"/>
              </w:rPr>
            </w:pPr>
            <w:r>
              <w:rPr>
                <w:rFonts w:hint="eastAsia" w:cs="Times New Roman"/>
              </w:rPr>
              <w:t>检疫</w:t>
            </w:r>
          </w:p>
        </w:tc>
        <w:tc>
          <w:tcPr>
            <w:tcW w:w="232" w:type="pct"/>
            <w:vAlign w:val="center"/>
          </w:tcPr>
          <w:p>
            <w:pPr>
              <w:pStyle w:val="49"/>
              <w:rPr>
                <w:rFonts w:cs="Times New Roman"/>
              </w:rPr>
            </w:pPr>
            <w:r>
              <w:rPr>
                <w:rFonts w:hint="eastAsia" w:cs="Times New Roman"/>
              </w:rPr>
              <w:t>固</w:t>
            </w:r>
          </w:p>
        </w:tc>
        <w:tc>
          <w:tcPr>
            <w:tcW w:w="353" w:type="pct"/>
            <w:vAlign w:val="center"/>
          </w:tcPr>
          <w:p>
            <w:pPr>
              <w:pStyle w:val="49"/>
              <w:rPr>
                <w:rFonts w:cs="Times New Roman"/>
              </w:rPr>
            </w:pPr>
            <w:r>
              <w:rPr>
                <w:rFonts w:hint="eastAsia" w:cs="Times New Roman"/>
              </w:rPr>
              <w:t>废试验药剂</w:t>
            </w:r>
          </w:p>
        </w:tc>
        <w:tc>
          <w:tcPr>
            <w:tcW w:w="386" w:type="pct"/>
            <w:vAlign w:val="center"/>
          </w:tcPr>
          <w:p>
            <w:pPr>
              <w:pStyle w:val="49"/>
              <w:rPr>
                <w:rFonts w:cs="Times New Roman"/>
              </w:rPr>
            </w:pPr>
            <w:r>
              <w:rPr>
                <w:rFonts w:hint="eastAsia" w:cs="Times New Roman"/>
              </w:rPr>
              <w:t>有机物</w:t>
            </w:r>
          </w:p>
        </w:tc>
        <w:tc>
          <w:tcPr>
            <w:tcW w:w="386" w:type="pct"/>
            <w:vAlign w:val="center"/>
          </w:tcPr>
          <w:p>
            <w:pPr>
              <w:pStyle w:val="49"/>
              <w:rPr>
                <w:rFonts w:cs="Times New Roman"/>
              </w:rPr>
            </w:pPr>
            <w:r>
              <w:rPr>
                <w:rFonts w:hint="eastAsia" w:cs="Times New Roman"/>
              </w:rPr>
              <w:t>每天</w:t>
            </w:r>
          </w:p>
        </w:tc>
        <w:tc>
          <w:tcPr>
            <w:tcW w:w="310" w:type="pct"/>
            <w:vAlign w:val="center"/>
          </w:tcPr>
          <w:p>
            <w:pPr>
              <w:pStyle w:val="49"/>
              <w:rPr>
                <w:rFonts w:cs="Times New Roman"/>
              </w:rPr>
            </w:pPr>
            <w:r>
              <w:rPr>
                <w:rFonts w:hint="eastAsia" w:cs="Times New Roman"/>
              </w:rPr>
              <w:t>毒性</w:t>
            </w:r>
          </w:p>
        </w:tc>
        <w:tc>
          <w:tcPr>
            <w:tcW w:w="614" w:type="pct"/>
            <w:vMerge w:val="continue"/>
            <w:vAlign w:val="center"/>
          </w:tcPr>
          <w:p>
            <w:pPr>
              <w:pStyle w:val="49"/>
              <w:rPr>
                <w:rFonts w:cs="Times New Roman"/>
              </w:rPr>
            </w:pPr>
          </w:p>
        </w:tc>
      </w:tr>
    </w:tbl>
    <w:p>
      <w:pPr>
        <w:pStyle w:val="3"/>
        <w:ind w:firstLine="480"/>
      </w:pPr>
    </w:p>
    <w:p>
      <w:pPr>
        <w:pStyle w:val="3"/>
        <w:ind w:firstLine="0" w:firstLineChars="0"/>
        <w:outlineLvl w:val="2"/>
      </w:pPr>
      <w:r>
        <w:rPr>
          <w:rFonts w:hint="eastAsia"/>
        </w:rPr>
        <w:t>4.2.7</w:t>
      </w:r>
      <w:r>
        <w:rPr>
          <w:rFonts w:hint="eastAsia"/>
        </w:rPr>
        <w:tab/>
      </w:r>
      <w:r>
        <w:rPr>
          <w:rFonts w:hint="eastAsia" w:eastAsia="黑体" w:cstheme="majorBidi"/>
          <w:bCs/>
          <w:szCs w:val="32"/>
        </w:rPr>
        <w:t>各类污染物排放汇总</w:t>
      </w:r>
    </w:p>
    <w:p>
      <w:pPr>
        <w:pStyle w:val="3"/>
        <w:ind w:firstLine="480"/>
        <w:rPr>
          <w:rFonts w:ascii="宋体" w:cs="宋体" w:eastAsiaTheme="minorEastAsia"/>
          <w:kern w:val="0"/>
          <w:szCs w:val="24"/>
        </w:rPr>
      </w:pPr>
      <w:r>
        <w:rPr>
          <w:rFonts w:hint="eastAsia" w:hAnsi="宋体"/>
          <w:szCs w:val="24"/>
        </w:rPr>
        <w:t>本工程污染物排放汇总及与现有工程排污量</w:t>
      </w:r>
      <w:r>
        <w:rPr>
          <w:szCs w:val="24"/>
        </w:rPr>
        <w:t>“</w:t>
      </w:r>
      <w:r>
        <w:rPr>
          <w:rFonts w:hint="eastAsia" w:hAnsi="宋体"/>
          <w:szCs w:val="24"/>
        </w:rPr>
        <w:t>三本帐</w:t>
      </w:r>
      <w:r>
        <w:rPr>
          <w:szCs w:val="24"/>
        </w:rPr>
        <w:t>”</w:t>
      </w:r>
      <w:r>
        <w:rPr>
          <w:rFonts w:hint="eastAsia" w:hAnsi="宋体"/>
          <w:szCs w:val="24"/>
        </w:rPr>
        <w:t>计算表见表</w:t>
      </w:r>
      <w:r>
        <w:rPr>
          <w:rFonts w:hint="eastAsia"/>
          <w:szCs w:val="24"/>
        </w:rPr>
        <w:t>4.2-22、4.2-23</w:t>
      </w:r>
      <w:r>
        <w:rPr>
          <w:rFonts w:hint="eastAsia" w:ascii="宋体" w:cs="宋体"/>
          <w:kern w:val="0"/>
          <w:szCs w:val="24"/>
        </w:rPr>
        <w:t>。</w:t>
      </w:r>
    </w:p>
    <w:p>
      <w:pPr>
        <w:pStyle w:val="3"/>
        <w:spacing w:line="240" w:lineRule="auto"/>
        <w:ind w:firstLine="0" w:firstLineChars="0"/>
        <w:jc w:val="center"/>
        <w:rPr>
          <w:rFonts w:cs="Times New Roman" w:eastAsiaTheme="minorEastAsia"/>
          <w:b/>
        </w:rPr>
      </w:pPr>
      <w:r>
        <w:rPr>
          <w:rFonts w:hint="eastAsia" w:cs="Times New Roman" w:eastAsiaTheme="minorEastAsia"/>
          <w:b/>
        </w:rPr>
        <w:t>表4</w:t>
      </w:r>
      <w:r>
        <w:rPr>
          <w:rFonts w:cs="Times New Roman" w:eastAsiaTheme="minorEastAsia"/>
          <w:b/>
        </w:rPr>
        <w:t>.2-</w:t>
      </w:r>
      <w:r>
        <w:rPr>
          <w:rFonts w:hint="eastAsia" w:cs="Times New Roman" w:eastAsiaTheme="minorEastAsia"/>
          <w:b/>
        </w:rPr>
        <w:t>22</w:t>
      </w:r>
      <w:r>
        <w:rPr>
          <w:rFonts w:cs="Times New Roman" w:eastAsiaTheme="minorEastAsia"/>
          <w:b/>
        </w:rPr>
        <w:t xml:space="preserve">  </w:t>
      </w:r>
      <w:r>
        <w:rPr>
          <w:rFonts w:hint="eastAsia" w:cs="Times New Roman" w:eastAsiaTheme="minorEastAsia"/>
          <w:b/>
        </w:rPr>
        <w:t>本项目污染物排放汇总</w:t>
      </w:r>
    </w:p>
    <w:tbl>
      <w:tblPr>
        <w:tblStyle w:val="3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560"/>
        <w:gridCol w:w="1135"/>
        <w:gridCol w:w="1411"/>
        <w:gridCol w:w="1512"/>
        <w:gridCol w:w="1512"/>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项目</w:t>
            </w:r>
          </w:p>
        </w:tc>
        <w:tc>
          <w:tcPr>
            <w:tcW w:w="1560"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污染源</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污染物名称</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产生浓度</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产生量t/a</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排放浓度</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cs="Times New Roman"/>
                <w:szCs w:val="24"/>
              </w:rPr>
              <w:t>废水</w:t>
            </w:r>
          </w:p>
        </w:tc>
        <w:tc>
          <w:tcPr>
            <w:tcW w:w="1560"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hint="eastAsia" w:cs="Times New Roman"/>
                <w:szCs w:val="24"/>
              </w:rPr>
              <w:t>生产废水</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水量</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rPr>
              <w:t>167450</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COD</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2000</w:t>
            </w:r>
            <w:r>
              <w:rPr>
                <w:rFonts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334.9</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BOD</w:t>
            </w:r>
            <w:r>
              <w:rPr>
                <w:rFonts w:cs="Times New Roman"/>
                <w:szCs w:val="24"/>
                <w:vertAlign w:val="subscript"/>
              </w:rPr>
              <w:t>5</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760</w:t>
            </w:r>
            <w:r>
              <w:rPr>
                <w:rFonts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t>127.26</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rPr>
              <w:t>氨氮</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150</w:t>
            </w:r>
            <w:r>
              <w:rPr>
                <w:rFonts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25.12</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rPr>
              <w:t>总磷</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7.15</w:t>
            </w:r>
            <w:r>
              <w:rPr>
                <w:rFonts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1.2</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cs="Times New Roman"/>
                <w:szCs w:val="24"/>
              </w:rPr>
            </w:pPr>
            <w:r>
              <w:rPr>
                <w:rFonts w:hint="eastAsia" w:ascii="Times New Roman" w:hAnsi="Times New Roman"/>
              </w:rPr>
              <w:t>总氮</w:t>
            </w:r>
          </w:p>
        </w:tc>
        <w:tc>
          <w:tcPr>
            <w:tcW w:w="1411"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176</w:t>
            </w:r>
            <w:r>
              <w:rPr>
                <w:rFonts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29.47</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t>SS</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1000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167.45</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动植物油</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200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33.49</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restart"/>
            <w:tcBorders>
              <w:left w:val="single" w:color="auto" w:sz="4" w:space="0"/>
              <w:right w:val="single" w:color="auto" w:sz="4" w:space="0"/>
            </w:tcBorders>
            <w:vAlign w:val="center"/>
          </w:tcPr>
          <w:p>
            <w:pPr>
              <w:pStyle w:val="49"/>
              <w:rPr>
                <w:rFonts w:cs="Times New Roman"/>
                <w:szCs w:val="24"/>
              </w:rPr>
            </w:pPr>
            <w:r>
              <w:rPr>
                <w:rFonts w:hint="eastAsia" w:cs="Times New Roman"/>
                <w:szCs w:val="24"/>
              </w:rPr>
              <w:t>生活污水</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cs="Times New Roman"/>
                <w:szCs w:val="24"/>
              </w:rPr>
              <w:t>水量</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432</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COD</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250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0.108</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BOD</w:t>
            </w:r>
            <w:r>
              <w:rPr>
                <w:rFonts w:cs="Times New Roman"/>
                <w:szCs w:val="24"/>
                <w:vertAlign w:val="subscript"/>
              </w:rPr>
              <w:t>5</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150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0.0648</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氨氮</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30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0.013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SS</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200</w:t>
            </w:r>
            <w:r>
              <w:rPr>
                <w:rFonts w:ascii="Times New Roman" w:hAnsi="Times New Roman" w:eastAsia="等线" w:cs="Times New Roman"/>
                <w:kern w:val="0"/>
              </w:rPr>
              <w:t>mg/L</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0.0864</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废气</w:t>
            </w:r>
          </w:p>
        </w:tc>
        <w:tc>
          <w:tcPr>
            <w:tcW w:w="1560"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hint="eastAsia" w:cs="Times New Roman"/>
                <w:szCs w:val="24"/>
              </w:rPr>
              <w:t>生物质锅炉（有组织排放）</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烟尘</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41.7</w:t>
            </w:r>
            <w:r>
              <w:rPr>
                <w:rFonts w:ascii="Times New Roman" w:hAnsi="Times New Roman" w:cs="Times New Roman"/>
                <w:color w:val="FF0000"/>
                <w:kern w:val="0"/>
              </w:rPr>
              <w:t>mg/m</w:t>
            </w:r>
            <w:r>
              <w:rPr>
                <w:rFonts w:ascii="Times New Roman" w:hAnsi="Times New Roman" w:cs="Times New Roman"/>
                <w:color w:val="FF0000"/>
                <w:kern w:val="0"/>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0.417</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SO</w:t>
            </w:r>
            <w:r>
              <w:rPr>
                <w:rFonts w:hint="eastAsia"/>
                <w:color w:val="FF0000"/>
                <w:vertAlign w:val="subscript"/>
              </w:rPr>
              <w:t>2</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28.3</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0.204</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28.3</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color w:val="FF0000"/>
              </w:rPr>
            </w:pPr>
            <w:r>
              <w:rPr>
                <w:rFonts w:hint="eastAsia"/>
                <w:color w:val="FF0000"/>
              </w:rPr>
              <w:t>NOx</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85</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0.612</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85</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牛屠宰待宰区</w:t>
            </w:r>
            <w:r>
              <w:rPr>
                <w:rFonts w:cs="Times New Roman"/>
                <w:szCs w:val="24"/>
              </w:rPr>
              <w:t>（无组织）</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NH</w:t>
            </w:r>
            <w:r>
              <w:rPr>
                <w:rFonts w:cs="Times New Roman"/>
                <w:color w:val="FF0000"/>
                <w:szCs w:val="24"/>
                <w:vertAlign w:val="subscript"/>
              </w:rPr>
              <w:t>3</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1</w:t>
            </w:r>
            <w:r>
              <w:rPr>
                <w:rFonts w:ascii="Times New Roman" w:hAnsi="Times New Roman" w:eastAsia="宋体" w:cs="Times New Roman"/>
                <w:color w:val="FF0000"/>
                <w:szCs w:val="24"/>
              </w:rPr>
              <w:t xml:space="preserve"> mg/m</w:t>
            </w:r>
            <w:r>
              <w:rPr>
                <w:rFonts w:ascii="Times New Roman" w:hAnsi="Times New Roman" w:eastAsia="宋体" w:cs="Times New Roman"/>
                <w:color w:val="FF0000"/>
                <w:szCs w:val="24"/>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0.096</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0.3</w:t>
            </w:r>
            <w:r>
              <w:rPr>
                <w:rFonts w:ascii="Times New Roman" w:hAnsi="Times New Roman" w:eastAsia="宋体" w:cs="Times New Roman"/>
                <w:color w:val="FF0000"/>
                <w:szCs w:val="24"/>
              </w:rPr>
              <w:t>mg/ m</w:t>
            </w:r>
            <w:r>
              <w:rPr>
                <w:rFonts w:ascii="Times New Roman" w:hAnsi="Times New Roman" w:eastAsia="宋体" w:cs="Times New Roman"/>
                <w:color w:val="FF0000"/>
                <w:szCs w:val="24"/>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w:t>
            </w:r>
            <w:r>
              <w:rPr>
                <w:rFonts w:hint="eastAsia" w:ascii="Times New Roman" w:hAnsi="Times New Roman"/>
                <w:color w:val="FF0000"/>
              </w:rPr>
              <w:t>0</w:t>
            </w:r>
            <w:r>
              <w:rPr>
                <w:rFonts w:ascii="Times New Roman" w:hAnsi="Times New Roman"/>
                <w:color w:val="FF000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H</w:t>
            </w:r>
            <w:r>
              <w:rPr>
                <w:rFonts w:cs="Times New Roman"/>
                <w:color w:val="FF0000"/>
                <w:szCs w:val="24"/>
                <w:vertAlign w:val="subscript"/>
              </w:rPr>
              <w:t>2</w:t>
            </w:r>
            <w:r>
              <w:rPr>
                <w:rFonts w:cs="Times New Roman"/>
                <w:color w:val="FF0000"/>
                <w:szCs w:val="24"/>
              </w:rPr>
              <w:t>S</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0.02</w:t>
            </w:r>
            <w:r>
              <w:rPr>
                <w:rFonts w:ascii="Times New Roman" w:hAnsi="Times New Roman" w:eastAsia="宋体" w:cs="Times New Roman"/>
                <w:color w:val="FF0000"/>
                <w:szCs w:val="24"/>
              </w:rPr>
              <w:t xml:space="preserve"> mg/ m</w:t>
            </w:r>
            <w:r>
              <w:rPr>
                <w:rFonts w:ascii="Times New Roman" w:hAnsi="Times New Roman" w:eastAsia="宋体" w:cs="Times New Roman"/>
                <w:color w:val="FF0000"/>
                <w:szCs w:val="24"/>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0.00192</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0.006</w:t>
            </w:r>
            <w:r>
              <w:rPr>
                <w:rFonts w:ascii="Times New Roman" w:hAnsi="Times New Roman" w:eastAsia="宋体" w:cs="Times New Roman"/>
                <w:color w:val="FF0000"/>
                <w:szCs w:val="24"/>
              </w:rPr>
              <w:t xml:space="preserve"> mg/ m</w:t>
            </w:r>
            <w:r>
              <w:rPr>
                <w:rFonts w:ascii="Times New Roman" w:hAnsi="Times New Roman" w:eastAsia="宋体" w:cs="Times New Roman"/>
                <w:color w:val="FF0000"/>
                <w:szCs w:val="24"/>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0.000576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禽类屠宰待宰区</w:t>
            </w:r>
          </w:p>
          <w:p>
            <w:pPr>
              <w:pStyle w:val="49"/>
              <w:rPr>
                <w:rFonts w:cs="Times New Roman"/>
                <w:szCs w:val="24"/>
              </w:rPr>
            </w:pPr>
            <w:r>
              <w:rPr>
                <w:rFonts w:cs="Times New Roman"/>
                <w:szCs w:val="24"/>
              </w:rPr>
              <w:t>（</w:t>
            </w:r>
            <w:r>
              <w:rPr>
                <w:rFonts w:hint="eastAsia" w:cs="Times New Roman"/>
                <w:szCs w:val="24"/>
              </w:rPr>
              <w:t>无</w:t>
            </w:r>
            <w:r>
              <w:rPr>
                <w:rFonts w:cs="Times New Roman"/>
                <w:szCs w:val="24"/>
              </w:rPr>
              <w:t>组织）</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NH</w:t>
            </w:r>
            <w:r>
              <w:rPr>
                <w:rFonts w:cs="Times New Roman"/>
                <w:color w:val="FF0000"/>
                <w:szCs w:val="24"/>
                <w:vertAlign w:val="subscript"/>
              </w:rPr>
              <w:t>3</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0.5</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0.0504</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0.15</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H</w:t>
            </w:r>
            <w:r>
              <w:rPr>
                <w:rFonts w:cs="Times New Roman"/>
                <w:color w:val="FF0000"/>
                <w:szCs w:val="24"/>
                <w:vertAlign w:val="subscript"/>
              </w:rPr>
              <w:t>2</w:t>
            </w:r>
            <w:r>
              <w:rPr>
                <w:rFonts w:cs="Times New Roman"/>
                <w:color w:val="FF0000"/>
                <w:szCs w:val="24"/>
              </w:rPr>
              <w:t>S</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0.006</w:t>
            </w:r>
            <w:r>
              <w:rPr>
                <w:rFonts w:ascii="Times New Roman" w:hAnsi="Times New Roman" w:cs="Times New Roman"/>
                <w:color w:val="FF0000"/>
                <w:kern w:val="0"/>
              </w:rPr>
              <w:t xml:space="preserve"> mg/m</w:t>
            </w:r>
            <w:r>
              <w:rPr>
                <w:rFonts w:ascii="Times New Roman" w:hAnsi="Times New Roman" w:cs="Times New Roman"/>
                <w:color w:val="FF0000"/>
                <w:kern w:val="0"/>
                <w:vertAlign w:val="superscript"/>
              </w:rPr>
              <w:t>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0.000605</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0.0018</w:t>
            </w:r>
            <w:r>
              <w:rPr>
                <w:rFonts w:ascii="Times New Roman" w:hAnsi="Times New Roman" w:cs="Times New Roman"/>
                <w:color w:val="FF0000"/>
                <w:kern w:val="0"/>
              </w:rPr>
              <w:t>mg/m</w:t>
            </w:r>
            <w:r>
              <w:rPr>
                <w:rFonts w:ascii="Times New Roman" w:hAnsi="Times New Roman" w:cs="Times New Roman"/>
                <w:color w:val="FF0000"/>
                <w:kern w:val="0"/>
                <w:vertAlign w:val="superscript"/>
              </w:rPr>
              <w:t>3</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0.000181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hint="eastAsia" w:ascii="宋体" w:cs="宋体"/>
              </w:rPr>
              <w:t>粪污处理系统</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NH</w:t>
            </w:r>
            <w:r>
              <w:rPr>
                <w:rFonts w:cs="Times New Roman"/>
                <w:color w:val="FF0000"/>
                <w:szCs w:val="24"/>
                <w:vertAlign w:val="subscript"/>
              </w:rPr>
              <w:t>3</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0.355</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ascii="Times New Roman" w:hAnsi="Times New Roman"/>
                <w:color w:val="FF0000"/>
              </w:rPr>
              <w:t>0.1065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szCs w:val="24"/>
              </w:rPr>
            </w:pPr>
            <w:r>
              <w:rPr>
                <w:rFonts w:cs="Times New Roman"/>
                <w:color w:val="FF0000"/>
                <w:szCs w:val="24"/>
              </w:rPr>
              <w:t>H</w:t>
            </w:r>
            <w:r>
              <w:rPr>
                <w:rFonts w:cs="Times New Roman"/>
                <w:color w:val="FF0000"/>
                <w:szCs w:val="24"/>
                <w:vertAlign w:val="subscript"/>
              </w:rPr>
              <w:t>2</w:t>
            </w:r>
            <w:r>
              <w:rPr>
                <w:rFonts w:cs="Times New Roman"/>
                <w:color w:val="FF0000"/>
                <w:szCs w:val="24"/>
              </w:rPr>
              <w:t>S</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color w:val="FF0000"/>
                <w:szCs w:val="24"/>
              </w:rPr>
            </w:pPr>
            <w:r>
              <w:rPr>
                <w:rFonts w:ascii="Times New Roman" w:hAnsi="Times New Roman"/>
                <w:color w:val="FF0000"/>
              </w:rPr>
              <w:t>0.0137</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color w:val="FF0000"/>
                <w:szCs w:val="24"/>
              </w:rPr>
            </w:pPr>
            <w:r>
              <w:rPr>
                <w:rFonts w:ascii="Times New Roman" w:hAnsi="Times New Roman"/>
                <w:color w:val="FF0000"/>
              </w:rPr>
              <w:t>0.00411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固废</w:t>
            </w:r>
          </w:p>
        </w:tc>
        <w:tc>
          <w:tcPr>
            <w:tcW w:w="1560"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cs="Times New Roman"/>
                <w:szCs w:val="24"/>
              </w:rPr>
              <w:t>一般固废</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不合格家禽</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2.125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病死牛</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0.5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粪便</w:t>
            </w:r>
          </w:p>
        </w:tc>
        <w:tc>
          <w:tcPr>
            <w:tcW w:w="14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899.5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内脏容物</w:t>
            </w:r>
          </w:p>
        </w:tc>
        <w:tc>
          <w:tcPr>
            <w:tcW w:w="14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60.5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屠宰废弃物</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2062.5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腊鸭毛混合物</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6.15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栅渣</w:t>
            </w:r>
          </w:p>
        </w:tc>
        <w:tc>
          <w:tcPr>
            <w:tcW w:w="14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21.23</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粪渣、沼渣</w:t>
            </w:r>
          </w:p>
        </w:tc>
        <w:tc>
          <w:tcPr>
            <w:tcW w:w="14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63.63</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生物质炉渣</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widowControl w:val="0"/>
              <w:rPr>
                <w:rFonts w:cs="Times New Roman"/>
                <w:szCs w:val="24"/>
              </w:rPr>
            </w:pPr>
            <w:r>
              <w:rPr>
                <w:rFonts w:hint="eastAsia" w:cs="Times New Roman"/>
                <w:szCs w:val="24"/>
              </w:rPr>
              <w:t>8.26</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restart"/>
            <w:tcBorders>
              <w:top w:val="single" w:color="auto" w:sz="4" w:space="0"/>
              <w:left w:val="single" w:color="auto" w:sz="4" w:space="0"/>
              <w:right w:val="single" w:color="auto" w:sz="4" w:space="0"/>
            </w:tcBorders>
            <w:vAlign w:val="center"/>
          </w:tcPr>
          <w:p>
            <w:pPr>
              <w:pStyle w:val="49"/>
              <w:rPr>
                <w:rFonts w:cs="Times New Roman"/>
                <w:szCs w:val="24"/>
              </w:rPr>
            </w:pPr>
            <w:r>
              <w:rPr>
                <w:rFonts w:cs="Times New Roman"/>
                <w:szCs w:val="24"/>
              </w:rPr>
              <w:t>危险</w:t>
            </w:r>
            <w:r>
              <w:rPr>
                <w:rFonts w:hint="eastAsia" w:cs="Times New Roman"/>
                <w:szCs w:val="24"/>
              </w:rPr>
              <w:t>废物</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废冷冻机油</w:t>
            </w:r>
          </w:p>
        </w:tc>
        <w:tc>
          <w:tcPr>
            <w:tcW w:w="14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0.5</w:t>
            </w:r>
          </w:p>
        </w:tc>
        <w:tc>
          <w:tcPr>
            <w:tcW w:w="151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vMerge w:val="continue"/>
            <w:tcBorders>
              <w:left w:val="single" w:color="auto" w:sz="4" w:space="0"/>
              <w:bottom w:val="single" w:color="auto" w:sz="4" w:space="0"/>
              <w:right w:val="single" w:color="auto" w:sz="4" w:space="0"/>
            </w:tcBorders>
            <w:vAlign w:val="center"/>
          </w:tcPr>
          <w:p>
            <w:pPr>
              <w:pStyle w:val="49"/>
              <w:rPr>
                <w:rFonts w:cs="Times New Roman"/>
                <w:szCs w:val="24"/>
              </w:rPr>
            </w:pP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检疫废物</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0.3</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Times New Roman" w:hAnsi="Times New Roman" w:eastAsia="宋体" w:cs="Times New Roman"/>
                <w:szCs w:val="24"/>
              </w:rPr>
            </w:pPr>
            <w:r>
              <w:rPr>
                <w:rFonts w:hint="eastAsia"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办公生活区</w:t>
            </w:r>
          </w:p>
        </w:tc>
        <w:tc>
          <w:tcPr>
            <w:tcW w:w="1135" w:type="dxa"/>
            <w:tcBorders>
              <w:top w:val="single" w:color="auto" w:sz="4" w:space="0"/>
              <w:left w:val="single" w:color="auto" w:sz="4" w:space="0"/>
              <w:bottom w:val="single" w:color="auto" w:sz="4" w:space="0"/>
              <w:right w:val="single" w:color="auto" w:sz="4" w:space="0"/>
            </w:tcBorders>
            <w:vAlign w:val="center"/>
          </w:tcPr>
          <w:p>
            <w:pPr>
              <w:pStyle w:val="49"/>
            </w:pPr>
            <w:r>
              <w:t>生活垃圾</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512"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w:t>
            </w:r>
          </w:p>
        </w:tc>
        <w:tc>
          <w:tcPr>
            <w:tcW w:w="1513"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hint="eastAsia"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噪声</w:t>
            </w:r>
          </w:p>
        </w:tc>
        <w:tc>
          <w:tcPr>
            <w:tcW w:w="8643" w:type="dxa"/>
            <w:gridSpan w:val="6"/>
            <w:tcBorders>
              <w:top w:val="single" w:color="auto" w:sz="4" w:space="0"/>
              <w:left w:val="single" w:color="auto" w:sz="4" w:space="0"/>
              <w:bottom w:val="single" w:color="auto" w:sz="4" w:space="0"/>
              <w:right w:val="single" w:color="auto" w:sz="4" w:space="0"/>
            </w:tcBorders>
            <w:vAlign w:val="center"/>
          </w:tcPr>
          <w:p>
            <w:pPr>
              <w:pStyle w:val="49"/>
              <w:rPr>
                <w:rFonts w:cs="Times New Roman"/>
                <w:szCs w:val="24"/>
              </w:rPr>
            </w:pPr>
            <w:r>
              <w:rPr>
                <w:rFonts w:cs="Times New Roman"/>
                <w:szCs w:val="24"/>
              </w:rPr>
              <w:t>主要来自</w:t>
            </w:r>
            <w:r>
              <w:rPr>
                <w:rFonts w:hint="eastAsia" w:cs="Times New Roman"/>
                <w:szCs w:val="24"/>
              </w:rPr>
              <w:t>牛、鸡、鸭</w:t>
            </w:r>
            <w:r>
              <w:rPr>
                <w:rFonts w:cs="Times New Roman"/>
                <w:szCs w:val="24"/>
              </w:rPr>
              <w:t>叫声、设备噪声及车辆运输等，其声级在</w:t>
            </w:r>
            <w:r>
              <w:rPr>
                <w:rFonts w:hint="eastAsia" w:cs="Times New Roman"/>
                <w:szCs w:val="24"/>
              </w:rPr>
              <w:t>65</w:t>
            </w:r>
            <w:r>
              <w:rPr>
                <w:rFonts w:cs="Times New Roman"/>
                <w:szCs w:val="24"/>
              </w:rPr>
              <w:t>～</w:t>
            </w:r>
            <w:r>
              <w:rPr>
                <w:rFonts w:hint="eastAsia" w:cs="Times New Roman"/>
                <w:szCs w:val="24"/>
              </w:rPr>
              <w:t>85</w:t>
            </w:r>
            <w:r>
              <w:rPr>
                <w:rFonts w:cs="Times New Roman"/>
                <w:szCs w:val="24"/>
              </w:rPr>
              <w:t>dB(A)。通过墙体隔声、减震降噪等措施，厂界噪声排放值可满足《工业企业厂界环境噪声排放标准》</w:t>
            </w:r>
            <w:r>
              <w:rPr>
                <w:rFonts w:hint="eastAsia" w:cs="Times New Roman"/>
                <w:szCs w:val="24"/>
              </w:rPr>
              <w:t>2</w:t>
            </w:r>
            <w:r>
              <w:rPr>
                <w:rFonts w:cs="Times New Roman"/>
                <w:szCs w:val="24"/>
              </w:rPr>
              <w:t>类标准要求。</w:t>
            </w:r>
          </w:p>
        </w:tc>
      </w:tr>
    </w:tbl>
    <w:p>
      <w:pPr>
        <w:pStyle w:val="3"/>
        <w:ind w:firstLine="480"/>
        <w:rPr>
          <w:rFonts w:eastAsiaTheme="minorEastAsia"/>
        </w:rPr>
        <w:sectPr>
          <w:pgSz w:w="11906" w:h="16838"/>
          <w:pgMar w:top="1474" w:right="1361" w:bottom="1474" w:left="1588" w:header="851" w:footer="992" w:gutter="0"/>
          <w:cols w:space="425" w:num="1"/>
          <w:docGrid w:type="lines" w:linePitch="312" w:charSpace="0"/>
        </w:sectPr>
      </w:pPr>
    </w:p>
    <w:p>
      <w:pPr>
        <w:pStyle w:val="3"/>
        <w:spacing w:line="240" w:lineRule="auto"/>
        <w:ind w:firstLine="0" w:firstLineChars="0"/>
        <w:jc w:val="center"/>
        <w:rPr>
          <w:rFonts w:cs="Times New Roman"/>
          <w:color w:val="FF0000"/>
          <w:kern w:val="0"/>
          <w:u w:val="single"/>
        </w:rPr>
      </w:pPr>
      <w:r>
        <w:rPr>
          <w:rFonts w:hint="eastAsia" w:cs="Times New Roman" w:eastAsiaTheme="minorEastAsia"/>
          <w:b/>
          <w:color w:val="FF0000"/>
          <w:u w:val="single"/>
        </w:rPr>
        <w:t>表4</w:t>
      </w:r>
      <w:r>
        <w:rPr>
          <w:rFonts w:cs="Times New Roman" w:eastAsiaTheme="minorEastAsia"/>
          <w:b/>
          <w:color w:val="FF0000"/>
          <w:u w:val="single"/>
        </w:rPr>
        <w:t>.2-</w:t>
      </w:r>
      <w:r>
        <w:rPr>
          <w:rFonts w:hint="eastAsia" w:cs="Times New Roman" w:eastAsiaTheme="minorEastAsia"/>
          <w:b/>
          <w:color w:val="FF0000"/>
          <w:u w:val="single"/>
        </w:rPr>
        <w:t>23</w:t>
      </w:r>
      <w:r>
        <w:rPr>
          <w:rFonts w:cs="Times New Roman" w:eastAsiaTheme="minorEastAsia"/>
          <w:b/>
          <w:color w:val="FF0000"/>
          <w:u w:val="single"/>
        </w:rPr>
        <w:t xml:space="preserve">  </w:t>
      </w:r>
      <w:r>
        <w:rPr>
          <w:rFonts w:hint="eastAsia" w:cs="Times New Roman" w:eastAsiaTheme="minorEastAsia"/>
          <w:b/>
          <w:color w:val="FF0000"/>
          <w:u w:val="single"/>
        </w:rPr>
        <w:t>项目改扩建前后污染物排放情况“三本账”一览表  单位：t/a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584"/>
        <w:gridCol w:w="813"/>
        <w:gridCol w:w="745"/>
        <w:gridCol w:w="341"/>
        <w:gridCol w:w="1239"/>
        <w:gridCol w:w="1239"/>
        <w:gridCol w:w="1557"/>
        <w:gridCol w:w="1557"/>
        <w:gridCol w:w="1817"/>
        <w:gridCol w:w="182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项目</w:t>
            </w:r>
          </w:p>
        </w:tc>
        <w:tc>
          <w:tcPr>
            <w:tcW w:w="880" w:type="pct"/>
            <w:gridSpan w:val="4"/>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污染物</w:t>
            </w:r>
          </w:p>
        </w:tc>
        <w:tc>
          <w:tcPr>
            <w:tcW w:w="439" w:type="pct"/>
            <w:vAlign w:val="center"/>
          </w:tcPr>
          <w:p>
            <w:pPr>
              <w:topLinePunct/>
              <w:jc w:val="center"/>
              <w:rPr>
                <w:rFonts w:ascii="Times New Roman" w:hAnsi="Times New Roman"/>
                <w:color w:val="FF0000"/>
                <w:kern w:val="0"/>
                <w:u w:val="single"/>
              </w:rPr>
            </w:pPr>
            <w:r>
              <w:rPr>
                <w:rFonts w:hint="eastAsia" w:ascii="Times New Roman" w:hAnsi="Times New Roman"/>
                <w:color w:val="FF0000"/>
                <w:kern w:val="0"/>
                <w:u w:val="single"/>
              </w:rPr>
              <w:t>现有工程产生量</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现有工程排放量</w:t>
            </w:r>
          </w:p>
        </w:tc>
        <w:tc>
          <w:tcPr>
            <w:tcW w:w="552" w:type="pct"/>
            <w:vAlign w:val="center"/>
          </w:tcPr>
          <w:p>
            <w:pPr>
              <w:topLinePunct/>
              <w:jc w:val="center"/>
              <w:rPr>
                <w:rFonts w:ascii="Times New Roman" w:hAnsi="Times New Roman"/>
                <w:color w:val="FF0000"/>
                <w:kern w:val="0"/>
                <w:u w:val="single"/>
              </w:rPr>
            </w:pPr>
            <w:r>
              <w:rPr>
                <w:rFonts w:hint="eastAsia" w:ascii="Times New Roman" w:hAnsi="Times New Roman"/>
                <w:color w:val="FF0000"/>
                <w:kern w:val="0"/>
                <w:u w:val="single"/>
              </w:rPr>
              <w:t>改扩建项目产生量</w:t>
            </w:r>
          </w:p>
        </w:tc>
        <w:tc>
          <w:tcPr>
            <w:tcW w:w="552"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改扩建项目排放量</w:t>
            </w:r>
          </w:p>
        </w:tc>
        <w:tc>
          <w:tcPr>
            <w:tcW w:w="644" w:type="pct"/>
            <w:vAlign w:val="center"/>
          </w:tcPr>
          <w:p>
            <w:pPr>
              <w:jc w:val="center"/>
              <w:rPr>
                <w:rFonts w:ascii="Times New Roman" w:hAnsi="Times New Roman"/>
                <w:bCs/>
                <w:color w:val="FF0000"/>
                <w:u w:val="single"/>
              </w:rPr>
            </w:pPr>
            <w:r>
              <w:rPr>
                <w:rFonts w:hint="eastAsia" w:ascii="Times New Roman" w:hAnsi="Times New Roman"/>
                <w:bCs/>
                <w:color w:val="FF0000"/>
                <w:u w:val="single"/>
              </w:rPr>
              <w:t>“</w:t>
            </w:r>
            <w:r>
              <w:rPr>
                <w:rFonts w:ascii="Times New Roman" w:hAnsi="Times New Roman"/>
                <w:bCs/>
                <w:color w:val="FF0000"/>
                <w:u w:val="single"/>
              </w:rPr>
              <w:t>以新带老</w:t>
            </w:r>
            <w:r>
              <w:rPr>
                <w:rFonts w:hint="eastAsia" w:ascii="Times New Roman" w:hAnsi="Times New Roman"/>
                <w:bCs/>
                <w:color w:val="FF0000"/>
                <w:u w:val="single"/>
              </w:rPr>
              <w:t>”</w:t>
            </w:r>
            <w:r>
              <w:rPr>
                <w:rFonts w:ascii="Times New Roman" w:hAnsi="Times New Roman"/>
                <w:bCs/>
                <w:color w:val="FF0000"/>
                <w:u w:val="single"/>
              </w:rPr>
              <w:t>量</w:t>
            </w:r>
          </w:p>
        </w:tc>
        <w:tc>
          <w:tcPr>
            <w:tcW w:w="646" w:type="pct"/>
            <w:vAlign w:val="center"/>
          </w:tcPr>
          <w:p>
            <w:pPr>
              <w:jc w:val="center"/>
              <w:rPr>
                <w:rFonts w:ascii="Times New Roman" w:hAnsi="Times New Roman"/>
                <w:bCs/>
                <w:color w:val="FF0000"/>
                <w:u w:val="single"/>
              </w:rPr>
            </w:pPr>
            <w:r>
              <w:rPr>
                <w:rFonts w:ascii="Times New Roman" w:hAnsi="Times New Roman"/>
                <w:bCs/>
                <w:color w:val="FF0000"/>
                <w:u w:val="single"/>
              </w:rPr>
              <w:t>改扩建后整体工程排放量</w:t>
            </w:r>
          </w:p>
        </w:tc>
        <w:tc>
          <w:tcPr>
            <w:tcW w:w="617" w:type="pct"/>
            <w:vAlign w:val="center"/>
          </w:tcPr>
          <w:p>
            <w:pPr>
              <w:jc w:val="center"/>
              <w:rPr>
                <w:rFonts w:ascii="Times New Roman" w:hAnsi="Times New Roman"/>
                <w:bCs/>
                <w:color w:val="FF0000"/>
                <w:u w:val="single"/>
              </w:rPr>
            </w:pPr>
            <w:r>
              <w:rPr>
                <w:rFonts w:ascii="Times New Roman" w:hAnsi="Times New Roman"/>
                <w:bCs/>
                <w:color w:val="FF0000"/>
                <w:u w:val="single"/>
              </w:rPr>
              <w:t>增减情况</w:t>
            </w:r>
          </w:p>
          <w:p>
            <w:pPr>
              <w:jc w:val="center"/>
              <w:rPr>
                <w:rFonts w:ascii="Times New Roman" w:hAnsi="Times New Roman"/>
                <w:bCs/>
                <w:color w:val="FF0000"/>
                <w:u w:val="single"/>
              </w:rPr>
            </w:pPr>
            <w:r>
              <w:rPr>
                <w:rFonts w:ascii="Times New Roman" w:hAnsi="Times New Roman"/>
                <w:bCs/>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1" w:type="pct"/>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废气</w:t>
            </w:r>
          </w:p>
        </w:tc>
        <w:tc>
          <w:tcPr>
            <w:tcW w:w="495" w:type="pct"/>
            <w:gridSpan w:val="2"/>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锅炉烟气</w:t>
            </w: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颗粒物</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0.3</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0.03</w:t>
            </w:r>
          </w:p>
        </w:tc>
        <w:tc>
          <w:tcPr>
            <w:tcW w:w="644"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646"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0.03</w:t>
            </w:r>
          </w:p>
        </w:tc>
        <w:tc>
          <w:tcPr>
            <w:tcW w:w="617" w:type="pct"/>
            <w:vAlign w:val="center"/>
          </w:tcPr>
          <w:p>
            <w:pPr>
              <w:topLinePunct/>
              <w:jc w:val="center"/>
              <w:rPr>
                <w:rFonts w:ascii="Times New Roman" w:hAnsi="Times New Roman"/>
                <w:color w:val="FF0000"/>
                <w:u w:val="single"/>
              </w:rPr>
            </w:pPr>
            <w:r>
              <w:rPr>
                <w:rFonts w:ascii="Times New Roman" w:hAnsi="Times New Roman"/>
                <w:color w:val="FF0000"/>
                <w:kern w:val="0"/>
                <w:u w:val="singl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SO</w:t>
            </w:r>
            <w:r>
              <w:rPr>
                <w:rFonts w:ascii="Times New Roman" w:hAnsi="Times New Roman" w:eastAsiaTheme="minorEastAsia"/>
                <w:color w:val="FF0000"/>
                <w:u w:val="single"/>
                <w:vertAlign w:val="subscript"/>
              </w:rPr>
              <w:t>2</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0.204</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0.204</w:t>
            </w:r>
          </w:p>
        </w:tc>
        <w:tc>
          <w:tcPr>
            <w:tcW w:w="644"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646"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0.204</w:t>
            </w:r>
          </w:p>
        </w:tc>
        <w:tc>
          <w:tcPr>
            <w:tcW w:w="617" w:type="pct"/>
            <w:vAlign w:val="center"/>
          </w:tcPr>
          <w:p>
            <w:pPr>
              <w:topLinePunct/>
              <w:jc w:val="center"/>
              <w:rPr>
                <w:rFonts w:ascii="Times New Roman" w:hAnsi="Times New Roman"/>
                <w:color w:val="FF0000"/>
                <w:u w:val="single"/>
              </w:rPr>
            </w:pPr>
            <w:r>
              <w:rPr>
                <w:rFonts w:ascii="Times New Roman" w:hAnsi="Times New Roman"/>
                <w:color w:val="FF0000"/>
                <w:kern w:val="0"/>
                <w:u w:val="single"/>
              </w:rPr>
              <w:t>+0.20</w:t>
            </w:r>
            <w:r>
              <w:rPr>
                <w:rFonts w:hint="eastAsia" w:ascii="Times New Roman" w:hAnsi="Times New Roman"/>
                <w:color w:val="FF0000"/>
                <w:kern w:val="0"/>
                <w:u w:val="singl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NOx</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0.612</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0.612</w:t>
            </w:r>
          </w:p>
        </w:tc>
        <w:tc>
          <w:tcPr>
            <w:tcW w:w="644"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0</w:t>
            </w:r>
          </w:p>
        </w:tc>
        <w:tc>
          <w:tcPr>
            <w:tcW w:w="646"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0.612</w:t>
            </w:r>
          </w:p>
        </w:tc>
        <w:tc>
          <w:tcPr>
            <w:tcW w:w="617" w:type="pct"/>
            <w:vAlign w:val="center"/>
          </w:tcPr>
          <w:p>
            <w:pPr>
              <w:topLinePunct/>
              <w:jc w:val="center"/>
              <w:rPr>
                <w:rFonts w:ascii="Times New Roman" w:hAnsi="Times New Roman"/>
                <w:color w:val="FF0000"/>
                <w:u w:val="single"/>
              </w:rPr>
            </w:pPr>
            <w:r>
              <w:rPr>
                <w:rFonts w:ascii="Times New Roman" w:hAnsi="Times New Roman"/>
                <w:color w:val="FF0000"/>
                <w:kern w:val="0"/>
                <w:u w:val="single"/>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restart"/>
            <w:vAlign w:val="center"/>
          </w:tcPr>
          <w:p>
            <w:pPr>
              <w:topLinePunct/>
              <w:jc w:val="center"/>
              <w:rPr>
                <w:rFonts w:ascii="Times New Roman" w:hAnsi="Times New Roman"/>
                <w:color w:val="FF0000"/>
                <w:kern w:val="0"/>
                <w:u w:val="single"/>
              </w:rPr>
            </w:pPr>
            <w:r>
              <w:rPr>
                <w:rFonts w:hint="eastAsia" w:ascii="Times New Roman" w:hAnsi="Times New Roman"/>
                <w:color w:val="FF0000"/>
                <w:kern w:val="0"/>
                <w:u w:val="single"/>
              </w:rPr>
              <w:t>牛</w:t>
            </w:r>
            <w:r>
              <w:rPr>
                <w:rFonts w:ascii="Times New Roman" w:hAnsi="Times New Roman"/>
                <w:color w:val="FF0000"/>
                <w:kern w:val="0"/>
                <w:u w:val="single"/>
              </w:rPr>
              <w:t>待宰和屠宰</w:t>
            </w: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NH</w:t>
            </w:r>
            <w:r>
              <w:rPr>
                <w:rFonts w:ascii="Times New Roman" w:hAnsi="Times New Roman" w:eastAsiaTheme="minorEastAsia"/>
                <w:color w:val="FF0000"/>
                <w:u w:val="single"/>
                <w:vertAlign w:val="subscript"/>
              </w:rPr>
              <w:t>3</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0.00006</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olor w:val="FF0000"/>
                <w:u w:val="single"/>
              </w:rPr>
              <w:t>0.000024</w:t>
            </w:r>
          </w:p>
        </w:tc>
        <w:tc>
          <w:tcPr>
            <w:tcW w:w="552" w:type="pct"/>
            <w:vAlign w:val="center"/>
          </w:tcPr>
          <w:p>
            <w:pPr>
              <w:jc w:val="center"/>
              <w:rPr>
                <w:rFonts w:ascii="Times New Roman" w:hAnsi="Times New Roman" w:cs="Times New Roman"/>
                <w:color w:val="FF0000"/>
                <w:szCs w:val="24"/>
                <w:u w:val="single"/>
              </w:rPr>
            </w:pPr>
            <w:r>
              <w:rPr>
                <w:rFonts w:ascii="Times New Roman" w:hAnsi="Times New Roman"/>
                <w:color w:val="FF0000"/>
                <w:u w:val="single"/>
              </w:rPr>
              <w:t>0.096</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szCs w:val="24"/>
                <w:u w:val="single"/>
              </w:rPr>
              <w:t>0.0288</w:t>
            </w:r>
          </w:p>
        </w:tc>
        <w:tc>
          <w:tcPr>
            <w:tcW w:w="644" w:type="pct"/>
            <w:vAlign w:val="center"/>
          </w:tcPr>
          <w:p>
            <w:pPr>
              <w:topLinePunct/>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0.000018</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0.0288</w:t>
            </w:r>
            <w:r>
              <w:rPr>
                <w:rFonts w:hint="eastAsia" w:ascii="Times New Roman" w:hAnsi="Times New Roman" w:cs="Times New Roman"/>
                <w:color w:val="FF0000"/>
                <w:kern w:val="0"/>
                <w:u w:val="single"/>
              </w:rPr>
              <w:t>18</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+0.0288</w:t>
            </w:r>
            <w:r>
              <w:rPr>
                <w:rFonts w:hint="eastAsia" w:ascii="Times New Roman" w:hAnsi="Times New Roman" w:cs="Times New Roman"/>
                <w:color w:val="FF0000"/>
                <w:kern w:val="0"/>
                <w:u w:val="singl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topLinePunct/>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H</w:t>
            </w:r>
            <w:r>
              <w:rPr>
                <w:rFonts w:ascii="Times New Roman" w:hAnsi="Times New Roman" w:eastAsiaTheme="minorEastAsia"/>
                <w:color w:val="FF0000"/>
                <w:u w:val="single"/>
                <w:vertAlign w:val="subscript"/>
              </w:rPr>
              <w:t>2</w:t>
            </w:r>
            <w:r>
              <w:rPr>
                <w:rFonts w:ascii="Times New Roman" w:hAnsi="Times New Roman" w:eastAsiaTheme="minorEastAsia"/>
                <w:color w:val="FF0000"/>
                <w:u w:val="single"/>
              </w:rPr>
              <w:t>S</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0.00026</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olor w:val="FF0000"/>
                <w:u w:val="single"/>
              </w:rPr>
              <w:t>0.000104</w:t>
            </w:r>
          </w:p>
        </w:tc>
        <w:tc>
          <w:tcPr>
            <w:tcW w:w="552" w:type="pct"/>
            <w:vAlign w:val="center"/>
          </w:tcPr>
          <w:p>
            <w:pPr>
              <w:jc w:val="center"/>
              <w:rPr>
                <w:rFonts w:ascii="Times New Roman" w:hAnsi="Times New Roman" w:cs="Times New Roman"/>
                <w:color w:val="FF0000"/>
                <w:szCs w:val="24"/>
                <w:u w:val="single"/>
              </w:rPr>
            </w:pPr>
            <w:r>
              <w:rPr>
                <w:rFonts w:ascii="Times New Roman" w:hAnsi="Times New Roman"/>
                <w:color w:val="FF0000"/>
                <w:u w:val="single"/>
              </w:rPr>
              <w:t>0.00192</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szCs w:val="24"/>
                <w:u w:val="single"/>
              </w:rPr>
              <w:t>0.000576</w:t>
            </w:r>
          </w:p>
        </w:tc>
        <w:tc>
          <w:tcPr>
            <w:tcW w:w="644" w:type="pct"/>
            <w:vAlign w:val="center"/>
          </w:tcPr>
          <w:p>
            <w:pPr>
              <w:topLinePunct/>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0.000078</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0.000</w:t>
            </w:r>
            <w:r>
              <w:rPr>
                <w:rFonts w:hint="eastAsia" w:ascii="Times New Roman" w:hAnsi="Times New Roman" w:cs="Times New Roman"/>
                <w:color w:val="FF0000"/>
                <w:kern w:val="0"/>
                <w:u w:val="single"/>
              </w:rPr>
              <w:t>654</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+0.000</w:t>
            </w:r>
            <w:r>
              <w:rPr>
                <w:rFonts w:hint="eastAsia" w:ascii="Times New Roman" w:hAnsi="Times New Roman" w:cs="Times New Roman"/>
                <w:color w:val="FF0000"/>
                <w:kern w:val="0"/>
                <w:u w:val="single"/>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restart"/>
            <w:vAlign w:val="center"/>
          </w:tcPr>
          <w:p>
            <w:pPr>
              <w:topLinePunct/>
              <w:jc w:val="center"/>
              <w:rPr>
                <w:rFonts w:ascii="Times New Roman" w:hAnsi="Times New Roman"/>
                <w:color w:val="FF0000"/>
                <w:kern w:val="0"/>
                <w:u w:val="single"/>
              </w:rPr>
            </w:pPr>
            <w:r>
              <w:rPr>
                <w:rFonts w:hint="eastAsia" w:ascii="Times New Roman" w:hAnsi="Times New Roman"/>
                <w:color w:val="FF0000"/>
                <w:kern w:val="0"/>
                <w:u w:val="single"/>
              </w:rPr>
              <w:t>禽类待宰和屠宰</w:t>
            </w: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NH</w:t>
            </w:r>
            <w:r>
              <w:rPr>
                <w:rFonts w:ascii="Times New Roman" w:hAnsi="Times New Roman" w:eastAsiaTheme="minorEastAsia"/>
                <w:color w:val="FF0000"/>
                <w:u w:val="single"/>
                <w:vertAlign w:val="subscript"/>
              </w:rPr>
              <w:t>3</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s="Times New Roman"/>
                <w:color w:val="FF0000"/>
                <w:u w:val="single"/>
              </w:rPr>
              <w:t>0</w:t>
            </w:r>
          </w:p>
        </w:tc>
        <w:tc>
          <w:tcPr>
            <w:tcW w:w="552" w:type="pct"/>
            <w:vAlign w:val="center"/>
          </w:tcPr>
          <w:p>
            <w:pPr>
              <w:topLinePunct/>
              <w:jc w:val="center"/>
              <w:rPr>
                <w:rFonts w:ascii="Times New Roman" w:hAnsi="Times New Roman" w:cs="Times New Roman"/>
                <w:color w:val="FF0000"/>
                <w:u w:val="single"/>
              </w:rPr>
            </w:pPr>
            <w:r>
              <w:rPr>
                <w:rFonts w:ascii="Times New Roman" w:hAnsi="Times New Roman"/>
                <w:color w:val="FF0000"/>
                <w:u w:val="single"/>
              </w:rPr>
              <w:t>0.0504</w:t>
            </w:r>
          </w:p>
        </w:tc>
        <w:tc>
          <w:tcPr>
            <w:tcW w:w="552" w:type="pct"/>
            <w:vAlign w:val="center"/>
          </w:tcPr>
          <w:p>
            <w:pPr>
              <w:topLinePunct/>
              <w:jc w:val="center"/>
              <w:rPr>
                <w:rFonts w:ascii="Times New Roman" w:hAnsi="Times New Roman" w:cs="Times New Roman"/>
                <w:color w:val="FF0000"/>
                <w:u w:val="single"/>
              </w:rPr>
            </w:pPr>
            <w:r>
              <w:rPr>
                <w:rFonts w:ascii="Times New Roman" w:hAnsi="Times New Roman" w:cs="Times New Roman"/>
                <w:color w:val="FF0000"/>
                <w:u w:val="single"/>
              </w:rPr>
              <w:t>0.01512</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0.01512</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szCs w:val="24"/>
                <w:u w:val="single"/>
              </w:rPr>
              <w:t>+0.01512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topLinePunct/>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H</w:t>
            </w:r>
            <w:r>
              <w:rPr>
                <w:rFonts w:ascii="Times New Roman" w:hAnsi="Times New Roman" w:eastAsiaTheme="minorEastAsia"/>
                <w:color w:val="FF0000"/>
                <w:u w:val="single"/>
                <w:vertAlign w:val="subscript"/>
              </w:rPr>
              <w:t>2</w:t>
            </w:r>
            <w:r>
              <w:rPr>
                <w:rFonts w:ascii="Times New Roman" w:hAnsi="Times New Roman" w:eastAsiaTheme="minorEastAsia"/>
                <w:color w:val="FF0000"/>
                <w:u w:val="single"/>
              </w:rPr>
              <w:t>S</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s="Times New Roman"/>
                <w:color w:val="FF0000"/>
                <w:u w:val="single"/>
              </w:rPr>
              <w:t>0</w:t>
            </w:r>
          </w:p>
        </w:tc>
        <w:tc>
          <w:tcPr>
            <w:tcW w:w="552" w:type="pct"/>
            <w:vAlign w:val="center"/>
          </w:tcPr>
          <w:p>
            <w:pPr>
              <w:topLinePunct/>
              <w:jc w:val="center"/>
              <w:rPr>
                <w:rFonts w:ascii="Times New Roman" w:hAnsi="Times New Roman" w:cs="Times New Roman"/>
                <w:color w:val="FF0000"/>
                <w:u w:val="single"/>
              </w:rPr>
            </w:pPr>
            <w:r>
              <w:rPr>
                <w:rFonts w:ascii="Times New Roman" w:hAnsi="Times New Roman"/>
                <w:color w:val="FF0000"/>
                <w:u w:val="single"/>
              </w:rPr>
              <w:t>0.000605</w:t>
            </w:r>
          </w:p>
        </w:tc>
        <w:tc>
          <w:tcPr>
            <w:tcW w:w="552" w:type="pct"/>
            <w:vAlign w:val="center"/>
          </w:tcPr>
          <w:p>
            <w:pPr>
              <w:topLinePunct/>
              <w:jc w:val="center"/>
              <w:rPr>
                <w:rFonts w:ascii="Times New Roman" w:hAnsi="Times New Roman" w:cs="Times New Roman"/>
                <w:color w:val="FF0000"/>
                <w:u w:val="single"/>
              </w:rPr>
            </w:pPr>
            <w:r>
              <w:rPr>
                <w:rFonts w:ascii="Times New Roman" w:hAnsi="Times New Roman" w:cs="Times New Roman"/>
                <w:color w:val="FF0000"/>
                <w:u w:val="single"/>
              </w:rPr>
              <w:t>0.000181</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0.000181</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szCs w:val="24"/>
                <w:u w:val="single"/>
              </w:rPr>
              <w:t>+0.000181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催肥栏舍</w:t>
            </w: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NH</w:t>
            </w:r>
            <w:r>
              <w:rPr>
                <w:rFonts w:ascii="Times New Roman" w:hAnsi="Times New Roman" w:eastAsiaTheme="minorEastAsia"/>
                <w:color w:val="FF0000"/>
                <w:u w:val="single"/>
                <w:vertAlign w:val="subscript"/>
              </w:rPr>
              <w:t>3</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0.028</w:t>
            </w:r>
            <w:r>
              <w:rPr>
                <w:rFonts w:ascii="Times New Roman" w:hAnsi="Times New Roman" w:cs="Times New Roman"/>
                <w:color w:val="FF0000"/>
                <w:u w:val="single"/>
              </w:rPr>
              <w:t>kg/h</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0.01</w:t>
            </w:r>
            <w:r>
              <w:rPr>
                <w:rFonts w:ascii="Times New Roman" w:hAnsi="Times New Roman" w:cs="Times New Roman"/>
                <w:color w:val="FF0000"/>
                <w:u w:val="single"/>
              </w:rPr>
              <w:t>kg/h</w:t>
            </w:r>
          </w:p>
        </w:tc>
        <w:tc>
          <w:tcPr>
            <w:tcW w:w="552" w:type="pct"/>
            <w:vAlign w:val="center"/>
          </w:tcPr>
          <w:p>
            <w:pPr>
              <w:topLinePunct/>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w:t>
            </w:r>
          </w:p>
        </w:tc>
        <w:tc>
          <w:tcPr>
            <w:tcW w:w="552"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topLinePunct/>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H</w:t>
            </w:r>
            <w:r>
              <w:rPr>
                <w:rFonts w:ascii="Times New Roman" w:hAnsi="Times New Roman" w:eastAsiaTheme="minorEastAsia"/>
                <w:color w:val="FF0000"/>
                <w:u w:val="single"/>
                <w:vertAlign w:val="subscript"/>
              </w:rPr>
              <w:t>2</w:t>
            </w:r>
            <w:r>
              <w:rPr>
                <w:rFonts w:ascii="Times New Roman" w:hAnsi="Times New Roman" w:eastAsiaTheme="minorEastAsia"/>
                <w:color w:val="FF0000"/>
                <w:u w:val="single"/>
              </w:rPr>
              <w:t>S</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0.006</w:t>
            </w:r>
            <w:r>
              <w:rPr>
                <w:rFonts w:ascii="Times New Roman" w:hAnsi="Times New Roman" w:cs="Times New Roman"/>
                <w:color w:val="FF0000"/>
                <w:u w:val="single"/>
              </w:rPr>
              <w:t>kg/h</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s="Times New Roman"/>
                <w:color w:val="FF0000"/>
                <w:u w:val="single"/>
              </w:rPr>
              <w:t>0.00</w:t>
            </w:r>
            <w:r>
              <w:rPr>
                <w:rFonts w:hint="eastAsia" w:ascii="Times New Roman" w:hAnsi="Times New Roman" w:cs="Times New Roman"/>
                <w:color w:val="FF0000"/>
                <w:u w:val="single"/>
              </w:rPr>
              <w:t>2</w:t>
            </w:r>
            <w:r>
              <w:rPr>
                <w:rFonts w:ascii="Times New Roman" w:hAnsi="Times New Roman" w:cs="Times New Roman"/>
                <w:color w:val="FF0000"/>
                <w:u w:val="single"/>
              </w:rPr>
              <w:t>kg/h</w:t>
            </w:r>
          </w:p>
        </w:tc>
        <w:tc>
          <w:tcPr>
            <w:tcW w:w="552" w:type="pct"/>
            <w:vAlign w:val="center"/>
          </w:tcPr>
          <w:p>
            <w:pPr>
              <w:topLinePunct/>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w:t>
            </w:r>
          </w:p>
        </w:tc>
        <w:tc>
          <w:tcPr>
            <w:tcW w:w="552"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污水处理设施</w:t>
            </w: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NH</w:t>
            </w:r>
            <w:r>
              <w:rPr>
                <w:rFonts w:ascii="Times New Roman" w:hAnsi="Times New Roman" w:eastAsiaTheme="minorEastAsia"/>
                <w:color w:val="FF0000"/>
                <w:u w:val="single"/>
                <w:vertAlign w:val="subscript"/>
              </w:rPr>
              <w:t>3</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20mg/m</w:t>
            </w:r>
            <w:r>
              <w:rPr>
                <w:rFonts w:hint="eastAsia" w:ascii="Times New Roman" w:hAnsi="Times New Roman" w:cs="Times New Roman"/>
                <w:color w:val="FF0000"/>
                <w:u w:val="single"/>
                <w:vertAlign w:val="superscript"/>
              </w:rPr>
              <w:t>3</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s="Times New Roman"/>
                <w:color w:val="FF0000"/>
                <w:u w:val="single"/>
              </w:rPr>
              <w:t>2mg/m</w:t>
            </w:r>
            <w:r>
              <w:rPr>
                <w:rFonts w:ascii="Times New Roman" w:hAnsi="Times New Roman" w:cs="Times New Roman"/>
                <w:color w:val="FF0000"/>
                <w:u w:val="single"/>
                <w:vertAlign w:val="superscript"/>
              </w:rPr>
              <w:t>3</w:t>
            </w:r>
          </w:p>
        </w:tc>
        <w:tc>
          <w:tcPr>
            <w:tcW w:w="552" w:type="pct"/>
            <w:vAlign w:val="center"/>
          </w:tcPr>
          <w:p>
            <w:pPr>
              <w:jc w:val="center"/>
              <w:rPr>
                <w:rFonts w:ascii="Times New Roman" w:hAnsi="Times New Roman" w:cs="Times New Roman"/>
                <w:color w:val="FF0000"/>
                <w:szCs w:val="24"/>
                <w:u w:val="single"/>
              </w:rPr>
            </w:pPr>
            <w:r>
              <w:rPr>
                <w:rFonts w:ascii="Times New Roman" w:hAnsi="Times New Roman"/>
                <w:color w:val="FF0000"/>
                <w:u w:val="single"/>
              </w:rPr>
              <w:t>0.355</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szCs w:val="24"/>
                <w:u w:val="single"/>
              </w:rPr>
              <w:t>0.1065</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szCs w:val="24"/>
                <w:u w:val="single"/>
              </w:rPr>
              <w:t>+0.1065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topLinePunct/>
              <w:jc w:val="center"/>
              <w:rPr>
                <w:rFonts w:ascii="Times New Roman" w:hAnsi="Times New Roman"/>
                <w:color w:val="FF0000"/>
                <w:kern w:val="0"/>
                <w:u w:val="single"/>
              </w:rPr>
            </w:pPr>
          </w:p>
        </w:tc>
        <w:tc>
          <w:tcPr>
            <w:tcW w:w="385" w:type="pct"/>
            <w:gridSpan w:val="2"/>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H</w:t>
            </w:r>
            <w:r>
              <w:rPr>
                <w:rFonts w:ascii="Times New Roman" w:hAnsi="Times New Roman" w:eastAsiaTheme="minorEastAsia"/>
                <w:color w:val="FF0000"/>
                <w:u w:val="single"/>
                <w:vertAlign w:val="subscript"/>
              </w:rPr>
              <w:t>2</w:t>
            </w:r>
            <w:r>
              <w:rPr>
                <w:rFonts w:ascii="Times New Roman" w:hAnsi="Times New Roman" w:eastAsiaTheme="minorEastAsia"/>
                <w:color w:val="FF0000"/>
                <w:u w:val="single"/>
              </w:rPr>
              <w:t>S</w:t>
            </w:r>
          </w:p>
        </w:tc>
        <w:tc>
          <w:tcPr>
            <w:tcW w:w="439" w:type="pct"/>
            <w:vAlign w:val="center"/>
          </w:tcPr>
          <w:p>
            <w:pPr>
              <w:autoSpaceDE w:val="0"/>
              <w:jc w:val="center"/>
              <w:rPr>
                <w:rFonts w:ascii="Times New Roman" w:hAnsi="Times New Roman" w:cs="Times New Roman"/>
                <w:color w:val="FF0000"/>
                <w:u w:val="single"/>
              </w:rPr>
            </w:pPr>
            <w:r>
              <w:rPr>
                <w:rFonts w:hint="eastAsia" w:ascii="Times New Roman" w:hAnsi="Times New Roman" w:cs="Times New Roman"/>
                <w:color w:val="FF0000"/>
                <w:u w:val="single"/>
              </w:rPr>
              <w:t>5mg/m</w:t>
            </w:r>
            <w:r>
              <w:rPr>
                <w:rFonts w:hint="eastAsia" w:ascii="Times New Roman" w:hAnsi="Times New Roman" w:cs="Times New Roman"/>
                <w:color w:val="FF0000"/>
                <w:u w:val="single"/>
                <w:vertAlign w:val="superscript"/>
              </w:rPr>
              <w:t>3</w:t>
            </w:r>
          </w:p>
        </w:tc>
        <w:tc>
          <w:tcPr>
            <w:tcW w:w="439" w:type="pct"/>
            <w:vAlign w:val="center"/>
          </w:tcPr>
          <w:p>
            <w:pPr>
              <w:autoSpaceDE w:val="0"/>
              <w:jc w:val="center"/>
              <w:rPr>
                <w:rFonts w:ascii="Times New Roman" w:hAnsi="Times New Roman" w:cs="Times New Roman"/>
                <w:color w:val="FF0000"/>
                <w:u w:val="single"/>
              </w:rPr>
            </w:pPr>
            <w:r>
              <w:rPr>
                <w:rFonts w:ascii="Times New Roman" w:hAnsi="Times New Roman" w:cs="Times New Roman"/>
                <w:color w:val="FF0000"/>
                <w:u w:val="single"/>
              </w:rPr>
              <w:t>8mg/m</w:t>
            </w:r>
            <w:r>
              <w:rPr>
                <w:rFonts w:ascii="Times New Roman" w:hAnsi="Times New Roman" w:cs="Times New Roman"/>
                <w:color w:val="FF0000"/>
                <w:u w:val="single"/>
                <w:vertAlign w:val="superscript"/>
              </w:rPr>
              <w:t>3</w:t>
            </w:r>
          </w:p>
        </w:tc>
        <w:tc>
          <w:tcPr>
            <w:tcW w:w="552" w:type="pct"/>
            <w:vAlign w:val="center"/>
          </w:tcPr>
          <w:p>
            <w:pPr>
              <w:widowControl w:val="0"/>
              <w:jc w:val="center"/>
              <w:rPr>
                <w:rFonts w:ascii="Times New Roman" w:hAnsi="Times New Roman" w:cs="Times New Roman"/>
                <w:color w:val="FF0000"/>
                <w:szCs w:val="24"/>
                <w:u w:val="single"/>
              </w:rPr>
            </w:pPr>
            <w:r>
              <w:rPr>
                <w:rFonts w:ascii="Times New Roman" w:hAnsi="Times New Roman"/>
                <w:color w:val="FF0000"/>
                <w:u w:val="single"/>
              </w:rPr>
              <w:t>0.0137</w:t>
            </w:r>
          </w:p>
        </w:tc>
        <w:tc>
          <w:tcPr>
            <w:tcW w:w="552" w:type="pct"/>
            <w:vAlign w:val="center"/>
          </w:tcPr>
          <w:p>
            <w:pPr>
              <w:widowControl w:val="0"/>
              <w:jc w:val="center"/>
              <w:rPr>
                <w:rFonts w:ascii="Times New Roman" w:hAnsi="Times New Roman" w:eastAsia="宋体" w:cs="Times New Roman"/>
                <w:color w:val="FF0000"/>
                <w:szCs w:val="24"/>
                <w:u w:val="single"/>
              </w:rPr>
            </w:pPr>
            <w:r>
              <w:rPr>
                <w:rFonts w:ascii="Times New Roman" w:hAnsi="Times New Roman" w:cs="Times New Roman"/>
                <w:color w:val="FF0000"/>
                <w:szCs w:val="24"/>
                <w:u w:val="single"/>
              </w:rPr>
              <w:t>0.00411</w:t>
            </w:r>
          </w:p>
        </w:tc>
        <w:tc>
          <w:tcPr>
            <w:tcW w:w="644"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46"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kern w:val="0"/>
                <w:u w:val="single"/>
              </w:rPr>
              <w:t>0</w:t>
            </w:r>
          </w:p>
        </w:tc>
        <w:tc>
          <w:tcPr>
            <w:tcW w:w="617" w:type="pct"/>
            <w:vAlign w:val="center"/>
          </w:tcPr>
          <w:p>
            <w:pPr>
              <w:topLinePunct/>
              <w:jc w:val="center"/>
              <w:rPr>
                <w:rFonts w:ascii="Times New Roman" w:hAnsi="Times New Roman" w:cs="Times New Roman"/>
                <w:color w:val="FF0000"/>
                <w:kern w:val="0"/>
                <w:u w:val="single"/>
              </w:rPr>
            </w:pPr>
            <w:r>
              <w:rPr>
                <w:rFonts w:ascii="Times New Roman" w:hAnsi="Times New Roman" w:cs="Times New Roman"/>
                <w:color w:val="FF0000"/>
                <w:szCs w:val="24"/>
                <w:u w:val="single"/>
              </w:rPr>
              <w:t>+0.00411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废水</w:t>
            </w:r>
          </w:p>
        </w:tc>
        <w:tc>
          <w:tcPr>
            <w:tcW w:w="495" w:type="pct"/>
            <w:gridSpan w:val="2"/>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屠宰废水</w:t>
            </w: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污水量</w:t>
            </w:r>
          </w:p>
        </w:tc>
        <w:tc>
          <w:tcPr>
            <w:tcW w:w="439" w:type="pc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2024</w:t>
            </w:r>
          </w:p>
        </w:tc>
        <w:tc>
          <w:tcPr>
            <w:tcW w:w="439" w:type="pct"/>
            <w:vAlign w:val="center"/>
          </w:tcPr>
          <w:p>
            <w:pPr>
              <w:topLinePunct/>
              <w:jc w:val="center"/>
              <w:rPr>
                <w:rFonts w:ascii="Times New Roman" w:hAnsi="Times New Roman"/>
                <w:color w:val="FF0000"/>
                <w:kern w:val="0"/>
                <w:u w:val="single"/>
              </w:rPr>
            </w:pPr>
            <w:r>
              <w:rPr>
                <w:rFonts w:ascii="Times New Roman" w:hAnsi="Times New Roman" w:cs="Times New Roman"/>
                <w:color w:val="FF0000"/>
                <w:kern w:val="0"/>
                <w:u w:val="single"/>
              </w:rPr>
              <w:t>0</w:t>
            </w:r>
          </w:p>
        </w:tc>
        <w:tc>
          <w:tcPr>
            <w:tcW w:w="552" w:type="pct"/>
            <w:vAlign w:val="center"/>
          </w:tcPr>
          <w:p>
            <w:pPr>
              <w:topLinePunct/>
              <w:jc w:val="center"/>
              <w:rPr>
                <w:rFonts w:ascii="Times New Roman" w:hAnsi="Times New Roman"/>
                <w:color w:val="FF0000"/>
                <w:kern w:val="0"/>
                <w:u w:val="single"/>
              </w:rPr>
            </w:pPr>
            <w:r>
              <w:rPr>
                <w:rFonts w:ascii="Times New Roman" w:hAnsi="Times New Roman"/>
                <w:color w:val="FF0000"/>
                <w:u w:val="single"/>
              </w:rPr>
              <w:t>167450</w:t>
            </w:r>
          </w:p>
        </w:tc>
        <w:tc>
          <w:tcPr>
            <w:tcW w:w="552" w:type="pct"/>
            <w:vAlign w:val="center"/>
          </w:tcPr>
          <w:p>
            <w:pPr>
              <w:topLinePunct/>
              <w:jc w:val="center"/>
              <w:rPr>
                <w:rFonts w:ascii="Times New Roman" w:hAnsi="Times New Roman"/>
                <w:color w:val="FF0000"/>
                <w:kern w:val="0"/>
                <w:u w:val="single"/>
              </w:rPr>
            </w:pPr>
            <w:r>
              <w:rPr>
                <w:rFonts w:ascii="Times New Roman" w:hAnsi="Times New Roman" w:cs="Times New Roman"/>
                <w:color w:val="FF0000"/>
                <w:kern w:val="0"/>
                <w:u w:val="single"/>
              </w:rPr>
              <w:t>0</w:t>
            </w:r>
          </w:p>
        </w:tc>
        <w:tc>
          <w:tcPr>
            <w:tcW w:w="644" w:type="pct"/>
            <w:vMerge w:val="restart"/>
            <w:vAlign w:val="center"/>
          </w:tcPr>
          <w:p>
            <w:pPr>
              <w:pStyle w:val="67"/>
              <w:spacing w:before="31" w:line="240" w:lineRule="auto"/>
              <w:rPr>
                <w:rFonts w:ascii="Times New Roman" w:hAnsi="Times New Roman"/>
                <w:color w:val="FF0000"/>
                <w:kern w:val="0"/>
                <w:u w:val="single"/>
              </w:rPr>
            </w:pPr>
            <w:r>
              <w:rPr>
                <w:rFonts w:hint="eastAsia" w:ascii="Times New Roman" w:hAnsi="Times New Roman" w:eastAsiaTheme="minorEastAsia" w:cstheme="minorBidi"/>
                <w:color w:val="FF0000"/>
                <w:kern w:val="0"/>
                <w:u w:val="single"/>
              </w:rPr>
              <w:t>隔栅→粪污调节池→固液分离→污水→沼气池→三级曝气沉淀池→杀菌除臭→交衡阳县喜耕田有机肥厂回收处理不外排</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COD</w:t>
            </w:r>
          </w:p>
        </w:tc>
        <w:tc>
          <w:tcPr>
            <w:tcW w:w="439" w:type="pct"/>
            <w:vAlign w:val="center"/>
          </w:tcPr>
          <w:p>
            <w:pPr>
              <w:autoSpaceDE w:val="0"/>
              <w:jc w:val="center"/>
              <w:rPr>
                <w:rFonts w:ascii="Times New Roman" w:hAnsi="Times New Roman"/>
                <w:color w:val="FF0000"/>
                <w:u w:val="single"/>
              </w:rPr>
            </w:pPr>
            <w:r>
              <w:rPr>
                <w:rFonts w:ascii="Times New Roman" w:hAnsi="Times New Roman"/>
                <w:color w:val="FF0000"/>
                <w:u w:val="single"/>
              </w:rPr>
              <w:t>4.93</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color w:val="FF0000"/>
                <w:u w:val="single"/>
              </w:rPr>
              <w:t>334.9</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Merge w:val="continue"/>
            <w:vAlign w:val="center"/>
          </w:tcPr>
          <w:p>
            <w:pPr>
              <w:pStyle w:val="67"/>
              <w:spacing w:before="31" w:line="240" w:lineRule="auto"/>
              <w:rPr>
                <w:rFonts w:ascii="Times New Roman" w:hAnsi="Times New Roman" w:eastAsiaTheme="minorEastAsia"/>
                <w:color w:val="FF0000"/>
                <w:u w:val="single"/>
              </w:rPr>
            </w:pP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BOD</w:t>
            </w:r>
            <w:r>
              <w:rPr>
                <w:rFonts w:ascii="Times New Roman" w:hAnsi="Times New Roman"/>
                <w:color w:val="FF0000"/>
                <w:kern w:val="0"/>
                <w:u w:val="single"/>
                <w:vertAlign w:val="subscript"/>
              </w:rPr>
              <w:t>5</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color w:val="FF0000"/>
                <w:u w:val="single"/>
              </w:rPr>
              <w:t>127.26</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Merge w:val="continue"/>
            <w:vAlign w:val="center"/>
          </w:tcPr>
          <w:p>
            <w:pPr>
              <w:pStyle w:val="67"/>
              <w:spacing w:before="31" w:line="240" w:lineRule="auto"/>
              <w:rPr>
                <w:rFonts w:ascii="Times New Roman" w:hAnsi="Times New Roman" w:eastAsiaTheme="minorEastAsia"/>
                <w:color w:val="FF0000"/>
                <w:u w:val="single"/>
              </w:rPr>
            </w:pP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SS</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color w:val="FF0000"/>
                <w:u w:val="single"/>
              </w:rPr>
              <w:t>167.45</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Merge w:val="continue"/>
            <w:vAlign w:val="center"/>
          </w:tcPr>
          <w:p>
            <w:pPr>
              <w:pStyle w:val="67"/>
              <w:spacing w:before="31" w:line="240" w:lineRule="auto"/>
              <w:rPr>
                <w:rFonts w:ascii="Times New Roman" w:hAnsi="Times New Roman" w:eastAsiaTheme="minorEastAsia"/>
                <w:color w:val="FF0000"/>
                <w:u w:val="single"/>
              </w:rPr>
            </w:pP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NH</w:t>
            </w:r>
            <w:r>
              <w:rPr>
                <w:rFonts w:ascii="Times New Roman" w:hAnsi="Times New Roman"/>
                <w:color w:val="FF0000"/>
                <w:kern w:val="0"/>
                <w:u w:val="single"/>
                <w:vertAlign w:val="subscript"/>
              </w:rPr>
              <w:t>3</w:t>
            </w:r>
            <w:r>
              <w:rPr>
                <w:rFonts w:ascii="Times New Roman" w:hAnsi="Times New Roman"/>
                <w:color w:val="FF0000"/>
                <w:kern w:val="0"/>
                <w:u w:val="single"/>
              </w:rPr>
              <w:t>-N</w:t>
            </w:r>
          </w:p>
        </w:tc>
        <w:tc>
          <w:tcPr>
            <w:tcW w:w="439" w:type="pct"/>
            <w:vAlign w:val="center"/>
          </w:tcPr>
          <w:p>
            <w:pPr>
              <w:autoSpaceDE w:val="0"/>
              <w:jc w:val="center"/>
              <w:rPr>
                <w:rFonts w:ascii="Times New Roman" w:hAnsi="Times New Roman"/>
                <w:color w:val="FF0000"/>
                <w:u w:val="single"/>
              </w:rPr>
            </w:pPr>
            <w:r>
              <w:rPr>
                <w:rFonts w:ascii="Times New Roman" w:hAnsi="Times New Roman"/>
                <w:color w:val="FF0000"/>
                <w:u w:val="single"/>
              </w:rPr>
              <w:t>0.217</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color w:val="FF0000"/>
                <w:u w:val="single"/>
              </w:rPr>
              <w:t>25.12</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Merge w:val="continue"/>
            <w:vAlign w:val="center"/>
          </w:tcPr>
          <w:p>
            <w:pPr>
              <w:pStyle w:val="67"/>
              <w:spacing w:before="31" w:line="240" w:lineRule="auto"/>
              <w:rPr>
                <w:rFonts w:ascii="Times New Roman" w:hAnsi="Times New Roman" w:eastAsiaTheme="minorEastAsia"/>
                <w:color w:val="FF0000"/>
                <w:u w:val="single"/>
              </w:rPr>
            </w:pP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动植物油</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color w:val="FF0000"/>
                <w:u w:val="single"/>
              </w:rPr>
              <w:t>33.49</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Merge w:val="continue"/>
            <w:vAlign w:val="center"/>
          </w:tcPr>
          <w:p>
            <w:pPr>
              <w:pStyle w:val="67"/>
              <w:spacing w:before="31" w:line="240" w:lineRule="auto"/>
              <w:rPr>
                <w:rFonts w:ascii="Times New Roman" w:hAnsi="Times New Roman" w:eastAsiaTheme="minorEastAsia"/>
                <w:color w:val="FF0000"/>
                <w:u w:val="single"/>
              </w:rPr>
            </w:pP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kern w:val="0"/>
                <w:u w:val="single"/>
              </w:rPr>
              <w:t>0</w:t>
            </w:r>
          </w:p>
        </w:tc>
        <w:tc>
          <w:tcPr>
            <w:tcW w:w="617" w:type="pct"/>
            <w:vAlign w:val="center"/>
          </w:tcPr>
          <w:p>
            <w:pPr>
              <w:jc w:val="center"/>
              <w:rPr>
                <w:rFonts w:ascii="Times New Roman" w:hAnsi="Times New Roman"/>
                <w:color w:val="FF0000"/>
                <w:kern w:val="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生活污水</w:t>
            </w: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污水量</w:t>
            </w:r>
          </w:p>
        </w:tc>
        <w:tc>
          <w:tcPr>
            <w:tcW w:w="439" w:type="pct"/>
            <w:vAlign w:val="center"/>
          </w:tcPr>
          <w:p>
            <w:pPr>
              <w:topLinePunct/>
              <w:jc w:val="center"/>
              <w:rPr>
                <w:rFonts w:ascii="Times New Roman" w:hAnsi="Times New Roman"/>
                <w:color w:val="FF0000"/>
                <w:kern w:val="0"/>
                <w:u w:val="single"/>
              </w:rPr>
            </w:pPr>
            <w:r>
              <w:rPr>
                <w:rFonts w:hint="eastAsia" w:ascii="Times New Roman" w:hAnsi="Times New Roman"/>
                <w:color w:val="FF0000"/>
                <w:kern w:val="0"/>
                <w:u w:val="single"/>
              </w:rPr>
              <w:t>172.8</w:t>
            </w:r>
          </w:p>
        </w:tc>
        <w:tc>
          <w:tcPr>
            <w:tcW w:w="439" w:type="pct"/>
            <w:vAlign w:val="center"/>
          </w:tcPr>
          <w:p>
            <w:pPr>
              <w:topLinePunct/>
              <w:jc w:val="center"/>
              <w:rPr>
                <w:rFonts w:ascii="Times New Roman" w:hAnsi="Times New Roman"/>
                <w:color w:val="FF0000"/>
                <w:kern w:val="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color w:val="FF0000"/>
                <w:u w:val="single"/>
              </w:rPr>
            </w:pPr>
            <w:r>
              <w:rPr>
                <w:rFonts w:hint="eastAsia" w:ascii="Times New Roman" w:hAnsi="Times New Roman" w:eastAsia="宋体" w:cs="Times New Roman"/>
                <w:color w:val="FF0000"/>
                <w:szCs w:val="24"/>
                <w:u w:val="single"/>
              </w:rPr>
              <w:t>432</w:t>
            </w:r>
          </w:p>
        </w:tc>
        <w:tc>
          <w:tcPr>
            <w:tcW w:w="552"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44"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46"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COD</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0.043</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0.108</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BOD</w:t>
            </w:r>
            <w:r>
              <w:rPr>
                <w:rFonts w:ascii="Times New Roman" w:hAnsi="Times New Roman"/>
                <w:color w:val="FF0000"/>
                <w:kern w:val="0"/>
                <w:u w:val="single"/>
                <w:vertAlign w:val="subscript"/>
              </w:rPr>
              <w:t>5</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0.035</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0.0648</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NH</w:t>
            </w:r>
            <w:r>
              <w:rPr>
                <w:rFonts w:ascii="Times New Roman" w:hAnsi="Times New Roman"/>
                <w:color w:val="FF0000"/>
                <w:kern w:val="0"/>
                <w:u w:val="single"/>
                <w:vertAlign w:val="subscript"/>
              </w:rPr>
              <w:t>3</w:t>
            </w:r>
            <w:r>
              <w:rPr>
                <w:rFonts w:ascii="Times New Roman" w:hAnsi="Times New Roman"/>
                <w:color w:val="FF0000"/>
                <w:kern w:val="0"/>
                <w:u w:val="single"/>
              </w:rPr>
              <w:t>-N</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0.006</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0.013</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495" w:type="pct"/>
            <w:gridSpan w:val="2"/>
            <w:vMerge w:val="continue"/>
            <w:vAlign w:val="center"/>
          </w:tcPr>
          <w:p>
            <w:pPr>
              <w:jc w:val="center"/>
              <w:rPr>
                <w:rFonts w:ascii="Times New Roman" w:hAnsi="Times New Roman"/>
                <w:color w:val="FF0000"/>
                <w:kern w:val="0"/>
                <w:u w:val="single"/>
              </w:rPr>
            </w:pPr>
          </w:p>
        </w:tc>
        <w:tc>
          <w:tcPr>
            <w:tcW w:w="385" w:type="pct"/>
            <w:gridSpan w:val="2"/>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SS</w:t>
            </w:r>
          </w:p>
        </w:tc>
        <w:tc>
          <w:tcPr>
            <w:tcW w:w="439" w:type="pct"/>
            <w:vAlign w:val="center"/>
          </w:tcPr>
          <w:p>
            <w:pPr>
              <w:autoSpaceDE w:val="0"/>
              <w:jc w:val="center"/>
              <w:rPr>
                <w:rFonts w:ascii="Times New Roman" w:hAnsi="Times New Roman"/>
                <w:color w:val="FF0000"/>
                <w:u w:val="single"/>
              </w:rPr>
            </w:pPr>
            <w:r>
              <w:rPr>
                <w:rFonts w:hint="eastAsia" w:ascii="Times New Roman" w:hAnsi="Times New Roman"/>
                <w:color w:val="FF0000"/>
                <w:u w:val="single"/>
              </w:rPr>
              <w:t>0.069</w:t>
            </w:r>
          </w:p>
        </w:tc>
        <w:tc>
          <w:tcPr>
            <w:tcW w:w="439" w:type="pct"/>
            <w:vAlign w:val="center"/>
          </w:tcPr>
          <w:p>
            <w:pPr>
              <w:autoSpaceDE w:val="0"/>
              <w:jc w:val="center"/>
              <w:rPr>
                <w:rFonts w:ascii="Times New Roman" w:hAnsi="Times New Roman"/>
                <w:color w:val="FF0000"/>
                <w:u w:val="single"/>
              </w:rPr>
            </w:pPr>
            <w:r>
              <w:rPr>
                <w:rFonts w:ascii="Times New Roman" w:hAnsi="Times New Roman" w:cs="Times New Roman"/>
                <w:color w:val="FF0000"/>
                <w:kern w:val="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0.0864</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jc w:val="center"/>
              <w:rPr>
                <w:rFonts w:ascii="Times New Roman" w:hAnsi="Times New Roman" w:eastAsia="宋体" w:cs="Times New Roman"/>
                <w:color w:val="FF0000"/>
                <w:szCs w:val="24"/>
                <w:u w:val="single"/>
              </w:rPr>
            </w:pPr>
            <w:r>
              <w:rPr>
                <w:rFonts w:ascii="Times New Roman" w:hAnsi="Times New Roman" w:cs="Times New Roman"/>
                <w:color w:val="FF0000"/>
                <w:kern w:val="0"/>
                <w:u w:val="single"/>
              </w:rPr>
              <w:t>0</w:t>
            </w:r>
          </w:p>
        </w:tc>
        <w:tc>
          <w:tcPr>
            <w:tcW w:w="617" w:type="pct"/>
            <w:vAlign w:val="center"/>
          </w:tcPr>
          <w:p>
            <w:pPr>
              <w:jc w:val="center"/>
              <w:rPr>
                <w:rFonts w:ascii="Times New Roman" w:hAnsi="Times New Roman"/>
                <w:color w:val="FF0000"/>
                <w:u w:val="single"/>
              </w:rPr>
            </w:pPr>
            <w:r>
              <w:rPr>
                <w:rFonts w:ascii="Times New Roman" w:hAnsi="Times New Roman" w:cs="Times New Roman"/>
                <w:color w:val="FF0000"/>
                <w:kern w:val="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restart"/>
            <w:vAlign w:val="center"/>
          </w:tcPr>
          <w:p>
            <w:pPr>
              <w:topLinePunct/>
              <w:jc w:val="center"/>
              <w:rPr>
                <w:rFonts w:ascii="Times New Roman" w:hAnsi="Times New Roman"/>
                <w:color w:val="FF0000"/>
                <w:kern w:val="0"/>
                <w:u w:val="single"/>
              </w:rPr>
            </w:pPr>
            <w:r>
              <w:rPr>
                <w:rFonts w:ascii="Times New Roman" w:hAnsi="Times New Roman"/>
                <w:color w:val="FF0000"/>
                <w:kern w:val="0"/>
                <w:u w:val="single"/>
              </w:rPr>
              <w:t>固废</w:t>
            </w:r>
          </w:p>
        </w:tc>
        <w:tc>
          <w:tcPr>
            <w:tcW w:w="880" w:type="pct"/>
            <w:gridSpan w:val="4"/>
            <w:vAlign w:val="center"/>
          </w:tcPr>
          <w:p>
            <w:pPr>
              <w:pStyle w:val="49"/>
              <w:rPr>
                <w:color w:val="FF0000"/>
                <w:u w:val="single"/>
              </w:rPr>
            </w:pPr>
            <w:r>
              <w:rPr>
                <w:rFonts w:hint="eastAsia"/>
                <w:color w:val="FF0000"/>
                <w:u w:val="single"/>
              </w:rPr>
              <w:t>不合格家禽</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2.125</w:t>
            </w:r>
          </w:p>
        </w:tc>
        <w:tc>
          <w:tcPr>
            <w:tcW w:w="552" w:type="pct"/>
            <w:vAlign w:val="center"/>
          </w:tcPr>
          <w:p>
            <w:pPr>
              <w:pStyle w:val="49"/>
              <w:widowControl w:val="0"/>
              <w:rPr>
                <w:rFonts w:cs="Times New Roman"/>
                <w:color w:val="FF0000"/>
                <w:szCs w:val="24"/>
                <w:u w:val="single"/>
              </w:rPr>
            </w:pPr>
            <w:r>
              <w:rPr>
                <w:rFonts w:eastAsiaTheme="minorEastAsia"/>
                <w:color w:val="FF0000"/>
                <w:u w:val="single"/>
              </w:rPr>
              <w:t>0</w:t>
            </w:r>
          </w:p>
        </w:tc>
        <w:tc>
          <w:tcPr>
            <w:tcW w:w="644"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17" w:type="pct"/>
            <w:vAlign w:val="center"/>
          </w:tcPr>
          <w:p>
            <w:pPr>
              <w:pStyle w:val="49"/>
              <w:widowControl w:val="0"/>
              <w:rPr>
                <w:rFonts w:cs="Times New Roman"/>
                <w:color w:val="FF0000"/>
                <w:szCs w:val="24"/>
                <w:u w:val="single"/>
              </w:rPr>
            </w:pPr>
            <w:r>
              <w:rPr>
                <w:rFonts w:eastAsiaTheme="minorEastAsia"/>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病死牛</w:t>
            </w:r>
          </w:p>
        </w:tc>
        <w:tc>
          <w:tcPr>
            <w:tcW w:w="439"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少量</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0.5</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粪便</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36</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899.5</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内脏容物</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60.5</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屠宰废弃物</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2062.5</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腊鸭毛混合物</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6.15</w:t>
            </w:r>
          </w:p>
        </w:tc>
        <w:tc>
          <w:tcPr>
            <w:tcW w:w="552" w:type="pct"/>
            <w:vAlign w:val="center"/>
          </w:tcPr>
          <w:p>
            <w:pPr>
              <w:pStyle w:val="49"/>
              <w:widowControl w:val="0"/>
              <w:rPr>
                <w:rFonts w:cs="Times New Roman"/>
                <w:color w:val="FF0000"/>
                <w:szCs w:val="24"/>
                <w:u w:val="single"/>
              </w:rPr>
            </w:pPr>
            <w:r>
              <w:rPr>
                <w:rFonts w:eastAsiaTheme="minorEastAsia"/>
                <w:color w:val="FF0000"/>
                <w:u w:val="single"/>
              </w:rPr>
              <w:t>0</w:t>
            </w:r>
          </w:p>
        </w:tc>
        <w:tc>
          <w:tcPr>
            <w:tcW w:w="644"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17" w:type="pct"/>
            <w:vAlign w:val="center"/>
          </w:tcPr>
          <w:p>
            <w:pPr>
              <w:pStyle w:val="49"/>
              <w:widowControl w:val="0"/>
              <w:rPr>
                <w:rFonts w:cs="Times New Roman"/>
                <w:color w:val="FF0000"/>
                <w:szCs w:val="24"/>
                <w:u w:val="single"/>
              </w:rPr>
            </w:pPr>
            <w:r>
              <w:rPr>
                <w:rFonts w:eastAsiaTheme="minorEastAsia"/>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栅渣</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21.23</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粪渣、沼渣</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20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63.63</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生物质炉渣</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pStyle w:val="49"/>
              <w:widowControl w:val="0"/>
              <w:rPr>
                <w:rFonts w:cs="Times New Roman"/>
                <w:color w:val="FF0000"/>
                <w:szCs w:val="24"/>
                <w:u w:val="single"/>
              </w:rPr>
            </w:pPr>
            <w:r>
              <w:rPr>
                <w:rFonts w:hint="eastAsia" w:cs="Times New Roman"/>
                <w:color w:val="FF0000"/>
                <w:szCs w:val="24"/>
                <w:u w:val="single"/>
              </w:rPr>
              <w:t>8.26</w:t>
            </w:r>
          </w:p>
        </w:tc>
        <w:tc>
          <w:tcPr>
            <w:tcW w:w="552" w:type="pct"/>
            <w:vAlign w:val="center"/>
          </w:tcPr>
          <w:p>
            <w:pPr>
              <w:pStyle w:val="49"/>
              <w:widowControl w:val="0"/>
              <w:rPr>
                <w:rFonts w:cs="Times New Roman"/>
                <w:color w:val="FF0000"/>
                <w:szCs w:val="24"/>
                <w:u w:val="single"/>
              </w:rPr>
            </w:pPr>
            <w:r>
              <w:rPr>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pStyle w:val="49"/>
              <w:widowControl w:val="0"/>
              <w:rPr>
                <w:rFonts w:cs="Times New Roman"/>
                <w:color w:val="FF0000"/>
                <w:szCs w:val="24"/>
                <w:u w:val="single"/>
              </w:rPr>
            </w:pPr>
            <w:r>
              <w:rPr>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废冷冻机油</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0.5</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rFonts w:hint="eastAsia"/>
                <w:color w:val="FF0000"/>
                <w:u w:val="single"/>
              </w:rPr>
              <w:t>检疫废物</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0.3</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c>
          <w:tcPr>
            <w:tcW w:w="644"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617"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pPr>
              <w:jc w:val="center"/>
              <w:rPr>
                <w:rFonts w:ascii="Times New Roman" w:hAnsi="Times New Roman"/>
                <w:color w:val="FF0000"/>
                <w:kern w:val="0"/>
                <w:u w:val="single"/>
              </w:rPr>
            </w:pPr>
          </w:p>
        </w:tc>
        <w:tc>
          <w:tcPr>
            <w:tcW w:w="880" w:type="pct"/>
            <w:gridSpan w:val="4"/>
            <w:vAlign w:val="center"/>
          </w:tcPr>
          <w:p>
            <w:pPr>
              <w:pStyle w:val="49"/>
              <w:rPr>
                <w:color w:val="FF0000"/>
                <w:u w:val="single"/>
              </w:rPr>
            </w:pPr>
            <w:r>
              <w:rPr>
                <w:color w:val="FF0000"/>
                <w:u w:val="single"/>
              </w:rPr>
              <w:t>生活垃圾</w:t>
            </w:r>
          </w:p>
        </w:tc>
        <w:tc>
          <w:tcPr>
            <w:tcW w:w="439"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0.9</w:t>
            </w:r>
          </w:p>
        </w:tc>
        <w:tc>
          <w:tcPr>
            <w:tcW w:w="439" w:type="pct"/>
            <w:vAlign w:val="center"/>
          </w:tcPr>
          <w:p>
            <w:pPr>
              <w:pStyle w:val="67"/>
              <w:spacing w:before="31" w:line="240" w:lineRule="auto"/>
              <w:rPr>
                <w:rFonts w:ascii="Times New Roman" w:hAnsi="Times New Roman" w:eastAsiaTheme="minorEastAsia"/>
                <w:color w:val="FF0000"/>
                <w:u w:val="single"/>
              </w:rPr>
            </w:pPr>
            <w:r>
              <w:rPr>
                <w:rFonts w:hint="eastAsia" w:ascii="Times New Roman" w:hAnsi="Times New Roman" w:eastAsiaTheme="minorEastAsia"/>
                <w:color w:val="FF0000"/>
                <w:u w:val="single"/>
              </w:rPr>
              <w:t>0</w:t>
            </w:r>
          </w:p>
        </w:tc>
        <w:tc>
          <w:tcPr>
            <w:tcW w:w="552" w:type="pct"/>
            <w:vAlign w:val="center"/>
          </w:tcPr>
          <w:p>
            <w:pPr>
              <w:jc w:val="center"/>
              <w:rPr>
                <w:rFonts w:ascii="Times New Roman" w:hAnsi="Times New Roman" w:eastAsia="宋体" w:cs="Times New Roman"/>
                <w:color w:val="FF0000"/>
                <w:szCs w:val="24"/>
                <w:u w:val="single"/>
              </w:rPr>
            </w:pPr>
            <w:r>
              <w:rPr>
                <w:rFonts w:hint="eastAsia" w:ascii="Times New Roman" w:hAnsi="Times New Roman" w:eastAsia="宋体" w:cs="Times New Roman"/>
                <w:color w:val="FF0000"/>
                <w:szCs w:val="24"/>
                <w:u w:val="single"/>
              </w:rPr>
              <w:t>3</w:t>
            </w:r>
          </w:p>
        </w:tc>
        <w:tc>
          <w:tcPr>
            <w:tcW w:w="552"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c>
          <w:tcPr>
            <w:tcW w:w="644" w:type="pct"/>
            <w:vAlign w:val="center"/>
          </w:tcPr>
          <w:p>
            <w:pPr>
              <w:jc w:val="center"/>
              <w:rPr>
                <w:rFonts w:ascii="Times New Roman" w:hAnsi="Times New Roman"/>
                <w:color w:val="FF0000"/>
                <w:u w:val="single"/>
              </w:rPr>
            </w:pPr>
            <w:r>
              <w:rPr>
                <w:rFonts w:ascii="Times New Roman" w:hAnsi="Times New Roman"/>
                <w:color w:val="FF0000"/>
                <w:u w:val="single"/>
              </w:rPr>
              <w:t>0</w:t>
            </w:r>
          </w:p>
        </w:tc>
        <w:tc>
          <w:tcPr>
            <w:tcW w:w="646"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color w:val="FF0000"/>
                <w:u w:val="single"/>
              </w:rPr>
              <w:t>0</w:t>
            </w:r>
          </w:p>
        </w:tc>
        <w:tc>
          <w:tcPr>
            <w:tcW w:w="617" w:type="pct"/>
            <w:vAlign w:val="center"/>
          </w:tcPr>
          <w:p>
            <w:pPr>
              <w:jc w:val="center"/>
              <w:rPr>
                <w:rFonts w:ascii="Times New Roman" w:hAnsi="Times New Roman" w:eastAsia="宋体" w:cs="Times New Roman"/>
                <w:color w:val="FF0000"/>
                <w:szCs w:val="24"/>
                <w:u w:val="single"/>
              </w:rPr>
            </w:pPr>
            <w:r>
              <w:rPr>
                <w:rFonts w:ascii="Times New Roman" w:hAnsi="Times New Roman"/>
                <w:color w:val="FF000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gridSpan w:val="2"/>
            <w:vAlign w:val="center"/>
          </w:tcPr>
          <w:p>
            <w:pPr>
              <w:pStyle w:val="67"/>
              <w:spacing w:before="31" w:line="240" w:lineRule="auto"/>
              <w:rPr>
                <w:rFonts w:ascii="Times New Roman" w:hAnsi="Times New Roman" w:eastAsiaTheme="minorEastAsia"/>
                <w:color w:val="FF0000"/>
                <w:u w:val="single"/>
              </w:rPr>
            </w:pPr>
          </w:p>
        </w:tc>
        <w:tc>
          <w:tcPr>
            <w:tcW w:w="552" w:type="pct"/>
            <w:gridSpan w:val="2"/>
            <w:vAlign w:val="center"/>
          </w:tcPr>
          <w:p>
            <w:pPr>
              <w:pStyle w:val="67"/>
              <w:spacing w:before="31" w:line="240" w:lineRule="auto"/>
              <w:rPr>
                <w:rFonts w:ascii="Times New Roman" w:hAnsi="Times New Roman" w:eastAsiaTheme="minorEastAsia"/>
                <w:color w:val="FF0000"/>
                <w:u w:val="single"/>
              </w:rPr>
            </w:pPr>
          </w:p>
        </w:tc>
        <w:tc>
          <w:tcPr>
            <w:tcW w:w="4010" w:type="pct"/>
            <w:gridSpan w:val="8"/>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固废均能得到妥善安置，排放量为零。</w:t>
            </w:r>
          </w:p>
        </w:tc>
      </w:tr>
    </w:tbl>
    <w:p>
      <w:pPr>
        <w:pStyle w:val="3"/>
        <w:ind w:firstLine="480"/>
        <w:jc w:val="center"/>
        <w:rPr>
          <w:rFonts w:cs="Times New Roman"/>
          <w:kern w:val="0"/>
        </w:rPr>
        <w:sectPr>
          <w:pgSz w:w="16838" w:h="11906" w:orient="landscape"/>
          <w:pgMar w:top="1588" w:right="1474" w:bottom="1361" w:left="1474" w:header="851" w:footer="992" w:gutter="0"/>
          <w:cols w:space="425" w:num="1"/>
          <w:docGrid w:type="lines" w:linePitch="312" w:charSpace="0"/>
        </w:sectPr>
      </w:pPr>
    </w:p>
    <w:p>
      <w:pPr>
        <w:pStyle w:val="2"/>
        <w:ind w:left="0"/>
      </w:pPr>
      <w:bookmarkStart w:id="23" w:name="_Toc116993067"/>
      <w:r>
        <w:rPr>
          <w:rFonts w:hint="eastAsia"/>
        </w:rPr>
        <w:t>环境</w:t>
      </w:r>
      <w:r>
        <w:t>现状调查与评价</w:t>
      </w:r>
      <w:bookmarkEnd w:id="23"/>
    </w:p>
    <w:p>
      <w:pPr>
        <w:pStyle w:val="5"/>
      </w:pPr>
      <w:bookmarkStart w:id="24" w:name="_Toc116993068"/>
      <w:r>
        <w:rPr>
          <w:rFonts w:hint="eastAsia"/>
        </w:rPr>
        <w:t>自然</w:t>
      </w:r>
      <w:r>
        <w:t>环境概况</w:t>
      </w:r>
      <w:bookmarkEnd w:id="24"/>
    </w:p>
    <w:p>
      <w:pPr>
        <w:pStyle w:val="3"/>
        <w:ind w:firstLine="0" w:firstLineChars="0"/>
        <w:outlineLvl w:val="2"/>
      </w:pPr>
      <w:r>
        <w:rPr>
          <w:rFonts w:hint="eastAsia"/>
        </w:rPr>
        <w:t>5.1.1</w:t>
      </w:r>
      <w:r>
        <w:rPr>
          <w:rFonts w:hint="eastAsia"/>
        </w:rPr>
        <w:tab/>
      </w:r>
      <w:r>
        <w:rPr>
          <w:rFonts w:hint="eastAsia" w:eastAsia="黑体" w:cstheme="majorBidi"/>
          <w:bCs/>
          <w:szCs w:val="32"/>
        </w:rPr>
        <w:t>地理位置</w:t>
      </w:r>
    </w:p>
    <w:p>
      <w:pPr>
        <w:pStyle w:val="3"/>
        <w:ind w:firstLine="480"/>
        <w:rPr>
          <w:rFonts w:cs="Times New Roman" w:eastAsiaTheme="minorEastAsia"/>
          <w:kern w:val="0"/>
          <w:szCs w:val="24"/>
        </w:rPr>
      </w:pPr>
      <w:r>
        <w:rPr>
          <w:rFonts w:hint="eastAsia" w:cs="Times New Roman"/>
          <w:kern w:val="0"/>
          <w:szCs w:val="24"/>
        </w:rPr>
        <w:t>衡阳县位于湖南省中南部，东临衡山县，南靠衡阳市区和衡南县、祁东县，西连邵东县，北接双峰县，南北最长55公里，东西最宽74公里。现辖乡、镇26个，行政村893个，面积2557.52平方公里，人口111.48万，境内有岣嵝峰国家森林公园及湘西草堂等名胜。地理位置东经112°00ˊ00〞-112°45ˊ00〞，北纬26°52ˊ40〞-27°22ˊ35〞。东、西、北为丘陵、山地，中部和南部为盆地，气候温暖潮湿，有蒸水河及支流武水河两条主要河流。国道107线，省道315线纵贯南北东西，并与各乡镇相连，交通十分便利。</w:t>
      </w:r>
    </w:p>
    <w:p>
      <w:pPr>
        <w:pStyle w:val="3"/>
        <w:ind w:firstLine="480"/>
        <w:rPr>
          <w:rFonts w:cs="Times New Roman"/>
          <w:kern w:val="0"/>
          <w:szCs w:val="24"/>
        </w:rPr>
      </w:pPr>
      <w:r>
        <w:rPr>
          <w:rFonts w:hint="eastAsia" w:cs="Times New Roman"/>
          <w:kern w:val="0"/>
          <w:szCs w:val="24"/>
        </w:rPr>
        <w:t>集兵镇隶属于湖南省第二大城市衡阳市衡阳县，距离衡阳市区15公里，东临樟木乡，南面靠石鼓区松木乡、角山乡，西面接杉桥镇，北面与峋嵝乡相邻。集兵镇面积约70平方公里，有大约4万常住居民，具体地理位置见附图1</w:t>
      </w:r>
      <w:r>
        <w:rPr>
          <w:rFonts w:cs="Times New Roman"/>
          <w:kern w:val="0"/>
          <w:szCs w:val="24"/>
        </w:rPr>
        <w:t>。</w:t>
      </w:r>
    </w:p>
    <w:p>
      <w:pPr>
        <w:pStyle w:val="3"/>
        <w:ind w:firstLine="0" w:firstLineChars="0"/>
        <w:outlineLvl w:val="2"/>
      </w:pPr>
      <w:r>
        <w:rPr>
          <w:rFonts w:hint="eastAsia"/>
        </w:rPr>
        <w:t>5.1.2</w:t>
      </w:r>
      <w:r>
        <w:rPr>
          <w:rFonts w:hint="eastAsia"/>
        </w:rPr>
        <w:tab/>
      </w:r>
      <w:r>
        <w:rPr>
          <w:rFonts w:hint="eastAsia" w:eastAsia="黑体" w:cstheme="majorBidi"/>
          <w:bCs/>
          <w:szCs w:val="32"/>
        </w:rPr>
        <w:t>地形、地貌、地震</w:t>
      </w:r>
    </w:p>
    <w:p>
      <w:pPr>
        <w:pStyle w:val="3"/>
        <w:ind w:firstLine="480"/>
        <w:rPr>
          <w:rFonts w:cs="Times New Roman"/>
          <w:kern w:val="0"/>
          <w:szCs w:val="24"/>
        </w:rPr>
      </w:pPr>
      <w:r>
        <w:rPr>
          <w:rFonts w:hint="eastAsia" w:cs="Times New Roman"/>
          <w:kern w:val="0"/>
          <w:szCs w:val="24"/>
        </w:rPr>
        <w:t>衡阳县位于衡邵盆地中部。盆地内有大面积红土，红岩岗地分布。低岗地貌区的地表组成物质为白垩纪砂页和四纪红土，土壤由河流冲积物，四纪红土发育而成，地表组成物质下部为砂层，上部为亚粘土、亚砂土，土质肥沃，宜种稻谷。地区地质构造属NE向华夏系构造。其基岩为第三纪衡阳砂岩，出露基岩部分紫红色砂岩与页岩互层。评价区域地表一段为亚粘土和腐殖土，下层为红壤、杂色粘土层。</w:t>
      </w:r>
    </w:p>
    <w:p>
      <w:pPr>
        <w:pStyle w:val="3"/>
        <w:ind w:firstLine="480"/>
        <w:rPr>
          <w:rFonts w:cs="Times New Roman"/>
          <w:kern w:val="0"/>
          <w:szCs w:val="24"/>
        </w:rPr>
      </w:pPr>
      <w:r>
        <w:rPr>
          <w:rFonts w:hint="eastAsia" w:cs="Times New Roman"/>
          <w:kern w:val="0"/>
          <w:szCs w:val="24"/>
        </w:rPr>
        <w:t>本项目所在地区域属丘陵地区，东南部为平町、丘陵，西北多山地，地势西北高，东南低；多为土质的或土石质的，少数为石质的，由于亚热带风化作用的红土化过程，导致组成丘陵的物质主要红色、深红色和残坡积的粘土、亚粘土及风化残余石块，地貌单元属于丘陵地貌单元。区域未发现大的区域性断层通过，历史上也无破坏性地震、滑坡、泥石流等地质灾害记载。</w:t>
      </w:r>
    </w:p>
    <w:p>
      <w:pPr>
        <w:pStyle w:val="3"/>
        <w:ind w:firstLine="480"/>
        <w:rPr>
          <w:rFonts w:cs="Times New Roman" w:eastAsiaTheme="minorEastAsia"/>
          <w:kern w:val="0"/>
          <w:szCs w:val="24"/>
        </w:rPr>
      </w:pPr>
      <w:r>
        <w:rPr>
          <w:rFonts w:hint="eastAsia" w:cs="Times New Roman"/>
          <w:kern w:val="0"/>
          <w:szCs w:val="24"/>
        </w:rPr>
        <w:t>根据中国地震烈度区划图划定，衡阳县地震烈度小于6度</w:t>
      </w:r>
      <w:r>
        <w:rPr>
          <w:rFonts w:hint="eastAsia" w:cs="Times New Roman" w:eastAsiaTheme="minorEastAsia"/>
          <w:kern w:val="0"/>
          <w:szCs w:val="24"/>
        </w:rPr>
        <w:t>。</w:t>
      </w:r>
    </w:p>
    <w:p>
      <w:pPr>
        <w:pStyle w:val="3"/>
        <w:ind w:firstLine="0" w:firstLineChars="0"/>
        <w:outlineLvl w:val="2"/>
      </w:pPr>
      <w:r>
        <w:rPr>
          <w:rFonts w:hint="eastAsia"/>
        </w:rPr>
        <w:t>5.1.3</w:t>
      </w:r>
      <w:r>
        <w:rPr>
          <w:rFonts w:hint="eastAsia"/>
        </w:rPr>
        <w:tab/>
      </w:r>
      <w:r>
        <w:rPr>
          <w:rFonts w:hint="eastAsia" w:eastAsia="黑体" w:cstheme="majorBidi"/>
          <w:bCs/>
          <w:szCs w:val="32"/>
        </w:rPr>
        <w:t>气象、气候</w:t>
      </w:r>
    </w:p>
    <w:p>
      <w:pPr>
        <w:pStyle w:val="3"/>
        <w:ind w:firstLine="480"/>
        <w:rPr>
          <w:rFonts w:cs="Times New Roman" w:eastAsiaTheme="minorEastAsia"/>
          <w:kern w:val="0"/>
          <w:szCs w:val="24"/>
        </w:rPr>
      </w:pPr>
      <w:r>
        <w:rPr>
          <w:rFonts w:hint="eastAsia" w:cs="Times New Roman"/>
          <w:kern w:val="0"/>
          <w:szCs w:val="24"/>
        </w:rPr>
        <w:t>衡阳县属亚热带季风湿润性气候，具有气候温和，四季分明，热量丰富，雨水充足的特点。据县气象站</w:t>
      </w:r>
      <w:r>
        <w:rPr>
          <w:rFonts w:cs="Times New Roman"/>
          <w:kern w:val="0"/>
          <w:szCs w:val="24"/>
        </w:rPr>
        <w:t>30</w:t>
      </w:r>
      <w:r>
        <w:rPr>
          <w:rFonts w:hint="eastAsia" w:cs="Times New Roman"/>
          <w:kern w:val="0"/>
          <w:szCs w:val="24"/>
        </w:rPr>
        <w:t>年（</w:t>
      </w:r>
      <w:r>
        <w:rPr>
          <w:rFonts w:cs="Times New Roman"/>
          <w:kern w:val="0"/>
          <w:szCs w:val="24"/>
        </w:rPr>
        <w:t>1965-1994</w:t>
      </w:r>
      <w:r>
        <w:rPr>
          <w:rFonts w:hint="eastAsia" w:cs="Times New Roman"/>
          <w:kern w:val="0"/>
          <w:szCs w:val="24"/>
        </w:rPr>
        <w:t>年）资料统计，年平均气温</w:t>
      </w:r>
      <w:r>
        <w:rPr>
          <w:rFonts w:cs="Times New Roman"/>
          <w:kern w:val="0"/>
          <w:szCs w:val="24"/>
        </w:rPr>
        <w:t>18.7</w:t>
      </w:r>
      <w:r>
        <w:rPr>
          <w:rFonts w:hint="eastAsia" w:cs="Times New Roman"/>
          <w:kern w:val="0"/>
          <w:szCs w:val="24"/>
        </w:rPr>
        <w:t>℃，极端最高气温</w:t>
      </w:r>
      <w:r>
        <w:rPr>
          <w:rFonts w:cs="Times New Roman"/>
          <w:kern w:val="0"/>
          <w:szCs w:val="24"/>
        </w:rPr>
        <w:t>40.8</w:t>
      </w:r>
      <w:r>
        <w:rPr>
          <w:rFonts w:hint="eastAsia" w:cs="Times New Roman"/>
          <w:kern w:val="0"/>
          <w:szCs w:val="24"/>
        </w:rPr>
        <w:t>℃</w:t>
      </w:r>
      <w:r>
        <w:rPr>
          <w:rFonts w:cs="Times New Roman"/>
          <w:kern w:val="0"/>
          <w:szCs w:val="24"/>
        </w:rPr>
        <w:t>(1971.7.26)</w:t>
      </w:r>
      <w:r>
        <w:rPr>
          <w:rFonts w:hint="eastAsia" w:cs="Times New Roman"/>
          <w:kern w:val="0"/>
          <w:szCs w:val="24"/>
        </w:rPr>
        <w:t>，极端最低气温</w:t>
      </w:r>
      <w:r>
        <w:rPr>
          <w:rFonts w:cs="Times New Roman"/>
          <w:kern w:val="0"/>
          <w:szCs w:val="24"/>
        </w:rPr>
        <w:t>-8.3</w:t>
      </w:r>
      <w:r>
        <w:rPr>
          <w:rFonts w:hint="eastAsia" w:cs="Times New Roman"/>
          <w:kern w:val="0"/>
          <w:szCs w:val="24"/>
        </w:rPr>
        <w:t>℃（</w:t>
      </w:r>
      <w:r>
        <w:rPr>
          <w:rFonts w:cs="Times New Roman"/>
          <w:kern w:val="0"/>
          <w:szCs w:val="24"/>
        </w:rPr>
        <w:t>1972.2.9</w:t>
      </w:r>
      <w:r>
        <w:rPr>
          <w:rFonts w:hint="eastAsia" w:cs="Times New Roman"/>
          <w:kern w:val="0"/>
          <w:szCs w:val="24"/>
        </w:rPr>
        <w:t>）。地表温度年平均</w:t>
      </w:r>
      <w:r>
        <w:rPr>
          <w:rFonts w:cs="Times New Roman"/>
          <w:kern w:val="0"/>
          <w:szCs w:val="24"/>
        </w:rPr>
        <w:t>20.7</w:t>
      </w:r>
      <w:r>
        <w:rPr>
          <w:rFonts w:hint="eastAsia" w:cs="Times New Roman"/>
          <w:kern w:val="0"/>
          <w:szCs w:val="24"/>
        </w:rPr>
        <w:t>℃，</w:t>
      </w:r>
      <w:r>
        <w:rPr>
          <w:rFonts w:cs="Times New Roman"/>
          <w:kern w:val="0"/>
          <w:szCs w:val="24"/>
        </w:rPr>
        <w:t>7</w:t>
      </w:r>
      <w:r>
        <w:rPr>
          <w:rFonts w:hint="eastAsia" w:cs="Times New Roman"/>
          <w:kern w:val="0"/>
          <w:szCs w:val="24"/>
        </w:rPr>
        <w:t>月最高，平均为</w:t>
      </w:r>
      <w:r>
        <w:rPr>
          <w:rFonts w:cs="Times New Roman"/>
          <w:kern w:val="0"/>
          <w:szCs w:val="24"/>
        </w:rPr>
        <w:t>36.4</w:t>
      </w:r>
      <w:r>
        <w:rPr>
          <w:rFonts w:hint="eastAsia" w:cs="Times New Roman"/>
          <w:kern w:val="0"/>
          <w:szCs w:val="24"/>
        </w:rPr>
        <w:t>℃，</w:t>
      </w:r>
      <w:r>
        <w:rPr>
          <w:rFonts w:cs="Times New Roman"/>
          <w:kern w:val="0"/>
          <w:szCs w:val="24"/>
        </w:rPr>
        <w:t>1</w:t>
      </w:r>
      <w:r>
        <w:rPr>
          <w:rFonts w:hint="eastAsia" w:cs="Times New Roman"/>
          <w:kern w:val="0"/>
          <w:szCs w:val="24"/>
        </w:rPr>
        <w:t>月份最低，平均为</w:t>
      </w:r>
      <w:r>
        <w:rPr>
          <w:rFonts w:cs="Times New Roman"/>
          <w:kern w:val="0"/>
          <w:szCs w:val="24"/>
        </w:rPr>
        <w:t>6.4</w:t>
      </w:r>
      <w:r>
        <w:rPr>
          <w:rFonts w:hint="eastAsia" w:cs="Times New Roman"/>
          <w:kern w:val="0"/>
          <w:szCs w:val="24"/>
        </w:rPr>
        <w:t>℃。降水自</w:t>
      </w:r>
      <w:r>
        <w:rPr>
          <w:rFonts w:cs="Times New Roman"/>
          <w:kern w:val="0"/>
          <w:szCs w:val="24"/>
        </w:rPr>
        <w:t>1959-2000</w:t>
      </w:r>
      <w:r>
        <w:rPr>
          <w:rFonts w:hint="eastAsia" w:cs="Times New Roman"/>
          <w:kern w:val="0"/>
          <w:szCs w:val="24"/>
        </w:rPr>
        <w:t>年</w:t>
      </w:r>
      <w:r>
        <w:rPr>
          <w:rFonts w:cs="Times New Roman"/>
          <w:kern w:val="0"/>
          <w:szCs w:val="24"/>
        </w:rPr>
        <w:t>42</w:t>
      </w:r>
      <w:r>
        <w:rPr>
          <w:rFonts w:hint="eastAsia" w:cs="Times New Roman"/>
          <w:kern w:val="0"/>
          <w:szCs w:val="24"/>
        </w:rPr>
        <w:t>年来，平均降水量</w:t>
      </w:r>
      <w:r>
        <w:rPr>
          <w:rFonts w:cs="Times New Roman"/>
          <w:kern w:val="0"/>
          <w:szCs w:val="24"/>
        </w:rPr>
        <w:t>1441.9mm</w:t>
      </w:r>
      <w:r>
        <w:rPr>
          <w:rFonts w:hint="eastAsia" w:cs="Times New Roman"/>
          <w:kern w:val="0"/>
          <w:szCs w:val="24"/>
        </w:rPr>
        <w:t>，春夏降水量多于秋冬。全县多年平均日照时数</w:t>
      </w:r>
      <w:r>
        <w:rPr>
          <w:rFonts w:cs="Times New Roman"/>
          <w:kern w:val="0"/>
          <w:szCs w:val="24"/>
        </w:rPr>
        <w:t>1751.9</w:t>
      </w:r>
      <w:r>
        <w:rPr>
          <w:rFonts w:hint="eastAsia" w:cs="Times New Roman"/>
          <w:kern w:val="0"/>
          <w:szCs w:val="24"/>
        </w:rPr>
        <w:t>小时，年均蒸发量</w:t>
      </w:r>
      <w:r>
        <w:rPr>
          <w:rFonts w:cs="Times New Roman"/>
          <w:kern w:val="0"/>
          <w:szCs w:val="24"/>
        </w:rPr>
        <w:t>1468.7mm</w:t>
      </w:r>
      <w:r>
        <w:rPr>
          <w:rFonts w:hint="eastAsia" w:cs="Times New Roman"/>
          <w:kern w:val="0"/>
          <w:szCs w:val="24"/>
        </w:rPr>
        <w:t>，多年平均相对湿度为</w:t>
      </w:r>
      <w:r>
        <w:rPr>
          <w:rFonts w:cs="Times New Roman"/>
          <w:kern w:val="0"/>
          <w:szCs w:val="24"/>
        </w:rPr>
        <w:t>79%</w:t>
      </w:r>
      <w:r>
        <w:rPr>
          <w:rFonts w:hint="eastAsia" w:cs="Times New Roman"/>
          <w:kern w:val="0"/>
          <w:szCs w:val="24"/>
        </w:rPr>
        <w:t>，年平均霜日</w:t>
      </w:r>
      <w:r>
        <w:rPr>
          <w:rFonts w:cs="Times New Roman"/>
          <w:kern w:val="0"/>
          <w:szCs w:val="24"/>
        </w:rPr>
        <w:t>12.2</w:t>
      </w:r>
      <w:r>
        <w:rPr>
          <w:rFonts w:hint="eastAsia" w:cs="Times New Roman"/>
          <w:kern w:val="0"/>
          <w:szCs w:val="24"/>
        </w:rPr>
        <w:t>天，最多年</w:t>
      </w:r>
      <w:r>
        <w:rPr>
          <w:rFonts w:cs="Times New Roman"/>
          <w:kern w:val="0"/>
          <w:szCs w:val="24"/>
        </w:rPr>
        <w:t>26</w:t>
      </w:r>
      <w:r>
        <w:rPr>
          <w:rFonts w:hint="eastAsia" w:cs="Times New Roman"/>
          <w:kern w:val="0"/>
          <w:szCs w:val="24"/>
        </w:rPr>
        <w:t>天，最小年</w:t>
      </w:r>
      <w:r>
        <w:rPr>
          <w:rFonts w:cs="Times New Roman"/>
          <w:kern w:val="0"/>
          <w:szCs w:val="24"/>
        </w:rPr>
        <w:t>4</w:t>
      </w:r>
      <w:r>
        <w:rPr>
          <w:rFonts w:hint="eastAsia" w:cs="Times New Roman"/>
          <w:kern w:val="0"/>
          <w:szCs w:val="24"/>
        </w:rPr>
        <w:t>天，无霜日为</w:t>
      </w:r>
      <w:r>
        <w:rPr>
          <w:rFonts w:cs="Times New Roman"/>
          <w:kern w:val="0"/>
          <w:szCs w:val="24"/>
        </w:rPr>
        <w:t>299</w:t>
      </w:r>
      <w:r>
        <w:rPr>
          <w:rFonts w:hint="eastAsia" w:cs="Times New Roman"/>
          <w:kern w:val="0"/>
          <w:szCs w:val="24"/>
        </w:rPr>
        <w:t>天。全年主导风向为东北风，年出现频率为</w:t>
      </w:r>
      <w:r>
        <w:rPr>
          <w:rFonts w:cs="Times New Roman"/>
          <w:kern w:val="0"/>
          <w:szCs w:val="24"/>
        </w:rPr>
        <w:t>15%</w:t>
      </w:r>
      <w:r>
        <w:rPr>
          <w:rFonts w:hint="eastAsia" w:cs="Times New Roman"/>
          <w:kern w:val="0"/>
          <w:szCs w:val="24"/>
        </w:rPr>
        <w:t>，夏季主导风向为南风。多年平均风速</w:t>
      </w:r>
      <w:r>
        <w:rPr>
          <w:rFonts w:cs="Times New Roman"/>
          <w:kern w:val="0"/>
          <w:szCs w:val="24"/>
        </w:rPr>
        <w:t>2.0</w:t>
      </w:r>
      <w:r>
        <w:rPr>
          <w:rFonts w:hint="eastAsia" w:cs="Times New Roman"/>
          <w:kern w:val="0"/>
          <w:szCs w:val="24"/>
        </w:rPr>
        <w:t>米</w:t>
      </w:r>
      <w:r>
        <w:rPr>
          <w:rFonts w:cs="Times New Roman"/>
          <w:kern w:val="0"/>
          <w:szCs w:val="24"/>
        </w:rPr>
        <w:t>/</w:t>
      </w:r>
      <w:r>
        <w:rPr>
          <w:rFonts w:hint="eastAsia" w:cs="Times New Roman"/>
          <w:kern w:val="0"/>
          <w:szCs w:val="24"/>
        </w:rPr>
        <w:t>秒，最大风速为</w:t>
      </w:r>
      <w:r>
        <w:rPr>
          <w:rFonts w:cs="Times New Roman"/>
          <w:kern w:val="0"/>
          <w:szCs w:val="24"/>
        </w:rPr>
        <w:t>25</w:t>
      </w:r>
      <w:r>
        <w:rPr>
          <w:rFonts w:hint="eastAsia" w:cs="Times New Roman"/>
          <w:kern w:val="0"/>
          <w:szCs w:val="24"/>
        </w:rPr>
        <w:t>米</w:t>
      </w:r>
      <w:r>
        <w:rPr>
          <w:rFonts w:cs="Times New Roman"/>
          <w:kern w:val="0"/>
          <w:szCs w:val="24"/>
        </w:rPr>
        <w:t>/</w:t>
      </w:r>
      <w:r>
        <w:rPr>
          <w:rFonts w:hint="eastAsia" w:cs="Times New Roman"/>
          <w:kern w:val="0"/>
          <w:szCs w:val="24"/>
        </w:rPr>
        <w:t>秒。</w:t>
      </w:r>
    </w:p>
    <w:p>
      <w:pPr>
        <w:pStyle w:val="3"/>
        <w:ind w:firstLine="0" w:firstLineChars="0"/>
        <w:outlineLvl w:val="2"/>
      </w:pPr>
      <w:r>
        <w:rPr>
          <w:rFonts w:hint="eastAsia"/>
        </w:rPr>
        <w:t>5.1.4</w:t>
      </w:r>
      <w:r>
        <w:rPr>
          <w:rFonts w:hint="eastAsia"/>
        </w:rPr>
        <w:tab/>
      </w:r>
      <w:r>
        <w:rPr>
          <w:rFonts w:hint="eastAsia" w:eastAsia="黑体" w:cstheme="majorBidi"/>
          <w:bCs/>
          <w:szCs w:val="32"/>
        </w:rPr>
        <w:t>水文</w:t>
      </w:r>
    </w:p>
    <w:p>
      <w:pPr>
        <w:pStyle w:val="3"/>
        <w:ind w:firstLine="480"/>
        <w:rPr>
          <w:rFonts w:cs="Times New Roman"/>
          <w:kern w:val="0"/>
          <w:szCs w:val="24"/>
        </w:rPr>
      </w:pPr>
      <w:r>
        <w:rPr>
          <w:rFonts w:hint="eastAsia" w:cs="Times New Roman"/>
          <w:kern w:val="0"/>
          <w:szCs w:val="24"/>
        </w:rPr>
        <w:t>衡阳县水域面积</w:t>
      </w:r>
      <w:r>
        <w:rPr>
          <w:rFonts w:cs="Times New Roman"/>
          <w:kern w:val="0"/>
          <w:szCs w:val="24"/>
        </w:rPr>
        <w:t>180.94km</w:t>
      </w:r>
      <w:r>
        <w:rPr>
          <w:rFonts w:cs="Times New Roman"/>
          <w:kern w:val="0"/>
          <w:szCs w:val="24"/>
          <w:vertAlign w:val="superscript"/>
        </w:rPr>
        <w:t>2</w:t>
      </w:r>
      <w:r>
        <w:rPr>
          <w:rFonts w:hint="eastAsia" w:cs="Times New Roman"/>
          <w:kern w:val="0"/>
          <w:szCs w:val="24"/>
        </w:rPr>
        <w:t>，占总面积</w:t>
      </w:r>
      <w:r>
        <w:rPr>
          <w:rFonts w:cs="Times New Roman"/>
          <w:kern w:val="0"/>
          <w:szCs w:val="24"/>
        </w:rPr>
        <w:t>6.89%</w:t>
      </w:r>
      <w:r>
        <w:rPr>
          <w:rFonts w:hint="eastAsia" w:cs="Times New Roman"/>
          <w:kern w:val="0"/>
          <w:szCs w:val="24"/>
        </w:rPr>
        <w:t>，境内多年平均地表水总量为</w:t>
      </w:r>
      <w:r>
        <w:rPr>
          <w:rFonts w:cs="Times New Roman"/>
          <w:kern w:val="0"/>
          <w:szCs w:val="24"/>
        </w:rPr>
        <w:t>19.6536</w:t>
      </w:r>
      <w:r>
        <w:rPr>
          <w:rFonts w:hint="eastAsia" w:cs="Times New Roman"/>
          <w:kern w:val="0"/>
          <w:szCs w:val="24"/>
        </w:rPr>
        <w:t>亿立方米，地表水主要来自河川，全县长度</w:t>
      </w:r>
      <w:r>
        <w:rPr>
          <w:rFonts w:cs="Times New Roman"/>
          <w:kern w:val="0"/>
          <w:szCs w:val="24"/>
        </w:rPr>
        <w:t>5</w:t>
      </w:r>
      <w:r>
        <w:rPr>
          <w:rFonts w:hint="eastAsia" w:cs="Times New Roman"/>
          <w:kern w:val="0"/>
          <w:szCs w:val="24"/>
        </w:rPr>
        <w:t>公里以上，集雨面积</w:t>
      </w:r>
      <w:r>
        <w:rPr>
          <w:rFonts w:cs="Times New Roman"/>
          <w:kern w:val="0"/>
          <w:szCs w:val="24"/>
        </w:rPr>
        <w:t>10</w:t>
      </w:r>
      <w:r>
        <w:rPr>
          <w:rFonts w:hint="eastAsia" w:cs="Times New Roman"/>
          <w:kern w:val="0"/>
          <w:szCs w:val="24"/>
        </w:rPr>
        <w:t>平方公里以上的河流共</w:t>
      </w:r>
      <w:r>
        <w:rPr>
          <w:rFonts w:cs="Times New Roman"/>
          <w:kern w:val="0"/>
          <w:szCs w:val="24"/>
        </w:rPr>
        <w:t>81</w:t>
      </w:r>
      <w:r>
        <w:rPr>
          <w:rFonts w:hint="eastAsia" w:cs="Times New Roman"/>
          <w:kern w:val="0"/>
          <w:szCs w:val="24"/>
        </w:rPr>
        <w:t>条（不含湘江）。属湘江一级支流</w:t>
      </w:r>
      <w:r>
        <w:rPr>
          <w:rFonts w:cs="Times New Roman"/>
          <w:kern w:val="0"/>
          <w:szCs w:val="24"/>
        </w:rPr>
        <w:t>5</w:t>
      </w:r>
      <w:r>
        <w:rPr>
          <w:rFonts w:hint="eastAsia" w:cs="Times New Roman"/>
          <w:kern w:val="0"/>
          <w:szCs w:val="24"/>
        </w:rPr>
        <w:t>条，二级支流</w:t>
      </w:r>
      <w:r>
        <w:rPr>
          <w:rFonts w:cs="Times New Roman"/>
          <w:kern w:val="0"/>
          <w:szCs w:val="24"/>
        </w:rPr>
        <w:t>32</w:t>
      </w:r>
      <w:r>
        <w:rPr>
          <w:rFonts w:hint="eastAsia" w:cs="Times New Roman"/>
          <w:kern w:val="0"/>
          <w:szCs w:val="24"/>
        </w:rPr>
        <w:t>条，三级支流</w:t>
      </w:r>
      <w:r>
        <w:rPr>
          <w:rFonts w:cs="Times New Roman"/>
          <w:kern w:val="0"/>
          <w:szCs w:val="24"/>
        </w:rPr>
        <w:t>37</w:t>
      </w:r>
      <w:r>
        <w:rPr>
          <w:rFonts w:hint="eastAsia" w:cs="Times New Roman"/>
          <w:kern w:val="0"/>
          <w:szCs w:val="24"/>
        </w:rPr>
        <w:t>条，四级支流</w:t>
      </w:r>
      <w:r>
        <w:rPr>
          <w:rFonts w:cs="Times New Roman"/>
          <w:kern w:val="0"/>
          <w:szCs w:val="24"/>
        </w:rPr>
        <w:t>5</w:t>
      </w:r>
      <w:r>
        <w:rPr>
          <w:rFonts w:hint="eastAsia" w:cs="Times New Roman"/>
          <w:kern w:val="0"/>
          <w:szCs w:val="24"/>
        </w:rPr>
        <w:t>条，五级支流</w:t>
      </w:r>
      <w:r>
        <w:rPr>
          <w:rFonts w:cs="Times New Roman"/>
          <w:kern w:val="0"/>
          <w:szCs w:val="24"/>
        </w:rPr>
        <w:t>2</w:t>
      </w:r>
      <w:r>
        <w:rPr>
          <w:rFonts w:hint="eastAsia" w:cs="Times New Roman"/>
          <w:kern w:val="0"/>
          <w:szCs w:val="24"/>
        </w:rPr>
        <w:t>条，总长度</w:t>
      </w:r>
      <w:r>
        <w:rPr>
          <w:rFonts w:cs="Times New Roman"/>
          <w:kern w:val="0"/>
          <w:szCs w:val="24"/>
        </w:rPr>
        <w:t>1277.6</w:t>
      </w:r>
      <w:r>
        <w:rPr>
          <w:rFonts w:hint="eastAsia" w:cs="Times New Roman"/>
          <w:kern w:val="0"/>
          <w:szCs w:val="24"/>
        </w:rPr>
        <w:t>公里，河网密度为每平方公里</w:t>
      </w:r>
      <w:r>
        <w:rPr>
          <w:rFonts w:cs="Times New Roman"/>
          <w:kern w:val="0"/>
          <w:szCs w:val="24"/>
        </w:rPr>
        <w:t>0.48</w:t>
      </w:r>
      <w:r>
        <w:rPr>
          <w:rFonts w:hint="eastAsia" w:cs="Times New Roman"/>
          <w:kern w:val="0"/>
          <w:szCs w:val="24"/>
        </w:rPr>
        <w:t>公里。</w:t>
      </w:r>
    </w:p>
    <w:p>
      <w:pPr>
        <w:pStyle w:val="3"/>
        <w:ind w:firstLine="480"/>
        <w:rPr>
          <w:rFonts w:cs="Times New Roman"/>
          <w:kern w:val="0"/>
          <w:szCs w:val="24"/>
        </w:rPr>
      </w:pPr>
      <w:r>
        <w:rPr>
          <w:rFonts w:hint="eastAsia" w:cs="Times New Roman"/>
          <w:kern w:val="0"/>
          <w:szCs w:val="24"/>
        </w:rPr>
        <w:t>距本项目最近的主要地表水系为蒸水，蒸水位于本项目南侧</w:t>
      </w:r>
      <w:r>
        <w:rPr>
          <w:rFonts w:cs="Times New Roman"/>
          <w:kern w:val="0"/>
          <w:szCs w:val="24"/>
        </w:rPr>
        <w:t>1300m</w:t>
      </w:r>
      <w:r>
        <w:rPr>
          <w:rFonts w:hint="eastAsia" w:cs="Times New Roman"/>
          <w:kern w:val="0"/>
          <w:szCs w:val="24"/>
        </w:rPr>
        <w:t>处。蒸水古名承水，又名草河，湘江一级支流，为境内主要河流，发源于邵东县雁鹅圳的丛山之中，流经衡阳县、衡南县，于衡阳市石鼓嘴汇入湘江，沿途接纳岁河、柿竹水、岳沙河、演陂水、武水、青化水等二级支流。蒸水属山溪型，夏汛冬涸，易涨易落，沿岸低洼农田常因山洪受淹，蒸水有大小支流</w:t>
      </w:r>
      <w:r>
        <w:rPr>
          <w:rFonts w:cs="Times New Roman"/>
          <w:kern w:val="0"/>
          <w:szCs w:val="24"/>
        </w:rPr>
        <w:t>69</w:t>
      </w:r>
      <w:r>
        <w:rPr>
          <w:rFonts w:hint="eastAsia" w:cs="Times New Roman"/>
          <w:kern w:val="0"/>
          <w:szCs w:val="24"/>
        </w:rPr>
        <w:t>条，其中由左岸流入的</w:t>
      </w:r>
      <w:r>
        <w:rPr>
          <w:rFonts w:cs="Times New Roman"/>
          <w:kern w:val="0"/>
          <w:szCs w:val="24"/>
        </w:rPr>
        <w:t>36</w:t>
      </w:r>
      <w:r>
        <w:rPr>
          <w:rFonts w:hint="eastAsia" w:cs="Times New Roman"/>
          <w:kern w:val="0"/>
          <w:szCs w:val="24"/>
        </w:rPr>
        <w:t>条，由右岸流入的</w:t>
      </w:r>
      <w:r>
        <w:rPr>
          <w:rFonts w:cs="Times New Roman"/>
          <w:kern w:val="0"/>
          <w:szCs w:val="24"/>
        </w:rPr>
        <w:t>33</w:t>
      </w:r>
      <w:r>
        <w:rPr>
          <w:rFonts w:hint="eastAsia" w:cs="Times New Roman"/>
          <w:kern w:val="0"/>
          <w:szCs w:val="24"/>
        </w:rPr>
        <w:t>条。</w:t>
      </w:r>
    </w:p>
    <w:p>
      <w:pPr>
        <w:pStyle w:val="3"/>
        <w:ind w:firstLine="480"/>
        <w:rPr>
          <w:rFonts w:cs="Times New Roman"/>
          <w:kern w:val="0"/>
          <w:szCs w:val="24"/>
        </w:rPr>
      </w:pPr>
      <w:r>
        <w:rPr>
          <w:rFonts w:hint="eastAsia" w:cs="Times New Roman"/>
          <w:kern w:val="0"/>
          <w:szCs w:val="24"/>
        </w:rPr>
        <w:t>蒸水为湘江一级支流，流域面积为</w:t>
      </w:r>
      <w:r>
        <w:rPr>
          <w:rFonts w:cs="Times New Roman"/>
          <w:kern w:val="0"/>
          <w:szCs w:val="24"/>
        </w:rPr>
        <w:t>3470km</w:t>
      </w:r>
      <w:r>
        <w:rPr>
          <w:rFonts w:cs="Times New Roman"/>
          <w:kern w:val="0"/>
          <w:szCs w:val="24"/>
          <w:vertAlign w:val="superscript"/>
        </w:rPr>
        <w:t>2</w:t>
      </w:r>
      <w:r>
        <w:rPr>
          <w:rFonts w:hint="eastAsia" w:cs="Times New Roman"/>
          <w:kern w:val="0"/>
          <w:szCs w:val="24"/>
        </w:rPr>
        <w:t>，河长</w:t>
      </w:r>
      <w:r>
        <w:rPr>
          <w:rFonts w:cs="Times New Roman"/>
          <w:kern w:val="0"/>
          <w:szCs w:val="24"/>
        </w:rPr>
        <w:t>194km</w:t>
      </w:r>
      <w:r>
        <w:rPr>
          <w:rFonts w:hint="eastAsia" w:cs="Times New Roman"/>
          <w:kern w:val="0"/>
          <w:szCs w:val="24"/>
        </w:rPr>
        <w:t>，河流坡降为</w:t>
      </w:r>
      <w:r>
        <w:rPr>
          <w:rFonts w:cs="Times New Roman"/>
          <w:kern w:val="0"/>
          <w:szCs w:val="24"/>
        </w:rPr>
        <w:t>0.54%</w:t>
      </w:r>
      <w:r>
        <w:rPr>
          <w:rFonts w:hint="eastAsia" w:cs="Times New Roman"/>
          <w:kern w:val="0"/>
          <w:szCs w:val="24"/>
        </w:rPr>
        <w:t>，属湖南多沙河流，其上游井头多年平均侵蚀模数达</w:t>
      </w:r>
      <w:r>
        <w:rPr>
          <w:rFonts w:cs="Times New Roman"/>
          <w:kern w:val="0"/>
          <w:szCs w:val="24"/>
        </w:rPr>
        <w:t>600t/km</w:t>
      </w:r>
      <w:r>
        <w:rPr>
          <w:rFonts w:cs="Times New Roman"/>
          <w:kern w:val="0"/>
          <w:szCs w:val="24"/>
          <w:vertAlign w:val="superscript"/>
        </w:rPr>
        <w:t>2</w:t>
      </w:r>
      <w:r>
        <w:rPr>
          <w:rFonts w:hint="eastAsia" w:cs="Times New Roman"/>
          <w:kern w:val="0"/>
          <w:szCs w:val="24"/>
        </w:rPr>
        <w:t>，为湖南省极大值之一。</w:t>
      </w:r>
    </w:p>
    <w:p>
      <w:pPr>
        <w:pStyle w:val="3"/>
        <w:ind w:firstLine="480"/>
      </w:pPr>
      <w:r>
        <w:rPr>
          <w:rFonts w:hint="eastAsia" w:cs="Times New Roman"/>
          <w:kern w:val="0"/>
          <w:szCs w:val="24"/>
        </w:rPr>
        <w:t>蒸水历年最大流量</w:t>
      </w:r>
      <w:r>
        <w:rPr>
          <w:rFonts w:cs="Times New Roman"/>
          <w:kern w:val="0"/>
          <w:szCs w:val="24"/>
        </w:rPr>
        <w:t>312m</w:t>
      </w:r>
      <w:r>
        <w:rPr>
          <w:rFonts w:cs="Times New Roman"/>
          <w:kern w:val="0"/>
          <w:szCs w:val="24"/>
          <w:vertAlign w:val="superscript"/>
        </w:rPr>
        <w:t>3</w:t>
      </w:r>
      <w:r>
        <w:rPr>
          <w:rFonts w:cs="Times New Roman"/>
          <w:kern w:val="0"/>
          <w:szCs w:val="24"/>
        </w:rPr>
        <w:t>/s</w:t>
      </w:r>
      <w:r>
        <w:rPr>
          <w:rFonts w:hint="eastAsia" w:cs="Times New Roman"/>
          <w:kern w:val="0"/>
          <w:szCs w:val="24"/>
        </w:rPr>
        <w:t>，最小流量为</w:t>
      </w:r>
      <w:r>
        <w:rPr>
          <w:rFonts w:cs="Times New Roman"/>
          <w:kern w:val="0"/>
          <w:szCs w:val="24"/>
        </w:rPr>
        <w:t>0.782m</w:t>
      </w:r>
      <w:r>
        <w:rPr>
          <w:rFonts w:cs="Times New Roman"/>
          <w:kern w:val="0"/>
          <w:szCs w:val="24"/>
          <w:vertAlign w:val="superscript"/>
        </w:rPr>
        <w:t>3</w:t>
      </w:r>
      <w:r>
        <w:rPr>
          <w:rFonts w:cs="Times New Roman"/>
          <w:kern w:val="0"/>
          <w:szCs w:val="24"/>
        </w:rPr>
        <w:t>/s</w:t>
      </w:r>
      <w:r>
        <w:rPr>
          <w:rFonts w:hint="eastAsia" w:cs="Times New Roman"/>
          <w:kern w:val="0"/>
          <w:szCs w:val="24"/>
        </w:rPr>
        <w:t>，平均流量为</w:t>
      </w:r>
      <w:r>
        <w:rPr>
          <w:rFonts w:cs="Times New Roman"/>
          <w:kern w:val="0"/>
          <w:szCs w:val="24"/>
        </w:rPr>
        <w:t>45.83m</w:t>
      </w:r>
      <w:r>
        <w:rPr>
          <w:rFonts w:cs="Times New Roman"/>
          <w:kern w:val="0"/>
          <w:szCs w:val="24"/>
          <w:vertAlign w:val="superscript"/>
        </w:rPr>
        <w:t>3</w:t>
      </w:r>
      <w:r>
        <w:rPr>
          <w:rFonts w:cs="Times New Roman"/>
          <w:kern w:val="0"/>
          <w:szCs w:val="24"/>
        </w:rPr>
        <w:t>/s</w:t>
      </w:r>
      <w:r>
        <w:rPr>
          <w:rFonts w:hint="eastAsia" w:cs="Times New Roman"/>
          <w:kern w:val="0"/>
          <w:szCs w:val="24"/>
        </w:rPr>
        <w:t>，丰水期为每年</w:t>
      </w:r>
      <w:r>
        <w:rPr>
          <w:rFonts w:cs="Times New Roman"/>
          <w:kern w:val="0"/>
          <w:szCs w:val="24"/>
        </w:rPr>
        <w:t>4~7</w:t>
      </w:r>
      <w:r>
        <w:rPr>
          <w:rFonts w:hint="eastAsia" w:cs="Times New Roman"/>
          <w:kern w:val="0"/>
          <w:szCs w:val="24"/>
        </w:rPr>
        <w:t>月，枯水期为当年</w:t>
      </w:r>
      <w:r>
        <w:rPr>
          <w:rFonts w:cs="Times New Roman"/>
          <w:kern w:val="0"/>
          <w:szCs w:val="24"/>
        </w:rPr>
        <w:t>12</w:t>
      </w:r>
      <w:r>
        <w:rPr>
          <w:rFonts w:hint="eastAsia" w:cs="Times New Roman"/>
          <w:kern w:val="0"/>
          <w:szCs w:val="24"/>
        </w:rPr>
        <w:t>月</w:t>
      </w:r>
      <w:r>
        <w:rPr>
          <w:rFonts w:cs="Times New Roman"/>
          <w:kern w:val="0"/>
          <w:szCs w:val="24"/>
        </w:rPr>
        <w:t>~</w:t>
      </w:r>
      <w:r>
        <w:rPr>
          <w:rFonts w:hint="eastAsia" w:cs="Times New Roman"/>
          <w:kern w:val="0"/>
          <w:szCs w:val="24"/>
        </w:rPr>
        <w:t>次年</w:t>
      </w:r>
      <w:r>
        <w:rPr>
          <w:rFonts w:cs="Times New Roman"/>
          <w:kern w:val="0"/>
          <w:szCs w:val="24"/>
        </w:rPr>
        <w:t>2</w:t>
      </w:r>
      <w:r>
        <w:rPr>
          <w:rFonts w:hint="eastAsia" w:cs="Times New Roman"/>
          <w:kern w:val="0"/>
          <w:szCs w:val="24"/>
        </w:rPr>
        <w:t>月，年平均水位</w:t>
      </w:r>
      <w:r>
        <w:rPr>
          <w:rFonts w:cs="Times New Roman"/>
          <w:kern w:val="0"/>
          <w:szCs w:val="24"/>
        </w:rPr>
        <w:t>59.31m</w:t>
      </w:r>
      <w:r>
        <w:rPr>
          <w:rFonts w:hint="eastAsia" w:cs="Times New Roman"/>
          <w:kern w:val="0"/>
          <w:szCs w:val="24"/>
        </w:rPr>
        <w:t>，年平均水温</w:t>
      </w:r>
      <w:r>
        <w:rPr>
          <w:rFonts w:cs="Times New Roman"/>
          <w:kern w:val="0"/>
          <w:szCs w:val="24"/>
        </w:rPr>
        <w:t>18.5</w:t>
      </w:r>
      <w:r>
        <w:rPr>
          <w:rFonts w:hint="eastAsia" w:cs="Times New Roman"/>
          <w:kern w:val="0"/>
          <w:szCs w:val="24"/>
        </w:rPr>
        <w:t>°</w:t>
      </w:r>
      <w:r>
        <w:rPr>
          <w:rFonts w:cs="Times New Roman"/>
          <w:kern w:val="0"/>
          <w:szCs w:val="24"/>
        </w:rPr>
        <w:t>C</w:t>
      </w:r>
      <w:r>
        <w:rPr>
          <w:rFonts w:hint="eastAsia" w:cs="Times New Roman"/>
          <w:kern w:val="0"/>
          <w:szCs w:val="24"/>
        </w:rPr>
        <w:t>，最高水温</w:t>
      </w:r>
      <w:r>
        <w:rPr>
          <w:rFonts w:cs="Times New Roman"/>
          <w:kern w:val="0"/>
          <w:szCs w:val="24"/>
        </w:rPr>
        <w:t>38.8</w:t>
      </w:r>
      <w:r>
        <w:rPr>
          <w:rFonts w:hint="eastAsia" w:cs="Times New Roman"/>
          <w:kern w:val="0"/>
          <w:szCs w:val="24"/>
        </w:rPr>
        <w:t>℃，最低水温</w:t>
      </w:r>
      <w:r>
        <w:rPr>
          <w:rFonts w:cs="Times New Roman"/>
          <w:kern w:val="0"/>
          <w:szCs w:val="24"/>
        </w:rPr>
        <w:t>0.0</w:t>
      </w:r>
      <w:r>
        <w:rPr>
          <w:rFonts w:hint="eastAsia" w:cs="Times New Roman"/>
          <w:kern w:val="0"/>
          <w:szCs w:val="24"/>
        </w:rPr>
        <w:t>°</w:t>
      </w:r>
      <w:r>
        <w:rPr>
          <w:rFonts w:cs="Times New Roman"/>
          <w:kern w:val="0"/>
          <w:szCs w:val="24"/>
        </w:rPr>
        <w:t>C</w:t>
      </w:r>
      <w:r>
        <w:rPr>
          <w:rFonts w:hint="eastAsia"/>
        </w:rPr>
        <w:t>。</w:t>
      </w:r>
    </w:p>
    <w:p>
      <w:pPr>
        <w:pStyle w:val="3"/>
        <w:ind w:firstLine="0" w:firstLineChars="0"/>
        <w:outlineLvl w:val="2"/>
      </w:pPr>
      <w:r>
        <w:rPr>
          <w:rFonts w:hint="eastAsia"/>
        </w:rPr>
        <w:t>5.1.5</w:t>
      </w:r>
      <w:r>
        <w:rPr>
          <w:rFonts w:hint="eastAsia"/>
        </w:rPr>
        <w:tab/>
      </w:r>
      <w:r>
        <w:rPr>
          <w:rFonts w:hint="eastAsia" w:eastAsia="黑体" w:cstheme="majorBidi"/>
          <w:bCs/>
          <w:szCs w:val="32"/>
        </w:rPr>
        <w:t>生态环境</w:t>
      </w:r>
    </w:p>
    <w:p>
      <w:pPr>
        <w:pStyle w:val="3"/>
        <w:ind w:firstLine="480"/>
        <w:rPr>
          <w:rFonts w:cs="Times New Roman"/>
          <w:kern w:val="0"/>
          <w:szCs w:val="24"/>
        </w:rPr>
      </w:pPr>
      <w:r>
        <w:rPr>
          <w:rFonts w:hint="eastAsia" w:cs="Times New Roman"/>
          <w:kern w:val="0"/>
          <w:szCs w:val="24"/>
        </w:rPr>
        <w:t>衡阳县地处中亚热带常绿阔叶林带，适合多种植物的繁衍生长，植被类型多种多样，衡阳县用材林主要有杉、檫、樟、木荷、泡桐、枫香等，经济林主要有油茶、油桐、乌桕、板栗、棕榈、山苍子和李、桃、柑桔等。野生动物资源，境内属森林动物区划的古北区与东洋区的交叉过渡地带。</w:t>
      </w:r>
    </w:p>
    <w:p>
      <w:pPr>
        <w:pStyle w:val="3"/>
        <w:ind w:firstLine="480"/>
        <w:rPr>
          <w:rFonts w:cs="Times New Roman"/>
          <w:kern w:val="0"/>
          <w:szCs w:val="24"/>
        </w:rPr>
      </w:pPr>
      <w:bookmarkStart w:id="25" w:name="6_4"/>
      <w:bookmarkEnd w:id="25"/>
      <w:r>
        <w:rPr>
          <w:rFonts w:hint="eastAsia" w:cs="Times New Roman"/>
          <w:kern w:val="0"/>
          <w:szCs w:val="24"/>
        </w:rPr>
        <w:t>境内有各类动物</w:t>
      </w:r>
      <w:r>
        <w:rPr>
          <w:rFonts w:cs="Times New Roman"/>
          <w:kern w:val="0"/>
          <w:szCs w:val="24"/>
        </w:rPr>
        <w:t>200</w:t>
      </w:r>
      <w:r>
        <w:rPr>
          <w:rFonts w:hint="eastAsia" w:cs="Times New Roman"/>
          <w:kern w:val="0"/>
          <w:szCs w:val="24"/>
        </w:rPr>
        <w:t>余种，其中兽类</w:t>
      </w:r>
      <w:r>
        <w:rPr>
          <w:rFonts w:cs="Times New Roman"/>
          <w:kern w:val="0"/>
          <w:szCs w:val="24"/>
        </w:rPr>
        <w:t>30</w:t>
      </w:r>
      <w:r>
        <w:rPr>
          <w:rFonts w:hint="eastAsia" w:cs="Times New Roman"/>
          <w:kern w:val="0"/>
          <w:szCs w:val="24"/>
        </w:rPr>
        <w:t>种鸟类</w:t>
      </w:r>
      <w:r>
        <w:rPr>
          <w:rFonts w:cs="Times New Roman"/>
          <w:kern w:val="0"/>
          <w:szCs w:val="24"/>
        </w:rPr>
        <w:t>70</w:t>
      </w:r>
      <w:r>
        <w:rPr>
          <w:rFonts w:hint="eastAsia" w:cs="Times New Roman"/>
          <w:kern w:val="0"/>
          <w:szCs w:val="24"/>
        </w:rPr>
        <w:t>余种，爬行类</w:t>
      </w:r>
      <w:r>
        <w:rPr>
          <w:rFonts w:cs="Times New Roman"/>
          <w:kern w:val="0"/>
          <w:szCs w:val="24"/>
        </w:rPr>
        <w:t>20</w:t>
      </w:r>
      <w:r>
        <w:rPr>
          <w:rFonts w:hint="eastAsia" w:cs="Times New Roman"/>
          <w:kern w:val="0"/>
          <w:szCs w:val="24"/>
        </w:rPr>
        <w:t>种，两栖类</w:t>
      </w:r>
      <w:r>
        <w:rPr>
          <w:rFonts w:cs="Times New Roman"/>
          <w:kern w:val="0"/>
          <w:szCs w:val="24"/>
        </w:rPr>
        <w:t>20</w:t>
      </w:r>
      <w:r>
        <w:rPr>
          <w:rFonts w:hint="eastAsia" w:cs="Times New Roman"/>
          <w:kern w:val="0"/>
          <w:szCs w:val="24"/>
        </w:rPr>
        <w:t>种，鱼类</w:t>
      </w:r>
      <w:r>
        <w:rPr>
          <w:rFonts w:cs="Times New Roman"/>
          <w:kern w:val="0"/>
          <w:szCs w:val="24"/>
        </w:rPr>
        <w:t>80</w:t>
      </w:r>
      <w:r>
        <w:rPr>
          <w:rFonts w:hint="eastAsia" w:cs="Times New Roman"/>
          <w:kern w:val="0"/>
          <w:szCs w:val="24"/>
        </w:rPr>
        <w:t>余种。属国家保护动物有穿山甲、水獭、水鹿、果子狸、斑羚、黄鼠狼、牙獐、华南兔、竹鼠、豪猪、貉、鼬獾、长耳鹗、短耳鹗、猫头鹰、猴面鹰、啄木鸟、竹鸡、环颈雉、董鸡、原鸡、燕隼、平胸龟、鹰嘴鱼、虎纹蛙、大鲵等。</w:t>
      </w:r>
    </w:p>
    <w:p>
      <w:pPr>
        <w:pStyle w:val="3"/>
        <w:ind w:firstLine="480"/>
        <w:rPr>
          <w:rFonts w:cs="Times New Roman"/>
          <w:kern w:val="0"/>
          <w:szCs w:val="24"/>
        </w:rPr>
      </w:pPr>
      <w:r>
        <w:rPr>
          <w:rFonts w:hint="eastAsia" w:cs="Times New Roman"/>
          <w:kern w:val="0"/>
          <w:szCs w:val="24"/>
        </w:rPr>
        <w:t>本项目位于农村地区，拟建地人类活动频繁，项目区内野生动物分布较少，主要动物有老鼠、青蛙、麻雀等常见动物。斜坡堰水库及本道路沿线水塘主要分布有草鱼、青鱼、鲫鱼、鲢鱼等常见鱼类。</w:t>
      </w:r>
    </w:p>
    <w:p>
      <w:pPr>
        <w:pStyle w:val="3"/>
        <w:ind w:firstLine="480"/>
        <w:rPr>
          <w:rFonts w:cs="Times New Roman"/>
          <w:kern w:val="0"/>
          <w:szCs w:val="24"/>
        </w:rPr>
      </w:pPr>
      <w:r>
        <w:rPr>
          <w:rFonts w:hint="eastAsia" w:cs="Times New Roman"/>
          <w:kern w:val="0"/>
          <w:szCs w:val="24"/>
        </w:rPr>
        <w:t>经调查，项目区内未见野生珍稀保护动物和濒危动物。</w:t>
      </w:r>
    </w:p>
    <w:p>
      <w:pPr>
        <w:pStyle w:val="5"/>
      </w:pPr>
      <w:bookmarkStart w:id="26" w:name="_Toc116993069"/>
      <w:r>
        <w:rPr>
          <w:rFonts w:hint="eastAsia"/>
        </w:rPr>
        <w:t>环境</w:t>
      </w:r>
      <w:r>
        <w:t>质量现状监测与评价</w:t>
      </w:r>
      <w:bookmarkEnd w:id="26"/>
    </w:p>
    <w:p>
      <w:pPr>
        <w:pStyle w:val="3"/>
        <w:ind w:firstLine="0" w:firstLineChars="0"/>
        <w:outlineLvl w:val="2"/>
        <w:rPr>
          <w:rFonts w:eastAsia="黑体" w:cstheme="majorBidi"/>
          <w:bCs/>
          <w:szCs w:val="32"/>
        </w:rPr>
      </w:pPr>
      <w:r>
        <w:rPr>
          <w:rFonts w:hint="eastAsia"/>
        </w:rPr>
        <w:t>5.2.1</w:t>
      </w:r>
      <w:r>
        <w:rPr>
          <w:rFonts w:hint="eastAsia"/>
        </w:rPr>
        <w:tab/>
      </w:r>
      <w:r>
        <w:rPr>
          <w:rFonts w:hint="eastAsia" w:eastAsia="黑体" w:cstheme="majorBidi"/>
          <w:bCs/>
          <w:szCs w:val="32"/>
        </w:rPr>
        <w:t>大气环境质量现状监测与评价</w:t>
      </w:r>
    </w:p>
    <w:p>
      <w:pPr>
        <w:pStyle w:val="3"/>
        <w:ind w:firstLine="0" w:firstLineChars="0"/>
        <w:outlineLvl w:val="3"/>
        <w:rPr>
          <w:rFonts w:eastAsia="黑体" w:cstheme="majorBidi"/>
          <w:bCs/>
          <w:szCs w:val="32"/>
        </w:rPr>
      </w:pPr>
      <w:r>
        <w:rPr>
          <w:rFonts w:hint="eastAsia" w:eastAsia="黑体" w:cstheme="majorBidi"/>
          <w:bCs/>
          <w:szCs w:val="32"/>
        </w:rPr>
        <w:t>5.2.1.1 基本污染物环境质量现状</w:t>
      </w:r>
    </w:p>
    <w:p>
      <w:pPr>
        <w:pStyle w:val="3"/>
        <w:ind w:firstLine="480"/>
        <w:rPr>
          <w:rFonts w:eastAsiaTheme="minorEastAsia"/>
          <w:color w:val="000000"/>
          <w:position w:val="-2"/>
        </w:rPr>
      </w:pPr>
      <w:r>
        <w:rPr>
          <w:rFonts w:hint="eastAsia" w:eastAsiaTheme="minorEastAsia"/>
          <w:color w:val="000000"/>
          <w:position w:val="-2"/>
        </w:rPr>
        <w:t>《环境影响评价技术导则</w:t>
      </w:r>
      <w:r>
        <w:rPr>
          <w:rFonts w:eastAsiaTheme="minorEastAsia"/>
          <w:color w:val="000000"/>
          <w:position w:val="-2"/>
        </w:rPr>
        <w:t xml:space="preserve"> </w:t>
      </w:r>
      <w:r>
        <w:rPr>
          <w:rFonts w:hint="eastAsia" w:eastAsiaTheme="minorEastAsia"/>
          <w:color w:val="000000"/>
          <w:position w:val="-2"/>
        </w:rPr>
        <w:t>大气环境》（</w:t>
      </w:r>
      <w:r>
        <w:rPr>
          <w:rFonts w:eastAsiaTheme="minorEastAsia"/>
          <w:color w:val="000000"/>
          <w:position w:val="-2"/>
        </w:rPr>
        <w:t>HJ2.2-2018</w:t>
      </w:r>
      <w:r>
        <w:rPr>
          <w:rFonts w:hint="eastAsia" w:eastAsiaTheme="minorEastAsia"/>
          <w:color w:val="000000"/>
          <w:position w:val="-2"/>
        </w:rPr>
        <w:t>）</w:t>
      </w:r>
      <w:r>
        <w:rPr>
          <w:rFonts w:eastAsiaTheme="minorEastAsia"/>
          <w:color w:val="000000"/>
          <w:position w:val="-2"/>
        </w:rPr>
        <w:t xml:space="preserve">“5.5 </w:t>
      </w:r>
      <w:r>
        <w:rPr>
          <w:rFonts w:hint="eastAsia" w:eastAsiaTheme="minorEastAsia"/>
          <w:color w:val="000000"/>
          <w:position w:val="-2"/>
        </w:rPr>
        <w:t>评价基准年筛选依据评价所需环境空气质量现状、气象资料等数据的可获得性、数据质量、代表性等因素，选择近</w:t>
      </w:r>
      <w:r>
        <w:rPr>
          <w:rFonts w:eastAsiaTheme="minorEastAsia"/>
          <w:color w:val="000000"/>
          <w:position w:val="-2"/>
        </w:rPr>
        <w:t>3</w:t>
      </w:r>
      <w:r>
        <w:rPr>
          <w:rFonts w:hint="eastAsia" w:eastAsiaTheme="minorEastAsia"/>
          <w:color w:val="000000"/>
          <w:position w:val="-2"/>
        </w:rPr>
        <w:t>年中数据相对完整的</w:t>
      </w:r>
      <w:r>
        <w:rPr>
          <w:rFonts w:eastAsiaTheme="minorEastAsia"/>
          <w:color w:val="000000"/>
          <w:position w:val="-2"/>
        </w:rPr>
        <w:t>1</w:t>
      </w:r>
      <w:r>
        <w:rPr>
          <w:rFonts w:hint="eastAsia" w:eastAsiaTheme="minorEastAsia"/>
          <w:color w:val="000000"/>
          <w:position w:val="-2"/>
        </w:rPr>
        <w:t>个日历年作为评价基准年</w:t>
      </w:r>
      <w:r>
        <w:rPr>
          <w:rFonts w:eastAsiaTheme="minorEastAsia"/>
          <w:color w:val="000000"/>
          <w:position w:val="-2"/>
        </w:rPr>
        <w:t>”</w:t>
      </w:r>
      <w:r>
        <w:rPr>
          <w:rFonts w:hint="eastAsia" w:eastAsiaTheme="minorEastAsia"/>
          <w:color w:val="000000"/>
          <w:position w:val="-2"/>
        </w:rPr>
        <w:t>。</w:t>
      </w:r>
      <w:r>
        <w:rPr>
          <w:rFonts w:eastAsiaTheme="minorEastAsia"/>
          <w:color w:val="000000"/>
          <w:position w:val="-2"/>
        </w:rPr>
        <w:softHyphen/>
      </w:r>
      <w:r>
        <w:rPr>
          <w:rFonts w:hint="eastAsia" w:eastAsiaTheme="minorEastAsia"/>
          <w:color w:val="000000"/>
          <w:position w:val="-2"/>
        </w:rPr>
        <w:t>依据上述新版大气导则要求，为了解本项目周边环境空气质量状况，本评价收集了衡阳县县城</w:t>
      </w:r>
      <w:r>
        <w:rPr>
          <w:rFonts w:eastAsiaTheme="minorEastAsia"/>
          <w:color w:val="000000"/>
          <w:position w:val="-2"/>
        </w:rPr>
        <w:t>2020</w:t>
      </w:r>
      <w:r>
        <w:rPr>
          <w:rFonts w:hint="eastAsia" w:eastAsiaTheme="minorEastAsia"/>
          <w:color w:val="000000"/>
          <w:position w:val="-2"/>
        </w:rPr>
        <w:t>年环境空气质量监测点位的常规监测数据。根据《环境空气质量评价技术规范（试行）》（</w:t>
      </w:r>
      <w:r>
        <w:rPr>
          <w:rFonts w:eastAsiaTheme="minorEastAsia"/>
          <w:color w:val="000000"/>
          <w:position w:val="-2"/>
        </w:rPr>
        <w:t>HJ663-2013</w:t>
      </w:r>
      <w:r>
        <w:rPr>
          <w:rFonts w:hint="eastAsia" w:eastAsiaTheme="minorEastAsia"/>
          <w:color w:val="000000"/>
          <w:position w:val="-2"/>
        </w:rPr>
        <w:t>）表</w:t>
      </w:r>
      <w:r>
        <w:rPr>
          <w:rFonts w:eastAsiaTheme="minorEastAsia"/>
          <w:color w:val="000000"/>
          <w:position w:val="-2"/>
        </w:rPr>
        <w:t>1</w:t>
      </w:r>
      <w:r>
        <w:rPr>
          <w:rFonts w:hint="eastAsia" w:eastAsiaTheme="minorEastAsia"/>
          <w:color w:val="000000"/>
          <w:position w:val="-2"/>
        </w:rPr>
        <w:t>中年评价相关要求对衡阳县例行监测数据进行统计分析，</w:t>
      </w:r>
      <w:r>
        <w:rPr>
          <w:rFonts w:eastAsiaTheme="minorEastAsia"/>
          <w:color w:val="000000"/>
          <w:position w:val="-2"/>
        </w:rPr>
        <w:t>SO</w:t>
      </w:r>
      <w:r>
        <w:rPr>
          <w:rFonts w:eastAsiaTheme="minorEastAsia"/>
          <w:color w:val="000000"/>
          <w:position w:val="-2"/>
          <w:vertAlign w:val="subscript"/>
        </w:rPr>
        <w:t>2</w:t>
      </w:r>
      <w:r>
        <w:rPr>
          <w:rFonts w:hint="eastAsia" w:eastAsiaTheme="minorEastAsia"/>
          <w:color w:val="000000"/>
          <w:position w:val="-2"/>
        </w:rPr>
        <w:t>、</w:t>
      </w:r>
      <w:r>
        <w:rPr>
          <w:rFonts w:eastAsiaTheme="minorEastAsia"/>
          <w:color w:val="000000"/>
          <w:position w:val="-2"/>
        </w:rPr>
        <w:t>NO</w:t>
      </w:r>
      <w:r>
        <w:rPr>
          <w:rFonts w:eastAsiaTheme="minorEastAsia"/>
          <w:color w:val="000000"/>
          <w:position w:val="-2"/>
          <w:vertAlign w:val="subscript"/>
        </w:rPr>
        <w:t>2</w:t>
      </w:r>
      <w:r>
        <w:rPr>
          <w:rFonts w:hint="eastAsia" w:eastAsiaTheme="minorEastAsia"/>
          <w:color w:val="000000"/>
          <w:position w:val="-2"/>
        </w:rPr>
        <w:t>日均值保证率为</w:t>
      </w:r>
      <w:r>
        <w:rPr>
          <w:rFonts w:eastAsiaTheme="minorEastAsia"/>
          <w:color w:val="000000"/>
          <w:position w:val="-2"/>
        </w:rPr>
        <w:t>24</w:t>
      </w:r>
      <w:r>
        <w:rPr>
          <w:rFonts w:hint="eastAsia" w:eastAsiaTheme="minorEastAsia"/>
          <w:color w:val="000000"/>
          <w:position w:val="-2"/>
        </w:rPr>
        <w:t>小时平均第</w:t>
      </w:r>
      <w:r>
        <w:rPr>
          <w:rFonts w:eastAsiaTheme="minorEastAsia"/>
          <w:color w:val="000000"/>
          <w:position w:val="-2"/>
        </w:rPr>
        <w:t>98</w:t>
      </w:r>
      <w:r>
        <w:rPr>
          <w:rFonts w:hint="eastAsia" w:eastAsiaTheme="minorEastAsia"/>
          <w:color w:val="000000"/>
          <w:position w:val="-2"/>
        </w:rPr>
        <w:t>百分位数对应浓度值，</w:t>
      </w:r>
      <w:r>
        <w:rPr>
          <w:rFonts w:eastAsiaTheme="minorEastAsia"/>
          <w:color w:val="000000"/>
          <w:position w:val="-2"/>
        </w:rPr>
        <w:t>CO</w:t>
      </w:r>
      <w:r>
        <w:rPr>
          <w:rFonts w:hint="eastAsia" w:eastAsiaTheme="minorEastAsia"/>
          <w:color w:val="000000"/>
          <w:position w:val="-2"/>
        </w:rPr>
        <w:t>日均值保证率为</w:t>
      </w:r>
      <w:r>
        <w:rPr>
          <w:rFonts w:eastAsiaTheme="minorEastAsia"/>
          <w:color w:val="000000"/>
          <w:position w:val="-2"/>
        </w:rPr>
        <w:t>24</w:t>
      </w:r>
      <w:r>
        <w:rPr>
          <w:rFonts w:hint="eastAsia" w:eastAsiaTheme="minorEastAsia"/>
          <w:color w:val="000000"/>
          <w:position w:val="-2"/>
        </w:rPr>
        <w:t>小时平均第</w:t>
      </w:r>
      <w:r>
        <w:rPr>
          <w:rFonts w:eastAsiaTheme="minorEastAsia"/>
          <w:color w:val="000000"/>
          <w:position w:val="-2"/>
        </w:rPr>
        <w:t>95</w:t>
      </w:r>
      <w:r>
        <w:rPr>
          <w:rFonts w:hint="eastAsia" w:eastAsiaTheme="minorEastAsia"/>
          <w:color w:val="000000"/>
          <w:position w:val="-2"/>
        </w:rPr>
        <w:t>百分位数对应浓度值，</w:t>
      </w:r>
      <w:r>
        <w:rPr>
          <w:rFonts w:eastAsiaTheme="minorEastAsia"/>
          <w:color w:val="000000"/>
          <w:position w:val="-2"/>
        </w:rPr>
        <w:t>O</w:t>
      </w:r>
      <w:r>
        <w:rPr>
          <w:rFonts w:eastAsiaTheme="minorEastAsia"/>
          <w:color w:val="000000"/>
          <w:position w:val="-2"/>
          <w:vertAlign w:val="subscript"/>
        </w:rPr>
        <w:t>3</w:t>
      </w:r>
      <w:r>
        <w:rPr>
          <w:rFonts w:hint="eastAsia" w:eastAsiaTheme="minorEastAsia"/>
          <w:color w:val="000000"/>
          <w:position w:val="-2"/>
        </w:rPr>
        <w:t>日最大</w:t>
      </w:r>
      <w:r>
        <w:rPr>
          <w:rFonts w:eastAsiaTheme="minorEastAsia"/>
          <w:color w:val="000000"/>
          <w:position w:val="-2"/>
        </w:rPr>
        <w:t>8</w:t>
      </w:r>
      <w:r>
        <w:rPr>
          <w:rFonts w:hint="eastAsia" w:eastAsiaTheme="minorEastAsia"/>
          <w:color w:val="000000"/>
          <w:position w:val="-2"/>
        </w:rPr>
        <w:t>小时平均第</w:t>
      </w:r>
      <w:r>
        <w:rPr>
          <w:rFonts w:eastAsiaTheme="minorEastAsia"/>
          <w:color w:val="000000"/>
          <w:position w:val="-2"/>
        </w:rPr>
        <w:t>90</w:t>
      </w:r>
      <w:r>
        <w:rPr>
          <w:rFonts w:hint="eastAsia" w:eastAsiaTheme="minorEastAsia"/>
          <w:color w:val="000000"/>
          <w:position w:val="-2"/>
        </w:rPr>
        <w:t>百分位数对应浓度值，颗粒物、</w:t>
      </w:r>
      <w:r>
        <w:rPr>
          <w:rFonts w:eastAsiaTheme="minorEastAsia"/>
          <w:color w:val="000000"/>
          <w:position w:val="-2"/>
        </w:rPr>
        <w:t>PM2.5</w:t>
      </w:r>
      <w:r>
        <w:rPr>
          <w:rFonts w:hint="eastAsia" w:eastAsiaTheme="minorEastAsia"/>
          <w:color w:val="000000"/>
          <w:position w:val="-2"/>
        </w:rPr>
        <w:t>日均值保证率为</w:t>
      </w:r>
      <w:r>
        <w:rPr>
          <w:rFonts w:eastAsiaTheme="minorEastAsia"/>
          <w:color w:val="000000"/>
          <w:position w:val="-2"/>
        </w:rPr>
        <w:t>24</w:t>
      </w:r>
      <w:r>
        <w:rPr>
          <w:rFonts w:hint="eastAsia" w:eastAsiaTheme="minorEastAsia"/>
          <w:color w:val="000000"/>
          <w:position w:val="-2"/>
        </w:rPr>
        <w:t>小时平均第</w:t>
      </w:r>
      <w:r>
        <w:rPr>
          <w:rFonts w:eastAsiaTheme="minorEastAsia"/>
          <w:color w:val="000000"/>
          <w:position w:val="-2"/>
        </w:rPr>
        <w:t>95</w:t>
      </w:r>
      <w:r>
        <w:rPr>
          <w:rFonts w:hint="eastAsia" w:eastAsiaTheme="minorEastAsia"/>
          <w:color w:val="000000"/>
          <w:position w:val="-2"/>
        </w:rPr>
        <w:t>百分位数对应浓度值，分析日均值保证率及年平均浓度，详细统计见表5.2-1。</w:t>
      </w:r>
    </w:p>
    <w:p>
      <w:pPr>
        <w:pStyle w:val="3"/>
        <w:spacing w:line="240" w:lineRule="auto"/>
        <w:ind w:firstLine="0" w:firstLineChars="0"/>
        <w:jc w:val="center"/>
        <w:rPr>
          <w:rFonts w:cs="Times New Roman" w:eastAsiaTheme="minorEastAsia"/>
          <w:b/>
        </w:rPr>
      </w:pPr>
      <w:r>
        <w:rPr>
          <w:rFonts w:hint="eastAsia" w:cs="Times New Roman" w:eastAsiaTheme="minorEastAsia"/>
          <w:b/>
        </w:rPr>
        <w:t>表5</w:t>
      </w:r>
      <w:r>
        <w:rPr>
          <w:rFonts w:cs="Times New Roman" w:eastAsiaTheme="minorEastAsia"/>
          <w:b/>
        </w:rPr>
        <w:t>.2-</w:t>
      </w:r>
      <w:r>
        <w:rPr>
          <w:rFonts w:hint="eastAsia" w:cs="Times New Roman" w:eastAsiaTheme="minorEastAsia"/>
          <w:b/>
        </w:rPr>
        <w:t>1</w:t>
      </w:r>
      <w:r>
        <w:rPr>
          <w:rFonts w:cs="Times New Roman" w:eastAsiaTheme="minorEastAsia"/>
          <w:b/>
        </w:rPr>
        <w:t xml:space="preserve">  </w:t>
      </w:r>
      <w:r>
        <w:rPr>
          <w:rFonts w:hint="eastAsia" w:cs="Times New Roman" w:eastAsiaTheme="minorEastAsia"/>
          <w:b/>
        </w:rPr>
        <w:t>2020年衡阳县县城市空气监测结果</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582"/>
        <w:gridCol w:w="1861"/>
        <w:gridCol w:w="1842"/>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污染物</w:t>
            </w:r>
          </w:p>
        </w:tc>
        <w:tc>
          <w:tcPr>
            <w:tcW w:w="1407" w:type="pct"/>
            <w:tcBorders>
              <w:top w:val="single" w:color="auto" w:sz="4" w:space="0"/>
              <w:left w:val="nil"/>
              <w:bottom w:val="single" w:color="auto" w:sz="4" w:space="0"/>
              <w:right w:val="single" w:color="auto" w:sz="4" w:space="0"/>
            </w:tcBorders>
            <w:vAlign w:val="center"/>
          </w:tcPr>
          <w:p>
            <w:pPr>
              <w:pStyle w:val="49"/>
            </w:pPr>
            <w:r>
              <w:rPr>
                <w:rFonts w:hint="eastAsia"/>
              </w:rPr>
              <w:t>年评价指标</w:t>
            </w:r>
          </w:p>
        </w:tc>
        <w:tc>
          <w:tcPr>
            <w:tcW w:w="1014" w:type="pct"/>
            <w:tcBorders>
              <w:top w:val="single" w:color="auto" w:sz="4" w:space="0"/>
              <w:left w:val="nil"/>
              <w:bottom w:val="single" w:color="auto" w:sz="4" w:space="0"/>
              <w:right w:val="single" w:color="auto" w:sz="4" w:space="0"/>
            </w:tcBorders>
            <w:vAlign w:val="center"/>
          </w:tcPr>
          <w:p>
            <w:pPr>
              <w:pStyle w:val="49"/>
            </w:pPr>
            <w:r>
              <w:rPr>
                <w:rFonts w:hint="eastAsia"/>
              </w:rPr>
              <w:t>现状浓度</w:t>
            </w:r>
            <w:r>
              <w:t>/</w:t>
            </w:r>
          </w:p>
          <w:p>
            <w:pPr>
              <w:pStyle w:val="49"/>
            </w:pPr>
            <w:r>
              <w:rPr>
                <w:rFonts w:hint="eastAsia"/>
              </w:rPr>
              <w:t>（</w:t>
            </w:r>
            <w:r>
              <w:t>μg/Nm</w:t>
            </w:r>
            <w:r>
              <w:rPr>
                <w:vertAlign w:val="superscript"/>
              </w:rPr>
              <w:t>3</w:t>
            </w:r>
            <w:r>
              <w:rPr>
                <w:rFonts w:hint="eastAsia"/>
              </w:rPr>
              <w:t>）</w:t>
            </w:r>
          </w:p>
        </w:tc>
        <w:tc>
          <w:tcPr>
            <w:tcW w:w="1004" w:type="pct"/>
            <w:tcBorders>
              <w:top w:val="single" w:color="auto" w:sz="4" w:space="0"/>
              <w:left w:val="nil"/>
              <w:bottom w:val="single" w:color="auto" w:sz="4" w:space="0"/>
              <w:right w:val="single" w:color="auto" w:sz="4" w:space="0"/>
            </w:tcBorders>
            <w:vAlign w:val="center"/>
          </w:tcPr>
          <w:p>
            <w:pPr>
              <w:pStyle w:val="49"/>
            </w:pPr>
            <w:r>
              <w:rPr>
                <w:rFonts w:hint="eastAsia"/>
              </w:rPr>
              <w:t>标准值</w:t>
            </w:r>
            <w:r>
              <w:t>/</w:t>
            </w:r>
            <w:r>
              <w:rPr>
                <w:rFonts w:hint="eastAsia"/>
              </w:rPr>
              <w:t>（</w:t>
            </w:r>
            <w:r>
              <w:t>μg/Nm</w:t>
            </w:r>
            <w:r>
              <w:rPr>
                <w:vertAlign w:val="superscript"/>
              </w:rPr>
              <w:t>3</w:t>
            </w:r>
            <w:r>
              <w:rPr>
                <w:rFonts w:hint="eastAsia"/>
              </w:rPr>
              <w:t>）</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SO</w:t>
            </w:r>
            <w:r>
              <w:rPr>
                <w:vertAlign w:val="subscript"/>
              </w:rPr>
              <w:t>2</w:t>
            </w:r>
          </w:p>
        </w:tc>
        <w:tc>
          <w:tcPr>
            <w:tcW w:w="1407" w:type="pct"/>
            <w:tcBorders>
              <w:top w:val="single" w:color="auto" w:sz="4" w:space="0"/>
              <w:left w:val="nil"/>
              <w:bottom w:val="single" w:color="auto" w:sz="4" w:space="0"/>
              <w:right w:val="single" w:color="auto" w:sz="4" w:space="0"/>
            </w:tcBorders>
            <w:vAlign w:val="center"/>
          </w:tcPr>
          <w:p>
            <w:pPr>
              <w:pStyle w:val="49"/>
            </w:pPr>
            <w:r>
              <w:rPr>
                <w:rFonts w:hint="eastAsia"/>
              </w:rPr>
              <w:t>年均质量浓度</w:t>
            </w:r>
          </w:p>
        </w:tc>
        <w:tc>
          <w:tcPr>
            <w:tcW w:w="1014" w:type="pct"/>
            <w:tcBorders>
              <w:top w:val="single" w:color="auto" w:sz="4" w:space="0"/>
              <w:left w:val="nil"/>
              <w:bottom w:val="single" w:color="auto" w:sz="4" w:space="0"/>
              <w:right w:val="single" w:color="auto" w:sz="4" w:space="0"/>
            </w:tcBorders>
            <w:vAlign w:val="center"/>
          </w:tcPr>
          <w:p>
            <w:pPr>
              <w:pStyle w:val="49"/>
            </w:pPr>
            <w:r>
              <w:t>7</w:t>
            </w:r>
          </w:p>
        </w:tc>
        <w:tc>
          <w:tcPr>
            <w:tcW w:w="1004" w:type="pct"/>
            <w:tcBorders>
              <w:top w:val="single" w:color="auto" w:sz="4" w:space="0"/>
              <w:left w:val="nil"/>
              <w:bottom w:val="single" w:color="auto" w:sz="4" w:space="0"/>
              <w:right w:val="single" w:color="auto" w:sz="4" w:space="0"/>
            </w:tcBorders>
            <w:vAlign w:val="center"/>
          </w:tcPr>
          <w:p>
            <w:pPr>
              <w:pStyle w:val="49"/>
            </w:pPr>
            <w:r>
              <w:t>60</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NO</w:t>
            </w:r>
            <w:r>
              <w:rPr>
                <w:vertAlign w:val="subscript"/>
              </w:rPr>
              <w:t>2</w:t>
            </w:r>
          </w:p>
        </w:tc>
        <w:tc>
          <w:tcPr>
            <w:tcW w:w="1407" w:type="pct"/>
            <w:tcBorders>
              <w:top w:val="single" w:color="auto" w:sz="4" w:space="0"/>
              <w:left w:val="nil"/>
              <w:bottom w:val="single" w:color="auto" w:sz="4" w:space="0"/>
              <w:right w:val="single" w:color="auto" w:sz="4" w:space="0"/>
            </w:tcBorders>
            <w:vAlign w:val="center"/>
          </w:tcPr>
          <w:p>
            <w:pPr>
              <w:pStyle w:val="49"/>
            </w:pPr>
            <w:r>
              <w:rPr>
                <w:rFonts w:hint="eastAsia"/>
              </w:rPr>
              <w:t>年平均质量浓度</w:t>
            </w:r>
          </w:p>
        </w:tc>
        <w:tc>
          <w:tcPr>
            <w:tcW w:w="1014" w:type="pct"/>
            <w:tcBorders>
              <w:top w:val="single" w:color="auto" w:sz="4" w:space="0"/>
              <w:left w:val="nil"/>
              <w:bottom w:val="single" w:color="auto" w:sz="4" w:space="0"/>
              <w:right w:val="single" w:color="auto" w:sz="4" w:space="0"/>
            </w:tcBorders>
            <w:vAlign w:val="center"/>
          </w:tcPr>
          <w:p>
            <w:pPr>
              <w:pStyle w:val="49"/>
            </w:pPr>
            <w:r>
              <w:t>14</w:t>
            </w:r>
          </w:p>
        </w:tc>
        <w:tc>
          <w:tcPr>
            <w:tcW w:w="1004" w:type="pct"/>
            <w:tcBorders>
              <w:top w:val="single" w:color="auto" w:sz="4" w:space="0"/>
              <w:left w:val="nil"/>
              <w:bottom w:val="single" w:color="auto" w:sz="4" w:space="0"/>
              <w:right w:val="single" w:color="auto" w:sz="4" w:space="0"/>
            </w:tcBorders>
            <w:vAlign w:val="center"/>
          </w:tcPr>
          <w:p>
            <w:pPr>
              <w:pStyle w:val="49"/>
            </w:pPr>
            <w:r>
              <w:t>40</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PM</w:t>
            </w:r>
            <w:r>
              <w:rPr>
                <w:vertAlign w:val="subscript"/>
              </w:rPr>
              <w:t>10</w:t>
            </w:r>
          </w:p>
        </w:tc>
        <w:tc>
          <w:tcPr>
            <w:tcW w:w="1407" w:type="pct"/>
            <w:tcBorders>
              <w:top w:val="single" w:color="auto" w:sz="4" w:space="0"/>
              <w:left w:val="nil"/>
              <w:bottom w:val="single" w:color="auto" w:sz="4" w:space="0"/>
              <w:right w:val="single" w:color="auto" w:sz="4" w:space="0"/>
            </w:tcBorders>
            <w:vAlign w:val="center"/>
          </w:tcPr>
          <w:p>
            <w:pPr>
              <w:pStyle w:val="49"/>
            </w:pPr>
            <w:r>
              <w:rPr>
                <w:rFonts w:hint="eastAsia"/>
              </w:rPr>
              <w:t>年平均质量浓度</w:t>
            </w:r>
          </w:p>
        </w:tc>
        <w:tc>
          <w:tcPr>
            <w:tcW w:w="1014" w:type="pct"/>
            <w:tcBorders>
              <w:top w:val="single" w:color="auto" w:sz="4" w:space="0"/>
              <w:left w:val="nil"/>
              <w:bottom w:val="single" w:color="auto" w:sz="4" w:space="0"/>
              <w:right w:val="single" w:color="auto" w:sz="4" w:space="0"/>
            </w:tcBorders>
            <w:vAlign w:val="center"/>
          </w:tcPr>
          <w:p>
            <w:pPr>
              <w:pStyle w:val="49"/>
            </w:pPr>
            <w:r>
              <w:t>67</w:t>
            </w:r>
          </w:p>
        </w:tc>
        <w:tc>
          <w:tcPr>
            <w:tcW w:w="1004" w:type="pct"/>
            <w:tcBorders>
              <w:top w:val="single" w:color="auto" w:sz="4" w:space="0"/>
              <w:left w:val="nil"/>
              <w:bottom w:val="single" w:color="auto" w:sz="4" w:space="0"/>
              <w:right w:val="single" w:color="auto" w:sz="4" w:space="0"/>
            </w:tcBorders>
            <w:vAlign w:val="center"/>
          </w:tcPr>
          <w:p>
            <w:pPr>
              <w:pStyle w:val="49"/>
            </w:pPr>
            <w:r>
              <w:t>70</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PM</w:t>
            </w:r>
            <w:r>
              <w:rPr>
                <w:vertAlign w:val="subscript"/>
              </w:rPr>
              <w:t>2.5</w:t>
            </w:r>
          </w:p>
        </w:tc>
        <w:tc>
          <w:tcPr>
            <w:tcW w:w="1407" w:type="pct"/>
            <w:tcBorders>
              <w:top w:val="single" w:color="auto" w:sz="4" w:space="0"/>
              <w:left w:val="nil"/>
              <w:bottom w:val="single" w:color="auto" w:sz="4" w:space="0"/>
              <w:right w:val="single" w:color="auto" w:sz="4" w:space="0"/>
            </w:tcBorders>
            <w:vAlign w:val="center"/>
          </w:tcPr>
          <w:p>
            <w:pPr>
              <w:pStyle w:val="49"/>
            </w:pPr>
            <w:r>
              <w:rPr>
                <w:rFonts w:hint="eastAsia"/>
              </w:rPr>
              <w:t>年平均质量浓度</w:t>
            </w:r>
          </w:p>
        </w:tc>
        <w:tc>
          <w:tcPr>
            <w:tcW w:w="1014" w:type="pct"/>
            <w:tcBorders>
              <w:top w:val="single" w:color="auto" w:sz="4" w:space="0"/>
              <w:left w:val="nil"/>
              <w:bottom w:val="single" w:color="auto" w:sz="4" w:space="0"/>
              <w:right w:val="single" w:color="auto" w:sz="4" w:space="0"/>
            </w:tcBorders>
            <w:vAlign w:val="center"/>
          </w:tcPr>
          <w:p>
            <w:pPr>
              <w:pStyle w:val="49"/>
            </w:pPr>
            <w:r>
              <w:t>33</w:t>
            </w:r>
          </w:p>
        </w:tc>
        <w:tc>
          <w:tcPr>
            <w:tcW w:w="1004" w:type="pct"/>
            <w:tcBorders>
              <w:top w:val="single" w:color="auto" w:sz="4" w:space="0"/>
              <w:left w:val="nil"/>
              <w:bottom w:val="single" w:color="auto" w:sz="4" w:space="0"/>
              <w:right w:val="single" w:color="auto" w:sz="4" w:space="0"/>
            </w:tcBorders>
            <w:vAlign w:val="center"/>
          </w:tcPr>
          <w:p>
            <w:pPr>
              <w:pStyle w:val="49"/>
            </w:pPr>
            <w:r>
              <w:t>35</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CO</w:t>
            </w:r>
          </w:p>
        </w:tc>
        <w:tc>
          <w:tcPr>
            <w:tcW w:w="1407" w:type="pct"/>
            <w:tcBorders>
              <w:top w:val="single" w:color="auto" w:sz="4" w:space="0"/>
              <w:left w:val="nil"/>
              <w:bottom w:val="single" w:color="auto" w:sz="4" w:space="0"/>
              <w:right w:val="single" w:color="auto" w:sz="4" w:space="0"/>
            </w:tcBorders>
            <w:vAlign w:val="center"/>
          </w:tcPr>
          <w:p>
            <w:pPr>
              <w:pStyle w:val="49"/>
            </w:pPr>
            <w:r>
              <w:t>95%</w:t>
            </w:r>
            <w:r>
              <w:rPr>
                <w:rFonts w:hint="eastAsia"/>
              </w:rPr>
              <w:t>日平均质量浓度</w:t>
            </w:r>
          </w:p>
        </w:tc>
        <w:tc>
          <w:tcPr>
            <w:tcW w:w="1014" w:type="pct"/>
            <w:tcBorders>
              <w:top w:val="single" w:color="auto" w:sz="4" w:space="0"/>
              <w:left w:val="nil"/>
              <w:bottom w:val="single" w:color="auto" w:sz="4" w:space="0"/>
              <w:right w:val="single" w:color="auto" w:sz="4" w:space="0"/>
            </w:tcBorders>
            <w:vAlign w:val="center"/>
          </w:tcPr>
          <w:p>
            <w:pPr>
              <w:pStyle w:val="49"/>
            </w:pPr>
            <w:r>
              <w:t>1.0mg/m</w:t>
            </w:r>
            <w:r>
              <w:rPr>
                <w:vertAlign w:val="superscript"/>
              </w:rPr>
              <w:t>3</w:t>
            </w:r>
          </w:p>
        </w:tc>
        <w:tc>
          <w:tcPr>
            <w:tcW w:w="1004" w:type="pct"/>
            <w:tcBorders>
              <w:top w:val="single" w:color="auto" w:sz="4" w:space="0"/>
              <w:left w:val="nil"/>
              <w:bottom w:val="single" w:color="auto" w:sz="4" w:space="0"/>
              <w:right w:val="single" w:color="auto" w:sz="4" w:space="0"/>
            </w:tcBorders>
            <w:vAlign w:val="center"/>
          </w:tcPr>
          <w:p>
            <w:pPr>
              <w:pStyle w:val="49"/>
            </w:pPr>
            <w:r>
              <w:t>4mg/m</w:t>
            </w:r>
            <w:r>
              <w:rPr>
                <w:vertAlign w:val="superscript"/>
              </w:rPr>
              <w:t>3</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pct"/>
            <w:tcBorders>
              <w:top w:val="single" w:color="auto" w:sz="4" w:space="0"/>
              <w:left w:val="single" w:color="auto" w:sz="4" w:space="0"/>
              <w:bottom w:val="single" w:color="auto" w:sz="4" w:space="0"/>
              <w:right w:val="single" w:color="auto" w:sz="4" w:space="0"/>
            </w:tcBorders>
            <w:vAlign w:val="center"/>
          </w:tcPr>
          <w:p>
            <w:pPr>
              <w:pStyle w:val="49"/>
            </w:pPr>
            <w:r>
              <w:t>O</w:t>
            </w:r>
            <w:r>
              <w:rPr>
                <w:vertAlign w:val="subscript"/>
              </w:rPr>
              <w:t>3</w:t>
            </w:r>
          </w:p>
        </w:tc>
        <w:tc>
          <w:tcPr>
            <w:tcW w:w="1407" w:type="pct"/>
            <w:tcBorders>
              <w:top w:val="single" w:color="auto" w:sz="4" w:space="0"/>
              <w:left w:val="nil"/>
              <w:bottom w:val="single" w:color="auto" w:sz="4" w:space="0"/>
              <w:right w:val="single" w:color="auto" w:sz="4" w:space="0"/>
            </w:tcBorders>
            <w:vAlign w:val="center"/>
          </w:tcPr>
          <w:p>
            <w:pPr>
              <w:pStyle w:val="49"/>
            </w:pPr>
            <w:r>
              <w:t>90%8h</w:t>
            </w:r>
            <w:r>
              <w:rPr>
                <w:rFonts w:hint="eastAsia"/>
              </w:rPr>
              <w:t>平均质量浓度</w:t>
            </w:r>
          </w:p>
        </w:tc>
        <w:tc>
          <w:tcPr>
            <w:tcW w:w="1014" w:type="pct"/>
            <w:tcBorders>
              <w:top w:val="single" w:color="auto" w:sz="4" w:space="0"/>
              <w:left w:val="nil"/>
              <w:bottom w:val="single" w:color="auto" w:sz="4" w:space="0"/>
              <w:right w:val="single" w:color="auto" w:sz="4" w:space="0"/>
            </w:tcBorders>
            <w:vAlign w:val="center"/>
          </w:tcPr>
          <w:p>
            <w:pPr>
              <w:pStyle w:val="49"/>
            </w:pPr>
            <w:r>
              <w:t>128</w:t>
            </w:r>
          </w:p>
        </w:tc>
        <w:tc>
          <w:tcPr>
            <w:tcW w:w="1004" w:type="pct"/>
            <w:tcBorders>
              <w:top w:val="single" w:color="auto" w:sz="4" w:space="0"/>
              <w:left w:val="nil"/>
              <w:bottom w:val="single" w:color="auto" w:sz="4" w:space="0"/>
              <w:right w:val="single" w:color="auto" w:sz="4" w:space="0"/>
            </w:tcBorders>
            <w:vAlign w:val="center"/>
          </w:tcPr>
          <w:p>
            <w:pPr>
              <w:pStyle w:val="49"/>
            </w:pPr>
            <w:r>
              <w:t>160</w:t>
            </w:r>
          </w:p>
        </w:tc>
        <w:tc>
          <w:tcPr>
            <w:tcW w:w="996" w:type="pct"/>
            <w:tcBorders>
              <w:top w:val="single" w:color="auto" w:sz="4" w:space="0"/>
              <w:left w:val="nil"/>
              <w:bottom w:val="single" w:color="auto" w:sz="4" w:space="0"/>
              <w:right w:val="single" w:color="auto" w:sz="4" w:space="0"/>
            </w:tcBorders>
            <w:vAlign w:val="center"/>
          </w:tcPr>
          <w:p>
            <w:pPr>
              <w:pStyle w:val="49"/>
            </w:pPr>
            <w:r>
              <w:rPr>
                <w:rFonts w:hint="eastAsia"/>
              </w:rPr>
              <w:t>达标</w:t>
            </w:r>
          </w:p>
        </w:tc>
      </w:tr>
    </w:tbl>
    <w:p>
      <w:pPr>
        <w:pStyle w:val="3"/>
        <w:ind w:firstLine="480"/>
        <w:rPr>
          <w:rFonts w:eastAsiaTheme="minorEastAsia"/>
          <w:color w:val="000000"/>
          <w:position w:val="-2"/>
        </w:rPr>
      </w:pPr>
      <w:r>
        <w:rPr>
          <w:rFonts w:hint="eastAsia" w:eastAsiaTheme="minorEastAsia"/>
          <w:color w:val="000000"/>
          <w:position w:val="-2"/>
        </w:rPr>
        <w:t>根据监测结果，评价区域空气环境各指标均能达到《环境空气质量标准》（</w:t>
      </w:r>
      <w:r>
        <w:rPr>
          <w:rFonts w:eastAsiaTheme="minorEastAsia"/>
          <w:color w:val="000000"/>
          <w:position w:val="-2"/>
        </w:rPr>
        <w:t>GB3095-2012</w:t>
      </w:r>
      <w:r>
        <w:rPr>
          <w:rFonts w:hint="eastAsia" w:eastAsiaTheme="minorEastAsia"/>
          <w:color w:val="000000"/>
          <w:position w:val="-2"/>
        </w:rPr>
        <w:t>）修改单二级标准，说明本项目所在评价区域为环境空气质量为达标区，相比去年衡阳县环境空气质量在一定的程度上得到改善。</w:t>
      </w:r>
    </w:p>
    <w:p>
      <w:pPr>
        <w:pStyle w:val="3"/>
        <w:ind w:firstLine="0" w:firstLineChars="0"/>
        <w:outlineLvl w:val="3"/>
        <w:rPr>
          <w:rFonts w:eastAsia="黑体" w:cstheme="majorBidi"/>
          <w:bCs/>
          <w:szCs w:val="32"/>
        </w:rPr>
      </w:pPr>
      <w:r>
        <w:rPr>
          <w:rFonts w:hint="eastAsia" w:eastAsia="黑体" w:cstheme="majorBidi"/>
          <w:bCs/>
          <w:szCs w:val="32"/>
        </w:rPr>
        <w:t>5.2.1.2 其他污染物环境质量现状</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）监测因子和监测时间</w:t>
      </w:r>
    </w:p>
    <w:p>
      <w:pPr>
        <w:pStyle w:val="3"/>
        <w:ind w:firstLine="480"/>
        <w:rPr>
          <w:rFonts w:cs="Times New Roman"/>
          <w:kern w:val="0"/>
        </w:rPr>
      </w:pPr>
      <w:r>
        <w:rPr>
          <w:rFonts w:hint="eastAsia" w:cs="Times New Roman"/>
          <w:kern w:val="0"/>
        </w:rPr>
        <w:t>现状监测因子：</w:t>
      </w:r>
      <w:r>
        <w:rPr>
          <w:rFonts w:cs="Times New Roman"/>
          <w:kern w:val="0"/>
        </w:rPr>
        <w:t>NH</w:t>
      </w:r>
      <w:r>
        <w:rPr>
          <w:rFonts w:cs="Times New Roman"/>
          <w:kern w:val="0"/>
          <w:vertAlign w:val="subscript"/>
        </w:rPr>
        <w:t>3</w:t>
      </w:r>
      <w:r>
        <w:rPr>
          <w:rFonts w:hint="eastAsia" w:cs="Times New Roman"/>
          <w:kern w:val="0"/>
        </w:rPr>
        <w:t>、</w:t>
      </w:r>
      <w:r>
        <w:rPr>
          <w:rFonts w:cs="Times New Roman"/>
          <w:kern w:val="0"/>
        </w:rPr>
        <w:t>H</w:t>
      </w:r>
      <w:r>
        <w:rPr>
          <w:rFonts w:cs="Times New Roman"/>
          <w:kern w:val="0"/>
          <w:vertAlign w:val="subscript"/>
        </w:rPr>
        <w:t>2</w:t>
      </w:r>
      <w:r>
        <w:rPr>
          <w:rFonts w:cs="Times New Roman"/>
          <w:kern w:val="0"/>
        </w:rPr>
        <w:t>S</w:t>
      </w:r>
      <w:r>
        <w:rPr>
          <w:rFonts w:hint="eastAsia" w:cs="Times New Roman"/>
          <w:kern w:val="0"/>
        </w:rPr>
        <w:t>、臭气浓度</w:t>
      </w:r>
    </w:p>
    <w:p>
      <w:pPr>
        <w:pStyle w:val="3"/>
        <w:ind w:firstLine="480"/>
        <w:rPr>
          <w:rFonts w:cs="Times New Roman"/>
          <w:kern w:val="0"/>
        </w:rPr>
      </w:pPr>
      <w:r>
        <w:rPr>
          <w:rFonts w:hint="eastAsia" w:cs="Times New Roman"/>
          <w:kern w:val="0"/>
        </w:rPr>
        <w:t>现状监测频次：连续监测</w:t>
      </w:r>
      <w:r>
        <w:rPr>
          <w:rFonts w:cs="Times New Roman"/>
          <w:kern w:val="0"/>
        </w:rPr>
        <w:t>7</w:t>
      </w:r>
      <w:r>
        <w:rPr>
          <w:rFonts w:hint="eastAsia" w:cs="Times New Roman"/>
          <w:kern w:val="0"/>
        </w:rPr>
        <w:t>天；</w:t>
      </w:r>
      <w:r>
        <w:rPr>
          <w:rFonts w:cs="Times New Roman"/>
          <w:kern w:val="0"/>
        </w:rPr>
        <w:t>NH</w:t>
      </w:r>
      <w:r>
        <w:rPr>
          <w:rFonts w:cs="Times New Roman"/>
          <w:kern w:val="0"/>
          <w:vertAlign w:val="subscript"/>
        </w:rPr>
        <w:t>3</w:t>
      </w:r>
      <w:r>
        <w:rPr>
          <w:rFonts w:hint="eastAsia" w:cs="Times New Roman"/>
          <w:kern w:val="0"/>
        </w:rPr>
        <w:t>、</w:t>
      </w:r>
      <w:r>
        <w:rPr>
          <w:rFonts w:cs="Times New Roman"/>
          <w:kern w:val="0"/>
        </w:rPr>
        <w:t>H</w:t>
      </w:r>
      <w:r>
        <w:rPr>
          <w:rFonts w:cs="Times New Roman"/>
          <w:kern w:val="0"/>
          <w:vertAlign w:val="subscript"/>
        </w:rPr>
        <w:t>2</w:t>
      </w:r>
      <w:r>
        <w:rPr>
          <w:rFonts w:cs="Times New Roman"/>
          <w:kern w:val="0"/>
        </w:rPr>
        <w:t>S</w:t>
      </w:r>
      <w:r>
        <w:rPr>
          <w:rFonts w:hint="eastAsia" w:cs="Times New Roman"/>
          <w:kern w:val="0"/>
        </w:rPr>
        <w:t>测一次值。</w:t>
      </w:r>
    </w:p>
    <w:p>
      <w:pPr>
        <w:pStyle w:val="3"/>
        <w:ind w:firstLine="480"/>
        <w:rPr>
          <w:rFonts w:cs="Times New Roman"/>
          <w:kern w:val="0"/>
        </w:rPr>
      </w:pPr>
      <w:r>
        <w:rPr>
          <w:rFonts w:hint="eastAsia" w:cs="Times New Roman"/>
          <w:kern w:val="0"/>
        </w:rPr>
        <w:t>监测同时观测天气状况、气温、气压、风速、风向、湿度等相关情况。</w:t>
      </w:r>
    </w:p>
    <w:p>
      <w:pPr>
        <w:pStyle w:val="3"/>
        <w:ind w:firstLine="480"/>
        <w:rPr>
          <w:rFonts w:cs="Times New Roman"/>
          <w:kern w:val="0"/>
        </w:rPr>
      </w:pPr>
      <w:r>
        <w:rPr>
          <w:rFonts w:hint="eastAsia" w:cs="Times New Roman"/>
          <w:kern w:val="0"/>
        </w:rPr>
        <w:t>其他方面按照相关环境监测技术规范进行。</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）监测布点</w:t>
      </w:r>
    </w:p>
    <w:p>
      <w:pPr>
        <w:pStyle w:val="3"/>
        <w:ind w:firstLine="480"/>
        <w:rPr>
          <w:rFonts w:cs="Times New Roman"/>
          <w:kern w:val="0"/>
        </w:rPr>
      </w:pPr>
      <w:r>
        <w:rPr>
          <w:rFonts w:hint="eastAsia" w:cs="Times New Roman"/>
          <w:kern w:val="0"/>
        </w:rPr>
        <w:t>共布设</w:t>
      </w:r>
      <w:r>
        <w:rPr>
          <w:rFonts w:cs="Times New Roman"/>
          <w:kern w:val="0"/>
        </w:rPr>
        <w:t>3</w:t>
      </w:r>
      <w:r>
        <w:rPr>
          <w:rFonts w:hint="eastAsia" w:cs="Times New Roman"/>
          <w:kern w:val="0"/>
        </w:rPr>
        <w:t>个点位，</w:t>
      </w:r>
      <w:r>
        <w:rPr>
          <w:rFonts w:cs="Times New Roman"/>
          <w:kern w:val="0"/>
        </w:rPr>
        <w:t>G1</w:t>
      </w:r>
      <w:r>
        <w:rPr>
          <w:rFonts w:hint="eastAsia" w:cs="Times New Roman"/>
          <w:kern w:val="0"/>
        </w:rPr>
        <w:t>厂界上风向、</w:t>
      </w:r>
      <w:r>
        <w:rPr>
          <w:rFonts w:cs="Times New Roman"/>
          <w:kern w:val="0"/>
        </w:rPr>
        <w:t>G2</w:t>
      </w:r>
      <w:r>
        <w:rPr>
          <w:rFonts w:hint="eastAsia" w:cs="Times New Roman"/>
          <w:kern w:val="0"/>
        </w:rPr>
        <w:t>厂界下风向、</w:t>
      </w:r>
      <w:r>
        <w:rPr>
          <w:rFonts w:cs="Times New Roman"/>
          <w:kern w:val="0"/>
        </w:rPr>
        <w:t>G3</w:t>
      </w:r>
      <w:r>
        <w:rPr>
          <w:rFonts w:hint="eastAsia" w:cs="Times New Roman"/>
          <w:kern w:val="0"/>
        </w:rPr>
        <w:t>厂界下风向；</w:t>
      </w:r>
    </w:p>
    <w:p>
      <w:pPr>
        <w:pStyle w:val="3"/>
        <w:ind w:firstLine="480"/>
        <w:rPr>
          <w:rFonts w:cs="Times New Roman"/>
          <w:kern w:val="0"/>
        </w:rPr>
      </w:pPr>
      <w:r>
        <w:rPr>
          <w:rFonts w:hint="eastAsia" w:cs="Times New Roman"/>
          <w:kern w:val="0"/>
        </w:rPr>
        <w:t>点位具体位置详见表5.2-2和附图</w:t>
      </w:r>
      <w:r>
        <w:rPr>
          <w:rFonts w:cs="Times New Roman"/>
          <w:kern w:val="0"/>
        </w:rPr>
        <w:t>5</w:t>
      </w:r>
      <w:r>
        <w:rPr>
          <w:rFonts w:hint="eastAsia" w:cs="Times New Roman"/>
          <w:kern w:val="0"/>
        </w:rPr>
        <w:t>。</w:t>
      </w:r>
    </w:p>
    <w:p>
      <w:pPr>
        <w:pStyle w:val="3"/>
        <w:spacing w:line="240" w:lineRule="auto"/>
        <w:ind w:firstLine="0" w:firstLineChars="0"/>
        <w:jc w:val="center"/>
        <w:rPr>
          <w:rFonts w:cs="Times New Roman" w:eastAsiaTheme="minorEastAsia"/>
          <w:b/>
        </w:rPr>
      </w:pPr>
      <w:r>
        <w:rPr>
          <w:rFonts w:hint="eastAsia" w:cs="Times New Roman" w:eastAsiaTheme="minorEastAsia"/>
          <w:b/>
        </w:rPr>
        <w:t>表5</w:t>
      </w:r>
      <w:r>
        <w:rPr>
          <w:rFonts w:cs="Times New Roman" w:eastAsiaTheme="minorEastAsia"/>
          <w:b/>
        </w:rPr>
        <w:t>.2-</w:t>
      </w:r>
      <w:r>
        <w:rPr>
          <w:rFonts w:hint="eastAsia" w:cs="Times New Roman" w:eastAsiaTheme="minorEastAsia"/>
          <w:b/>
        </w:rPr>
        <w:t>2</w:t>
      </w:r>
      <w:r>
        <w:rPr>
          <w:rFonts w:cs="Times New Roman" w:eastAsiaTheme="minorEastAsia"/>
          <w:b/>
        </w:rPr>
        <w:t xml:space="preserve">  </w:t>
      </w:r>
      <w:r>
        <w:rPr>
          <w:rFonts w:hint="eastAsia" w:cs="Times New Roman" w:eastAsiaTheme="minorEastAsia"/>
          <w:b/>
        </w:rPr>
        <w:t>大气采样点</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1"/>
        <w:gridCol w:w="2095"/>
        <w:gridCol w:w="2687"/>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4" w:type="pct"/>
            <w:shd w:val="clear" w:color="auto" w:fill="FFFFFF"/>
            <w:vAlign w:val="center"/>
          </w:tcPr>
          <w:p>
            <w:pPr>
              <w:pStyle w:val="49"/>
              <w:rPr>
                <w:rFonts w:eastAsiaTheme="minorEastAsia"/>
              </w:rPr>
            </w:pPr>
            <w:r>
              <w:rPr>
                <w:rFonts w:hint="eastAsia" w:eastAsiaTheme="minorEastAsia"/>
              </w:rPr>
              <w:t>序号</w:t>
            </w:r>
          </w:p>
        </w:tc>
        <w:tc>
          <w:tcPr>
            <w:tcW w:w="1168" w:type="pct"/>
            <w:shd w:val="clear" w:color="auto" w:fill="FFFFFF"/>
            <w:vAlign w:val="center"/>
          </w:tcPr>
          <w:p>
            <w:pPr>
              <w:pStyle w:val="49"/>
              <w:rPr>
                <w:rFonts w:eastAsiaTheme="minorEastAsia"/>
              </w:rPr>
            </w:pPr>
            <w:r>
              <w:rPr>
                <w:rFonts w:hint="eastAsia" w:eastAsiaTheme="minorEastAsia"/>
              </w:rPr>
              <w:t>目标名称</w:t>
            </w:r>
          </w:p>
        </w:tc>
        <w:tc>
          <w:tcPr>
            <w:tcW w:w="1498" w:type="pct"/>
            <w:shd w:val="clear" w:color="auto" w:fill="FFFFFF"/>
            <w:vAlign w:val="center"/>
          </w:tcPr>
          <w:p>
            <w:pPr>
              <w:pStyle w:val="49"/>
              <w:rPr>
                <w:rFonts w:eastAsiaTheme="minorEastAsia"/>
              </w:rPr>
            </w:pPr>
            <w:r>
              <w:rPr>
                <w:rFonts w:hint="eastAsia" w:eastAsiaTheme="minorEastAsia"/>
              </w:rPr>
              <w:t>监测因子</w:t>
            </w:r>
          </w:p>
        </w:tc>
        <w:tc>
          <w:tcPr>
            <w:tcW w:w="1909" w:type="pct"/>
            <w:shd w:val="clear" w:color="auto" w:fill="FFFFFF"/>
            <w:vAlign w:val="center"/>
          </w:tcPr>
          <w:p>
            <w:pPr>
              <w:pStyle w:val="49"/>
              <w:rPr>
                <w:rFonts w:eastAsiaTheme="minorEastAsia"/>
              </w:rPr>
            </w:pPr>
            <w:r>
              <w:rPr>
                <w:rFonts w:hint="eastAsia" w:eastAsiaTheme="minorEastAsia"/>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24" w:type="pct"/>
            <w:shd w:val="clear" w:color="auto" w:fill="FFFFFF"/>
            <w:vAlign w:val="center"/>
          </w:tcPr>
          <w:p>
            <w:pPr>
              <w:pStyle w:val="49"/>
              <w:rPr>
                <w:rFonts w:eastAsiaTheme="minorEastAsia"/>
              </w:rPr>
            </w:pPr>
            <w:r>
              <w:rPr>
                <w:rFonts w:eastAsiaTheme="minorEastAsia"/>
              </w:rPr>
              <w:t>1</w:t>
            </w:r>
          </w:p>
        </w:tc>
        <w:tc>
          <w:tcPr>
            <w:tcW w:w="1168" w:type="pct"/>
            <w:shd w:val="clear" w:color="auto" w:fill="FFFFFF"/>
            <w:vAlign w:val="center"/>
          </w:tcPr>
          <w:p>
            <w:pPr>
              <w:pStyle w:val="49"/>
              <w:rPr>
                <w:rFonts w:eastAsiaTheme="minorEastAsia"/>
              </w:rPr>
            </w:pPr>
            <w:r>
              <w:rPr>
                <w:rFonts w:hint="eastAsia" w:eastAsiaTheme="minorEastAsia"/>
                <w:color w:val="000000"/>
                <w:position w:val="-2"/>
              </w:rPr>
              <w:t>厂界上风向</w:t>
            </w:r>
          </w:p>
        </w:tc>
        <w:tc>
          <w:tcPr>
            <w:tcW w:w="1498" w:type="pct"/>
            <w:shd w:val="clear" w:color="auto" w:fill="FFFFFF"/>
            <w:vAlign w:val="center"/>
          </w:tcPr>
          <w:p>
            <w:pPr>
              <w:pStyle w:val="49"/>
              <w:rPr>
                <w:rFonts w:eastAsiaTheme="minorEastAsia"/>
              </w:rPr>
            </w:pPr>
            <w:r>
              <w:rPr>
                <w:rFonts w:eastAsiaTheme="minorEastAsia"/>
              </w:rPr>
              <w:t>NH</w:t>
            </w:r>
            <w:r>
              <w:rPr>
                <w:rFonts w:eastAsiaTheme="minorEastAsia"/>
                <w:vertAlign w:val="subscript"/>
              </w:rPr>
              <w:t>3</w:t>
            </w:r>
            <w:r>
              <w:rPr>
                <w:rFonts w:hint="eastAsia" w:eastAsiaTheme="minorEastAsia"/>
              </w:rPr>
              <w:t>、</w:t>
            </w:r>
            <w:r>
              <w:rPr>
                <w:rFonts w:eastAsiaTheme="minorEastAsia"/>
              </w:rPr>
              <w:t>H</w:t>
            </w:r>
            <w:r>
              <w:rPr>
                <w:rFonts w:eastAsiaTheme="minorEastAsia"/>
                <w:vertAlign w:val="subscript"/>
              </w:rPr>
              <w:t>2</w:t>
            </w:r>
            <w:r>
              <w:rPr>
                <w:rFonts w:eastAsiaTheme="minorEastAsia"/>
              </w:rPr>
              <w:t>S</w:t>
            </w:r>
          </w:p>
        </w:tc>
        <w:tc>
          <w:tcPr>
            <w:tcW w:w="1909" w:type="pct"/>
            <w:shd w:val="clear" w:color="auto" w:fill="FFFFFF"/>
            <w:vAlign w:val="center"/>
          </w:tcPr>
          <w:p>
            <w:pPr>
              <w:pStyle w:val="49"/>
              <w:rPr>
                <w:rFonts w:eastAsiaTheme="minorEastAsia"/>
              </w:rPr>
            </w:pPr>
            <w:r>
              <w:rPr>
                <w:rFonts w:eastAsiaTheme="minorEastAsia"/>
              </w:rPr>
              <w:t>2021</w:t>
            </w:r>
            <w:r>
              <w:rPr>
                <w:rFonts w:hint="eastAsia" w:eastAsiaTheme="minorEastAsia"/>
              </w:rPr>
              <w:t>年</w:t>
            </w:r>
            <w:r>
              <w:rPr>
                <w:rFonts w:eastAsiaTheme="minorEastAsia"/>
              </w:rPr>
              <w:t>4</w:t>
            </w:r>
            <w:r>
              <w:rPr>
                <w:rFonts w:hint="eastAsia" w:eastAsiaTheme="minorEastAsia"/>
              </w:rPr>
              <w:t>月</w:t>
            </w:r>
            <w:r>
              <w:rPr>
                <w:rFonts w:eastAsiaTheme="minorEastAsia"/>
              </w:rPr>
              <w:t>14</w:t>
            </w:r>
            <w:r>
              <w:rPr>
                <w:rFonts w:hint="eastAsia" w:eastAsiaTheme="minorEastAsia"/>
              </w:rPr>
              <w:t>日至</w:t>
            </w:r>
            <w:r>
              <w:rPr>
                <w:rFonts w:eastAsiaTheme="minorEastAsia"/>
              </w:rPr>
              <w:t>4</w:t>
            </w:r>
            <w:r>
              <w:rPr>
                <w:rFonts w:hint="eastAsia" w:eastAsiaTheme="minorEastAsia"/>
              </w:rPr>
              <w:t>月</w:t>
            </w:r>
            <w:r>
              <w:rPr>
                <w:rFonts w:eastAsiaTheme="minorEastAsia"/>
              </w:rPr>
              <w:t>20</w:t>
            </w:r>
            <w:r>
              <w:rPr>
                <w:rFonts w:hint="eastAsia" w:eastAsiaTheme="minor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24" w:type="pct"/>
            <w:shd w:val="clear" w:color="auto" w:fill="FFFFFF"/>
            <w:vAlign w:val="center"/>
          </w:tcPr>
          <w:p>
            <w:pPr>
              <w:pStyle w:val="49"/>
              <w:rPr>
                <w:rFonts w:eastAsiaTheme="minorEastAsia"/>
              </w:rPr>
            </w:pPr>
            <w:r>
              <w:rPr>
                <w:rFonts w:eastAsiaTheme="minorEastAsia"/>
              </w:rPr>
              <w:t>2</w:t>
            </w:r>
          </w:p>
        </w:tc>
        <w:tc>
          <w:tcPr>
            <w:tcW w:w="1168" w:type="pct"/>
            <w:shd w:val="clear" w:color="auto" w:fill="FFFFFF"/>
            <w:vAlign w:val="center"/>
          </w:tcPr>
          <w:p>
            <w:pPr>
              <w:pStyle w:val="49"/>
              <w:rPr>
                <w:rFonts w:eastAsiaTheme="minorEastAsia"/>
              </w:rPr>
            </w:pPr>
            <w:r>
              <w:rPr>
                <w:rFonts w:hint="eastAsia" w:eastAsiaTheme="minorEastAsia"/>
                <w:color w:val="000000"/>
                <w:position w:val="-2"/>
              </w:rPr>
              <w:t>厂界下风向</w:t>
            </w:r>
          </w:p>
        </w:tc>
        <w:tc>
          <w:tcPr>
            <w:tcW w:w="1498" w:type="pct"/>
            <w:shd w:val="clear" w:color="auto" w:fill="FFFFFF"/>
            <w:vAlign w:val="center"/>
          </w:tcPr>
          <w:p>
            <w:pPr>
              <w:pStyle w:val="49"/>
              <w:rPr>
                <w:rFonts w:eastAsiaTheme="minorEastAsia"/>
              </w:rPr>
            </w:pPr>
            <w:r>
              <w:rPr>
                <w:rFonts w:eastAsiaTheme="minorEastAsia"/>
              </w:rPr>
              <w:t>NH</w:t>
            </w:r>
            <w:r>
              <w:rPr>
                <w:rFonts w:eastAsiaTheme="minorEastAsia"/>
                <w:vertAlign w:val="subscript"/>
              </w:rPr>
              <w:t>3</w:t>
            </w:r>
            <w:r>
              <w:rPr>
                <w:rFonts w:hint="eastAsia" w:eastAsiaTheme="minorEastAsia"/>
              </w:rPr>
              <w:t>、</w:t>
            </w:r>
            <w:r>
              <w:rPr>
                <w:rFonts w:eastAsiaTheme="minorEastAsia"/>
              </w:rPr>
              <w:t>H</w:t>
            </w:r>
            <w:r>
              <w:rPr>
                <w:rFonts w:eastAsiaTheme="minorEastAsia"/>
                <w:vertAlign w:val="subscript"/>
              </w:rPr>
              <w:t>2</w:t>
            </w:r>
            <w:r>
              <w:rPr>
                <w:rFonts w:eastAsiaTheme="minorEastAsia"/>
              </w:rPr>
              <w:t>S</w:t>
            </w:r>
          </w:p>
        </w:tc>
        <w:tc>
          <w:tcPr>
            <w:tcW w:w="1909" w:type="pct"/>
            <w:shd w:val="clear" w:color="auto" w:fill="FFFFFF"/>
            <w:vAlign w:val="center"/>
          </w:tcPr>
          <w:p>
            <w:pPr>
              <w:pStyle w:val="49"/>
              <w:rPr>
                <w:rFonts w:eastAsiaTheme="minorEastAsia"/>
              </w:rPr>
            </w:pPr>
            <w:r>
              <w:rPr>
                <w:rFonts w:eastAsiaTheme="minorEastAsia"/>
              </w:rPr>
              <w:t>2021</w:t>
            </w:r>
            <w:r>
              <w:rPr>
                <w:rFonts w:hint="eastAsia" w:eastAsiaTheme="minorEastAsia"/>
              </w:rPr>
              <w:t>年</w:t>
            </w:r>
            <w:r>
              <w:rPr>
                <w:rFonts w:eastAsiaTheme="minorEastAsia"/>
              </w:rPr>
              <w:t>4</w:t>
            </w:r>
            <w:r>
              <w:rPr>
                <w:rFonts w:hint="eastAsia" w:eastAsiaTheme="minorEastAsia"/>
              </w:rPr>
              <w:t>月</w:t>
            </w:r>
            <w:r>
              <w:rPr>
                <w:rFonts w:eastAsiaTheme="minorEastAsia"/>
              </w:rPr>
              <w:t>14</w:t>
            </w:r>
            <w:r>
              <w:rPr>
                <w:rFonts w:hint="eastAsia" w:eastAsiaTheme="minorEastAsia"/>
              </w:rPr>
              <w:t>日至</w:t>
            </w:r>
            <w:r>
              <w:rPr>
                <w:rFonts w:eastAsiaTheme="minorEastAsia"/>
              </w:rPr>
              <w:t>4</w:t>
            </w:r>
            <w:r>
              <w:rPr>
                <w:rFonts w:hint="eastAsia" w:eastAsiaTheme="minorEastAsia"/>
              </w:rPr>
              <w:t>月</w:t>
            </w:r>
            <w:r>
              <w:rPr>
                <w:rFonts w:eastAsiaTheme="minorEastAsia"/>
              </w:rPr>
              <w:t>20</w:t>
            </w:r>
            <w:r>
              <w:rPr>
                <w:rFonts w:hint="eastAsia" w:eastAsiaTheme="minor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24" w:type="pct"/>
            <w:shd w:val="clear" w:color="auto" w:fill="FFFFFF"/>
            <w:vAlign w:val="center"/>
          </w:tcPr>
          <w:p>
            <w:pPr>
              <w:pStyle w:val="49"/>
              <w:rPr>
                <w:rFonts w:eastAsiaTheme="minorEastAsia"/>
              </w:rPr>
            </w:pPr>
            <w:r>
              <w:rPr>
                <w:rFonts w:eastAsiaTheme="minorEastAsia"/>
              </w:rPr>
              <w:t>3</w:t>
            </w:r>
          </w:p>
        </w:tc>
        <w:tc>
          <w:tcPr>
            <w:tcW w:w="1168" w:type="pct"/>
            <w:shd w:val="clear" w:color="auto" w:fill="FFFFFF"/>
            <w:vAlign w:val="center"/>
          </w:tcPr>
          <w:p>
            <w:pPr>
              <w:pStyle w:val="49"/>
              <w:rPr>
                <w:rFonts w:eastAsiaTheme="minorEastAsia"/>
              </w:rPr>
            </w:pPr>
            <w:r>
              <w:rPr>
                <w:rFonts w:hint="eastAsia" w:eastAsiaTheme="minorEastAsia"/>
                <w:color w:val="000000"/>
                <w:position w:val="-2"/>
              </w:rPr>
              <w:t>厂界下风向</w:t>
            </w:r>
          </w:p>
        </w:tc>
        <w:tc>
          <w:tcPr>
            <w:tcW w:w="1498" w:type="pct"/>
            <w:shd w:val="clear" w:color="auto" w:fill="FFFFFF"/>
            <w:vAlign w:val="center"/>
          </w:tcPr>
          <w:p>
            <w:pPr>
              <w:pStyle w:val="49"/>
              <w:rPr>
                <w:rFonts w:eastAsiaTheme="minorEastAsia"/>
              </w:rPr>
            </w:pPr>
            <w:r>
              <w:rPr>
                <w:rFonts w:eastAsiaTheme="minorEastAsia"/>
              </w:rPr>
              <w:t>NH</w:t>
            </w:r>
            <w:r>
              <w:rPr>
                <w:rFonts w:eastAsiaTheme="minorEastAsia"/>
                <w:vertAlign w:val="subscript"/>
              </w:rPr>
              <w:t>3</w:t>
            </w:r>
            <w:r>
              <w:rPr>
                <w:rFonts w:hint="eastAsia" w:eastAsiaTheme="minorEastAsia"/>
              </w:rPr>
              <w:t>、</w:t>
            </w:r>
            <w:r>
              <w:rPr>
                <w:rFonts w:eastAsiaTheme="minorEastAsia"/>
              </w:rPr>
              <w:t>H</w:t>
            </w:r>
            <w:r>
              <w:rPr>
                <w:rFonts w:eastAsiaTheme="minorEastAsia"/>
                <w:vertAlign w:val="subscript"/>
              </w:rPr>
              <w:t>2</w:t>
            </w:r>
            <w:r>
              <w:rPr>
                <w:rFonts w:eastAsiaTheme="minorEastAsia"/>
              </w:rPr>
              <w:t>S</w:t>
            </w:r>
          </w:p>
        </w:tc>
        <w:tc>
          <w:tcPr>
            <w:tcW w:w="1909" w:type="pct"/>
            <w:shd w:val="clear" w:color="auto" w:fill="FFFFFF"/>
            <w:vAlign w:val="center"/>
          </w:tcPr>
          <w:p>
            <w:pPr>
              <w:pStyle w:val="49"/>
              <w:rPr>
                <w:rFonts w:eastAsiaTheme="minorEastAsia"/>
              </w:rPr>
            </w:pPr>
            <w:r>
              <w:rPr>
                <w:rFonts w:eastAsiaTheme="minorEastAsia"/>
              </w:rPr>
              <w:t>2021</w:t>
            </w:r>
            <w:r>
              <w:rPr>
                <w:rFonts w:hint="eastAsia" w:eastAsiaTheme="minorEastAsia"/>
              </w:rPr>
              <w:t>年</w:t>
            </w:r>
            <w:r>
              <w:rPr>
                <w:rFonts w:eastAsiaTheme="minorEastAsia"/>
              </w:rPr>
              <w:t>4</w:t>
            </w:r>
            <w:r>
              <w:rPr>
                <w:rFonts w:hint="eastAsia" w:eastAsiaTheme="minorEastAsia"/>
              </w:rPr>
              <w:t>月</w:t>
            </w:r>
            <w:r>
              <w:rPr>
                <w:rFonts w:eastAsiaTheme="minorEastAsia"/>
              </w:rPr>
              <w:t>14</w:t>
            </w:r>
            <w:r>
              <w:rPr>
                <w:rFonts w:hint="eastAsia" w:eastAsiaTheme="minorEastAsia"/>
              </w:rPr>
              <w:t>日至</w:t>
            </w:r>
            <w:r>
              <w:rPr>
                <w:rFonts w:eastAsiaTheme="minorEastAsia"/>
              </w:rPr>
              <w:t>4</w:t>
            </w:r>
            <w:r>
              <w:rPr>
                <w:rFonts w:hint="eastAsia" w:eastAsiaTheme="minorEastAsia"/>
              </w:rPr>
              <w:t>月</w:t>
            </w:r>
            <w:r>
              <w:rPr>
                <w:rFonts w:eastAsiaTheme="minorEastAsia"/>
              </w:rPr>
              <w:t>20</w:t>
            </w:r>
            <w:r>
              <w:rPr>
                <w:rFonts w:hint="eastAsia" w:eastAsiaTheme="minorEastAsia"/>
              </w:rPr>
              <w:t>日</w:t>
            </w:r>
          </w:p>
        </w:tc>
      </w:tr>
    </w:tbl>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）监测与分析方法</w:t>
      </w:r>
    </w:p>
    <w:p>
      <w:pPr>
        <w:pStyle w:val="3"/>
        <w:ind w:firstLine="480"/>
        <w:rPr>
          <w:rFonts w:cs="Times New Roman"/>
          <w:kern w:val="0"/>
        </w:rPr>
      </w:pPr>
      <w:r>
        <w:rPr>
          <w:rFonts w:hint="eastAsia" w:cs="Times New Roman"/>
          <w:kern w:val="0"/>
        </w:rPr>
        <w:t>监测分析方法按《环境监测技术规范》有关部分进行，分析方法按《环境空气质量标准》</w:t>
      </w:r>
      <w:r>
        <w:rPr>
          <w:rFonts w:cs="Times New Roman"/>
          <w:kern w:val="0"/>
        </w:rPr>
        <w:t>(GB3095-2012)</w:t>
      </w:r>
      <w:r>
        <w:rPr>
          <w:rFonts w:hint="eastAsia" w:cs="Times New Roman"/>
          <w:kern w:val="0"/>
        </w:rPr>
        <w:t>要求进行。</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）环境空气质量现状评价</w:t>
      </w:r>
    </w:p>
    <w:p>
      <w:pPr>
        <w:pStyle w:val="3"/>
        <w:ind w:firstLine="480"/>
        <w:rPr>
          <w:rFonts w:cs="Times New Roman"/>
          <w:kern w:val="0"/>
        </w:rPr>
      </w:pPr>
      <w:r>
        <w:rPr>
          <w:rFonts w:hint="eastAsia" w:cs="Times New Roman"/>
          <w:kern w:val="0"/>
        </w:rPr>
        <w:t>评价标准：《环境空气质量标准》</w:t>
      </w:r>
      <w:r>
        <w:rPr>
          <w:rFonts w:cs="Times New Roman"/>
          <w:kern w:val="0"/>
        </w:rPr>
        <w:t>GB3095-2012</w:t>
      </w:r>
      <w:r>
        <w:rPr>
          <w:rFonts w:hint="eastAsia" w:cs="Times New Roman"/>
          <w:kern w:val="0"/>
        </w:rPr>
        <w:t>二级标准</w:t>
      </w:r>
      <w:r>
        <w:rPr>
          <w:rFonts w:cs="Times New Roman"/>
          <w:kern w:val="0"/>
        </w:rPr>
        <w:t>‚</w:t>
      </w:r>
      <w:r>
        <w:rPr>
          <w:rFonts w:hint="eastAsia" w:cs="Times New Roman"/>
          <w:kern w:val="0"/>
        </w:rPr>
        <w:t>评价方法：超标率、超标倍数法</w:t>
      </w:r>
    </w:p>
    <w:p>
      <w:pPr>
        <w:pStyle w:val="3"/>
        <w:ind w:firstLine="480"/>
        <w:rPr>
          <w:rFonts w:cs="Times New Roman"/>
          <w:kern w:val="0"/>
        </w:rPr>
      </w:pPr>
      <w:r>
        <w:rPr>
          <w:rFonts w:hint="eastAsia" w:cs="Times New Roman"/>
          <w:kern w:val="0"/>
        </w:rPr>
        <w:t>超标率（</w:t>
      </w:r>
      <w:r>
        <w:rPr>
          <w:rFonts w:cs="Times New Roman"/>
          <w:kern w:val="0"/>
        </w:rPr>
        <w:t>%</w:t>
      </w:r>
      <w:r>
        <w:rPr>
          <w:rFonts w:hint="eastAsia" w:cs="Times New Roman"/>
          <w:kern w:val="0"/>
        </w:rPr>
        <w:t>）</w:t>
      </w:r>
      <w:r>
        <w:rPr>
          <w:rFonts w:cs="Times New Roman"/>
          <w:kern w:val="0"/>
        </w:rPr>
        <w:t>=</w:t>
      </w:r>
      <w:r>
        <w:rPr>
          <w:rFonts w:hint="eastAsia" w:cs="Times New Roman"/>
          <w:kern w:val="0"/>
        </w:rPr>
        <w:t>（超标样品个数</w:t>
      </w:r>
      <w:r>
        <w:rPr>
          <w:rFonts w:cs="Times New Roman"/>
          <w:kern w:val="0"/>
        </w:rPr>
        <w:t>/</w:t>
      </w:r>
      <w:r>
        <w:rPr>
          <w:rFonts w:hint="eastAsia" w:cs="Times New Roman"/>
          <w:kern w:val="0"/>
        </w:rPr>
        <w:t>监测样品总数）</w:t>
      </w:r>
      <w:r>
        <w:rPr>
          <w:rFonts w:cs="Times New Roman"/>
          <w:kern w:val="0"/>
        </w:rPr>
        <w:t>×100%</w:t>
      </w:r>
    </w:p>
    <w:p>
      <w:pPr>
        <w:pStyle w:val="3"/>
        <w:ind w:firstLine="480"/>
        <w:rPr>
          <w:rFonts w:cs="Times New Roman"/>
          <w:kern w:val="0"/>
        </w:rPr>
      </w:pPr>
      <w:r>
        <w:rPr>
          <w:rFonts w:hint="eastAsia" w:cs="Times New Roman"/>
          <w:kern w:val="0"/>
        </w:rPr>
        <w:t>超标倍数</w:t>
      </w:r>
      <w:r>
        <w:rPr>
          <w:rFonts w:cs="Times New Roman"/>
          <w:kern w:val="0"/>
        </w:rPr>
        <w:t>=</w:t>
      </w:r>
      <w:r>
        <w:rPr>
          <w:rFonts w:hint="eastAsia" w:cs="Times New Roman"/>
          <w:kern w:val="0"/>
        </w:rPr>
        <w:t>（样品实测浓度－标准值）</w:t>
      </w:r>
      <w:r>
        <w:rPr>
          <w:rFonts w:cs="Times New Roman"/>
          <w:kern w:val="0"/>
        </w:rPr>
        <w:t>/</w:t>
      </w:r>
      <w:r>
        <w:rPr>
          <w:rFonts w:hint="eastAsia" w:cs="Times New Roman"/>
          <w:kern w:val="0"/>
        </w:rPr>
        <w:t>标准值</w:t>
      </w:r>
    </w:p>
    <w:p>
      <w:pPr>
        <w:pStyle w:val="3"/>
        <w:ind w:firstLine="480"/>
        <w:rPr>
          <w:rFonts w:cs="Times New Roman"/>
          <w:kern w:val="0"/>
        </w:rPr>
      </w:pPr>
      <w:r>
        <w:rPr>
          <w:rFonts w:hint="eastAsia" w:cs="Times New Roman"/>
          <w:kern w:val="0"/>
        </w:rPr>
        <w:t>（</w:t>
      </w:r>
      <w:r>
        <w:rPr>
          <w:rFonts w:cs="Times New Roman"/>
          <w:kern w:val="0"/>
        </w:rPr>
        <w:t>5</w:t>
      </w:r>
      <w:r>
        <w:rPr>
          <w:rFonts w:hint="eastAsia" w:cs="Times New Roman"/>
          <w:kern w:val="0"/>
        </w:rPr>
        <w:t>）监测结果统计</w:t>
      </w:r>
    </w:p>
    <w:p>
      <w:pPr>
        <w:pStyle w:val="3"/>
        <w:ind w:firstLine="480"/>
        <w:rPr>
          <w:rFonts w:cs="Times New Roman"/>
          <w:kern w:val="0"/>
        </w:rPr>
      </w:pPr>
      <w:r>
        <w:rPr>
          <w:rFonts w:hint="eastAsia" w:cs="Times New Roman"/>
          <w:kern w:val="0"/>
        </w:rPr>
        <w:t>各监测点的环境空气质量现状监测与评价结果见表5.2-3。</w:t>
      </w:r>
    </w:p>
    <w:p>
      <w:pPr>
        <w:pStyle w:val="3"/>
        <w:spacing w:line="240" w:lineRule="auto"/>
        <w:ind w:firstLine="0" w:firstLineChars="0"/>
        <w:jc w:val="center"/>
        <w:rPr>
          <w:rFonts w:cs="Times New Roman" w:eastAsiaTheme="minorEastAsia"/>
          <w:b/>
        </w:rPr>
      </w:pPr>
      <w:r>
        <w:rPr>
          <w:rFonts w:hint="eastAsia" w:cs="Times New Roman" w:eastAsiaTheme="minorEastAsia"/>
          <w:b/>
        </w:rPr>
        <w:t>表5.2-3</w:t>
      </w:r>
      <w:r>
        <w:rPr>
          <w:rFonts w:cs="Times New Roman" w:eastAsiaTheme="minorEastAsia"/>
          <w:b/>
        </w:rPr>
        <w:t xml:space="preserve">   </w:t>
      </w:r>
      <w:r>
        <w:rPr>
          <w:rFonts w:hint="eastAsia" w:cs="Times New Roman" w:eastAsiaTheme="minorEastAsia"/>
          <w:b/>
        </w:rPr>
        <w:t>空气环境质量监测与评价结果（</w:t>
      </w:r>
      <w:r>
        <w:rPr>
          <w:rFonts w:cs="Times New Roman" w:eastAsiaTheme="minorEastAsia"/>
          <w:b/>
        </w:rPr>
        <w:t>mg/m</w:t>
      </w:r>
      <w:r>
        <w:rPr>
          <w:rFonts w:cs="Times New Roman" w:eastAsiaTheme="minorEastAsia"/>
          <w:b/>
          <w:vertAlign w:val="superscript"/>
        </w:rPr>
        <w:t>3</w:t>
      </w:r>
      <w:r>
        <w:rPr>
          <w:rFonts w:hint="eastAsia" w:cs="Times New Roman" w:eastAsiaTheme="minorEastAsia"/>
          <w:b/>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2"/>
        <w:gridCol w:w="1664"/>
        <w:gridCol w:w="2028"/>
        <w:gridCol w:w="205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2" w:type="pct"/>
            <w:shd w:val="clear" w:color="auto" w:fill="FFFFFF"/>
            <w:vAlign w:val="center"/>
          </w:tcPr>
          <w:p>
            <w:pPr>
              <w:pStyle w:val="49"/>
            </w:pPr>
            <w:r>
              <w:rPr>
                <w:rFonts w:hint="eastAsia"/>
              </w:rPr>
              <w:t>污染物名称</w:t>
            </w:r>
          </w:p>
        </w:tc>
        <w:tc>
          <w:tcPr>
            <w:tcW w:w="928" w:type="pct"/>
            <w:shd w:val="clear" w:color="auto" w:fill="FFFFFF"/>
            <w:vAlign w:val="center"/>
          </w:tcPr>
          <w:p>
            <w:pPr>
              <w:pStyle w:val="49"/>
            </w:pPr>
            <w:r>
              <w:rPr>
                <w:rFonts w:hint="eastAsia"/>
              </w:rPr>
              <w:t>监测项目</w:t>
            </w:r>
          </w:p>
        </w:tc>
        <w:tc>
          <w:tcPr>
            <w:tcW w:w="1131" w:type="pct"/>
            <w:shd w:val="clear" w:color="auto" w:fill="FFFFFF"/>
            <w:vAlign w:val="center"/>
          </w:tcPr>
          <w:p>
            <w:pPr>
              <w:pStyle w:val="49"/>
            </w:pPr>
            <w:r>
              <w:t>G1</w:t>
            </w:r>
          </w:p>
        </w:tc>
        <w:tc>
          <w:tcPr>
            <w:tcW w:w="1145" w:type="pct"/>
            <w:shd w:val="clear" w:color="auto" w:fill="FFFFFF"/>
            <w:vAlign w:val="center"/>
          </w:tcPr>
          <w:p>
            <w:pPr>
              <w:pStyle w:val="49"/>
            </w:pPr>
            <w:r>
              <w:t>G2</w:t>
            </w:r>
          </w:p>
        </w:tc>
        <w:tc>
          <w:tcPr>
            <w:tcW w:w="964" w:type="pct"/>
            <w:shd w:val="clear" w:color="auto" w:fill="FFFFFF"/>
            <w:vAlign w:val="center"/>
          </w:tcPr>
          <w:p>
            <w:pPr>
              <w:pStyle w:val="49"/>
            </w:pPr>
            <w: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2" w:type="pct"/>
            <w:vMerge w:val="restart"/>
            <w:shd w:val="clear" w:color="auto" w:fill="FFFFFF"/>
            <w:vAlign w:val="center"/>
          </w:tcPr>
          <w:p>
            <w:pPr>
              <w:pStyle w:val="49"/>
            </w:pPr>
            <w:r>
              <w:t>NH</w:t>
            </w:r>
            <w:r>
              <w:rPr>
                <w:vertAlign w:val="subscript"/>
              </w:rPr>
              <w:t>3</w:t>
            </w:r>
          </w:p>
        </w:tc>
        <w:tc>
          <w:tcPr>
            <w:tcW w:w="928" w:type="pct"/>
            <w:shd w:val="clear" w:color="auto" w:fill="FFFFFF"/>
            <w:vAlign w:val="center"/>
          </w:tcPr>
          <w:p>
            <w:pPr>
              <w:pStyle w:val="49"/>
            </w:pPr>
            <w:r>
              <w:rPr>
                <w:rFonts w:hint="eastAsia"/>
              </w:rPr>
              <w:t>一次值浓度范围</w:t>
            </w:r>
          </w:p>
        </w:tc>
        <w:tc>
          <w:tcPr>
            <w:tcW w:w="1131" w:type="pct"/>
            <w:shd w:val="clear" w:color="auto" w:fill="FFFFFF"/>
            <w:vAlign w:val="center"/>
          </w:tcPr>
          <w:p>
            <w:pPr>
              <w:pStyle w:val="49"/>
            </w:pPr>
            <w:r>
              <w:t>0.07~0.08</w:t>
            </w:r>
          </w:p>
        </w:tc>
        <w:tc>
          <w:tcPr>
            <w:tcW w:w="1145" w:type="pct"/>
            <w:shd w:val="clear" w:color="auto" w:fill="FFFFFF"/>
            <w:vAlign w:val="center"/>
          </w:tcPr>
          <w:p>
            <w:pPr>
              <w:pStyle w:val="49"/>
            </w:pPr>
            <w:r>
              <w:t>0.10~0.11</w:t>
            </w:r>
          </w:p>
        </w:tc>
        <w:tc>
          <w:tcPr>
            <w:tcW w:w="964" w:type="pct"/>
            <w:shd w:val="clear" w:color="auto" w:fill="FFFFFF"/>
            <w:vAlign w:val="center"/>
          </w:tcPr>
          <w:p>
            <w:pPr>
              <w:pStyle w:val="49"/>
            </w:pPr>
            <w:r>
              <w:t>0.10~0.11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rPr>
            </w:pPr>
          </w:p>
        </w:tc>
        <w:tc>
          <w:tcPr>
            <w:tcW w:w="928" w:type="pct"/>
            <w:shd w:val="clear" w:color="auto" w:fill="FFFFFF"/>
            <w:vAlign w:val="center"/>
          </w:tcPr>
          <w:p>
            <w:pPr>
              <w:pStyle w:val="49"/>
            </w:pPr>
            <w:r>
              <w:rPr>
                <w:rFonts w:hint="eastAsia"/>
              </w:rPr>
              <w:t>超标率</w:t>
            </w:r>
            <w:r>
              <w:t>%</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rPr>
            </w:pPr>
          </w:p>
        </w:tc>
        <w:tc>
          <w:tcPr>
            <w:tcW w:w="928" w:type="pct"/>
            <w:shd w:val="clear" w:color="auto" w:fill="FFFFFF"/>
            <w:vAlign w:val="center"/>
          </w:tcPr>
          <w:p>
            <w:pPr>
              <w:pStyle w:val="49"/>
            </w:pPr>
            <w:r>
              <w:rPr>
                <w:rFonts w:hint="eastAsia"/>
              </w:rPr>
              <w:t>最大超标倍数</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2" w:type="pct"/>
            <w:vMerge w:val="restart"/>
            <w:shd w:val="clear" w:color="auto" w:fill="FFFFFF"/>
            <w:vAlign w:val="center"/>
          </w:tcPr>
          <w:p>
            <w:pPr>
              <w:pStyle w:val="49"/>
            </w:pPr>
            <w:r>
              <w:t>H</w:t>
            </w:r>
            <w:r>
              <w:rPr>
                <w:vertAlign w:val="subscript"/>
              </w:rPr>
              <w:t>2</w:t>
            </w:r>
            <w:r>
              <w:t>S</w:t>
            </w:r>
          </w:p>
        </w:tc>
        <w:tc>
          <w:tcPr>
            <w:tcW w:w="928" w:type="pct"/>
            <w:shd w:val="clear" w:color="auto" w:fill="FFFFFF"/>
            <w:vAlign w:val="center"/>
          </w:tcPr>
          <w:p>
            <w:pPr>
              <w:pStyle w:val="49"/>
            </w:pPr>
            <w:r>
              <w:rPr>
                <w:rFonts w:hint="eastAsia"/>
              </w:rPr>
              <w:t>一次值浓度范围</w:t>
            </w:r>
          </w:p>
        </w:tc>
        <w:tc>
          <w:tcPr>
            <w:tcW w:w="1131" w:type="pct"/>
            <w:shd w:val="clear" w:color="auto" w:fill="FFFFFF"/>
            <w:vAlign w:val="center"/>
          </w:tcPr>
          <w:p>
            <w:pPr>
              <w:pStyle w:val="49"/>
            </w:pPr>
            <w:r>
              <w:t>&lt;0.001</w:t>
            </w:r>
          </w:p>
        </w:tc>
        <w:tc>
          <w:tcPr>
            <w:tcW w:w="1145" w:type="pct"/>
            <w:shd w:val="clear" w:color="auto" w:fill="FFFFFF"/>
            <w:vAlign w:val="center"/>
          </w:tcPr>
          <w:p>
            <w:pPr>
              <w:pStyle w:val="49"/>
            </w:pPr>
            <w:r>
              <w:t>&lt;0.001</w:t>
            </w:r>
          </w:p>
        </w:tc>
        <w:tc>
          <w:tcPr>
            <w:tcW w:w="964" w:type="pct"/>
            <w:shd w:val="clear" w:color="auto" w:fill="FFFFFF"/>
            <w:vAlign w:val="center"/>
          </w:tcPr>
          <w:p>
            <w:pPr>
              <w:pStyle w:val="49"/>
            </w:pPr>
            <w:r>
              <w:t>&lt;0.001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rPr>
            </w:pPr>
          </w:p>
        </w:tc>
        <w:tc>
          <w:tcPr>
            <w:tcW w:w="928" w:type="pct"/>
            <w:shd w:val="clear" w:color="auto" w:fill="FFFFFF"/>
            <w:vAlign w:val="center"/>
          </w:tcPr>
          <w:p>
            <w:pPr>
              <w:pStyle w:val="49"/>
            </w:pPr>
            <w:r>
              <w:rPr>
                <w:rFonts w:hint="eastAsia"/>
              </w:rPr>
              <w:t>超标率</w:t>
            </w:r>
            <w:r>
              <w:t>%</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rPr>
            </w:pPr>
          </w:p>
        </w:tc>
        <w:tc>
          <w:tcPr>
            <w:tcW w:w="928" w:type="pct"/>
            <w:shd w:val="clear" w:color="auto" w:fill="FFFFFF"/>
            <w:vAlign w:val="center"/>
          </w:tcPr>
          <w:p>
            <w:pPr>
              <w:pStyle w:val="49"/>
            </w:pPr>
            <w:r>
              <w:rPr>
                <w:rFonts w:hint="eastAsia"/>
              </w:rPr>
              <w:t>最大超标倍数</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2" w:type="pct"/>
            <w:vMerge w:val="restart"/>
            <w:vAlign w:val="center"/>
          </w:tcPr>
          <w:p>
            <w:pPr>
              <w:jc w:val="center"/>
              <w:rPr>
                <w:rFonts w:ascii="Times New Roman" w:hAnsi="Times New Roman" w:cs="Times New Roman"/>
                <w:kern w:val="0"/>
              </w:rPr>
            </w:pPr>
            <w:r>
              <w:rPr>
                <w:rFonts w:hint="eastAsia" w:ascii="Times New Roman" w:hAnsi="Times New Roman"/>
                <w:kern w:val="0"/>
              </w:rPr>
              <w:t>臭气浓度</w:t>
            </w:r>
          </w:p>
        </w:tc>
        <w:tc>
          <w:tcPr>
            <w:tcW w:w="928" w:type="pct"/>
            <w:shd w:val="clear" w:color="auto" w:fill="FFFFFF"/>
            <w:vAlign w:val="center"/>
          </w:tcPr>
          <w:p>
            <w:pPr>
              <w:pStyle w:val="49"/>
            </w:pPr>
            <w:r>
              <w:rPr>
                <w:rFonts w:hint="eastAsia"/>
              </w:rPr>
              <w:t>一次值浓度范围</w:t>
            </w:r>
          </w:p>
        </w:tc>
        <w:tc>
          <w:tcPr>
            <w:tcW w:w="1131" w:type="pct"/>
            <w:shd w:val="clear" w:color="auto" w:fill="FFFFFF"/>
            <w:vAlign w:val="center"/>
          </w:tcPr>
          <w:p>
            <w:pPr>
              <w:pStyle w:val="49"/>
            </w:pPr>
            <w:r>
              <w:t>&lt;10</w:t>
            </w:r>
          </w:p>
        </w:tc>
        <w:tc>
          <w:tcPr>
            <w:tcW w:w="1145" w:type="pct"/>
            <w:shd w:val="clear" w:color="auto" w:fill="FFFFFF"/>
            <w:vAlign w:val="center"/>
          </w:tcPr>
          <w:p>
            <w:pPr>
              <w:pStyle w:val="49"/>
            </w:pPr>
            <w:r>
              <w:t>&lt;10</w:t>
            </w:r>
          </w:p>
        </w:tc>
        <w:tc>
          <w:tcPr>
            <w:tcW w:w="964" w:type="pct"/>
            <w:shd w:val="clear" w:color="auto" w:fill="FFFFFF"/>
            <w:vAlign w:val="center"/>
          </w:tcPr>
          <w:p>
            <w:pPr>
              <w:pStyle w:val="49"/>
            </w:pPr>
            <w: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kern w:val="0"/>
              </w:rPr>
            </w:pPr>
          </w:p>
        </w:tc>
        <w:tc>
          <w:tcPr>
            <w:tcW w:w="928" w:type="pct"/>
            <w:shd w:val="clear" w:color="auto" w:fill="FFFFFF"/>
            <w:vAlign w:val="center"/>
          </w:tcPr>
          <w:p>
            <w:pPr>
              <w:pStyle w:val="49"/>
            </w:pPr>
            <w:r>
              <w:rPr>
                <w:rFonts w:hint="eastAsia"/>
              </w:rPr>
              <w:t>超标率</w:t>
            </w:r>
            <w:r>
              <w:t>%</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vAlign w:val="center"/>
          </w:tcPr>
          <w:p>
            <w:pPr>
              <w:jc w:val="left"/>
              <w:rPr>
                <w:rFonts w:ascii="Times New Roman" w:hAnsi="Times New Roman" w:cs="Times New Roman"/>
                <w:kern w:val="0"/>
              </w:rPr>
            </w:pPr>
          </w:p>
        </w:tc>
        <w:tc>
          <w:tcPr>
            <w:tcW w:w="928" w:type="pct"/>
            <w:shd w:val="clear" w:color="auto" w:fill="FFFFFF"/>
            <w:vAlign w:val="center"/>
          </w:tcPr>
          <w:p>
            <w:pPr>
              <w:pStyle w:val="49"/>
            </w:pPr>
            <w:r>
              <w:rPr>
                <w:rFonts w:hint="eastAsia"/>
              </w:rPr>
              <w:t>最大超标倍数</w:t>
            </w:r>
          </w:p>
        </w:tc>
        <w:tc>
          <w:tcPr>
            <w:tcW w:w="1131" w:type="pct"/>
            <w:shd w:val="clear" w:color="auto" w:fill="FFFFFF"/>
            <w:vAlign w:val="center"/>
          </w:tcPr>
          <w:p>
            <w:pPr>
              <w:pStyle w:val="49"/>
            </w:pPr>
            <w:r>
              <w:t>0</w:t>
            </w:r>
          </w:p>
        </w:tc>
        <w:tc>
          <w:tcPr>
            <w:tcW w:w="1145" w:type="pct"/>
            <w:shd w:val="clear" w:color="auto" w:fill="FFFFFF"/>
            <w:vAlign w:val="center"/>
          </w:tcPr>
          <w:p>
            <w:pPr>
              <w:pStyle w:val="49"/>
            </w:pPr>
            <w:r>
              <w:t>0</w:t>
            </w:r>
          </w:p>
        </w:tc>
        <w:tc>
          <w:tcPr>
            <w:tcW w:w="964" w:type="pct"/>
            <w:shd w:val="clear" w:color="auto" w:fill="FFFFFF"/>
            <w:vAlign w:val="center"/>
          </w:tcPr>
          <w:p>
            <w:pPr>
              <w:pStyle w:val="49"/>
            </w:pPr>
            <w:r>
              <w:t>0</w:t>
            </w:r>
          </w:p>
        </w:tc>
      </w:tr>
    </w:tbl>
    <w:p>
      <w:pPr>
        <w:pStyle w:val="3"/>
        <w:ind w:firstLine="480"/>
        <w:rPr>
          <w:rFonts w:cs="Times New Roman"/>
          <w:kern w:val="0"/>
        </w:rPr>
      </w:pPr>
      <w:r>
        <w:rPr>
          <w:rFonts w:hint="eastAsia" w:cs="Times New Roman"/>
          <w:kern w:val="0"/>
        </w:rPr>
        <w:t>监测数据表明，监测期间项目所在地各监测因子</w:t>
      </w:r>
      <w:r>
        <w:rPr>
          <w:rFonts w:cs="Times New Roman"/>
          <w:kern w:val="0"/>
        </w:rPr>
        <w:t>NH</w:t>
      </w:r>
      <w:r>
        <w:rPr>
          <w:rFonts w:cs="Times New Roman"/>
          <w:kern w:val="0"/>
          <w:vertAlign w:val="subscript"/>
        </w:rPr>
        <w:t>3</w:t>
      </w:r>
      <w:r>
        <w:rPr>
          <w:rFonts w:hint="eastAsia" w:cs="Times New Roman"/>
          <w:kern w:val="0"/>
        </w:rPr>
        <w:t>、</w:t>
      </w:r>
      <w:r>
        <w:rPr>
          <w:rFonts w:cs="Times New Roman"/>
          <w:kern w:val="0"/>
        </w:rPr>
        <w:t>H</w:t>
      </w:r>
      <w:r>
        <w:rPr>
          <w:rFonts w:cs="Times New Roman"/>
          <w:kern w:val="0"/>
          <w:vertAlign w:val="subscript"/>
        </w:rPr>
        <w:t>2</w:t>
      </w:r>
      <w:r>
        <w:rPr>
          <w:rFonts w:cs="Times New Roman"/>
          <w:kern w:val="0"/>
        </w:rPr>
        <w:t>S</w:t>
      </w:r>
      <w:r>
        <w:rPr>
          <w:rFonts w:hint="eastAsia" w:cs="Times New Roman"/>
          <w:kern w:val="0"/>
        </w:rPr>
        <w:t>及臭气浓度监测数据均达到《环境空气质量标准》（</w:t>
      </w:r>
      <w:r>
        <w:rPr>
          <w:rFonts w:cs="Times New Roman"/>
          <w:kern w:val="0"/>
        </w:rPr>
        <w:t>GB3095-2012</w:t>
      </w:r>
      <w:r>
        <w:rPr>
          <w:rFonts w:hint="eastAsia" w:cs="Times New Roman"/>
          <w:kern w:val="0"/>
        </w:rPr>
        <w:t>）二级标准要求。</w:t>
      </w:r>
    </w:p>
    <w:p>
      <w:pPr>
        <w:pStyle w:val="3"/>
        <w:ind w:firstLine="0" w:firstLineChars="0"/>
        <w:outlineLvl w:val="2"/>
        <w:rPr>
          <w:rFonts w:eastAsia="黑体" w:cstheme="majorBidi"/>
          <w:bCs/>
          <w:szCs w:val="32"/>
        </w:rPr>
      </w:pPr>
      <w:r>
        <w:rPr>
          <w:rFonts w:hint="eastAsia"/>
        </w:rPr>
        <w:t>5.2.2</w:t>
      </w:r>
      <w:r>
        <w:rPr>
          <w:rFonts w:hint="eastAsia"/>
        </w:rPr>
        <w:tab/>
      </w:r>
      <w:r>
        <w:rPr>
          <w:rFonts w:hint="eastAsia" w:eastAsia="黑体" w:cstheme="majorBidi"/>
          <w:bCs/>
          <w:szCs w:val="32"/>
        </w:rPr>
        <w:t>地表水环境质量现状监测与评价</w:t>
      </w:r>
    </w:p>
    <w:p>
      <w:pPr>
        <w:pStyle w:val="3"/>
        <w:ind w:firstLine="480"/>
        <w:rPr>
          <w:rFonts w:cs="Times New Roman"/>
          <w:kern w:val="0"/>
        </w:rPr>
      </w:pPr>
      <w:r>
        <w:rPr>
          <w:rFonts w:hint="eastAsia" w:cs="Times New Roman"/>
          <w:kern w:val="0"/>
        </w:rPr>
        <w:t>本项目区域周边无干渠河流，主要水环境为东北侧农灌水塘，根据湖南德环检测中心于</w:t>
      </w:r>
      <w:r>
        <w:rPr>
          <w:rFonts w:cs="Times New Roman"/>
          <w:kern w:val="0"/>
        </w:rPr>
        <w:t>2021</w:t>
      </w:r>
      <w:r>
        <w:rPr>
          <w:rFonts w:hint="eastAsia" w:cs="Times New Roman"/>
          <w:kern w:val="0"/>
        </w:rPr>
        <w:t>年</w:t>
      </w:r>
      <w:r>
        <w:rPr>
          <w:rFonts w:cs="Times New Roman"/>
          <w:kern w:val="0"/>
        </w:rPr>
        <w:t>4</w:t>
      </w:r>
      <w:r>
        <w:rPr>
          <w:rFonts w:hint="eastAsia" w:cs="Times New Roman"/>
          <w:kern w:val="0"/>
        </w:rPr>
        <w:t>月</w:t>
      </w:r>
      <w:r>
        <w:rPr>
          <w:rFonts w:cs="Times New Roman"/>
          <w:kern w:val="0"/>
        </w:rPr>
        <w:t>23</w:t>
      </w:r>
      <w:r>
        <w:rPr>
          <w:rFonts w:hint="eastAsia" w:cs="Times New Roman"/>
          <w:kern w:val="0"/>
        </w:rPr>
        <w:t>日至</w:t>
      </w:r>
      <w:r>
        <w:rPr>
          <w:rFonts w:cs="Times New Roman"/>
          <w:kern w:val="0"/>
        </w:rPr>
        <w:t>2021</w:t>
      </w:r>
      <w:r>
        <w:rPr>
          <w:rFonts w:hint="eastAsia" w:cs="Times New Roman"/>
          <w:kern w:val="0"/>
        </w:rPr>
        <w:t>年</w:t>
      </w:r>
      <w:r>
        <w:rPr>
          <w:rFonts w:cs="Times New Roman"/>
          <w:kern w:val="0"/>
        </w:rPr>
        <w:t>4</w:t>
      </w:r>
      <w:r>
        <w:rPr>
          <w:rFonts w:hint="eastAsia" w:cs="Times New Roman"/>
          <w:kern w:val="0"/>
        </w:rPr>
        <w:t>月</w:t>
      </w:r>
      <w:r>
        <w:rPr>
          <w:rFonts w:cs="Times New Roman"/>
          <w:kern w:val="0"/>
        </w:rPr>
        <w:t>25</w:t>
      </w:r>
      <w:r>
        <w:rPr>
          <w:rFonts w:hint="eastAsia" w:cs="Times New Roman"/>
          <w:kern w:val="0"/>
        </w:rPr>
        <w:t>日对该水塘的水环境质量现状进行监测。监测方案具体如下：</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）监测项目：</w:t>
      </w:r>
      <w:r>
        <w:rPr>
          <w:rFonts w:cs="Times New Roman"/>
          <w:kern w:val="0"/>
        </w:rPr>
        <w:t>pH</w:t>
      </w:r>
      <w:r>
        <w:rPr>
          <w:rFonts w:hint="eastAsia" w:cs="Times New Roman"/>
          <w:kern w:val="0"/>
        </w:rPr>
        <w:t>、悬浮物、</w:t>
      </w:r>
      <w:r>
        <w:rPr>
          <w:rFonts w:cs="Times New Roman"/>
          <w:kern w:val="0"/>
        </w:rPr>
        <w:t>CODcr</w:t>
      </w:r>
      <w:r>
        <w:rPr>
          <w:rFonts w:hint="eastAsia" w:cs="Times New Roman"/>
          <w:kern w:val="0"/>
        </w:rPr>
        <w:t>、</w:t>
      </w:r>
      <w:r>
        <w:rPr>
          <w:rFonts w:cs="Times New Roman"/>
          <w:kern w:val="0"/>
        </w:rPr>
        <w:t>BOD5</w:t>
      </w:r>
      <w:r>
        <w:rPr>
          <w:rFonts w:hint="eastAsia" w:cs="Times New Roman"/>
          <w:kern w:val="0"/>
        </w:rPr>
        <w:t>、氨氮、总磷、总氨、溶解氧、粪大肠菌群；</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）监测断面：</w:t>
      </w:r>
      <w:r>
        <w:rPr>
          <w:rFonts w:cs="Times New Roman"/>
          <w:kern w:val="0"/>
        </w:rPr>
        <w:t>W1</w:t>
      </w:r>
      <w:r>
        <w:rPr>
          <w:rFonts w:hint="eastAsia" w:cs="Times New Roman"/>
          <w:kern w:val="0"/>
        </w:rPr>
        <w:t>项目厂内东北侧农灌水塘；</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）监测时间：</w:t>
      </w:r>
      <w:r>
        <w:rPr>
          <w:rFonts w:cs="Times New Roman"/>
          <w:kern w:val="0"/>
        </w:rPr>
        <w:t>2021</w:t>
      </w:r>
      <w:r>
        <w:rPr>
          <w:rFonts w:hint="eastAsia" w:cs="Times New Roman"/>
          <w:kern w:val="0"/>
        </w:rPr>
        <w:t>年</w:t>
      </w:r>
      <w:r>
        <w:rPr>
          <w:rFonts w:cs="Times New Roman"/>
          <w:kern w:val="0"/>
        </w:rPr>
        <w:t>4</w:t>
      </w:r>
      <w:r>
        <w:rPr>
          <w:rFonts w:hint="eastAsia" w:cs="Times New Roman"/>
          <w:kern w:val="0"/>
        </w:rPr>
        <w:t>月</w:t>
      </w:r>
      <w:r>
        <w:rPr>
          <w:rFonts w:cs="Times New Roman"/>
          <w:kern w:val="0"/>
        </w:rPr>
        <w:t>23</w:t>
      </w:r>
      <w:r>
        <w:rPr>
          <w:rFonts w:hint="eastAsia" w:cs="Times New Roman"/>
          <w:kern w:val="0"/>
        </w:rPr>
        <w:t>日至</w:t>
      </w:r>
      <w:r>
        <w:rPr>
          <w:rFonts w:cs="Times New Roman"/>
          <w:kern w:val="0"/>
        </w:rPr>
        <w:t>2021</w:t>
      </w:r>
      <w:r>
        <w:rPr>
          <w:rFonts w:hint="eastAsia" w:cs="Times New Roman"/>
          <w:kern w:val="0"/>
        </w:rPr>
        <w:t>年</w:t>
      </w:r>
      <w:r>
        <w:rPr>
          <w:rFonts w:cs="Times New Roman"/>
          <w:kern w:val="0"/>
        </w:rPr>
        <w:t>4</w:t>
      </w:r>
      <w:r>
        <w:rPr>
          <w:rFonts w:hint="eastAsia" w:cs="Times New Roman"/>
          <w:kern w:val="0"/>
        </w:rPr>
        <w:t>月</w:t>
      </w:r>
      <w:r>
        <w:rPr>
          <w:rFonts w:cs="Times New Roman"/>
          <w:kern w:val="0"/>
        </w:rPr>
        <w:t>25</w:t>
      </w:r>
      <w:r>
        <w:rPr>
          <w:rFonts w:hint="eastAsia" w:cs="Times New Roman"/>
          <w:kern w:val="0"/>
        </w:rPr>
        <w:t>日，连续监测</w:t>
      </w:r>
      <w:r>
        <w:rPr>
          <w:rFonts w:cs="Times New Roman"/>
          <w:kern w:val="0"/>
        </w:rPr>
        <w:t>3</w:t>
      </w:r>
      <w:r>
        <w:rPr>
          <w:rFonts w:hint="eastAsia" w:cs="Times New Roman"/>
          <w:kern w:val="0"/>
        </w:rPr>
        <w:t>天。</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）评价标准：执行《农田灌溉水质标准》（</w:t>
      </w:r>
      <w:r>
        <w:rPr>
          <w:rFonts w:cs="Times New Roman"/>
          <w:kern w:val="0"/>
        </w:rPr>
        <w:t>GB5084-20</w:t>
      </w:r>
      <w:r>
        <w:rPr>
          <w:rFonts w:hint="eastAsia" w:cs="Times New Roman"/>
          <w:kern w:val="0"/>
        </w:rPr>
        <w:t>21）旱作类标准</w:t>
      </w:r>
    </w:p>
    <w:p>
      <w:pPr>
        <w:pStyle w:val="3"/>
        <w:ind w:firstLine="480"/>
        <w:rPr>
          <w:rFonts w:cs="Times New Roman"/>
          <w:kern w:val="0"/>
        </w:rPr>
      </w:pPr>
      <w:r>
        <w:rPr>
          <w:rFonts w:hint="eastAsia" w:cs="Times New Roman"/>
          <w:kern w:val="0"/>
        </w:rPr>
        <w:t>（</w:t>
      </w:r>
      <w:r>
        <w:rPr>
          <w:rFonts w:cs="Times New Roman"/>
          <w:kern w:val="0"/>
        </w:rPr>
        <w:t>5</w:t>
      </w:r>
      <w:r>
        <w:rPr>
          <w:rFonts w:hint="eastAsia" w:cs="Times New Roman"/>
          <w:kern w:val="0"/>
        </w:rPr>
        <w:t>）评价方法：采用超标率和最大超标倍数法，其计算公式如下：</w:t>
      </w:r>
    </w:p>
    <w:p>
      <w:pPr>
        <w:pStyle w:val="3"/>
        <w:ind w:firstLine="480"/>
        <w:rPr>
          <w:rFonts w:cs="Times New Roman"/>
          <w:kern w:val="0"/>
        </w:rPr>
      </w:pPr>
      <w:r>
        <w:rPr>
          <w:rFonts w:hint="eastAsia" w:cs="Times New Roman"/>
          <w:kern w:val="0"/>
        </w:rPr>
        <w:t>超标率（％）</w:t>
      </w:r>
      <w:r>
        <w:rPr>
          <w:rFonts w:cs="Times New Roman"/>
          <w:kern w:val="0"/>
        </w:rPr>
        <w:t>=</w:t>
      </w:r>
      <w:r>
        <w:rPr>
          <w:rFonts w:hint="eastAsia" w:cs="Times New Roman"/>
          <w:kern w:val="0"/>
        </w:rPr>
        <w:t>（超标样品数</w:t>
      </w:r>
      <w:r>
        <w:rPr>
          <w:rFonts w:cs="Times New Roman"/>
          <w:kern w:val="0"/>
        </w:rPr>
        <w:t>/</w:t>
      </w:r>
      <w:r>
        <w:rPr>
          <w:rFonts w:hint="eastAsia" w:cs="Times New Roman"/>
          <w:kern w:val="0"/>
        </w:rPr>
        <w:t>总有效样品数）</w:t>
      </w:r>
      <w:r>
        <w:rPr>
          <w:rFonts w:cs="Times New Roman"/>
          <w:kern w:val="0"/>
        </w:rPr>
        <w:t>×100</w:t>
      </w:r>
      <w:r>
        <w:rPr>
          <w:rFonts w:hint="eastAsia" w:cs="Times New Roman"/>
          <w:kern w:val="0"/>
        </w:rPr>
        <w:t>％</w:t>
      </w:r>
    </w:p>
    <w:p>
      <w:pPr>
        <w:pStyle w:val="3"/>
        <w:ind w:firstLine="480"/>
        <w:rPr>
          <w:rFonts w:cs="Times New Roman"/>
          <w:kern w:val="0"/>
        </w:rPr>
      </w:pPr>
      <w:r>
        <w:rPr>
          <w:rFonts w:hint="eastAsia" w:cs="Times New Roman"/>
          <w:kern w:val="0"/>
        </w:rPr>
        <w:t>最大超标倍数（倍）</w:t>
      </w:r>
      <w:r>
        <w:rPr>
          <w:rFonts w:cs="Times New Roman"/>
          <w:kern w:val="0"/>
        </w:rPr>
        <w:t>=</w:t>
      </w:r>
      <w:r>
        <w:rPr>
          <w:rFonts w:hint="eastAsia" w:cs="Times New Roman"/>
          <w:kern w:val="0"/>
        </w:rPr>
        <w:t>（最大有效值</w:t>
      </w:r>
      <w:r>
        <w:rPr>
          <w:rFonts w:cs="Times New Roman"/>
          <w:kern w:val="0"/>
        </w:rPr>
        <w:t>—</w:t>
      </w:r>
      <w:r>
        <w:rPr>
          <w:rFonts w:hint="eastAsia" w:cs="Times New Roman"/>
          <w:kern w:val="0"/>
        </w:rPr>
        <w:t>标准值）</w:t>
      </w:r>
      <w:r>
        <w:rPr>
          <w:rFonts w:cs="Times New Roman"/>
          <w:kern w:val="0"/>
        </w:rPr>
        <w:t>/</w:t>
      </w:r>
      <w:r>
        <w:rPr>
          <w:rFonts w:hint="eastAsia" w:cs="Times New Roman"/>
          <w:kern w:val="0"/>
        </w:rPr>
        <w:t>标准值</w:t>
      </w:r>
    </w:p>
    <w:p>
      <w:pPr>
        <w:pStyle w:val="3"/>
        <w:ind w:firstLine="480"/>
        <w:rPr>
          <w:rFonts w:cs="Times New Roman"/>
          <w:kern w:val="0"/>
        </w:rPr>
      </w:pPr>
      <w:r>
        <w:rPr>
          <w:rFonts w:hint="eastAsia" w:cs="Times New Roman"/>
          <w:kern w:val="0"/>
        </w:rPr>
        <w:t>（</w:t>
      </w:r>
      <w:r>
        <w:rPr>
          <w:rFonts w:cs="Times New Roman"/>
          <w:kern w:val="0"/>
        </w:rPr>
        <w:t>6</w:t>
      </w:r>
      <w:r>
        <w:rPr>
          <w:rFonts w:hint="eastAsia" w:cs="Times New Roman"/>
          <w:kern w:val="0"/>
        </w:rPr>
        <w:t>）监测及评价结果</w:t>
      </w:r>
    </w:p>
    <w:p>
      <w:pPr>
        <w:pStyle w:val="3"/>
        <w:ind w:firstLine="480"/>
        <w:rPr>
          <w:rFonts w:cs="Times New Roman"/>
          <w:kern w:val="0"/>
        </w:rPr>
      </w:pPr>
      <w:r>
        <w:rPr>
          <w:rFonts w:hint="eastAsia" w:cs="Times New Roman"/>
          <w:kern w:val="0"/>
        </w:rPr>
        <w:t>监测及评价结果见表5.2-4。</w:t>
      </w:r>
    </w:p>
    <w:p>
      <w:pPr>
        <w:pStyle w:val="3"/>
        <w:spacing w:line="240" w:lineRule="auto"/>
        <w:ind w:firstLine="0" w:firstLineChars="0"/>
        <w:jc w:val="center"/>
        <w:rPr>
          <w:rFonts w:cs="Times New Roman" w:eastAsiaTheme="minorEastAsia"/>
          <w:b/>
        </w:rPr>
      </w:pPr>
      <w:r>
        <w:rPr>
          <w:rFonts w:hint="eastAsia" w:cs="Times New Roman" w:eastAsiaTheme="minorEastAsia"/>
          <w:b/>
        </w:rPr>
        <w:t>表5.2-4</w:t>
      </w:r>
      <w:r>
        <w:rPr>
          <w:rFonts w:cs="Times New Roman" w:eastAsiaTheme="minorEastAsia"/>
          <w:b/>
        </w:rPr>
        <w:t xml:space="preserve">   </w:t>
      </w:r>
      <w:r>
        <w:rPr>
          <w:rFonts w:hint="eastAsia" w:cs="Times New Roman" w:eastAsiaTheme="minorEastAsia"/>
          <w:b/>
        </w:rPr>
        <w:t>监测数据及评价一览表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444"/>
        <w:gridCol w:w="943"/>
        <w:gridCol w:w="1409"/>
        <w:gridCol w:w="936"/>
        <w:gridCol w:w="939"/>
        <w:gridCol w:w="108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5" w:type="pct"/>
            <w:vAlign w:val="center"/>
          </w:tcPr>
          <w:p>
            <w:pPr>
              <w:pStyle w:val="49"/>
              <w:rPr>
                <w:rFonts w:cs="Times New Roman"/>
              </w:rPr>
            </w:pPr>
            <w:r>
              <w:rPr>
                <w:rFonts w:cs="Times New Roman"/>
              </w:rPr>
              <w:t>监测断面</w:t>
            </w:r>
          </w:p>
        </w:tc>
        <w:tc>
          <w:tcPr>
            <w:tcW w:w="787" w:type="pct"/>
            <w:vAlign w:val="center"/>
          </w:tcPr>
          <w:p>
            <w:pPr>
              <w:pStyle w:val="49"/>
              <w:rPr>
                <w:rFonts w:cs="Times New Roman"/>
              </w:rPr>
            </w:pPr>
            <w:r>
              <w:rPr>
                <w:rFonts w:cs="Times New Roman"/>
              </w:rPr>
              <w:t>监测项目</w:t>
            </w:r>
          </w:p>
        </w:tc>
        <w:tc>
          <w:tcPr>
            <w:tcW w:w="514" w:type="pct"/>
            <w:vAlign w:val="center"/>
          </w:tcPr>
          <w:p>
            <w:pPr>
              <w:pStyle w:val="49"/>
              <w:rPr>
                <w:rFonts w:cs="Times New Roman"/>
              </w:rPr>
            </w:pPr>
            <w:r>
              <w:rPr>
                <w:rFonts w:cs="Times New Roman"/>
              </w:rPr>
              <w:t>单位</w:t>
            </w:r>
          </w:p>
        </w:tc>
        <w:tc>
          <w:tcPr>
            <w:tcW w:w="768" w:type="pct"/>
            <w:vAlign w:val="center"/>
          </w:tcPr>
          <w:p>
            <w:pPr>
              <w:pStyle w:val="49"/>
              <w:rPr>
                <w:rFonts w:cs="Times New Roman"/>
              </w:rPr>
            </w:pPr>
            <w:r>
              <w:rPr>
                <w:rFonts w:cs="Times New Roman"/>
              </w:rPr>
              <w:t>浓度范围</w:t>
            </w:r>
          </w:p>
        </w:tc>
        <w:tc>
          <w:tcPr>
            <w:tcW w:w="510" w:type="pct"/>
            <w:vAlign w:val="center"/>
          </w:tcPr>
          <w:p>
            <w:pPr>
              <w:pStyle w:val="49"/>
              <w:rPr>
                <w:rFonts w:cs="Times New Roman"/>
              </w:rPr>
            </w:pPr>
            <w:r>
              <w:rPr>
                <w:rFonts w:cs="Times New Roman"/>
              </w:rPr>
              <w:t>平均值</w:t>
            </w:r>
          </w:p>
        </w:tc>
        <w:tc>
          <w:tcPr>
            <w:tcW w:w="512" w:type="pct"/>
            <w:vAlign w:val="center"/>
          </w:tcPr>
          <w:p>
            <w:pPr>
              <w:pStyle w:val="49"/>
              <w:rPr>
                <w:rFonts w:cs="Times New Roman"/>
              </w:rPr>
            </w:pPr>
            <w:r>
              <w:rPr>
                <w:rFonts w:cs="Times New Roman"/>
              </w:rPr>
              <w:t>超标率（％）</w:t>
            </w:r>
          </w:p>
        </w:tc>
        <w:tc>
          <w:tcPr>
            <w:tcW w:w="591" w:type="pct"/>
            <w:vAlign w:val="center"/>
          </w:tcPr>
          <w:p>
            <w:pPr>
              <w:pStyle w:val="49"/>
              <w:rPr>
                <w:rFonts w:cs="Times New Roman"/>
              </w:rPr>
            </w:pPr>
            <w:r>
              <w:rPr>
                <w:rFonts w:cs="Times New Roman"/>
              </w:rPr>
              <w:t>最大超标倍数</w:t>
            </w:r>
          </w:p>
        </w:tc>
        <w:tc>
          <w:tcPr>
            <w:tcW w:w="643" w:type="pct"/>
            <w:vAlign w:val="center"/>
          </w:tcPr>
          <w:p>
            <w:pPr>
              <w:pStyle w:val="49"/>
              <w:rPr>
                <w:rFonts w:cs="Times New Roman"/>
              </w:rPr>
            </w:pPr>
            <w:r>
              <w:rPr>
                <w:rFonts w:cs="Times New Roman"/>
              </w:rPr>
              <w:t>评价</w:t>
            </w:r>
          </w:p>
          <w:p>
            <w:pPr>
              <w:pStyle w:val="49"/>
              <w:rPr>
                <w:rFonts w:cs="Times New Roman"/>
              </w:rPr>
            </w:pPr>
            <w:r>
              <w:rPr>
                <w:rFonts w:cs="Times New Roma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5" w:type="pct"/>
            <w:vMerge w:val="restart"/>
            <w:vAlign w:val="center"/>
          </w:tcPr>
          <w:p>
            <w:pPr>
              <w:pStyle w:val="65"/>
              <w:rPr>
                <w:sz w:val="21"/>
                <w:szCs w:val="21"/>
              </w:rPr>
            </w:pPr>
            <w:r>
              <w:rPr>
                <w:sz w:val="21"/>
                <w:szCs w:val="21"/>
              </w:rPr>
              <w:t>W1</w:t>
            </w:r>
          </w:p>
        </w:tc>
        <w:tc>
          <w:tcPr>
            <w:tcW w:w="787" w:type="pct"/>
            <w:vAlign w:val="center"/>
          </w:tcPr>
          <w:p>
            <w:pPr>
              <w:pStyle w:val="65"/>
              <w:rPr>
                <w:sz w:val="21"/>
                <w:szCs w:val="21"/>
              </w:rPr>
            </w:pPr>
            <w:r>
              <w:rPr>
                <w:sz w:val="21"/>
                <w:szCs w:val="21"/>
              </w:rPr>
              <w:t>水温</w:t>
            </w:r>
          </w:p>
        </w:tc>
        <w:tc>
          <w:tcPr>
            <w:tcW w:w="514" w:type="pct"/>
            <w:vAlign w:val="center"/>
          </w:tcPr>
          <w:p>
            <w:pPr>
              <w:widowControl w:val="0"/>
              <w:jc w:val="center"/>
              <w:rPr>
                <w:rFonts w:ascii="Times New Roman" w:hAnsi="Times New Roman" w:cs="Times New Roman"/>
                <w:bCs/>
              </w:rPr>
            </w:pPr>
            <w:r>
              <w:rPr>
                <w:rFonts w:hint="eastAsia" w:ascii="宋体" w:hAnsi="宋体" w:eastAsia="宋体" w:cs="宋体"/>
                <w:bCs/>
              </w:rPr>
              <w:t>℃</w:t>
            </w:r>
          </w:p>
        </w:tc>
        <w:tc>
          <w:tcPr>
            <w:tcW w:w="768" w:type="pct"/>
            <w:vAlign w:val="center"/>
          </w:tcPr>
          <w:p>
            <w:pPr>
              <w:pStyle w:val="65"/>
              <w:rPr>
                <w:sz w:val="21"/>
                <w:szCs w:val="21"/>
              </w:rPr>
            </w:pPr>
            <w:r>
              <w:rPr>
                <w:sz w:val="21"/>
                <w:szCs w:val="21"/>
              </w:rPr>
              <w:t>19.3~21.5</w:t>
            </w:r>
          </w:p>
        </w:tc>
        <w:tc>
          <w:tcPr>
            <w:tcW w:w="510" w:type="pct"/>
            <w:vAlign w:val="center"/>
          </w:tcPr>
          <w:p>
            <w:pPr>
              <w:pStyle w:val="65"/>
              <w:rPr>
                <w:sz w:val="21"/>
                <w:szCs w:val="21"/>
              </w:rPr>
            </w:pPr>
            <w:r>
              <w:rPr>
                <w:sz w:val="21"/>
                <w:szCs w:val="21"/>
              </w:rPr>
              <w:t>20.37</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pH</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无量纲</w:t>
            </w:r>
          </w:p>
        </w:tc>
        <w:tc>
          <w:tcPr>
            <w:tcW w:w="768" w:type="pct"/>
            <w:vAlign w:val="center"/>
          </w:tcPr>
          <w:p>
            <w:pPr>
              <w:pStyle w:val="65"/>
              <w:rPr>
                <w:sz w:val="21"/>
                <w:szCs w:val="21"/>
              </w:rPr>
            </w:pPr>
            <w:r>
              <w:rPr>
                <w:sz w:val="21"/>
                <w:szCs w:val="21"/>
              </w:rPr>
              <w:t>7.38~8.07</w:t>
            </w:r>
          </w:p>
        </w:tc>
        <w:tc>
          <w:tcPr>
            <w:tcW w:w="510" w:type="pct"/>
            <w:vAlign w:val="center"/>
          </w:tcPr>
          <w:p>
            <w:pPr>
              <w:pStyle w:val="65"/>
              <w:rPr>
                <w:sz w:val="21"/>
                <w:szCs w:val="21"/>
              </w:rPr>
            </w:pPr>
            <w:r>
              <w:rPr>
                <w:sz w:val="21"/>
                <w:szCs w:val="21"/>
              </w:rPr>
              <w:t>7.81</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COD</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24~46</w:t>
            </w:r>
          </w:p>
        </w:tc>
        <w:tc>
          <w:tcPr>
            <w:tcW w:w="510" w:type="pct"/>
            <w:vAlign w:val="center"/>
          </w:tcPr>
          <w:p>
            <w:pPr>
              <w:pStyle w:val="65"/>
              <w:rPr>
                <w:sz w:val="21"/>
                <w:szCs w:val="21"/>
              </w:rPr>
            </w:pPr>
            <w:r>
              <w:rPr>
                <w:sz w:val="21"/>
                <w:szCs w:val="21"/>
              </w:rPr>
              <w:t>32</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BOD</w:t>
            </w:r>
            <w:r>
              <w:rPr>
                <w:sz w:val="21"/>
                <w:szCs w:val="21"/>
                <w:vertAlign w:val="subscript"/>
              </w:rPr>
              <w:t>5</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8.7~17.1</w:t>
            </w:r>
          </w:p>
        </w:tc>
        <w:tc>
          <w:tcPr>
            <w:tcW w:w="510" w:type="pct"/>
            <w:vAlign w:val="center"/>
          </w:tcPr>
          <w:p>
            <w:pPr>
              <w:pStyle w:val="65"/>
              <w:rPr>
                <w:sz w:val="21"/>
                <w:szCs w:val="21"/>
              </w:rPr>
            </w:pPr>
            <w:r>
              <w:rPr>
                <w:sz w:val="21"/>
                <w:szCs w:val="21"/>
              </w:rPr>
              <w:t>11.77</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悬浮物</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15~21</w:t>
            </w:r>
          </w:p>
        </w:tc>
        <w:tc>
          <w:tcPr>
            <w:tcW w:w="510" w:type="pct"/>
            <w:vAlign w:val="center"/>
          </w:tcPr>
          <w:p>
            <w:pPr>
              <w:pStyle w:val="65"/>
              <w:rPr>
                <w:sz w:val="21"/>
                <w:szCs w:val="21"/>
              </w:rPr>
            </w:pPr>
            <w:r>
              <w:rPr>
                <w:sz w:val="21"/>
                <w:szCs w:val="21"/>
              </w:rPr>
              <w:t>17.67</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NH</w:t>
            </w:r>
            <w:r>
              <w:rPr>
                <w:sz w:val="21"/>
                <w:szCs w:val="21"/>
                <w:vertAlign w:val="subscript"/>
              </w:rPr>
              <w:t>3</w:t>
            </w:r>
            <w:r>
              <w:rPr>
                <w:sz w:val="21"/>
                <w:szCs w:val="21"/>
              </w:rPr>
              <w:t>-N</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0.579~1.67</w:t>
            </w:r>
          </w:p>
        </w:tc>
        <w:tc>
          <w:tcPr>
            <w:tcW w:w="510" w:type="pct"/>
            <w:vAlign w:val="center"/>
          </w:tcPr>
          <w:p>
            <w:pPr>
              <w:pStyle w:val="65"/>
              <w:rPr>
                <w:sz w:val="21"/>
                <w:szCs w:val="21"/>
              </w:rPr>
            </w:pPr>
            <w:r>
              <w:rPr>
                <w:sz w:val="21"/>
                <w:szCs w:val="21"/>
              </w:rPr>
              <w:t>0.96</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总磷</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0.127~0.312</w:t>
            </w:r>
          </w:p>
        </w:tc>
        <w:tc>
          <w:tcPr>
            <w:tcW w:w="510" w:type="pct"/>
            <w:vAlign w:val="center"/>
          </w:tcPr>
          <w:p>
            <w:pPr>
              <w:pStyle w:val="65"/>
              <w:rPr>
                <w:sz w:val="21"/>
                <w:szCs w:val="21"/>
              </w:rPr>
            </w:pPr>
            <w:r>
              <w:rPr>
                <w:sz w:val="21"/>
                <w:szCs w:val="21"/>
              </w:rPr>
              <w:t>0.24</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总氮</w:t>
            </w:r>
          </w:p>
        </w:tc>
        <w:tc>
          <w:tcPr>
            <w:tcW w:w="514" w:type="pct"/>
            <w:vAlign w:val="center"/>
          </w:tcPr>
          <w:p>
            <w:pPr>
              <w:widowControl w:val="0"/>
              <w:jc w:val="center"/>
              <w:rPr>
                <w:rFonts w:ascii="Times New Roman" w:hAnsi="Times New Roman" w:cs="Times New Roman"/>
                <w:bCs/>
                <w:szCs w:val="24"/>
              </w:rPr>
            </w:pPr>
            <w:r>
              <w:rPr>
                <w:rFonts w:ascii="Times New Roman" w:hAnsi="Times New Roman" w:cs="Times New Roman"/>
                <w:bCs/>
              </w:rPr>
              <w:t>mg/L</w:t>
            </w:r>
          </w:p>
        </w:tc>
        <w:tc>
          <w:tcPr>
            <w:tcW w:w="768" w:type="pct"/>
            <w:vAlign w:val="center"/>
          </w:tcPr>
          <w:p>
            <w:pPr>
              <w:pStyle w:val="65"/>
              <w:rPr>
                <w:sz w:val="21"/>
                <w:szCs w:val="21"/>
              </w:rPr>
            </w:pPr>
            <w:r>
              <w:rPr>
                <w:sz w:val="21"/>
                <w:szCs w:val="21"/>
              </w:rPr>
              <w:t>1.25~1.91</w:t>
            </w:r>
          </w:p>
        </w:tc>
        <w:tc>
          <w:tcPr>
            <w:tcW w:w="510" w:type="pct"/>
            <w:vAlign w:val="center"/>
          </w:tcPr>
          <w:p>
            <w:pPr>
              <w:pStyle w:val="65"/>
              <w:rPr>
                <w:sz w:val="21"/>
                <w:szCs w:val="21"/>
              </w:rPr>
            </w:pPr>
            <w:r>
              <w:rPr>
                <w:sz w:val="21"/>
                <w:szCs w:val="21"/>
              </w:rPr>
              <w:t>1.50</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溶解氧</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mg/L</w:t>
            </w:r>
          </w:p>
        </w:tc>
        <w:tc>
          <w:tcPr>
            <w:tcW w:w="768" w:type="pct"/>
            <w:vAlign w:val="center"/>
          </w:tcPr>
          <w:p>
            <w:pPr>
              <w:pStyle w:val="65"/>
              <w:rPr>
                <w:sz w:val="21"/>
                <w:szCs w:val="21"/>
              </w:rPr>
            </w:pPr>
            <w:r>
              <w:rPr>
                <w:sz w:val="21"/>
                <w:szCs w:val="21"/>
              </w:rPr>
              <w:t>2.16~4.83</w:t>
            </w:r>
          </w:p>
        </w:tc>
        <w:tc>
          <w:tcPr>
            <w:tcW w:w="510" w:type="pct"/>
            <w:vAlign w:val="center"/>
          </w:tcPr>
          <w:p>
            <w:pPr>
              <w:pStyle w:val="65"/>
              <w:rPr>
                <w:sz w:val="21"/>
                <w:szCs w:val="21"/>
              </w:rPr>
            </w:pPr>
            <w:r>
              <w:rPr>
                <w:sz w:val="21"/>
                <w:szCs w:val="21"/>
              </w:rPr>
              <w:t>3.54</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jc w:val="left"/>
              <w:rPr>
                <w:rFonts w:ascii="Times New Roman" w:hAnsi="Times New Roman" w:cs="Times New Roman"/>
              </w:rPr>
            </w:pPr>
          </w:p>
        </w:tc>
        <w:tc>
          <w:tcPr>
            <w:tcW w:w="787" w:type="pct"/>
            <w:vAlign w:val="center"/>
          </w:tcPr>
          <w:p>
            <w:pPr>
              <w:pStyle w:val="65"/>
              <w:rPr>
                <w:sz w:val="21"/>
                <w:szCs w:val="21"/>
              </w:rPr>
            </w:pPr>
            <w:r>
              <w:rPr>
                <w:sz w:val="21"/>
                <w:szCs w:val="21"/>
              </w:rPr>
              <w:t>粪大肠菌群</w:t>
            </w:r>
          </w:p>
        </w:tc>
        <w:tc>
          <w:tcPr>
            <w:tcW w:w="514" w:type="pct"/>
            <w:vAlign w:val="center"/>
          </w:tcPr>
          <w:p>
            <w:pPr>
              <w:widowControl w:val="0"/>
              <w:jc w:val="center"/>
              <w:rPr>
                <w:rFonts w:ascii="Times New Roman" w:hAnsi="Times New Roman" w:cs="Times New Roman"/>
                <w:bCs/>
              </w:rPr>
            </w:pPr>
            <w:r>
              <w:rPr>
                <w:rFonts w:ascii="Times New Roman" w:hAnsi="Times New Roman" w:cs="Times New Roman"/>
                <w:bCs/>
              </w:rPr>
              <w:t>个/L</w:t>
            </w:r>
          </w:p>
        </w:tc>
        <w:tc>
          <w:tcPr>
            <w:tcW w:w="768" w:type="pct"/>
            <w:vAlign w:val="center"/>
          </w:tcPr>
          <w:p>
            <w:pPr>
              <w:pStyle w:val="65"/>
              <w:rPr>
                <w:sz w:val="21"/>
                <w:szCs w:val="21"/>
              </w:rPr>
            </w:pPr>
            <w:r>
              <w:rPr>
                <w:sz w:val="21"/>
                <w:szCs w:val="21"/>
              </w:rPr>
              <w:t>&lt;20</w:t>
            </w:r>
          </w:p>
        </w:tc>
        <w:tc>
          <w:tcPr>
            <w:tcW w:w="510" w:type="pct"/>
            <w:vAlign w:val="center"/>
          </w:tcPr>
          <w:p>
            <w:pPr>
              <w:pStyle w:val="65"/>
              <w:rPr>
                <w:sz w:val="21"/>
                <w:szCs w:val="21"/>
                <w:highlight w:val="yellow"/>
              </w:rPr>
            </w:pPr>
            <w:r>
              <w:rPr>
                <w:sz w:val="21"/>
                <w:szCs w:val="21"/>
              </w:rPr>
              <w:t>&lt;20</w:t>
            </w:r>
          </w:p>
        </w:tc>
        <w:tc>
          <w:tcPr>
            <w:tcW w:w="512" w:type="pct"/>
            <w:vAlign w:val="center"/>
          </w:tcPr>
          <w:p>
            <w:pPr>
              <w:pStyle w:val="65"/>
              <w:rPr>
                <w:sz w:val="21"/>
                <w:szCs w:val="21"/>
              </w:rPr>
            </w:pPr>
            <w:r>
              <w:rPr>
                <w:sz w:val="21"/>
                <w:szCs w:val="21"/>
              </w:rPr>
              <w:t>0</w:t>
            </w:r>
          </w:p>
        </w:tc>
        <w:tc>
          <w:tcPr>
            <w:tcW w:w="591" w:type="pct"/>
            <w:vAlign w:val="center"/>
          </w:tcPr>
          <w:p>
            <w:pPr>
              <w:pStyle w:val="65"/>
              <w:rPr>
                <w:sz w:val="21"/>
                <w:szCs w:val="21"/>
              </w:rPr>
            </w:pPr>
            <w:r>
              <w:rPr>
                <w:sz w:val="21"/>
                <w:szCs w:val="21"/>
              </w:rPr>
              <w:t>0</w:t>
            </w:r>
          </w:p>
        </w:tc>
        <w:tc>
          <w:tcPr>
            <w:tcW w:w="643" w:type="pct"/>
            <w:vAlign w:val="center"/>
          </w:tcPr>
          <w:p>
            <w:pPr>
              <w:pStyle w:val="65"/>
              <w:rPr>
                <w:sz w:val="21"/>
                <w:szCs w:val="21"/>
              </w:rPr>
            </w:pPr>
            <w:r>
              <w:rPr>
                <w:sz w:val="21"/>
                <w:szCs w:val="21"/>
              </w:rPr>
              <w:t>≤4000</w:t>
            </w:r>
          </w:p>
        </w:tc>
      </w:tr>
    </w:tbl>
    <w:p>
      <w:pPr>
        <w:pStyle w:val="3"/>
        <w:ind w:firstLine="480"/>
        <w:rPr>
          <w:rFonts w:cs="Times New Roman"/>
          <w:kern w:val="0"/>
        </w:rPr>
      </w:pPr>
      <w:r>
        <w:rPr>
          <w:rFonts w:hint="eastAsia" w:cs="Times New Roman"/>
          <w:kern w:val="0"/>
        </w:rPr>
        <w:t>由表5.2-4监测结果可知，本项目监测断面的监测因子的监测值能达到《农田灌溉水质标准》（</w:t>
      </w:r>
      <w:r>
        <w:rPr>
          <w:rFonts w:cs="Times New Roman"/>
          <w:kern w:val="0"/>
        </w:rPr>
        <w:t>GB5084-20</w:t>
      </w:r>
      <w:r>
        <w:rPr>
          <w:rFonts w:hint="eastAsia" w:cs="Times New Roman"/>
          <w:kern w:val="0"/>
        </w:rPr>
        <w:t>21）旱作类标准，表明该区域水环境质量现状良好。</w:t>
      </w:r>
    </w:p>
    <w:p>
      <w:pPr>
        <w:pStyle w:val="3"/>
        <w:ind w:firstLine="0" w:firstLineChars="0"/>
        <w:outlineLvl w:val="2"/>
        <w:rPr>
          <w:rFonts w:eastAsia="黑体" w:cstheme="majorBidi"/>
          <w:bCs/>
          <w:szCs w:val="32"/>
        </w:rPr>
      </w:pPr>
      <w:r>
        <w:rPr>
          <w:rFonts w:hint="eastAsia"/>
        </w:rPr>
        <w:t>5.2.3</w:t>
      </w:r>
      <w:r>
        <w:rPr>
          <w:rFonts w:hint="eastAsia"/>
        </w:rPr>
        <w:tab/>
      </w:r>
      <w:r>
        <w:rPr>
          <w:rFonts w:hint="eastAsia" w:eastAsia="黑体" w:cstheme="majorBidi"/>
          <w:bCs/>
          <w:szCs w:val="32"/>
        </w:rPr>
        <w:t>地下水环境质量现状监测与评价</w:t>
      </w:r>
    </w:p>
    <w:p>
      <w:pPr>
        <w:pStyle w:val="3"/>
        <w:ind w:firstLine="480"/>
        <w:rPr>
          <w:rFonts w:cs="Times New Roman"/>
          <w:kern w:val="0"/>
        </w:rPr>
      </w:pPr>
      <w:r>
        <w:rPr>
          <w:rFonts w:hint="eastAsia" w:cs="Times New Roman"/>
          <w:kern w:val="0"/>
        </w:rPr>
        <w:t>根据湖南德环检测中心于</w:t>
      </w:r>
      <w:r>
        <w:rPr>
          <w:rFonts w:cs="Times New Roman"/>
          <w:kern w:val="0"/>
        </w:rPr>
        <w:t>2021</w:t>
      </w:r>
      <w:r>
        <w:rPr>
          <w:rFonts w:hint="eastAsia" w:cs="Times New Roman"/>
          <w:kern w:val="0"/>
        </w:rPr>
        <w:t>年</w:t>
      </w:r>
      <w:r>
        <w:rPr>
          <w:rFonts w:cs="Times New Roman"/>
          <w:kern w:val="0"/>
        </w:rPr>
        <w:t>4</w:t>
      </w:r>
      <w:r>
        <w:rPr>
          <w:rFonts w:hint="eastAsia" w:cs="Times New Roman"/>
          <w:kern w:val="0"/>
        </w:rPr>
        <w:t>月</w:t>
      </w:r>
      <w:r>
        <w:rPr>
          <w:rFonts w:cs="Times New Roman"/>
          <w:kern w:val="0"/>
        </w:rPr>
        <w:t>23</w:t>
      </w:r>
      <w:r>
        <w:rPr>
          <w:rFonts w:hint="eastAsia" w:cs="Times New Roman"/>
          <w:kern w:val="0"/>
        </w:rPr>
        <w:t>日对区域地下水进行了采样监测。</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）监测点位的设置及其执行标准</w:t>
      </w:r>
    </w:p>
    <w:p>
      <w:pPr>
        <w:pStyle w:val="3"/>
        <w:ind w:firstLine="480"/>
        <w:rPr>
          <w:rFonts w:cs="Times New Roman"/>
          <w:kern w:val="0"/>
        </w:rPr>
      </w:pPr>
      <w:r>
        <w:rPr>
          <w:rFonts w:hint="eastAsia" w:cs="Times New Roman"/>
          <w:kern w:val="0"/>
        </w:rPr>
        <w:t>地下水水质监测断面及其执行标准见下表，地下水监测断面详见附图</w:t>
      </w:r>
      <w:r>
        <w:rPr>
          <w:rFonts w:cs="Times New Roman"/>
          <w:kern w:val="0"/>
        </w:rPr>
        <w:t>5</w:t>
      </w:r>
      <w:r>
        <w:rPr>
          <w:rFonts w:hint="eastAsia" w:cs="Times New Roman"/>
          <w:kern w:val="0"/>
        </w:rPr>
        <w:t>。</w:t>
      </w:r>
    </w:p>
    <w:p>
      <w:pPr>
        <w:pStyle w:val="3"/>
        <w:spacing w:line="240" w:lineRule="auto"/>
        <w:ind w:firstLine="0" w:firstLineChars="0"/>
        <w:jc w:val="center"/>
        <w:rPr>
          <w:rFonts w:cs="Times New Roman" w:eastAsiaTheme="minorEastAsia"/>
          <w:b/>
        </w:rPr>
      </w:pPr>
      <w:r>
        <w:rPr>
          <w:rFonts w:hint="eastAsia" w:cs="Times New Roman" w:eastAsiaTheme="minorEastAsia"/>
          <w:b/>
        </w:rPr>
        <w:t xml:space="preserve">表5.2-5 </w:t>
      </w:r>
      <w:r>
        <w:rPr>
          <w:rFonts w:cs="Times New Roman" w:eastAsiaTheme="minorEastAsia"/>
          <w:b/>
        </w:rPr>
        <w:t xml:space="preserve"> </w:t>
      </w:r>
      <w:r>
        <w:rPr>
          <w:rFonts w:hint="eastAsia" w:cs="Times New Roman" w:eastAsiaTheme="minorEastAsia"/>
          <w:b/>
        </w:rPr>
        <w:t>地下水监测断面布设</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4539"/>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25" w:type="pct"/>
            <w:vAlign w:val="center"/>
          </w:tcPr>
          <w:p>
            <w:pPr>
              <w:pStyle w:val="65"/>
              <w:rPr>
                <w:sz w:val="21"/>
                <w:szCs w:val="21"/>
              </w:rPr>
            </w:pPr>
            <w:r>
              <w:rPr>
                <w:rFonts w:hint="eastAsia"/>
                <w:sz w:val="21"/>
                <w:szCs w:val="21"/>
              </w:rPr>
              <w:t>编号</w:t>
            </w:r>
          </w:p>
        </w:tc>
        <w:tc>
          <w:tcPr>
            <w:tcW w:w="2474" w:type="pct"/>
            <w:vAlign w:val="center"/>
          </w:tcPr>
          <w:p>
            <w:pPr>
              <w:pStyle w:val="65"/>
              <w:rPr>
                <w:sz w:val="21"/>
                <w:szCs w:val="21"/>
              </w:rPr>
            </w:pPr>
            <w:r>
              <w:rPr>
                <w:rFonts w:hint="eastAsia"/>
                <w:sz w:val="21"/>
                <w:szCs w:val="21"/>
              </w:rPr>
              <w:t>断面位置</w:t>
            </w:r>
          </w:p>
        </w:tc>
        <w:tc>
          <w:tcPr>
            <w:tcW w:w="1701" w:type="pct"/>
            <w:vAlign w:val="center"/>
          </w:tcPr>
          <w:p>
            <w:pPr>
              <w:widowControl w:val="0"/>
              <w:jc w:val="center"/>
              <w:rPr>
                <w:rFonts w:ascii="Times New Roman" w:hAnsi="Times New Roman" w:cs="Times New Roman"/>
              </w:rPr>
            </w:pPr>
            <w:r>
              <w:rPr>
                <w:rFonts w:hint="eastAsia" w:ascii="Times New Roman" w:hAnsi="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25" w:type="pct"/>
            <w:vAlign w:val="center"/>
          </w:tcPr>
          <w:p>
            <w:pPr>
              <w:pStyle w:val="65"/>
              <w:rPr>
                <w:sz w:val="21"/>
                <w:szCs w:val="21"/>
              </w:rPr>
            </w:pPr>
            <w:r>
              <w:rPr>
                <w:sz w:val="21"/>
                <w:szCs w:val="21"/>
              </w:rPr>
              <w:t>D1</w:t>
            </w:r>
          </w:p>
        </w:tc>
        <w:tc>
          <w:tcPr>
            <w:tcW w:w="2474" w:type="pct"/>
            <w:vAlign w:val="center"/>
          </w:tcPr>
          <w:p>
            <w:pPr>
              <w:pStyle w:val="65"/>
              <w:rPr>
                <w:sz w:val="21"/>
                <w:szCs w:val="21"/>
              </w:rPr>
            </w:pPr>
            <w:r>
              <w:rPr>
                <w:rFonts w:hint="eastAsia"/>
                <w:sz w:val="21"/>
                <w:szCs w:val="21"/>
              </w:rPr>
              <w:t>东北侧居民水井</w:t>
            </w:r>
          </w:p>
        </w:tc>
        <w:tc>
          <w:tcPr>
            <w:tcW w:w="1701" w:type="pct"/>
            <w:vMerge w:val="restart"/>
            <w:vAlign w:val="center"/>
          </w:tcPr>
          <w:p>
            <w:pPr>
              <w:widowControl w:val="0"/>
              <w:jc w:val="center"/>
              <w:rPr>
                <w:rFonts w:ascii="Times New Roman" w:hAnsi="Times New Roman" w:cs="Times New Roman"/>
              </w:rPr>
            </w:pPr>
            <w:r>
              <w:rPr>
                <w:rFonts w:ascii="Times New Roman" w:hAnsi="Times New Roman"/>
              </w:rPr>
              <w:t>GB/T14848-2017</w:t>
            </w:r>
            <w:r>
              <w:rPr>
                <w:rFonts w:hint="eastAsia" w:ascii="宋体" w:hAnsi="宋体" w:cs="宋体"/>
              </w:rPr>
              <w:t>Ⅲ</w:t>
            </w:r>
            <w:r>
              <w:rPr>
                <w:rFonts w:hint="eastAsia" w:ascii="Times New Roman" w:hAnsi="Times New Roma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25" w:type="pct"/>
            <w:vAlign w:val="center"/>
          </w:tcPr>
          <w:p>
            <w:pPr>
              <w:pStyle w:val="65"/>
              <w:rPr>
                <w:sz w:val="21"/>
                <w:szCs w:val="21"/>
              </w:rPr>
            </w:pPr>
            <w:r>
              <w:rPr>
                <w:sz w:val="21"/>
                <w:szCs w:val="21"/>
              </w:rPr>
              <w:t>D2</w:t>
            </w:r>
          </w:p>
        </w:tc>
        <w:tc>
          <w:tcPr>
            <w:tcW w:w="2474" w:type="pct"/>
            <w:vAlign w:val="center"/>
          </w:tcPr>
          <w:p>
            <w:pPr>
              <w:pStyle w:val="65"/>
              <w:rPr>
                <w:sz w:val="21"/>
                <w:szCs w:val="21"/>
              </w:rPr>
            </w:pPr>
            <w:r>
              <w:rPr>
                <w:rFonts w:hint="eastAsia"/>
                <w:sz w:val="21"/>
                <w:szCs w:val="21"/>
              </w:rPr>
              <w:t>东南侧</w:t>
            </w:r>
            <w:r>
              <w:rPr>
                <w:sz w:val="21"/>
                <w:szCs w:val="21"/>
              </w:rPr>
              <w:t>75m</w:t>
            </w:r>
            <w:r>
              <w:rPr>
                <w:rFonts w:hint="eastAsia"/>
                <w:sz w:val="21"/>
                <w:szCs w:val="21"/>
              </w:rPr>
              <w:t>居民水井</w:t>
            </w:r>
          </w:p>
        </w:tc>
        <w:tc>
          <w:tcPr>
            <w:tcW w:w="1701" w:type="pct"/>
            <w:vMerge w:val="continue"/>
            <w:vAlign w:val="center"/>
          </w:tcPr>
          <w:p>
            <w:pPr>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25" w:type="pct"/>
            <w:vAlign w:val="center"/>
          </w:tcPr>
          <w:p>
            <w:pPr>
              <w:pStyle w:val="65"/>
              <w:rPr>
                <w:sz w:val="21"/>
                <w:szCs w:val="21"/>
              </w:rPr>
            </w:pPr>
            <w:r>
              <w:rPr>
                <w:sz w:val="21"/>
                <w:szCs w:val="21"/>
              </w:rPr>
              <w:t>D3</w:t>
            </w:r>
          </w:p>
        </w:tc>
        <w:tc>
          <w:tcPr>
            <w:tcW w:w="2474" w:type="pct"/>
            <w:vAlign w:val="center"/>
          </w:tcPr>
          <w:p>
            <w:pPr>
              <w:pStyle w:val="65"/>
              <w:rPr>
                <w:sz w:val="21"/>
                <w:szCs w:val="21"/>
              </w:rPr>
            </w:pPr>
            <w:r>
              <w:rPr>
                <w:rFonts w:hint="eastAsia"/>
                <w:sz w:val="21"/>
                <w:szCs w:val="21"/>
              </w:rPr>
              <w:t>西南侧</w:t>
            </w:r>
            <w:r>
              <w:rPr>
                <w:sz w:val="21"/>
                <w:szCs w:val="21"/>
              </w:rPr>
              <w:t>170m</w:t>
            </w:r>
            <w:r>
              <w:rPr>
                <w:rFonts w:hint="eastAsia"/>
                <w:sz w:val="21"/>
                <w:szCs w:val="21"/>
              </w:rPr>
              <w:t>居民水井</w:t>
            </w:r>
          </w:p>
        </w:tc>
        <w:tc>
          <w:tcPr>
            <w:tcW w:w="1701" w:type="pct"/>
            <w:vMerge w:val="continue"/>
            <w:vAlign w:val="center"/>
          </w:tcPr>
          <w:p>
            <w:pPr>
              <w:jc w:val="left"/>
              <w:rPr>
                <w:rFonts w:ascii="Times New Roman" w:hAnsi="Times New Roman" w:cs="Times New Roman"/>
              </w:rPr>
            </w:pPr>
          </w:p>
        </w:tc>
      </w:tr>
    </w:tbl>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）监测项目</w:t>
      </w:r>
    </w:p>
    <w:p>
      <w:pPr>
        <w:pStyle w:val="3"/>
        <w:ind w:firstLine="480"/>
        <w:rPr>
          <w:rFonts w:cs="Times New Roman"/>
          <w:kern w:val="0"/>
        </w:rPr>
      </w:pPr>
      <w:r>
        <w:rPr>
          <w:rFonts w:hint="eastAsia" w:cs="Times New Roman"/>
          <w:kern w:val="0"/>
        </w:rPr>
        <w:t>监测项目：</w:t>
      </w:r>
      <w:r>
        <w:rPr>
          <w:rFonts w:cs="Times New Roman"/>
          <w:kern w:val="0"/>
        </w:rPr>
        <w:t>pH</w:t>
      </w:r>
      <w:r>
        <w:rPr>
          <w:rFonts w:hint="eastAsia" w:cs="Times New Roman"/>
          <w:kern w:val="0"/>
        </w:rPr>
        <w:t>、总硬度、耗氧量、氨氮、硫化物、总大肠菌群、砷、镉、汞、砷、铅、铬（六价）、铜、镍、锌、氟化物及水温、水深、埋深、水位、井深等。</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）评价方法</w:t>
      </w:r>
    </w:p>
    <w:p>
      <w:pPr>
        <w:pStyle w:val="3"/>
        <w:ind w:firstLine="480"/>
        <w:rPr>
          <w:rFonts w:cs="Times New Roman"/>
          <w:kern w:val="0"/>
        </w:rPr>
      </w:pPr>
      <w:r>
        <w:rPr>
          <w:rFonts w:hint="eastAsia" w:cs="Times New Roman"/>
          <w:kern w:val="0"/>
        </w:rPr>
        <w:t>采用单因子指数法，对地下水环境质量进行评价。</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）监测结果与评价</w:t>
      </w:r>
    </w:p>
    <w:p>
      <w:pPr>
        <w:pStyle w:val="3"/>
        <w:ind w:firstLine="480"/>
        <w:rPr>
          <w:rFonts w:cs="Times New Roman"/>
          <w:kern w:val="0"/>
        </w:rPr>
      </w:pPr>
      <w:r>
        <w:rPr>
          <w:rFonts w:hint="eastAsia" w:cs="Times New Roman"/>
          <w:kern w:val="0"/>
        </w:rPr>
        <w:t>地下水水质监测及评价结果见下表。</w:t>
      </w:r>
    </w:p>
    <w:p>
      <w:pPr>
        <w:pStyle w:val="3"/>
        <w:spacing w:line="240" w:lineRule="auto"/>
        <w:ind w:firstLine="0" w:firstLineChars="0"/>
        <w:jc w:val="center"/>
        <w:rPr>
          <w:rFonts w:cs="Times New Roman" w:eastAsiaTheme="minorEastAsia"/>
          <w:b/>
        </w:rPr>
      </w:pPr>
      <w:r>
        <w:rPr>
          <w:rFonts w:hint="eastAsia" w:cs="Times New Roman" w:eastAsiaTheme="minorEastAsia"/>
          <w:b/>
        </w:rPr>
        <w:t xml:space="preserve">表5.2-6 </w:t>
      </w:r>
      <w:r>
        <w:rPr>
          <w:rFonts w:cs="Times New Roman" w:eastAsiaTheme="minorEastAsia"/>
          <w:b/>
        </w:rPr>
        <w:t xml:space="preserve"> </w:t>
      </w:r>
      <w:r>
        <w:rPr>
          <w:rFonts w:hint="eastAsia" w:cs="Times New Roman" w:eastAsiaTheme="minorEastAsia"/>
          <w:b/>
        </w:rPr>
        <w:t>地下水现状监测结果浓度单位   单位mg/L，pH（无量纲）</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1809"/>
        <w:gridCol w:w="1688"/>
        <w:gridCol w:w="2024"/>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Merge w:val="restart"/>
            <w:vAlign w:val="center"/>
          </w:tcPr>
          <w:p>
            <w:pPr>
              <w:pStyle w:val="65"/>
              <w:rPr>
                <w:sz w:val="21"/>
                <w:szCs w:val="21"/>
              </w:rPr>
            </w:pPr>
            <w:r>
              <w:rPr>
                <w:rFonts w:hint="eastAsia"/>
                <w:sz w:val="21"/>
                <w:szCs w:val="21"/>
              </w:rPr>
              <w:t>检测项目</w:t>
            </w:r>
          </w:p>
        </w:tc>
        <w:tc>
          <w:tcPr>
            <w:tcW w:w="3009" w:type="pct"/>
            <w:gridSpan w:val="3"/>
            <w:vAlign w:val="center"/>
          </w:tcPr>
          <w:p>
            <w:pPr>
              <w:pStyle w:val="65"/>
              <w:rPr>
                <w:sz w:val="21"/>
                <w:szCs w:val="21"/>
              </w:rPr>
            </w:pPr>
            <w:r>
              <w:rPr>
                <w:rFonts w:hint="eastAsia"/>
                <w:sz w:val="21"/>
                <w:szCs w:val="21"/>
              </w:rPr>
              <w:t>采样点位及检测结果</w:t>
            </w:r>
          </w:p>
        </w:tc>
        <w:tc>
          <w:tcPr>
            <w:tcW w:w="1022" w:type="pct"/>
            <w:vMerge w:val="restart"/>
            <w:vAlign w:val="center"/>
          </w:tcPr>
          <w:p>
            <w:pPr>
              <w:pStyle w:val="65"/>
              <w:rPr>
                <w:sz w:val="21"/>
                <w:szCs w:val="21"/>
              </w:rPr>
            </w:pPr>
            <w:r>
              <w:rPr>
                <w:rFonts w:hint="eastAsia"/>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Merge w:val="continue"/>
            <w:vAlign w:val="center"/>
          </w:tcPr>
          <w:p>
            <w:pPr>
              <w:pStyle w:val="65"/>
              <w:rPr>
                <w:sz w:val="21"/>
                <w:szCs w:val="21"/>
              </w:rPr>
            </w:pPr>
          </w:p>
        </w:tc>
        <w:tc>
          <w:tcPr>
            <w:tcW w:w="986" w:type="pct"/>
            <w:vAlign w:val="center"/>
          </w:tcPr>
          <w:p>
            <w:pPr>
              <w:pStyle w:val="65"/>
              <w:rPr>
                <w:sz w:val="21"/>
                <w:szCs w:val="21"/>
              </w:rPr>
            </w:pPr>
            <w:r>
              <w:rPr>
                <w:sz w:val="21"/>
                <w:szCs w:val="21"/>
              </w:rPr>
              <w:t>D1</w:t>
            </w:r>
          </w:p>
        </w:tc>
        <w:tc>
          <w:tcPr>
            <w:tcW w:w="920" w:type="pct"/>
            <w:vAlign w:val="center"/>
          </w:tcPr>
          <w:p>
            <w:pPr>
              <w:pStyle w:val="65"/>
              <w:rPr>
                <w:sz w:val="21"/>
                <w:szCs w:val="21"/>
              </w:rPr>
            </w:pPr>
            <w:r>
              <w:rPr>
                <w:sz w:val="21"/>
                <w:szCs w:val="21"/>
              </w:rPr>
              <w:t>D2</w:t>
            </w:r>
          </w:p>
        </w:tc>
        <w:tc>
          <w:tcPr>
            <w:tcW w:w="1103" w:type="pct"/>
            <w:vAlign w:val="center"/>
          </w:tcPr>
          <w:p>
            <w:pPr>
              <w:pStyle w:val="65"/>
              <w:rPr>
                <w:sz w:val="21"/>
                <w:szCs w:val="21"/>
              </w:rPr>
            </w:pPr>
            <w:r>
              <w:rPr>
                <w:sz w:val="21"/>
                <w:szCs w:val="21"/>
              </w:rPr>
              <w:t>D3</w:t>
            </w:r>
          </w:p>
        </w:tc>
        <w:tc>
          <w:tcPr>
            <w:tcW w:w="1022" w:type="pct"/>
            <w:vMerge w:val="continue"/>
            <w:vAlign w:val="center"/>
          </w:tcPr>
          <w:p>
            <w:pPr>
              <w:pStyle w:val="65"/>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性状</w:t>
            </w:r>
          </w:p>
        </w:tc>
        <w:tc>
          <w:tcPr>
            <w:tcW w:w="986" w:type="pct"/>
            <w:vAlign w:val="center"/>
          </w:tcPr>
          <w:p>
            <w:pPr>
              <w:pStyle w:val="65"/>
              <w:rPr>
                <w:sz w:val="21"/>
                <w:szCs w:val="21"/>
              </w:rPr>
            </w:pPr>
            <w:r>
              <w:rPr>
                <w:rFonts w:hint="eastAsia"/>
                <w:sz w:val="21"/>
                <w:szCs w:val="21"/>
              </w:rPr>
              <w:t>无色透明</w:t>
            </w:r>
          </w:p>
        </w:tc>
        <w:tc>
          <w:tcPr>
            <w:tcW w:w="920" w:type="pct"/>
            <w:vAlign w:val="center"/>
          </w:tcPr>
          <w:p>
            <w:pPr>
              <w:pStyle w:val="65"/>
              <w:rPr>
                <w:sz w:val="21"/>
                <w:szCs w:val="21"/>
              </w:rPr>
            </w:pPr>
            <w:r>
              <w:rPr>
                <w:rFonts w:hint="eastAsia"/>
                <w:sz w:val="21"/>
                <w:szCs w:val="21"/>
              </w:rPr>
              <w:t>无色透明</w:t>
            </w:r>
          </w:p>
        </w:tc>
        <w:tc>
          <w:tcPr>
            <w:tcW w:w="1103" w:type="pct"/>
            <w:vAlign w:val="center"/>
          </w:tcPr>
          <w:p>
            <w:pPr>
              <w:pStyle w:val="65"/>
              <w:rPr>
                <w:sz w:val="21"/>
                <w:szCs w:val="21"/>
              </w:rPr>
            </w:pPr>
            <w:r>
              <w:rPr>
                <w:rFonts w:hint="eastAsia"/>
                <w:sz w:val="21"/>
                <w:szCs w:val="21"/>
              </w:rPr>
              <w:t>无色透明</w:t>
            </w:r>
          </w:p>
        </w:tc>
        <w:tc>
          <w:tcPr>
            <w:tcW w:w="1022" w:type="pct"/>
            <w:vAlign w:val="center"/>
          </w:tcPr>
          <w:p>
            <w:pPr>
              <w:pStyle w:val="65"/>
              <w:rPr>
                <w:sz w:val="21"/>
                <w:szCs w:val="21"/>
              </w:rPr>
            </w:pPr>
            <w:r>
              <w:rPr>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水温</w:t>
            </w:r>
          </w:p>
        </w:tc>
        <w:tc>
          <w:tcPr>
            <w:tcW w:w="986" w:type="pct"/>
            <w:vAlign w:val="center"/>
          </w:tcPr>
          <w:p>
            <w:pPr>
              <w:pStyle w:val="65"/>
              <w:rPr>
                <w:sz w:val="21"/>
                <w:szCs w:val="21"/>
              </w:rPr>
            </w:pPr>
            <w:r>
              <w:rPr>
                <w:sz w:val="21"/>
                <w:szCs w:val="21"/>
              </w:rPr>
              <w:t>16.2</w:t>
            </w:r>
            <w:r>
              <w:rPr>
                <w:rFonts w:hint="eastAsia"/>
                <w:sz w:val="21"/>
                <w:szCs w:val="21"/>
              </w:rPr>
              <w:t>℃</w:t>
            </w:r>
          </w:p>
        </w:tc>
        <w:tc>
          <w:tcPr>
            <w:tcW w:w="920" w:type="pct"/>
            <w:vAlign w:val="center"/>
          </w:tcPr>
          <w:p>
            <w:pPr>
              <w:pStyle w:val="65"/>
              <w:rPr>
                <w:sz w:val="21"/>
                <w:szCs w:val="21"/>
              </w:rPr>
            </w:pPr>
            <w:r>
              <w:rPr>
                <w:sz w:val="21"/>
                <w:szCs w:val="21"/>
              </w:rPr>
              <w:t>16.2</w:t>
            </w:r>
            <w:r>
              <w:rPr>
                <w:rFonts w:hint="eastAsia"/>
                <w:sz w:val="21"/>
                <w:szCs w:val="21"/>
              </w:rPr>
              <w:t>℃</w:t>
            </w:r>
          </w:p>
        </w:tc>
        <w:tc>
          <w:tcPr>
            <w:tcW w:w="1103" w:type="pct"/>
            <w:vAlign w:val="center"/>
          </w:tcPr>
          <w:p>
            <w:pPr>
              <w:pStyle w:val="65"/>
              <w:rPr>
                <w:sz w:val="21"/>
                <w:szCs w:val="21"/>
              </w:rPr>
            </w:pPr>
            <w:r>
              <w:rPr>
                <w:sz w:val="21"/>
                <w:szCs w:val="21"/>
              </w:rPr>
              <w:t>16.2</w:t>
            </w:r>
            <w:r>
              <w:rPr>
                <w:rFonts w:hint="eastAsia"/>
                <w:sz w:val="21"/>
                <w:szCs w:val="21"/>
              </w:rPr>
              <w:t>℃</w:t>
            </w:r>
          </w:p>
        </w:tc>
        <w:tc>
          <w:tcPr>
            <w:tcW w:w="1022"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水深</w:t>
            </w:r>
          </w:p>
        </w:tc>
        <w:tc>
          <w:tcPr>
            <w:tcW w:w="986" w:type="pct"/>
            <w:vAlign w:val="center"/>
          </w:tcPr>
          <w:p>
            <w:pPr>
              <w:pStyle w:val="65"/>
              <w:rPr>
                <w:sz w:val="21"/>
                <w:szCs w:val="21"/>
              </w:rPr>
            </w:pPr>
            <w:r>
              <w:rPr>
                <w:sz w:val="21"/>
                <w:szCs w:val="21"/>
              </w:rPr>
              <w:t>7m</w:t>
            </w:r>
          </w:p>
        </w:tc>
        <w:tc>
          <w:tcPr>
            <w:tcW w:w="920" w:type="pct"/>
            <w:vAlign w:val="center"/>
          </w:tcPr>
          <w:p>
            <w:pPr>
              <w:pStyle w:val="65"/>
              <w:rPr>
                <w:sz w:val="21"/>
                <w:szCs w:val="21"/>
              </w:rPr>
            </w:pPr>
            <w:r>
              <w:rPr>
                <w:sz w:val="21"/>
                <w:szCs w:val="21"/>
              </w:rPr>
              <w:t>9m</w:t>
            </w:r>
          </w:p>
        </w:tc>
        <w:tc>
          <w:tcPr>
            <w:tcW w:w="1103" w:type="pct"/>
            <w:vAlign w:val="center"/>
          </w:tcPr>
          <w:p>
            <w:pPr>
              <w:pStyle w:val="65"/>
              <w:rPr>
                <w:sz w:val="21"/>
                <w:szCs w:val="21"/>
              </w:rPr>
            </w:pPr>
            <w:r>
              <w:rPr>
                <w:sz w:val="21"/>
                <w:szCs w:val="21"/>
              </w:rPr>
              <w:t>8m</w:t>
            </w:r>
          </w:p>
        </w:tc>
        <w:tc>
          <w:tcPr>
            <w:tcW w:w="1022"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埋深</w:t>
            </w:r>
          </w:p>
        </w:tc>
        <w:tc>
          <w:tcPr>
            <w:tcW w:w="986" w:type="pct"/>
            <w:vAlign w:val="center"/>
          </w:tcPr>
          <w:p>
            <w:pPr>
              <w:pStyle w:val="65"/>
              <w:rPr>
                <w:sz w:val="21"/>
                <w:szCs w:val="21"/>
              </w:rPr>
            </w:pPr>
            <w:r>
              <w:rPr>
                <w:sz w:val="21"/>
                <w:szCs w:val="21"/>
              </w:rPr>
              <w:t>6m</w:t>
            </w:r>
          </w:p>
        </w:tc>
        <w:tc>
          <w:tcPr>
            <w:tcW w:w="920" w:type="pct"/>
            <w:vAlign w:val="center"/>
          </w:tcPr>
          <w:p>
            <w:pPr>
              <w:pStyle w:val="65"/>
              <w:rPr>
                <w:sz w:val="21"/>
                <w:szCs w:val="21"/>
              </w:rPr>
            </w:pPr>
            <w:r>
              <w:rPr>
                <w:sz w:val="21"/>
                <w:szCs w:val="21"/>
              </w:rPr>
              <w:t>6m</w:t>
            </w:r>
          </w:p>
        </w:tc>
        <w:tc>
          <w:tcPr>
            <w:tcW w:w="1103" w:type="pct"/>
            <w:vAlign w:val="center"/>
          </w:tcPr>
          <w:p>
            <w:pPr>
              <w:pStyle w:val="65"/>
              <w:rPr>
                <w:sz w:val="21"/>
                <w:szCs w:val="21"/>
              </w:rPr>
            </w:pPr>
            <w:r>
              <w:rPr>
                <w:sz w:val="21"/>
                <w:szCs w:val="21"/>
              </w:rPr>
              <w:t>7m</w:t>
            </w:r>
          </w:p>
        </w:tc>
        <w:tc>
          <w:tcPr>
            <w:tcW w:w="1022"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水位</w:t>
            </w:r>
          </w:p>
        </w:tc>
        <w:tc>
          <w:tcPr>
            <w:tcW w:w="986" w:type="pct"/>
            <w:vAlign w:val="center"/>
          </w:tcPr>
          <w:p>
            <w:pPr>
              <w:pStyle w:val="65"/>
              <w:rPr>
                <w:sz w:val="21"/>
                <w:szCs w:val="21"/>
              </w:rPr>
            </w:pPr>
            <w:r>
              <w:rPr>
                <w:sz w:val="21"/>
                <w:szCs w:val="21"/>
              </w:rPr>
              <w:t>75m</w:t>
            </w:r>
          </w:p>
        </w:tc>
        <w:tc>
          <w:tcPr>
            <w:tcW w:w="920" w:type="pct"/>
            <w:vAlign w:val="center"/>
          </w:tcPr>
          <w:p>
            <w:pPr>
              <w:pStyle w:val="65"/>
              <w:rPr>
                <w:sz w:val="21"/>
                <w:szCs w:val="21"/>
              </w:rPr>
            </w:pPr>
            <w:r>
              <w:rPr>
                <w:sz w:val="21"/>
                <w:szCs w:val="21"/>
              </w:rPr>
              <w:t>75m</w:t>
            </w:r>
          </w:p>
        </w:tc>
        <w:tc>
          <w:tcPr>
            <w:tcW w:w="1103" w:type="pct"/>
            <w:vAlign w:val="center"/>
          </w:tcPr>
          <w:p>
            <w:pPr>
              <w:pStyle w:val="65"/>
              <w:rPr>
                <w:sz w:val="21"/>
                <w:szCs w:val="21"/>
              </w:rPr>
            </w:pPr>
            <w:r>
              <w:rPr>
                <w:sz w:val="21"/>
                <w:szCs w:val="21"/>
              </w:rPr>
              <w:t>74m</w:t>
            </w:r>
          </w:p>
        </w:tc>
        <w:tc>
          <w:tcPr>
            <w:tcW w:w="1022"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井深</w:t>
            </w:r>
          </w:p>
        </w:tc>
        <w:tc>
          <w:tcPr>
            <w:tcW w:w="986" w:type="pct"/>
            <w:vAlign w:val="center"/>
          </w:tcPr>
          <w:p>
            <w:pPr>
              <w:pStyle w:val="65"/>
              <w:rPr>
                <w:sz w:val="21"/>
                <w:szCs w:val="21"/>
              </w:rPr>
            </w:pPr>
            <w:r>
              <w:rPr>
                <w:sz w:val="21"/>
                <w:szCs w:val="21"/>
              </w:rPr>
              <w:t>13m</w:t>
            </w:r>
          </w:p>
        </w:tc>
        <w:tc>
          <w:tcPr>
            <w:tcW w:w="920" w:type="pct"/>
            <w:vAlign w:val="center"/>
          </w:tcPr>
          <w:p>
            <w:pPr>
              <w:pStyle w:val="65"/>
              <w:rPr>
                <w:sz w:val="21"/>
                <w:szCs w:val="21"/>
              </w:rPr>
            </w:pPr>
            <w:r>
              <w:rPr>
                <w:sz w:val="21"/>
                <w:szCs w:val="21"/>
              </w:rPr>
              <w:t>15m</w:t>
            </w:r>
          </w:p>
        </w:tc>
        <w:tc>
          <w:tcPr>
            <w:tcW w:w="1103" w:type="pct"/>
            <w:vAlign w:val="center"/>
          </w:tcPr>
          <w:p>
            <w:pPr>
              <w:pStyle w:val="65"/>
              <w:rPr>
                <w:sz w:val="21"/>
                <w:szCs w:val="21"/>
              </w:rPr>
            </w:pPr>
            <w:r>
              <w:rPr>
                <w:sz w:val="21"/>
                <w:szCs w:val="21"/>
              </w:rPr>
              <w:t>15m</w:t>
            </w:r>
          </w:p>
        </w:tc>
        <w:tc>
          <w:tcPr>
            <w:tcW w:w="1022" w:type="pct"/>
            <w:vAlign w:val="center"/>
          </w:tcPr>
          <w:p>
            <w:pPr>
              <w:pStyle w:val="65"/>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sz w:val="21"/>
                <w:szCs w:val="21"/>
              </w:rPr>
              <w:t>pH</w:t>
            </w:r>
            <w:r>
              <w:rPr>
                <w:rFonts w:hint="eastAsia"/>
                <w:sz w:val="21"/>
                <w:szCs w:val="21"/>
              </w:rPr>
              <w:t>值</w:t>
            </w:r>
          </w:p>
        </w:tc>
        <w:tc>
          <w:tcPr>
            <w:tcW w:w="986" w:type="pct"/>
            <w:vAlign w:val="center"/>
          </w:tcPr>
          <w:p>
            <w:pPr>
              <w:pStyle w:val="65"/>
              <w:rPr>
                <w:sz w:val="21"/>
                <w:szCs w:val="21"/>
              </w:rPr>
            </w:pPr>
            <w:r>
              <w:rPr>
                <w:sz w:val="21"/>
                <w:szCs w:val="21"/>
              </w:rPr>
              <w:t>7.58</w:t>
            </w:r>
          </w:p>
        </w:tc>
        <w:tc>
          <w:tcPr>
            <w:tcW w:w="920" w:type="pct"/>
            <w:vAlign w:val="center"/>
          </w:tcPr>
          <w:p>
            <w:pPr>
              <w:pStyle w:val="65"/>
              <w:rPr>
                <w:sz w:val="21"/>
                <w:szCs w:val="21"/>
              </w:rPr>
            </w:pPr>
            <w:r>
              <w:rPr>
                <w:sz w:val="21"/>
                <w:szCs w:val="21"/>
              </w:rPr>
              <w:t>7.61</w:t>
            </w:r>
          </w:p>
        </w:tc>
        <w:tc>
          <w:tcPr>
            <w:tcW w:w="1103" w:type="pct"/>
            <w:vAlign w:val="center"/>
          </w:tcPr>
          <w:p>
            <w:pPr>
              <w:pStyle w:val="65"/>
              <w:rPr>
                <w:sz w:val="21"/>
                <w:szCs w:val="21"/>
              </w:rPr>
            </w:pPr>
            <w:r>
              <w:rPr>
                <w:sz w:val="21"/>
                <w:szCs w:val="21"/>
              </w:rPr>
              <w:t>7.54</w:t>
            </w:r>
          </w:p>
        </w:tc>
        <w:tc>
          <w:tcPr>
            <w:tcW w:w="1022" w:type="pct"/>
            <w:vAlign w:val="center"/>
          </w:tcPr>
          <w:p>
            <w:pPr>
              <w:pStyle w:val="65"/>
              <w:rPr>
                <w:sz w:val="21"/>
                <w:szCs w:val="21"/>
              </w:rPr>
            </w:pPr>
            <w:r>
              <w:rPr>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总硬度</w:t>
            </w:r>
          </w:p>
        </w:tc>
        <w:tc>
          <w:tcPr>
            <w:tcW w:w="986" w:type="pct"/>
            <w:vAlign w:val="center"/>
          </w:tcPr>
          <w:p>
            <w:pPr>
              <w:pStyle w:val="65"/>
              <w:rPr>
                <w:sz w:val="21"/>
                <w:szCs w:val="21"/>
              </w:rPr>
            </w:pPr>
            <w:r>
              <w:rPr>
                <w:sz w:val="21"/>
                <w:szCs w:val="21"/>
              </w:rPr>
              <w:t>193</w:t>
            </w:r>
          </w:p>
        </w:tc>
        <w:tc>
          <w:tcPr>
            <w:tcW w:w="920" w:type="pct"/>
            <w:vAlign w:val="center"/>
          </w:tcPr>
          <w:p>
            <w:pPr>
              <w:pStyle w:val="65"/>
              <w:rPr>
                <w:sz w:val="21"/>
                <w:szCs w:val="21"/>
              </w:rPr>
            </w:pPr>
            <w:r>
              <w:rPr>
                <w:sz w:val="21"/>
                <w:szCs w:val="21"/>
              </w:rPr>
              <w:t>203</w:t>
            </w:r>
          </w:p>
        </w:tc>
        <w:tc>
          <w:tcPr>
            <w:tcW w:w="1103" w:type="pct"/>
            <w:vAlign w:val="center"/>
          </w:tcPr>
          <w:p>
            <w:pPr>
              <w:pStyle w:val="65"/>
              <w:rPr>
                <w:sz w:val="21"/>
                <w:szCs w:val="21"/>
              </w:rPr>
            </w:pPr>
            <w:r>
              <w:rPr>
                <w:sz w:val="21"/>
                <w:szCs w:val="21"/>
              </w:rPr>
              <w:t>217</w:t>
            </w:r>
          </w:p>
        </w:tc>
        <w:tc>
          <w:tcPr>
            <w:tcW w:w="1022" w:type="pct"/>
            <w:vAlign w:val="center"/>
          </w:tcPr>
          <w:p>
            <w:pPr>
              <w:pStyle w:val="65"/>
              <w:rPr>
                <w:sz w:val="21"/>
                <w:szCs w:val="21"/>
              </w:rPr>
            </w:pPr>
            <w:r>
              <w:rPr>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69" w:type="pct"/>
            <w:vAlign w:val="center"/>
          </w:tcPr>
          <w:p>
            <w:pPr>
              <w:pStyle w:val="65"/>
              <w:rPr>
                <w:sz w:val="21"/>
                <w:szCs w:val="21"/>
              </w:rPr>
            </w:pPr>
            <w:r>
              <w:rPr>
                <w:rFonts w:hint="eastAsia"/>
                <w:sz w:val="21"/>
                <w:szCs w:val="21"/>
              </w:rPr>
              <w:t>耗氧量</w:t>
            </w:r>
          </w:p>
        </w:tc>
        <w:tc>
          <w:tcPr>
            <w:tcW w:w="986" w:type="pct"/>
            <w:vAlign w:val="center"/>
          </w:tcPr>
          <w:p>
            <w:pPr>
              <w:pStyle w:val="65"/>
              <w:rPr>
                <w:sz w:val="21"/>
                <w:szCs w:val="21"/>
              </w:rPr>
            </w:pPr>
            <w:r>
              <w:rPr>
                <w:sz w:val="21"/>
                <w:szCs w:val="21"/>
              </w:rPr>
              <w:t>0.94</w:t>
            </w:r>
          </w:p>
        </w:tc>
        <w:tc>
          <w:tcPr>
            <w:tcW w:w="920" w:type="pct"/>
            <w:vAlign w:val="center"/>
          </w:tcPr>
          <w:p>
            <w:pPr>
              <w:pStyle w:val="65"/>
              <w:rPr>
                <w:sz w:val="21"/>
                <w:szCs w:val="21"/>
              </w:rPr>
            </w:pPr>
            <w:r>
              <w:rPr>
                <w:sz w:val="21"/>
                <w:szCs w:val="21"/>
              </w:rPr>
              <w:t>1.02</w:t>
            </w:r>
          </w:p>
        </w:tc>
        <w:tc>
          <w:tcPr>
            <w:tcW w:w="1103" w:type="pct"/>
            <w:vAlign w:val="center"/>
          </w:tcPr>
          <w:p>
            <w:pPr>
              <w:pStyle w:val="65"/>
              <w:rPr>
                <w:sz w:val="21"/>
                <w:szCs w:val="21"/>
              </w:rPr>
            </w:pPr>
            <w:r>
              <w:rPr>
                <w:sz w:val="21"/>
                <w:szCs w:val="21"/>
              </w:rPr>
              <w:t>1.01</w:t>
            </w:r>
          </w:p>
        </w:tc>
        <w:tc>
          <w:tcPr>
            <w:tcW w:w="1022" w:type="pct"/>
            <w:vAlign w:val="center"/>
          </w:tcPr>
          <w:p>
            <w:pPr>
              <w:pStyle w:val="65"/>
              <w:rPr>
                <w:sz w:val="21"/>
                <w:szCs w:val="21"/>
              </w:rPr>
            </w:pPr>
            <w:r>
              <w:rPr>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氨氮</w:t>
            </w:r>
          </w:p>
        </w:tc>
        <w:tc>
          <w:tcPr>
            <w:tcW w:w="986" w:type="pct"/>
            <w:vAlign w:val="center"/>
          </w:tcPr>
          <w:p>
            <w:pPr>
              <w:pStyle w:val="65"/>
              <w:rPr>
                <w:sz w:val="21"/>
                <w:szCs w:val="21"/>
              </w:rPr>
            </w:pPr>
            <w:r>
              <w:rPr>
                <w:sz w:val="21"/>
                <w:szCs w:val="21"/>
              </w:rPr>
              <w:t>0.092</w:t>
            </w:r>
          </w:p>
        </w:tc>
        <w:tc>
          <w:tcPr>
            <w:tcW w:w="920" w:type="pct"/>
            <w:vAlign w:val="center"/>
          </w:tcPr>
          <w:p>
            <w:pPr>
              <w:pStyle w:val="65"/>
              <w:rPr>
                <w:sz w:val="21"/>
                <w:szCs w:val="21"/>
              </w:rPr>
            </w:pPr>
            <w:r>
              <w:rPr>
                <w:sz w:val="21"/>
                <w:szCs w:val="21"/>
              </w:rPr>
              <w:t>0.098</w:t>
            </w:r>
          </w:p>
        </w:tc>
        <w:tc>
          <w:tcPr>
            <w:tcW w:w="1103" w:type="pct"/>
            <w:vAlign w:val="center"/>
          </w:tcPr>
          <w:p>
            <w:pPr>
              <w:pStyle w:val="65"/>
              <w:rPr>
                <w:sz w:val="21"/>
                <w:szCs w:val="21"/>
              </w:rPr>
            </w:pPr>
            <w:r>
              <w:rPr>
                <w:sz w:val="21"/>
                <w:szCs w:val="21"/>
              </w:rPr>
              <w:t>0.087</w:t>
            </w:r>
          </w:p>
        </w:tc>
        <w:tc>
          <w:tcPr>
            <w:tcW w:w="1022" w:type="pct"/>
            <w:vAlign w:val="center"/>
          </w:tcPr>
          <w:p>
            <w:pPr>
              <w:pStyle w:val="65"/>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硫化物</w:t>
            </w:r>
          </w:p>
        </w:tc>
        <w:tc>
          <w:tcPr>
            <w:tcW w:w="986" w:type="pct"/>
            <w:vAlign w:val="center"/>
          </w:tcPr>
          <w:p>
            <w:pPr>
              <w:pStyle w:val="65"/>
              <w:rPr>
                <w:sz w:val="21"/>
                <w:szCs w:val="21"/>
              </w:rPr>
            </w:pPr>
            <w:r>
              <w:rPr>
                <w:sz w:val="21"/>
                <w:szCs w:val="21"/>
              </w:rPr>
              <w:t>0.005L</w:t>
            </w:r>
          </w:p>
        </w:tc>
        <w:tc>
          <w:tcPr>
            <w:tcW w:w="920" w:type="pct"/>
            <w:vAlign w:val="center"/>
          </w:tcPr>
          <w:p>
            <w:pPr>
              <w:pStyle w:val="65"/>
              <w:rPr>
                <w:sz w:val="21"/>
                <w:szCs w:val="21"/>
              </w:rPr>
            </w:pPr>
            <w:r>
              <w:rPr>
                <w:sz w:val="21"/>
                <w:szCs w:val="21"/>
              </w:rPr>
              <w:t>0.005L</w:t>
            </w:r>
          </w:p>
        </w:tc>
        <w:tc>
          <w:tcPr>
            <w:tcW w:w="1103" w:type="pct"/>
            <w:vAlign w:val="center"/>
          </w:tcPr>
          <w:p>
            <w:pPr>
              <w:pStyle w:val="65"/>
              <w:rPr>
                <w:sz w:val="21"/>
                <w:szCs w:val="21"/>
              </w:rPr>
            </w:pPr>
            <w:r>
              <w:rPr>
                <w:sz w:val="21"/>
                <w:szCs w:val="21"/>
              </w:rPr>
              <w:t>0.005L</w:t>
            </w:r>
          </w:p>
        </w:tc>
        <w:tc>
          <w:tcPr>
            <w:tcW w:w="1022" w:type="pct"/>
            <w:vAlign w:val="center"/>
          </w:tcPr>
          <w:p>
            <w:pPr>
              <w:pStyle w:val="65"/>
              <w:rPr>
                <w:sz w:val="21"/>
                <w:szCs w:val="21"/>
              </w:rPr>
            </w:pPr>
            <w:r>
              <w:rPr>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总大肠菌群</w:t>
            </w:r>
          </w:p>
        </w:tc>
        <w:tc>
          <w:tcPr>
            <w:tcW w:w="986" w:type="pct"/>
            <w:vAlign w:val="center"/>
          </w:tcPr>
          <w:p>
            <w:pPr>
              <w:pStyle w:val="65"/>
              <w:rPr>
                <w:sz w:val="21"/>
                <w:szCs w:val="21"/>
              </w:rPr>
            </w:pPr>
            <w:r>
              <w:rPr>
                <w:sz w:val="21"/>
                <w:szCs w:val="21"/>
              </w:rPr>
              <w:t>&lt;2</w:t>
            </w:r>
          </w:p>
        </w:tc>
        <w:tc>
          <w:tcPr>
            <w:tcW w:w="920" w:type="pct"/>
            <w:vAlign w:val="center"/>
          </w:tcPr>
          <w:p>
            <w:pPr>
              <w:pStyle w:val="65"/>
              <w:rPr>
                <w:sz w:val="21"/>
                <w:szCs w:val="21"/>
              </w:rPr>
            </w:pPr>
            <w:r>
              <w:rPr>
                <w:sz w:val="21"/>
                <w:szCs w:val="21"/>
              </w:rPr>
              <w:t>&lt;2</w:t>
            </w:r>
          </w:p>
        </w:tc>
        <w:tc>
          <w:tcPr>
            <w:tcW w:w="1103" w:type="pct"/>
            <w:vAlign w:val="center"/>
          </w:tcPr>
          <w:p>
            <w:pPr>
              <w:pStyle w:val="65"/>
              <w:rPr>
                <w:sz w:val="21"/>
                <w:szCs w:val="21"/>
              </w:rPr>
            </w:pPr>
            <w:r>
              <w:rPr>
                <w:sz w:val="21"/>
                <w:szCs w:val="21"/>
              </w:rPr>
              <w:t>&lt;2</w:t>
            </w:r>
          </w:p>
        </w:tc>
        <w:tc>
          <w:tcPr>
            <w:tcW w:w="1022" w:type="pct"/>
            <w:vAlign w:val="center"/>
          </w:tcPr>
          <w:p>
            <w:pPr>
              <w:pStyle w:val="65"/>
              <w:rPr>
                <w:sz w:val="21"/>
                <w:szCs w:val="21"/>
              </w:rPr>
            </w:pPr>
            <w:r>
              <w:rPr>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镉</w:t>
            </w:r>
          </w:p>
        </w:tc>
        <w:tc>
          <w:tcPr>
            <w:tcW w:w="986" w:type="pct"/>
            <w:vAlign w:val="center"/>
          </w:tcPr>
          <w:p>
            <w:pPr>
              <w:pStyle w:val="65"/>
              <w:rPr>
                <w:sz w:val="21"/>
                <w:szCs w:val="21"/>
              </w:rPr>
            </w:pPr>
            <w:r>
              <w:rPr>
                <w:sz w:val="21"/>
                <w:szCs w:val="21"/>
              </w:rPr>
              <w:t>0.00005</w:t>
            </w:r>
          </w:p>
        </w:tc>
        <w:tc>
          <w:tcPr>
            <w:tcW w:w="920" w:type="pct"/>
            <w:vAlign w:val="center"/>
          </w:tcPr>
          <w:p>
            <w:pPr>
              <w:pStyle w:val="65"/>
              <w:rPr>
                <w:sz w:val="21"/>
                <w:szCs w:val="21"/>
              </w:rPr>
            </w:pPr>
            <w:r>
              <w:rPr>
                <w:sz w:val="21"/>
                <w:szCs w:val="21"/>
              </w:rPr>
              <w:t>0.0005L</w:t>
            </w:r>
          </w:p>
        </w:tc>
        <w:tc>
          <w:tcPr>
            <w:tcW w:w="1103" w:type="pct"/>
            <w:vAlign w:val="center"/>
          </w:tcPr>
          <w:p>
            <w:pPr>
              <w:pStyle w:val="65"/>
              <w:rPr>
                <w:sz w:val="21"/>
                <w:szCs w:val="21"/>
              </w:rPr>
            </w:pPr>
            <w:r>
              <w:rPr>
                <w:sz w:val="21"/>
                <w:szCs w:val="21"/>
              </w:rPr>
              <w:t>0.0005L</w:t>
            </w:r>
          </w:p>
        </w:tc>
        <w:tc>
          <w:tcPr>
            <w:tcW w:w="1022" w:type="pct"/>
            <w:vAlign w:val="center"/>
          </w:tcPr>
          <w:p>
            <w:pPr>
              <w:pStyle w:val="65"/>
              <w:rPr>
                <w:sz w:val="21"/>
                <w:szCs w:val="21"/>
              </w:rPr>
            </w:pPr>
            <w:r>
              <w:rPr>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铅</w:t>
            </w:r>
          </w:p>
        </w:tc>
        <w:tc>
          <w:tcPr>
            <w:tcW w:w="986" w:type="pct"/>
            <w:vAlign w:val="center"/>
          </w:tcPr>
          <w:p>
            <w:pPr>
              <w:pStyle w:val="65"/>
              <w:rPr>
                <w:sz w:val="21"/>
                <w:szCs w:val="21"/>
              </w:rPr>
            </w:pPr>
            <w:r>
              <w:rPr>
                <w:sz w:val="21"/>
                <w:szCs w:val="21"/>
              </w:rPr>
              <w:t>0.00009L</w:t>
            </w:r>
          </w:p>
        </w:tc>
        <w:tc>
          <w:tcPr>
            <w:tcW w:w="920" w:type="pct"/>
            <w:vAlign w:val="center"/>
          </w:tcPr>
          <w:p>
            <w:pPr>
              <w:pStyle w:val="65"/>
              <w:rPr>
                <w:sz w:val="21"/>
                <w:szCs w:val="21"/>
              </w:rPr>
            </w:pPr>
            <w:r>
              <w:rPr>
                <w:sz w:val="21"/>
                <w:szCs w:val="21"/>
              </w:rPr>
              <w:t>0.00009L</w:t>
            </w:r>
          </w:p>
        </w:tc>
        <w:tc>
          <w:tcPr>
            <w:tcW w:w="1103" w:type="pct"/>
            <w:vAlign w:val="center"/>
          </w:tcPr>
          <w:p>
            <w:pPr>
              <w:pStyle w:val="65"/>
              <w:rPr>
                <w:sz w:val="21"/>
                <w:szCs w:val="21"/>
              </w:rPr>
            </w:pPr>
            <w:r>
              <w:rPr>
                <w:sz w:val="21"/>
                <w:szCs w:val="21"/>
              </w:rPr>
              <w:t>0.00009L</w:t>
            </w:r>
          </w:p>
        </w:tc>
        <w:tc>
          <w:tcPr>
            <w:tcW w:w="1022" w:type="pct"/>
            <w:vAlign w:val="center"/>
          </w:tcPr>
          <w:p>
            <w:pPr>
              <w:pStyle w:val="65"/>
              <w:rPr>
                <w:sz w:val="21"/>
                <w:szCs w:val="21"/>
              </w:rPr>
            </w:pPr>
            <w:r>
              <w:rPr>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砷</w:t>
            </w:r>
          </w:p>
        </w:tc>
        <w:tc>
          <w:tcPr>
            <w:tcW w:w="986" w:type="pct"/>
            <w:vAlign w:val="center"/>
          </w:tcPr>
          <w:p>
            <w:pPr>
              <w:pStyle w:val="65"/>
              <w:rPr>
                <w:sz w:val="21"/>
                <w:szCs w:val="21"/>
              </w:rPr>
            </w:pPr>
            <w:r>
              <w:rPr>
                <w:sz w:val="21"/>
                <w:szCs w:val="21"/>
              </w:rPr>
              <w:t>0.00362</w:t>
            </w:r>
          </w:p>
        </w:tc>
        <w:tc>
          <w:tcPr>
            <w:tcW w:w="920" w:type="pct"/>
            <w:vAlign w:val="center"/>
          </w:tcPr>
          <w:p>
            <w:pPr>
              <w:pStyle w:val="65"/>
              <w:rPr>
                <w:sz w:val="21"/>
                <w:szCs w:val="21"/>
              </w:rPr>
            </w:pPr>
            <w:r>
              <w:rPr>
                <w:sz w:val="21"/>
                <w:szCs w:val="21"/>
              </w:rPr>
              <w:t>0.00455</w:t>
            </w:r>
          </w:p>
        </w:tc>
        <w:tc>
          <w:tcPr>
            <w:tcW w:w="1103" w:type="pct"/>
            <w:vAlign w:val="center"/>
          </w:tcPr>
          <w:p>
            <w:pPr>
              <w:pStyle w:val="65"/>
              <w:rPr>
                <w:sz w:val="21"/>
                <w:szCs w:val="21"/>
              </w:rPr>
            </w:pPr>
            <w:r>
              <w:rPr>
                <w:sz w:val="21"/>
                <w:szCs w:val="21"/>
              </w:rPr>
              <w:t>0.00393</w:t>
            </w:r>
          </w:p>
        </w:tc>
        <w:tc>
          <w:tcPr>
            <w:tcW w:w="1022" w:type="pct"/>
            <w:vAlign w:val="center"/>
          </w:tcPr>
          <w:p>
            <w:pPr>
              <w:pStyle w:val="65"/>
              <w:rPr>
                <w:sz w:val="21"/>
                <w:szCs w:val="21"/>
              </w:rPr>
            </w:pPr>
            <w:r>
              <w:rPr>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汞</w:t>
            </w:r>
          </w:p>
        </w:tc>
        <w:tc>
          <w:tcPr>
            <w:tcW w:w="986" w:type="pct"/>
            <w:vAlign w:val="center"/>
          </w:tcPr>
          <w:p>
            <w:pPr>
              <w:pStyle w:val="65"/>
              <w:rPr>
                <w:sz w:val="21"/>
                <w:szCs w:val="21"/>
              </w:rPr>
            </w:pPr>
            <w:r>
              <w:rPr>
                <w:sz w:val="21"/>
                <w:szCs w:val="21"/>
              </w:rPr>
              <w:t>0.00004L</w:t>
            </w:r>
          </w:p>
        </w:tc>
        <w:tc>
          <w:tcPr>
            <w:tcW w:w="920" w:type="pct"/>
            <w:vAlign w:val="center"/>
          </w:tcPr>
          <w:p>
            <w:pPr>
              <w:pStyle w:val="65"/>
              <w:rPr>
                <w:sz w:val="21"/>
                <w:szCs w:val="21"/>
              </w:rPr>
            </w:pPr>
            <w:r>
              <w:rPr>
                <w:sz w:val="21"/>
                <w:szCs w:val="21"/>
              </w:rPr>
              <w:t>0.00004L</w:t>
            </w:r>
          </w:p>
        </w:tc>
        <w:tc>
          <w:tcPr>
            <w:tcW w:w="1103" w:type="pct"/>
            <w:vAlign w:val="center"/>
          </w:tcPr>
          <w:p>
            <w:pPr>
              <w:pStyle w:val="65"/>
              <w:rPr>
                <w:sz w:val="21"/>
                <w:szCs w:val="21"/>
              </w:rPr>
            </w:pPr>
            <w:r>
              <w:rPr>
                <w:sz w:val="21"/>
                <w:szCs w:val="21"/>
              </w:rPr>
              <w:t>0.00004L</w:t>
            </w:r>
          </w:p>
        </w:tc>
        <w:tc>
          <w:tcPr>
            <w:tcW w:w="1022" w:type="pct"/>
            <w:vAlign w:val="center"/>
          </w:tcPr>
          <w:p>
            <w:pPr>
              <w:pStyle w:val="65"/>
              <w:rPr>
                <w:sz w:val="21"/>
                <w:szCs w:val="21"/>
              </w:rPr>
            </w:pPr>
            <w:r>
              <w:rPr>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六价铬</w:t>
            </w:r>
          </w:p>
        </w:tc>
        <w:tc>
          <w:tcPr>
            <w:tcW w:w="986" w:type="pct"/>
            <w:vAlign w:val="center"/>
          </w:tcPr>
          <w:p>
            <w:pPr>
              <w:pStyle w:val="65"/>
              <w:rPr>
                <w:sz w:val="21"/>
                <w:szCs w:val="21"/>
              </w:rPr>
            </w:pPr>
            <w:r>
              <w:rPr>
                <w:sz w:val="21"/>
                <w:szCs w:val="21"/>
              </w:rPr>
              <w:t>0.004L</w:t>
            </w:r>
          </w:p>
        </w:tc>
        <w:tc>
          <w:tcPr>
            <w:tcW w:w="920" w:type="pct"/>
            <w:vAlign w:val="center"/>
          </w:tcPr>
          <w:p>
            <w:pPr>
              <w:pStyle w:val="65"/>
              <w:rPr>
                <w:sz w:val="21"/>
                <w:szCs w:val="21"/>
              </w:rPr>
            </w:pPr>
            <w:r>
              <w:rPr>
                <w:sz w:val="21"/>
                <w:szCs w:val="21"/>
              </w:rPr>
              <w:t>0.004L</w:t>
            </w:r>
          </w:p>
        </w:tc>
        <w:tc>
          <w:tcPr>
            <w:tcW w:w="1103" w:type="pct"/>
            <w:vAlign w:val="center"/>
          </w:tcPr>
          <w:p>
            <w:pPr>
              <w:pStyle w:val="65"/>
              <w:rPr>
                <w:sz w:val="21"/>
                <w:szCs w:val="21"/>
              </w:rPr>
            </w:pPr>
            <w:r>
              <w:rPr>
                <w:sz w:val="21"/>
                <w:szCs w:val="21"/>
              </w:rPr>
              <w:t>0.004L</w:t>
            </w:r>
          </w:p>
        </w:tc>
        <w:tc>
          <w:tcPr>
            <w:tcW w:w="1022" w:type="pct"/>
            <w:vAlign w:val="center"/>
          </w:tcPr>
          <w:p>
            <w:pPr>
              <w:pStyle w:val="65"/>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氟化物</w:t>
            </w:r>
          </w:p>
        </w:tc>
        <w:tc>
          <w:tcPr>
            <w:tcW w:w="986" w:type="pct"/>
            <w:vAlign w:val="center"/>
          </w:tcPr>
          <w:p>
            <w:pPr>
              <w:pStyle w:val="65"/>
              <w:rPr>
                <w:sz w:val="21"/>
                <w:szCs w:val="21"/>
              </w:rPr>
            </w:pPr>
            <w:r>
              <w:rPr>
                <w:sz w:val="21"/>
                <w:szCs w:val="21"/>
              </w:rPr>
              <w:t>0.407</w:t>
            </w:r>
          </w:p>
        </w:tc>
        <w:tc>
          <w:tcPr>
            <w:tcW w:w="920" w:type="pct"/>
            <w:vAlign w:val="center"/>
          </w:tcPr>
          <w:p>
            <w:pPr>
              <w:pStyle w:val="65"/>
              <w:rPr>
                <w:sz w:val="21"/>
                <w:szCs w:val="21"/>
              </w:rPr>
            </w:pPr>
            <w:r>
              <w:rPr>
                <w:sz w:val="21"/>
                <w:szCs w:val="21"/>
              </w:rPr>
              <w:t>0.284</w:t>
            </w:r>
          </w:p>
        </w:tc>
        <w:tc>
          <w:tcPr>
            <w:tcW w:w="1103" w:type="pct"/>
            <w:vAlign w:val="center"/>
          </w:tcPr>
          <w:p>
            <w:pPr>
              <w:pStyle w:val="65"/>
              <w:rPr>
                <w:sz w:val="21"/>
                <w:szCs w:val="21"/>
              </w:rPr>
            </w:pPr>
            <w:r>
              <w:rPr>
                <w:sz w:val="21"/>
                <w:szCs w:val="21"/>
              </w:rPr>
              <w:t>0.278</w:t>
            </w:r>
          </w:p>
        </w:tc>
        <w:tc>
          <w:tcPr>
            <w:tcW w:w="1022" w:type="pct"/>
            <w:vAlign w:val="center"/>
          </w:tcPr>
          <w:p>
            <w:pPr>
              <w:pStyle w:val="65"/>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铜</w:t>
            </w:r>
          </w:p>
        </w:tc>
        <w:tc>
          <w:tcPr>
            <w:tcW w:w="986" w:type="pct"/>
            <w:vAlign w:val="center"/>
          </w:tcPr>
          <w:p>
            <w:pPr>
              <w:pStyle w:val="65"/>
              <w:rPr>
                <w:sz w:val="21"/>
                <w:szCs w:val="21"/>
              </w:rPr>
            </w:pPr>
            <w:r>
              <w:rPr>
                <w:sz w:val="21"/>
                <w:szCs w:val="21"/>
              </w:rPr>
              <w:t>0.00043</w:t>
            </w:r>
          </w:p>
        </w:tc>
        <w:tc>
          <w:tcPr>
            <w:tcW w:w="920" w:type="pct"/>
            <w:vAlign w:val="center"/>
          </w:tcPr>
          <w:p>
            <w:pPr>
              <w:pStyle w:val="65"/>
              <w:rPr>
                <w:sz w:val="21"/>
                <w:szCs w:val="21"/>
              </w:rPr>
            </w:pPr>
            <w:r>
              <w:rPr>
                <w:sz w:val="21"/>
                <w:szCs w:val="21"/>
              </w:rPr>
              <w:t>0.00048</w:t>
            </w:r>
          </w:p>
        </w:tc>
        <w:tc>
          <w:tcPr>
            <w:tcW w:w="1103" w:type="pct"/>
            <w:vAlign w:val="center"/>
          </w:tcPr>
          <w:p>
            <w:pPr>
              <w:pStyle w:val="65"/>
              <w:rPr>
                <w:sz w:val="21"/>
                <w:szCs w:val="21"/>
              </w:rPr>
            </w:pPr>
            <w:r>
              <w:rPr>
                <w:sz w:val="21"/>
                <w:szCs w:val="21"/>
              </w:rPr>
              <w:t>0.00037</w:t>
            </w:r>
          </w:p>
        </w:tc>
        <w:tc>
          <w:tcPr>
            <w:tcW w:w="1022" w:type="pct"/>
            <w:vAlign w:val="center"/>
          </w:tcPr>
          <w:p>
            <w:pPr>
              <w:pStyle w:val="65"/>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锌</w:t>
            </w:r>
          </w:p>
        </w:tc>
        <w:tc>
          <w:tcPr>
            <w:tcW w:w="986" w:type="pct"/>
            <w:vAlign w:val="center"/>
          </w:tcPr>
          <w:p>
            <w:pPr>
              <w:pStyle w:val="65"/>
              <w:rPr>
                <w:sz w:val="21"/>
                <w:szCs w:val="21"/>
              </w:rPr>
            </w:pPr>
            <w:r>
              <w:rPr>
                <w:sz w:val="21"/>
                <w:szCs w:val="21"/>
              </w:rPr>
              <w:t>0.00455</w:t>
            </w:r>
          </w:p>
        </w:tc>
        <w:tc>
          <w:tcPr>
            <w:tcW w:w="920" w:type="pct"/>
            <w:vAlign w:val="center"/>
          </w:tcPr>
          <w:p>
            <w:pPr>
              <w:pStyle w:val="65"/>
              <w:rPr>
                <w:sz w:val="21"/>
                <w:szCs w:val="21"/>
              </w:rPr>
            </w:pPr>
            <w:r>
              <w:rPr>
                <w:sz w:val="21"/>
                <w:szCs w:val="21"/>
              </w:rPr>
              <w:t>0.00101</w:t>
            </w:r>
          </w:p>
        </w:tc>
        <w:tc>
          <w:tcPr>
            <w:tcW w:w="1103" w:type="pct"/>
            <w:vAlign w:val="center"/>
          </w:tcPr>
          <w:p>
            <w:pPr>
              <w:pStyle w:val="65"/>
              <w:rPr>
                <w:sz w:val="21"/>
                <w:szCs w:val="21"/>
              </w:rPr>
            </w:pPr>
            <w:r>
              <w:rPr>
                <w:sz w:val="21"/>
                <w:szCs w:val="21"/>
              </w:rPr>
              <w:t>0.00481</w:t>
            </w:r>
          </w:p>
        </w:tc>
        <w:tc>
          <w:tcPr>
            <w:tcW w:w="1022" w:type="pct"/>
            <w:vAlign w:val="center"/>
          </w:tcPr>
          <w:p>
            <w:pPr>
              <w:pStyle w:val="65"/>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镍</w:t>
            </w:r>
          </w:p>
        </w:tc>
        <w:tc>
          <w:tcPr>
            <w:tcW w:w="986" w:type="pct"/>
            <w:vAlign w:val="center"/>
          </w:tcPr>
          <w:p>
            <w:pPr>
              <w:pStyle w:val="65"/>
              <w:rPr>
                <w:sz w:val="21"/>
                <w:szCs w:val="21"/>
              </w:rPr>
            </w:pPr>
            <w:r>
              <w:rPr>
                <w:sz w:val="21"/>
                <w:szCs w:val="21"/>
              </w:rPr>
              <w:t>0.00022</w:t>
            </w:r>
          </w:p>
        </w:tc>
        <w:tc>
          <w:tcPr>
            <w:tcW w:w="920" w:type="pct"/>
            <w:vAlign w:val="center"/>
          </w:tcPr>
          <w:p>
            <w:pPr>
              <w:pStyle w:val="65"/>
              <w:rPr>
                <w:sz w:val="21"/>
                <w:szCs w:val="21"/>
              </w:rPr>
            </w:pPr>
            <w:r>
              <w:rPr>
                <w:sz w:val="21"/>
                <w:szCs w:val="21"/>
              </w:rPr>
              <w:t>0.00014</w:t>
            </w:r>
          </w:p>
        </w:tc>
        <w:tc>
          <w:tcPr>
            <w:tcW w:w="1103" w:type="pct"/>
            <w:vAlign w:val="center"/>
          </w:tcPr>
          <w:p>
            <w:pPr>
              <w:pStyle w:val="65"/>
              <w:rPr>
                <w:sz w:val="21"/>
                <w:szCs w:val="21"/>
              </w:rPr>
            </w:pPr>
            <w:r>
              <w:rPr>
                <w:sz w:val="21"/>
                <w:szCs w:val="21"/>
              </w:rPr>
              <w:t>0.00022</w:t>
            </w:r>
          </w:p>
        </w:tc>
        <w:tc>
          <w:tcPr>
            <w:tcW w:w="1022" w:type="pct"/>
            <w:vAlign w:val="center"/>
          </w:tcPr>
          <w:p>
            <w:pPr>
              <w:pStyle w:val="65"/>
              <w:rPr>
                <w:sz w:val="21"/>
                <w:szCs w:val="21"/>
              </w:rPr>
            </w:pPr>
            <w:r>
              <w:rPr>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9" w:type="pct"/>
            <w:vAlign w:val="center"/>
          </w:tcPr>
          <w:p>
            <w:pPr>
              <w:pStyle w:val="65"/>
              <w:rPr>
                <w:sz w:val="21"/>
                <w:szCs w:val="21"/>
              </w:rPr>
            </w:pPr>
            <w:r>
              <w:rPr>
                <w:rFonts w:hint="eastAsia"/>
                <w:sz w:val="21"/>
                <w:szCs w:val="21"/>
              </w:rPr>
              <w:t>水位（m）</w:t>
            </w:r>
          </w:p>
        </w:tc>
        <w:tc>
          <w:tcPr>
            <w:tcW w:w="986" w:type="pct"/>
            <w:vAlign w:val="center"/>
          </w:tcPr>
          <w:p>
            <w:pPr>
              <w:pStyle w:val="65"/>
              <w:rPr>
                <w:sz w:val="21"/>
                <w:szCs w:val="21"/>
              </w:rPr>
            </w:pPr>
            <w:r>
              <w:rPr>
                <w:rFonts w:hint="eastAsia"/>
                <w:sz w:val="21"/>
                <w:szCs w:val="21"/>
              </w:rPr>
              <w:t>75</w:t>
            </w:r>
          </w:p>
        </w:tc>
        <w:tc>
          <w:tcPr>
            <w:tcW w:w="920" w:type="pct"/>
            <w:vAlign w:val="center"/>
          </w:tcPr>
          <w:p>
            <w:pPr>
              <w:pStyle w:val="65"/>
              <w:rPr>
                <w:sz w:val="21"/>
                <w:szCs w:val="21"/>
              </w:rPr>
            </w:pPr>
            <w:r>
              <w:rPr>
                <w:rFonts w:hint="eastAsia"/>
                <w:sz w:val="21"/>
                <w:szCs w:val="21"/>
              </w:rPr>
              <w:t>75</w:t>
            </w:r>
          </w:p>
        </w:tc>
        <w:tc>
          <w:tcPr>
            <w:tcW w:w="1103" w:type="pct"/>
            <w:vAlign w:val="center"/>
          </w:tcPr>
          <w:p>
            <w:pPr>
              <w:pStyle w:val="65"/>
              <w:rPr>
                <w:sz w:val="21"/>
                <w:szCs w:val="21"/>
              </w:rPr>
            </w:pPr>
            <w:r>
              <w:rPr>
                <w:rFonts w:hint="eastAsia"/>
                <w:sz w:val="21"/>
                <w:szCs w:val="21"/>
              </w:rPr>
              <w:t>74</w:t>
            </w:r>
          </w:p>
        </w:tc>
        <w:tc>
          <w:tcPr>
            <w:tcW w:w="1022" w:type="pct"/>
            <w:vAlign w:val="center"/>
          </w:tcPr>
          <w:p>
            <w:pPr>
              <w:pStyle w:val="65"/>
              <w:rPr>
                <w:sz w:val="21"/>
                <w:szCs w:val="21"/>
              </w:rPr>
            </w:pPr>
            <w:r>
              <w:rPr>
                <w:rFonts w:hint="eastAsia"/>
                <w:sz w:val="21"/>
                <w:szCs w:val="21"/>
              </w:rPr>
              <w:t>/</w:t>
            </w:r>
          </w:p>
        </w:tc>
      </w:tr>
    </w:tbl>
    <w:p>
      <w:pPr>
        <w:pStyle w:val="3"/>
        <w:ind w:firstLine="480"/>
        <w:rPr>
          <w:rFonts w:cs="Times New Roman"/>
          <w:kern w:val="0"/>
        </w:rPr>
      </w:pPr>
      <w:r>
        <w:rPr>
          <w:rFonts w:hint="eastAsia" w:cs="Times New Roman"/>
          <w:kern w:val="0"/>
        </w:rPr>
        <w:t>监测结果表明：项目所在地区域地下水水质符合《地下水质量标准》（</w:t>
      </w:r>
      <w:r>
        <w:rPr>
          <w:rFonts w:cs="Times New Roman"/>
          <w:kern w:val="0"/>
        </w:rPr>
        <w:t>GB/T14848-2017</w:t>
      </w:r>
      <w:r>
        <w:rPr>
          <w:rFonts w:hint="eastAsia" w:cs="Times New Roman"/>
          <w:kern w:val="0"/>
        </w:rPr>
        <w:t>）Ⅲ类标准。</w:t>
      </w:r>
    </w:p>
    <w:p>
      <w:pPr>
        <w:pStyle w:val="3"/>
        <w:ind w:firstLine="0" w:firstLineChars="0"/>
        <w:outlineLvl w:val="2"/>
        <w:rPr>
          <w:rFonts w:eastAsia="黑体" w:cstheme="majorBidi"/>
          <w:bCs/>
          <w:szCs w:val="32"/>
        </w:rPr>
      </w:pPr>
      <w:r>
        <w:rPr>
          <w:rFonts w:hint="eastAsia"/>
        </w:rPr>
        <w:t>5.2.4</w:t>
      </w:r>
      <w:r>
        <w:rPr>
          <w:rFonts w:hint="eastAsia"/>
        </w:rPr>
        <w:tab/>
      </w:r>
      <w:r>
        <w:rPr>
          <w:rFonts w:hint="eastAsia" w:eastAsia="黑体" w:cstheme="majorBidi"/>
          <w:bCs/>
          <w:szCs w:val="32"/>
        </w:rPr>
        <w:t>声环境的现状监测与评价</w:t>
      </w:r>
    </w:p>
    <w:p>
      <w:pPr>
        <w:pStyle w:val="3"/>
        <w:ind w:firstLine="480"/>
        <w:rPr>
          <w:rFonts w:cs="Times New Roman"/>
          <w:kern w:val="0"/>
        </w:rPr>
      </w:pPr>
      <w:r>
        <w:rPr>
          <w:rFonts w:hint="eastAsia" w:cs="Times New Roman"/>
          <w:kern w:val="0"/>
        </w:rPr>
        <w:t>为了解区域声环境质量现状，本次评价委托湖南中额环保科技有限公司</w:t>
      </w:r>
      <w:r>
        <w:rPr>
          <w:rFonts w:cs="Times New Roman"/>
          <w:kern w:val="0"/>
        </w:rPr>
        <w:t>202</w:t>
      </w:r>
      <w:r>
        <w:rPr>
          <w:rFonts w:hint="eastAsia" w:cs="Times New Roman"/>
          <w:kern w:val="0"/>
        </w:rPr>
        <w:t>2年9月1日至</w:t>
      </w:r>
      <w:r>
        <w:rPr>
          <w:rFonts w:cs="Times New Roman"/>
          <w:kern w:val="0"/>
        </w:rPr>
        <w:t>2021</w:t>
      </w:r>
      <w:r>
        <w:rPr>
          <w:rFonts w:hint="eastAsia" w:cs="Times New Roman"/>
          <w:kern w:val="0"/>
        </w:rPr>
        <w:t>年9月2日对项目建设场地及周边敏感点进行了声环境现状监测。</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）监测点位：项目东、南、西、北厂界外</w:t>
      </w:r>
      <w:r>
        <w:rPr>
          <w:rFonts w:cs="Times New Roman"/>
          <w:kern w:val="0"/>
        </w:rPr>
        <w:t>1m</w:t>
      </w:r>
      <w:r>
        <w:rPr>
          <w:rFonts w:hint="eastAsia" w:cs="Times New Roman"/>
          <w:kern w:val="0"/>
        </w:rPr>
        <w:t>（</w:t>
      </w:r>
      <w:r>
        <w:rPr>
          <w:rFonts w:cs="Times New Roman"/>
          <w:kern w:val="0"/>
        </w:rPr>
        <w:t>N1~N4</w:t>
      </w:r>
      <w:r>
        <w:rPr>
          <w:rFonts w:hint="eastAsia" w:cs="Times New Roman"/>
          <w:kern w:val="0"/>
        </w:rPr>
        <w:t>）。总共布设4个监测点。</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）监测因子：</w:t>
      </w:r>
      <w:r>
        <w:rPr>
          <w:rFonts w:cs="Times New Roman"/>
          <w:kern w:val="0"/>
        </w:rPr>
        <w:t xml:space="preserve">Leq(A) </w:t>
      </w:r>
      <w:r>
        <w:rPr>
          <w:rFonts w:hint="eastAsia" w:cs="Times New Roman"/>
          <w:kern w:val="0"/>
        </w:rPr>
        <w:t>；</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）监测频次：昼间、夜间各一次；</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）评价标准：项目执行《声环境质量标准》</w:t>
      </w:r>
      <w:r>
        <w:rPr>
          <w:rFonts w:cs="Times New Roman"/>
          <w:kern w:val="0"/>
        </w:rPr>
        <w:t>GB3096-2008</w:t>
      </w:r>
      <w:r>
        <w:rPr>
          <w:rFonts w:hint="eastAsia" w:cs="Times New Roman"/>
          <w:kern w:val="0"/>
        </w:rPr>
        <w:t>中</w:t>
      </w:r>
      <w:r>
        <w:rPr>
          <w:rFonts w:cs="Times New Roman"/>
          <w:kern w:val="0"/>
        </w:rPr>
        <w:t>2</w:t>
      </w:r>
      <w:r>
        <w:rPr>
          <w:rFonts w:hint="eastAsia" w:cs="Times New Roman"/>
          <w:kern w:val="0"/>
        </w:rPr>
        <w:t>类标准；</w:t>
      </w:r>
    </w:p>
    <w:p>
      <w:pPr>
        <w:pStyle w:val="3"/>
        <w:ind w:firstLine="480"/>
        <w:rPr>
          <w:rFonts w:cs="Times New Roman"/>
          <w:kern w:val="0"/>
        </w:rPr>
      </w:pPr>
      <w:r>
        <w:rPr>
          <w:rFonts w:hint="eastAsia" w:cs="Times New Roman"/>
          <w:kern w:val="0"/>
        </w:rPr>
        <w:t>（</w:t>
      </w:r>
      <w:r>
        <w:rPr>
          <w:rFonts w:cs="Times New Roman"/>
          <w:kern w:val="0"/>
        </w:rPr>
        <w:t>5</w:t>
      </w:r>
      <w:r>
        <w:rPr>
          <w:rFonts w:hint="eastAsia" w:cs="Times New Roman"/>
          <w:kern w:val="0"/>
        </w:rPr>
        <w:t>）监测结果：监测结果见表5.2-7。</w:t>
      </w:r>
    </w:p>
    <w:p>
      <w:pPr>
        <w:pStyle w:val="3"/>
        <w:spacing w:line="240" w:lineRule="auto"/>
        <w:ind w:firstLine="0" w:firstLineChars="0"/>
        <w:jc w:val="center"/>
        <w:rPr>
          <w:rFonts w:cs="Times New Roman" w:eastAsiaTheme="minorEastAsia"/>
          <w:b/>
        </w:rPr>
      </w:pPr>
      <w:r>
        <w:rPr>
          <w:rFonts w:hint="eastAsia" w:cs="Times New Roman" w:eastAsiaTheme="minorEastAsia"/>
          <w:b/>
        </w:rPr>
        <w:t>表5.2-7</w:t>
      </w:r>
      <w:r>
        <w:rPr>
          <w:rFonts w:cs="Times New Roman" w:eastAsiaTheme="minorEastAsia"/>
          <w:b/>
        </w:rPr>
        <w:t xml:space="preserve">  </w:t>
      </w:r>
      <w:r>
        <w:rPr>
          <w:rFonts w:hint="eastAsia" w:cs="Times New Roman" w:eastAsiaTheme="minorEastAsia"/>
          <w:b/>
        </w:rPr>
        <w:t>噪声现状监测结果表</w:t>
      </w:r>
      <w:r>
        <w:rPr>
          <w:rFonts w:cs="Times New Roman" w:eastAsiaTheme="minorEastAsia"/>
          <w:b/>
        </w:rPr>
        <w:t xml:space="preserve">    </w:t>
      </w:r>
      <w:r>
        <w:rPr>
          <w:rFonts w:hint="eastAsia" w:cs="Times New Roman" w:eastAsiaTheme="minorEastAsia"/>
          <w:b/>
        </w:rPr>
        <w:t>单位：</w:t>
      </w:r>
      <w:r>
        <w:rPr>
          <w:rFonts w:cs="Times New Roman" w:eastAsiaTheme="minorEastAsia"/>
          <w:b/>
        </w:rPr>
        <w:t>dB</w:t>
      </w:r>
      <w:r>
        <w:rPr>
          <w:rFonts w:hint="eastAsia" w:cs="Times New Roman" w:eastAsiaTheme="minorEastAsia"/>
          <w:b/>
        </w:rPr>
        <w:t>（</w:t>
      </w:r>
      <w:r>
        <w:rPr>
          <w:rFonts w:cs="Times New Roman" w:eastAsiaTheme="minorEastAsia"/>
          <w:b/>
        </w:rPr>
        <w:t>A</w:t>
      </w:r>
      <w:r>
        <w:rPr>
          <w:rFonts w:hint="eastAsia" w:cs="Times New Roman" w:eastAsiaTheme="minorEastAsia"/>
          <w:b/>
        </w:rPr>
        <w:t>）</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365"/>
        <w:gridCol w:w="1572"/>
        <w:gridCol w:w="1513"/>
        <w:gridCol w:w="1319"/>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Align w:val="center"/>
          </w:tcPr>
          <w:p>
            <w:pPr>
              <w:jc w:val="center"/>
              <w:rPr>
                <w:rFonts w:ascii="Times New Roman" w:hAnsi="Times New Roman" w:cs="Times New Roman"/>
              </w:rPr>
            </w:pPr>
            <w:r>
              <w:rPr>
                <w:rFonts w:ascii="Times New Roman" w:hAnsi="Times New Roman" w:cs="Times New Roman"/>
              </w:rPr>
              <w:t>检测类别</w:t>
            </w:r>
          </w:p>
        </w:tc>
        <w:tc>
          <w:tcPr>
            <w:tcW w:w="745" w:type="pct"/>
            <w:vAlign w:val="center"/>
          </w:tcPr>
          <w:p>
            <w:pPr>
              <w:jc w:val="center"/>
              <w:rPr>
                <w:rFonts w:ascii="Times New Roman" w:hAnsi="Times New Roman" w:cs="Times New Roman"/>
              </w:rPr>
            </w:pPr>
            <w:r>
              <w:rPr>
                <w:rFonts w:ascii="Times New Roman" w:hAnsi="Times New Roman" w:cs="Times New Roman"/>
              </w:rPr>
              <w:t>检测点位</w:t>
            </w:r>
          </w:p>
        </w:tc>
        <w:tc>
          <w:tcPr>
            <w:tcW w:w="858" w:type="pct"/>
            <w:vAlign w:val="center"/>
          </w:tcPr>
          <w:p>
            <w:pPr>
              <w:jc w:val="center"/>
              <w:rPr>
                <w:rFonts w:ascii="Times New Roman" w:hAnsi="Times New Roman" w:cs="Times New Roman"/>
              </w:rPr>
            </w:pPr>
            <w:r>
              <w:rPr>
                <w:rFonts w:ascii="Times New Roman" w:hAnsi="Times New Roman" w:cs="Times New Roman"/>
              </w:rPr>
              <w:t>检测时间</w:t>
            </w:r>
          </w:p>
        </w:tc>
        <w:tc>
          <w:tcPr>
            <w:tcW w:w="826" w:type="pct"/>
            <w:vAlign w:val="center"/>
          </w:tcPr>
          <w:p>
            <w:pPr>
              <w:jc w:val="center"/>
              <w:rPr>
                <w:rFonts w:ascii="Times New Roman" w:hAnsi="Times New Roman" w:cs="Times New Roman"/>
              </w:rPr>
            </w:pPr>
            <w:r>
              <w:rPr>
                <w:rFonts w:ascii="Times New Roman" w:hAnsi="Times New Roman" w:cs="Times New Roman"/>
              </w:rPr>
              <w:t>检测时段</w:t>
            </w:r>
          </w:p>
        </w:tc>
        <w:tc>
          <w:tcPr>
            <w:tcW w:w="720" w:type="pct"/>
            <w:vAlign w:val="center"/>
          </w:tcPr>
          <w:p>
            <w:pPr>
              <w:jc w:val="center"/>
              <w:rPr>
                <w:rFonts w:ascii="Times New Roman" w:hAnsi="Times New Roman" w:cs="Times New Roman"/>
              </w:rPr>
            </w:pPr>
            <w:r>
              <w:rPr>
                <w:rFonts w:ascii="Times New Roman" w:hAnsi="Times New Roman" w:cs="Times New Roman"/>
              </w:rPr>
              <w:t>检测结果</w:t>
            </w:r>
          </w:p>
        </w:tc>
        <w:tc>
          <w:tcPr>
            <w:tcW w:w="1202" w:type="pct"/>
            <w:vAlign w:val="center"/>
          </w:tcPr>
          <w:p>
            <w:pPr>
              <w:jc w:val="center"/>
              <w:rPr>
                <w:rFonts w:ascii="Times New Roman" w:hAnsi="Times New Roman" w:cs="Times New Roman"/>
              </w:rPr>
            </w:pPr>
            <w:r>
              <w:rPr>
                <w:rFonts w:ascii="Times New Roman" w:hAnsi="Times New Roman" w:cs="Times New Roma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噪声</w:t>
            </w:r>
          </w:p>
        </w:tc>
        <w:tc>
          <w:tcPr>
            <w:tcW w:w="745"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厂界东面厂界外1mN1</w:t>
            </w:r>
          </w:p>
        </w:tc>
        <w:tc>
          <w:tcPr>
            <w:tcW w:w="858"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2022-09-01</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51</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2022-09-02</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44</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厂界南面厂界外1mN2</w:t>
            </w: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2022-09-01</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2022-09-02</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厂界西面厂界外1mN3</w:t>
            </w: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2022-09-01</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41</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2022-09-02</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厂界北面厂界外1mN4</w:t>
            </w: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2022-09-01</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43</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2436" w:type="dxa"/>
            <w:vMerge w:val="restar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2022-09-02</w:t>
            </w: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6" w:type="pct"/>
            <w:vMerge w:val="continue"/>
            <w:vAlign w:val="center"/>
          </w:tcPr>
          <w:p>
            <w:pPr>
              <w:pStyle w:val="59"/>
              <w:adjustRightInd/>
              <w:jc w:val="center"/>
              <w:rPr>
                <w:rFonts w:ascii="Times New Roman" w:hAnsi="Times New Roman" w:cs="Times New Roman" w:eastAsiaTheme="minorEastAsia"/>
                <w:sz w:val="21"/>
                <w:szCs w:val="21"/>
              </w:rPr>
            </w:pPr>
          </w:p>
        </w:tc>
        <w:tc>
          <w:tcPr>
            <w:tcW w:w="745" w:type="pct"/>
            <w:vMerge w:val="continue"/>
            <w:vAlign w:val="center"/>
          </w:tcPr>
          <w:p>
            <w:pPr>
              <w:pStyle w:val="59"/>
              <w:adjustRightInd/>
              <w:jc w:val="center"/>
              <w:rPr>
                <w:rFonts w:ascii="Times New Roman" w:hAnsi="Times New Roman" w:cs="Times New Roman" w:eastAsiaTheme="minorEastAsia"/>
                <w:sz w:val="21"/>
                <w:szCs w:val="21"/>
              </w:rPr>
            </w:pPr>
          </w:p>
        </w:tc>
        <w:tc>
          <w:tcPr>
            <w:tcW w:w="858" w:type="pct"/>
            <w:vMerge w:val="continue"/>
            <w:vAlign w:val="center"/>
          </w:tcPr>
          <w:p>
            <w:pPr>
              <w:pStyle w:val="59"/>
              <w:adjustRightInd/>
              <w:jc w:val="center"/>
              <w:rPr>
                <w:rFonts w:ascii="Times New Roman" w:hAnsi="Times New Roman" w:cs="Times New Roman" w:eastAsiaTheme="minorEastAsia"/>
                <w:sz w:val="21"/>
                <w:szCs w:val="21"/>
              </w:rPr>
            </w:pPr>
          </w:p>
        </w:tc>
        <w:tc>
          <w:tcPr>
            <w:tcW w:w="826"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720"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42</w:t>
            </w:r>
          </w:p>
        </w:tc>
        <w:tc>
          <w:tcPr>
            <w:tcW w:w="1202" w:type="pct"/>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6"/>
            <w:vAlign w:val="center"/>
          </w:tcPr>
          <w:p>
            <w:pPr>
              <w:pStyle w:val="59"/>
              <w:adjustRightInd/>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备注：参考《声环境质量标准》（GB 3096-2008）2类标准。</w:t>
            </w:r>
          </w:p>
        </w:tc>
      </w:tr>
    </w:tbl>
    <w:p>
      <w:pPr>
        <w:pStyle w:val="3"/>
        <w:ind w:firstLine="480"/>
        <w:rPr>
          <w:rFonts w:cs="Times New Roman"/>
          <w:kern w:val="0"/>
        </w:rPr>
      </w:pPr>
      <w:r>
        <w:rPr>
          <w:rFonts w:hint="eastAsia" w:cs="Times New Roman"/>
          <w:kern w:val="0"/>
        </w:rPr>
        <w:t>由监测结果可知，项目厂界及周边敏感点的声环境均可达到《声环境质量标准》（</w:t>
      </w:r>
      <w:r>
        <w:rPr>
          <w:rFonts w:cs="Times New Roman"/>
          <w:kern w:val="0"/>
        </w:rPr>
        <w:t>GB3096-2008</w:t>
      </w:r>
      <w:r>
        <w:rPr>
          <w:rFonts w:hint="eastAsia" w:cs="Times New Roman"/>
          <w:kern w:val="0"/>
        </w:rPr>
        <w:t>）中的</w:t>
      </w:r>
      <w:r>
        <w:rPr>
          <w:rFonts w:cs="Times New Roman"/>
          <w:kern w:val="0"/>
        </w:rPr>
        <w:t>2</w:t>
      </w:r>
      <w:r>
        <w:rPr>
          <w:rFonts w:hint="eastAsia" w:cs="Times New Roman"/>
          <w:kern w:val="0"/>
        </w:rPr>
        <w:t>类标准（昼：</w:t>
      </w:r>
      <w:r>
        <w:rPr>
          <w:rFonts w:cs="Times New Roman"/>
          <w:kern w:val="0"/>
        </w:rPr>
        <w:t>60dB</w:t>
      </w:r>
      <w:r>
        <w:rPr>
          <w:rFonts w:hint="eastAsia" w:cs="Times New Roman"/>
          <w:kern w:val="0"/>
        </w:rPr>
        <w:t>（</w:t>
      </w:r>
      <w:r>
        <w:rPr>
          <w:rFonts w:cs="Times New Roman"/>
          <w:kern w:val="0"/>
        </w:rPr>
        <w:t>A</w:t>
      </w:r>
      <w:r>
        <w:rPr>
          <w:rFonts w:hint="eastAsia" w:cs="Times New Roman"/>
          <w:kern w:val="0"/>
        </w:rPr>
        <w:t>），夜：</w:t>
      </w:r>
      <w:r>
        <w:rPr>
          <w:rFonts w:cs="Times New Roman"/>
          <w:kern w:val="0"/>
        </w:rPr>
        <w:t>50 dB</w:t>
      </w:r>
      <w:r>
        <w:rPr>
          <w:rFonts w:hint="eastAsia" w:cs="Times New Roman"/>
          <w:kern w:val="0"/>
        </w:rPr>
        <w:t>（</w:t>
      </w:r>
      <w:r>
        <w:rPr>
          <w:rFonts w:cs="Times New Roman"/>
          <w:kern w:val="0"/>
        </w:rPr>
        <w:t>A</w:t>
      </w:r>
      <w:r>
        <w:rPr>
          <w:rFonts w:hint="eastAsia" w:cs="Times New Roman"/>
          <w:kern w:val="0"/>
        </w:rPr>
        <w:t>）），表明声环境质量较好。</w:t>
      </w:r>
    </w:p>
    <w:p>
      <w:pPr>
        <w:pStyle w:val="3"/>
        <w:ind w:firstLine="0" w:firstLineChars="0"/>
        <w:outlineLvl w:val="2"/>
        <w:rPr>
          <w:rFonts w:eastAsia="黑体" w:cstheme="majorBidi"/>
          <w:bCs/>
          <w:szCs w:val="32"/>
        </w:rPr>
      </w:pPr>
      <w:r>
        <w:rPr>
          <w:rFonts w:hint="eastAsia"/>
        </w:rPr>
        <w:t>5.2.5</w:t>
      </w:r>
      <w:r>
        <w:rPr>
          <w:rFonts w:hint="eastAsia"/>
        </w:rPr>
        <w:tab/>
      </w:r>
      <w:r>
        <w:rPr>
          <w:rFonts w:hint="eastAsia" w:eastAsia="黑体" w:cstheme="majorBidi"/>
          <w:bCs/>
          <w:szCs w:val="32"/>
        </w:rPr>
        <w:t>生态环境质量现状</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）植被和土地利用</w:t>
      </w:r>
    </w:p>
    <w:p>
      <w:pPr>
        <w:pStyle w:val="3"/>
        <w:ind w:firstLine="480"/>
        <w:rPr>
          <w:rFonts w:cs="Times New Roman"/>
          <w:kern w:val="0"/>
        </w:rPr>
      </w:pPr>
      <w:r>
        <w:rPr>
          <w:rFonts w:hint="eastAsia" w:cs="Times New Roman"/>
          <w:kern w:val="0"/>
        </w:rPr>
        <w:t>本项目评价区域内植被由农作物以及低矮的乔灌木植物组成，区域内自然环境比较简单。通过现场踏勘及向当地居民进行调查了解，评价区域内无珍稀野生植物及古树等需保护的植物分布。</w:t>
      </w:r>
    </w:p>
    <w:p>
      <w:pPr>
        <w:pStyle w:val="3"/>
        <w:ind w:firstLine="480"/>
        <w:rPr>
          <w:rFonts w:cs="Times New Roman"/>
          <w:kern w:val="0"/>
        </w:rPr>
      </w:pPr>
      <w:r>
        <w:rPr>
          <w:rFonts w:hint="eastAsia" w:cs="Times New Roman"/>
          <w:kern w:val="0"/>
        </w:rPr>
        <w:t>建设区域周边土地利用类型主要为农田和林地、旱地、种植地，表层土壤为较厚粘土层。</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）动物</w:t>
      </w:r>
    </w:p>
    <w:p>
      <w:pPr>
        <w:pStyle w:val="3"/>
        <w:ind w:firstLine="480"/>
        <w:rPr>
          <w:rFonts w:cs="Times New Roman"/>
          <w:kern w:val="0"/>
        </w:rPr>
      </w:pPr>
      <w:r>
        <w:rPr>
          <w:rFonts w:hint="eastAsia" w:cs="Times New Roman"/>
          <w:kern w:val="0"/>
        </w:rPr>
        <w:t>区域现存的野生陆生动物主要为一些小型的两栖动物、爬行动物、哺乳动物及鸟类等。项目所在区域野生动物如老鼠、黄鼠狼等，家畜家禽主要有猪、狗、牛、鸡、鸭等，飞禽主要为常见鸟类，如麻雀、乌鸦等。在项目影响区域内无受国家和地区保护的珍稀野生动物，也无地方特有动物的重要栖息地。</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）生态存在的主要问题</w:t>
      </w:r>
    </w:p>
    <w:p>
      <w:pPr>
        <w:pStyle w:val="3"/>
        <w:ind w:firstLine="480"/>
        <w:rPr>
          <w:rFonts w:cs="Times New Roman"/>
          <w:kern w:val="0"/>
        </w:rPr>
      </w:pPr>
      <w:r>
        <w:rPr>
          <w:rFonts w:hint="eastAsia" w:cs="Times New Roman"/>
          <w:kern w:val="0"/>
        </w:rPr>
        <w:t>本项目周边主要为农田和林地、旱地、种植地，生态环境较好。</w:t>
      </w:r>
    </w:p>
    <w:p>
      <w:pPr>
        <w:pStyle w:val="5"/>
      </w:pPr>
      <w:bookmarkStart w:id="27" w:name="_Toc116993070"/>
      <w:r>
        <w:rPr>
          <w:rFonts w:hint="eastAsia"/>
        </w:rPr>
        <w:t>区域</w:t>
      </w:r>
      <w:r>
        <w:t>污染源调查</w:t>
      </w:r>
      <w:bookmarkEnd w:id="27"/>
    </w:p>
    <w:p>
      <w:pPr>
        <w:pStyle w:val="3"/>
        <w:ind w:firstLine="480"/>
        <w:rPr>
          <w:rFonts w:cs="Times New Roman"/>
          <w:kern w:val="0"/>
        </w:rPr>
      </w:pPr>
      <w:r>
        <w:rPr>
          <w:rFonts w:hint="eastAsia" w:cs="Times New Roman"/>
          <w:kern w:val="0"/>
        </w:rPr>
        <w:t>本项目位于衡阳县集兵镇大利村祝老屋组，根据现状调查结果，项目周边主要为农田及旱地、林地、种植地，没有工业企业，项目区域主要污染源为农业面源污染。</w:t>
      </w:r>
    </w:p>
    <w:p>
      <w:pPr>
        <w:pStyle w:val="3"/>
        <w:ind w:firstLine="480"/>
      </w:pPr>
      <w:r>
        <w:br w:type="page"/>
      </w:r>
    </w:p>
    <w:p>
      <w:pPr>
        <w:pStyle w:val="2"/>
        <w:ind w:left="0"/>
      </w:pPr>
      <w:bookmarkStart w:id="28" w:name="_Toc116993071"/>
      <w:r>
        <w:rPr>
          <w:rFonts w:hint="eastAsia"/>
        </w:rPr>
        <w:t>环境</w:t>
      </w:r>
      <w:r>
        <w:t>影响预测与评价</w:t>
      </w:r>
      <w:bookmarkEnd w:id="28"/>
    </w:p>
    <w:p>
      <w:pPr>
        <w:pStyle w:val="5"/>
      </w:pPr>
      <w:bookmarkStart w:id="29" w:name="_Toc116993072"/>
      <w:r>
        <w:rPr>
          <w:rFonts w:hint="eastAsia"/>
        </w:rPr>
        <w:t>施工期</w:t>
      </w:r>
      <w:r>
        <w:t>环境影响</w:t>
      </w:r>
      <w:r>
        <w:rPr>
          <w:rFonts w:hint="eastAsia"/>
        </w:rPr>
        <w:t>预测</w:t>
      </w:r>
      <w:r>
        <w:t>与评价</w:t>
      </w:r>
      <w:bookmarkEnd w:id="29"/>
    </w:p>
    <w:p>
      <w:pPr>
        <w:pStyle w:val="3"/>
        <w:ind w:firstLine="0" w:firstLineChars="0"/>
        <w:outlineLvl w:val="2"/>
        <w:rPr>
          <w:rFonts w:eastAsia="黑体" w:cstheme="majorBidi"/>
          <w:bCs/>
          <w:szCs w:val="32"/>
        </w:rPr>
      </w:pPr>
      <w:r>
        <w:rPr>
          <w:rFonts w:hint="eastAsia"/>
        </w:rPr>
        <w:t>6.1.1</w:t>
      </w:r>
      <w:r>
        <w:rPr>
          <w:rFonts w:hint="eastAsia"/>
        </w:rPr>
        <w:tab/>
      </w:r>
      <w:r>
        <w:rPr>
          <w:rFonts w:hint="eastAsia" w:eastAsia="黑体" w:cstheme="majorBidi"/>
          <w:bCs/>
          <w:szCs w:val="32"/>
        </w:rPr>
        <w:t>施工期地表水环境影响分析</w:t>
      </w:r>
    </w:p>
    <w:p>
      <w:pPr>
        <w:pStyle w:val="3"/>
        <w:ind w:firstLine="480"/>
        <w:rPr>
          <w:rFonts w:cs="Times New Roman"/>
          <w:kern w:val="0"/>
        </w:rPr>
      </w:pPr>
      <w:r>
        <w:rPr>
          <w:rFonts w:cs="Times New Roman"/>
          <w:kern w:val="0"/>
        </w:rPr>
        <w:t>施工期产生的废水包括施工本身产生的施工废水和施工人员的生活污水，其中施工废水主要为基坑废水、混凝土养护废水及车辆冲洗废水。</w:t>
      </w:r>
    </w:p>
    <w:p>
      <w:pPr>
        <w:pStyle w:val="3"/>
        <w:ind w:firstLine="480"/>
        <w:rPr>
          <w:rFonts w:cs="Times New Roman"/>
          <w:kern w:val="0"/>
        </w:rPr>
      </w:pPr>
      <w:r>
        <w:rPr>
          <w:rFonts w:hint="eastAsia" w:cs="Times New Roman"/>
          <w:kern w:val="0"/>
        </w:rPr>
        <w:t>1、</w:t>
      </w:r>
      <w:r>
        <w:rPr>
          <w:rFonts w:cs="Times New Roman"/>
          <w:kern w:val="0"/>
        </w:rPr>
        <w:t>施工废水</w:t>
      </w:r>
    </w:p>
    <w:p>
      <w:pPr>
        <w:pStyle w:val="3"/>
        <w:ind w:firstLine="480"/>
        <w:rPr>
          <w:rFonts w:cs="Times New Roman"/>
          <w:kern w:val="0"/>
        </w:rPr>
      </w:pPr>
      <w:r>
        <w:rPr>
          <w:rFonts w:hint="eastAsia" w:cs="Times New Roman"/>
          <w:kern w:val="0"/>
        </w:rPr>
        <w:t>（1）</w:t>
      </w:r>
      <w:r>
        <w:rPr>
          <w:rFonts w:cs="Times New Roman"/>
          <w:kern w:val="0"/>
        </w:rPr>
        <w:t>混凝土养护废水：新浇筑的混凝土需要保证一定的湿度进行养护，养护时产生混凝土养护废水，混凝土养护废水由于产生量极少，评价建议建设单位在现场修建截污水沟及临时沉淀池，养护废水经沉淀处理后用于场地降尘洒水，难以形成地表径流，因此，混凝土养护废水对水环境无影响。</w:t>
      </w:r>
    </w:p>
    <w:p>
      <w:pPr>
        <w:pStyle w:val="3"/>
        <w:ind w:firstLine="480"/>
        <w:rPr>
          <w:rFonts w:cs="Times New Roman"/>
          <w:kern w:val="0"/>
        </w:rPr>
      </w:pPr>
      <w:r>
        <w:rPr>
          <w:rFonts w:hint="eastAsia" w:cs="Times New Roman"/>
          <w:kern w:val="0"/>
        </w:rPr>
        <w:t>（2）</w:t>
      </w:r>
      <w:r>
        <w:rPr>
          <w:rFonts w:cs="Times New Roman"/>
          <w:kern w:val="0"/>
        </w:rPr>
        <w:t>基坑废水：主要由大气降水在场地内的基坑形成，该废水为无毒无害废水，经厂区临时沉淀池沉淀处理后就回用于现场降尘洒水，不对周边地表水体产生污染影响。</w:t>
      </w:r>
    </w:p>
    <w:p>
      <w:pPr>
        <w:pStyle w:val="3"/>
        <w:ind w:firstLine="480"/>
        <w:rPr>
          <w:rFonts w:cs="Times New Roman"/>
          <w:kern w:val="0"/>
        </w:rPr>
      </w:pPr>
      <w:r>
        <w:rPr>
          <w:rFonts w:hint="eastAsia" w:cs="Times New Roman"/>
          <w:kern w:val="0"/>
        </w:rPr>
        <w:t>（3）</w:t>
      </w:r>
      <w:r>
        <w:rPr>
          <w:rFonts w:cs="Times New Roman"/>
          <w:kern w:val="0"/>
        </w:rPr>
        <w:t>车辆冲洗废水：主要来源于运输车辆冲洗水等，产生量约3.0m</w:t>
      </w:r>
      <w:r>
        <w:rPr>
          <w:rFonts w:cs="Times New Roman"/>
          <w:kern w:val="0"/>
          <w:vertAlign w:val="superscript"/>
        </w:rPr>
        <w:t>3</w:t>
      </w:r>
      <w:r>
        <w:rPr>
          <w:rFonts w:cs="Times New Roman"/>
          <w:kern w:val="0"/>
        </w:rPr>
        <w:t>/d，SS浓度高达2000~4000mg/L，在场地内</w:t>
      </w:r>
      <w:r>
        <w:rPr>
          <w:rFonts w:hint="eastAsia" w:cs="Times New Roman"/>
          <w:kern w:val="0"/>
        </w:rPr>
        <w:t>西北出入口</w:t>
      </w:r>
      <w:r>
        <w:rPr>
          <w:rFonts w:cs="Times New Roman"/>
          <w:kern w:val="0"/>
        </w:rPr>
        <w:t>修建2×2×1m</w:t>
      </w:r>
      <w:r>
        <w:rPr>
          <w:rFonts w:cs="Times New Roman"/>
          <w:kern w:val="0"/>
          <w:vertAlign w:val="superscript"/>
        </w:rPr>
        <w:t>3</w:t>
      </w:r>
      <w:r>
        <w:rPr>
          <w:rFonts w:cs="Times New Roman"/>
          <w:kern w:val="0"/>
        </w:rPr>
        <w:t>的隔油沉淀池，废水经沉淀处理后全部回用，不外排，对区域水环境影响小。</w:t>
      </w:r>
    </w:p>
    <w:p>
      <w:pPr>
        <w:pStyle w:val="3"/>
        <w:ind w:firstLine="480"/>
        <w:rPr>
          <w:rFonts w:cs="Times New Roman"/>
          <w:kern w:val="0"/>
        </w:rPr>
      </w:pPr>
      <w:r>
        <w:rPr>
          <w:rFonts w:cs="Times New Roman"/>
          <w:kern w:val="0"/>
        </w:rPr>
        <w:t>另外，施工场地需在开挖作业面周围设置雨水沟，将作业区地面雨水导至地面水体，减少雨水对施工地面造成冲刷，同时在施工地最低处设置雨水沉淀池，减少水土流失量。</w:t>
      </w:r>
    </w:p>
    <w:p>
      <w:pPr>
        <w:pStyle w:val="3"/>
        <w:ind w:firstLine="480"/>
        <w:rPr>
          <w:rFonts w:cs="Times New Roman"/>
          <w:kern w:val="0"/>
        </w:rPr>
      </w:pPr>
      <w:r>
        <w:rPr>
          <w:rFonts w:hint="eastAsia" w:cs="Times New Roman"/>
          <w:kern w:val="0"/>
        </w:rPr>
        <w:t>2、</w:t>
      </w:r>
      <w:r>
        <w:rPr>
          <w:rFonts w:cs="Times New Roman"/>
          <w:kern w:val="0"/>
        </w:rPr>
        <w:t>施工人员生活废水</w:t>
      </w:r>
    </w:p>
    <w:p>
      <w:pPr>
        <w:pStyle w:val="3"/>
        <w:ind w:firstLine="480"/>
        <w:rPr>
          <w:rFonts w:cs="Times New Roman"/>
          <w:kern w:val="0"/>
        </w:rPr>
      </w:pPr>
      <w:r>
        <w:rPr>
          <w:rFonts w:cs="Times New Roman"/>
          <w:kern w:val="0"/>
        </w:rPr>
        <w:t>施工人员从附近居民中招募，因此施工场地内不设施工生活营地，不设食堂，无含油生活污水排放。施工场地设临时旱厕，工人如厕废水经旱厕收集处理后，委托周边村民定期清掏运走作为周边农田肥料。施工人员洗手、洗脸产生少量的废水，经施工场地的临时沉淀池收集沉淀后用于施工场地内防尘洒水，不外排，不影响周边地表水。</w:t>
      </w:r>
    </w:p>
    <w:p>
      <w:pPr>
        <w:pStyle w:val="3"/>
        <w:ind w:firstLine="0" w:firstLineChars="0"/>
        <w:outlineLvl w:val="2"/>
        <w:rPr>
          <w:rFonts w:eastAsia="黑体" w:cstheme="majorBidi"/>
          <w:bCs/>
          <w:szCs w:val="32"/>
        </w:rPr>
      </w:pPr>
      <w:r>
        <w:rPr>
          <w:rFonts w:hint="eastAsia"/>
        </w:rPr>
        <w:t>6.1.2</w:t>
      </w:r>
      <w:r>
        <w:rPr>
          <w:rFonts w:hint="eastAsia"/>
        </w:rPr>
        <w:tab/>
      </w:r>
      <w:r>
        <w:rPr>
          <w:rFonts w:hint="eastAsia" w:eastAsia="黑体" w:cstheme="majorBidi"/>
          <w:bCs/>
          <w:szCs w:val="32"/>
        </w:rPr>
        <w:t>施工期大气环境影响分析</w:t>
      </w:r>
    </w:p>
    <w:p>
      <w:pPr>
        <w:pStyle w:val="3"/>
        <w:ind w:firstLine="480"/>
        <w:rPr>
          <w:rFonts w:cs="Times New Roman"/>
          <w:kern w:val="0"/>
        </w:rPr>
      </w:pPr>
      <w:r>
        <w:rPr>
          <w:rFonts w:hint="eastAsia" w:cs="Times New Roman"/>
          <w:kern w:val="0"/>
        </w:rPr>
        <w:t>施工期大气污染主要是施工阶段产生的扬尘、汽车尾气、装修废气等。</w:t>
      </w:r>
    </w:p>
    <w:p>
      <w:pPr>
        <w:pStyle w:val="3"/>
        <w:ind w:firstLine="480"/>
        <w:rPr>
          <w:rFonts w:cs="Times New Roman"/>
          <w:kern w:val="0"/>
        </w:rPr>
      </w:pPr>
      <w:r>
        <w:rPr>
          <w:rFonts w:hint="eastAsia" w:cs="Times New Roman"/>
          <w:kern w:val="0"/>
        </w:rPr>
        <w:t>1、施工期扬尘</w:t>
      </w:r>
    </w:p>
    <w:p>
      <w:pPr>
        <w:pStyle w:val="3"/>
        <w:ind w:firstLine="480"/>
        <w:rPr>
          <w:rFonts w:cs="Times New Roman"/>
          <w:kern w:val="0"/>
        </w:rPr>
      </w:pPr>
      <w:r>
        <w:rPr>
          <w:rFonts w:hint="eastAsia" w:cs="Times New Roman"/>
          <w:kern w:val="0"/>
        </w:rPr>
        <w:t>对整个施工期而言，施工产生的扬尘主要集中在土建施工阶段，按起尘的原因可分为风力起尘和动力起尘，其中风力起尘主要是由于露天堆放的建材（如砂石、水泥等）及裸露的施工区表层浮尘由于天气干燥及大风，产生风力扬尘；而动力起尘，主要是在建材的装卸、堆放过程中，由于外力而产生的尘粒再悬浮而造成，其中施工及装卸车辆造成的扬尘最为严重。</w:t>
      </w:r>
    </w:p>
    <w:p>
      <w:pPr>
        <w:pStyle w:val="3"/>
        <w:ind w:firstLine="480"/>
        <w:rPr>
          <w:rFonts w:cs="Times New Roman"/>
          <w:kern w:val="0"/>
        </w:rPr>
      </w:pPr>
      <w:r>
        <w:rPr>
          <w:rFonts w:hint="eastAsia" w:cs="Times New Roman"/>
          <w:kern w:val="0"/>
        </w:rPr>
        <w:t>（1）</w:t>
      </w:r>
      <w:r>
        <w:rPr>
          <w:rFonts w:cs="Times New Roman"/>
          <w:kern w:val="0"/>
        </w:rPr>
        <w:t>施工期运输车辆扬尘影响分析</w:t>
      </w:r>
    </w:p>
    <w:p>
      <w:pPr>
        <w:pStyle w:val="3"/>
        <w:ind w:firstLine="480"/>
        <w:rPr>
          <w:rFonts w:cs="Times New Roman"/>
        </w:rPr>
      </w:pPr>
      <w:r>
        <w:rPr>
          <w:rFonts w:cs="Times New Roman"/>
        </w:rPr>
        <w:t>据有关文献资料介绍，车辆行驶产生的扬尘占总扬尘的60%以上，车辆行驶产生的扬尘，在完全干燥情况下，可按下列经验公式计算：</w:t>
      </w:r>
    </w:p>
    <w:p>
      <w:pPr>
        <w:pStyle w:val="3"/>
        <w:ind w:firstLine="480"/>
        <w:jc w:val="center"/>
        <w:rPr>
          <w:rFonts w:cs="Times New Roman"/>
        </w:rPr>
      </w:pPr>
      <w:r>
        <w:rPr>
          <w:rFonts w:cs="Times New Roman"/>
        </w:rPr>
        <w:object>
          <v:shape id="_x0000_i1028" o:spt="75" type="#_x0000_t75" style="height:18pt;width:201pt;" o:ole="t" filled="f" o:preferrelative="t" stroked="f" coordsize="21600,21600">
            <v:path/>
            <v:fill on="f" focussize="0,0"/>
            <v:stroke on="f" joinstyle="miter"/>
            <v:imagedata r:id="rId23" embosscolor="#FFFFFF" o:title=""/>
            <o:lock v:ext="edit" aspectratio="t"/>
            <w10:wrap type="none"/>
            <w10:anchorlock/>
          </v:shape>
          <o:OLEObject Type="Embed" ProgID="Equation.3" ShapeID="_x0000_i1028" DrawAspect="Content" ObjectID="_1468075728" r:id="rId22">
            <o:LockedField>false</o:LockedField>
          </o:OLEObject>
        </w:object>
      </w:r>
    </w:p>
    <w:p>
      <w:pPr>
        <w:pStyle w:val="3"/>
        <w:ind w:firstLine="480"/>
        <w:rPr>
          <w:rFonts w:cs="Times New Roman"/>
          <w:kern w:val="0"/>
        </w:rPr>
      </w:pPr>
      <w:r>
        <w:rPr>
          <w:rFonts w:cs="Times New Roman"/>
          <w:kern w:val="0"/>
        </w:rPr>
        <w:t>式中：Q—汽车行驶的扬尘，kg/km·辆；</w:t>
      </w:r>
    </w:p>
    <w:p>
      <w:pPr>
        <w:pStyle w:val="3"/>
        <w:ind w:firstLine="1200" w:firstLineChars="500"/>
        <w:rPr>
          <w:rFonts w:cs="Times New Roman"/>
          <w:kern w:val="0"/>
        </w:rPr>
      </w:pPr>
      <w:r>
        <w:rPr>
          <w:rFonts w:cs="Times New Roman"/>
          <w:kern w:val="0"/>
        </w:rPr>
        <w:t>V—汽车速度，km/hr；</w:t>
      </w:r>
    </w:p>
    <w:p>
      <w:pPr>
        <w:pStyle w:val="3"/>
        <w:ind w:firstLine="1200" w:firstLineChars="500"/>
        <w:rPr>
          <w:rFonts w:cs="Times New Roman"/>
          <w:kern w:val="0"/>
        </w:rPr>
      </w:pPr>
      <w:r>
        <w:rPr>
          <w:rFonts w:cs="Times New Roman"/>
          <w:kern w:val="0"/>
        </w:rPr>
        <w:t xml:space="preserve">W—汽车载重量，吨；     </w:t>
      </w:r>
    </w:p>
    <w:p>
      <w:pPr>
        <w:pStyle w:val="3"/>
        <w:ind w:firstLine="1200" w:firstLineChars="500"/>
        <w:rPr>
          <w:rFonts w:cs="Times New Roman"/>
          <w:kern w:val="0"/>
        </w:rPr>
      </w:pPr>
      <w:r>
        <w:rPr>
          <w:rFonts w:cs="Times New Roman"/>
          <w:kern w:val="0"/>
        </w:rPr>
        <w:t>P—道路表面粉尘量，kg/m</w:t>
      </w:r>
      <w:r>
        <w:rPr>
          <w:rFonts w:cs="Times New Roman"/>
          <w:kern w:val="0"/>
          <w:vertAlign w:val="superscript"/>
        </w:rPr>
        <w:t>2</w:t>
      </w:r>
      <w:r>
        <w:rPr>
          <w:rFonts w:cs="Times New Roman"/>
          <w:kern w:val="0"/>
        </w:rPr>
        <w:t>。</w:t>
      </w:r>
    </w:p>
    <w:p>
      <w:pPr>
        <w:pStyle w:val="3"/>
        <w:ind w:firstLine="480"/>
        <w:rPr>
          <w:rFonts w:cs="Times New Roman"/>
          <w:kern w:val="0"/>
        </w:rPr>
      </w:pPr>
      <w:r>
        <w:rPr>
          <w:rFonts w:cs="Times New Roman"/>
          <w:kern w:val="0"/>
        </w:rPr>
        <w:t>表</w:t>
      </w:r>
      <w:r>
        <w:rPr>
          <w:rFonts w:hint="eastAsia" w:cs="Times New Roman"/>
          <w:kern w:val="0"/>
        </w:rPr>
        <w:t>6.1-1</w:t>
      </w:r>
      <w:r>
        <w:rPr>
          <w:rFonts w:cs="Times New Roman"/>
          <w:kern w:val="0"/>
        </w:rPr>
        <w:t>为一辆载重5t的卡车，通过一段长度为500m的路面时，不同路面清洁程度，不同行驶速度情况下产生的扬尘量。由此可见，在同样路面清洁情况下，车速越快，扬尘量越大；而在同样车速情况下，路面清洁度越差，则扬尘量越大。</w:t>
      </w:r>
    </w:p>
    <w:p>
      <w:pPr>
        <w:pStyle w:val="3"/>
        <w:spacing w:line="240" w:lineRule="auto"/>
        <w:ind w:firstLine="482"/>
        <w:jc w:val="center"/>
        <w:rPr>
          <w:rFonts w:cs="Times New Roman"/>
          <w:kern w:val="0"/>
        </w:rPr>
      </w:pPr>
      <w:r>
        <w:rPr>
          <w:rFonts w:hint="eastAsia" w:cs="Times New Roman" w:eastAsiaTheme="minorEastAsia"/>
          <w:b/>
        </w:rPr>
        <w:t>表6.1-1</w:t>
      </w:r>
      <w:r>
        <w:rPr>
          <w:rFonts w:cs="Times New Roman" w:eastAsiaTheme="minorEastAsia"/>
          <w:b/>
        </w:rPr>
        <w:t xml:space="preserve">  </w:t>
      </w:r>
      <w:r>
        <w:rPr>
          <w:rFonts w:hint="eastAsia" w:cs="Times New Roman" w:eastAsiaTheme="minorEastAsia"/>
          <w:b/>
        </w:rPr>
        <w:t>不同车速和地面清洁程度时的汽车扬尘  单位：kg/辆•km</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3"/>
        <w:gridCol w:w="1310"/>
        <w:gridCol w:w="1312"/>
        <w:gridCol w:w="1312"/>
        <w:gridCol w:w="1310"/>
        <w:gridCol w:w="1310"/>
        <w:gridCol w:w="13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6" w:type="pct"/>
            <w:tcBorders>
              <w:top w:val="single" w:color="auto" w:sz="4" w:space="0"/>
              <w:left w:val="single" w:color="auto" w:sz="4" w:space="0"/>
              <w:bottom w:val="single" w:color="auto" w:sz="4" w:space="0"/>
              <w:right w:val="single" w:color="auto" w:sz="4" w:space="0"/>
              <w:tl2br w:val="single" w:color="auto" w:sz="4" w:space="0"/>
            </w:tcBorders>
            <w:vAlign w:val="center"/>
          </w:tcPr>
          <w:p>
            <w:pPr>
              <w:pStyle w:val="49"/>
              <w:rPr>
                <w:rFonts w:cs="Times New Roman"/>
              </w:rPr>
            </w:pPr>
            <w:r>
              <w:rPr>
                <w:rFonts w:cs="Times New Roman"/>
              </w:rPr>
              <w:t xml:space="preserve">       P</w:t>
            </w:r>
          </w:p>
          <w:p>
            <w:pPr>
              <w:pStyle w:val="49"/>
              <w:jc w:val="left"/>
              <w:rPr>
                <w:rFonts w:cs="Times New Roman"/>
              </w:rPr>
            </w:pPr>
            <w:r>
              <w:rPr>
                <w:rFonts w:cs="Times New Roman"/>
              </w:rPr>
              <w:t>车速</w:t>
            </w:r>
            <w:r>
              <w:rPr>
                <w:rFonts w:cs="Times New Roman"/>
                <w:sz w:val="18"/>
                <w:szCs w:val="18"/>
              </w:rPr>
              <w:t>(km/h)</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0.1（kg/m</w:t>
            </w:r>
            <w:r>
              <w:rPr>
                <w:rFonts w:cs="Times New Roman"/>
                <w:vertAlign w:val="superscript"/>
              </w:rPr>
              <w:t>2</w:t>
            </w:r>
            <w:r>
              <w:rPr>
                <w:rFonts w:cs="Times New Roman"/>
              </w:rPr>
              <w:t>）</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0.2（kg/m</w:t>
            </w:r>
            <w:r>
              <w:rPr>
                <w:rFonts w:cs="Times New Roman"/>
                <w:vertAlign w:val="superscript"/>
              </w:rPr>
              <w:t>2</w:t>
            </w:r>
            <w:r>
              <w:rPr>
                <w:rFonts w:cs="Times New Roman"/>
              </w:rPr>
              <w:t>）</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0.3（kg/m</w:t>
            </w:r>
            <w:r>
              <w:rPr>
                <w:rFonts w:cs="Times New Roman"/>
                <w:vertAlign w:val="superscript"/>
              </w:rPr>
              <w:t>2</w:t>
            </w:r>
            <w:r>
              <w:rPr>
                <w:rFonts w:cs="Times New Roman"/>
              </w:rPr>
              <w:t>）</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0.4（kg/m</w:t>
            </w:r>
            <w:r>
              <w:rPr>
                <w:rFonts w:cs="Times New Roman"/>
                <w:vertAlign w:val="superscript"/>
              </w:rPr>
              <w:t>2</w:t>
            </w:r>
            <w:r>
              <w:rPr>
                <w:rFonts w:cs="Times New Roman"/>
              </w:rPr>
              <w:t>）</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0.5（kg/m</w:t>
            </w:r>
            <w:r>
              <w:rPr>
                <w:rFonts w:cs="Times New Roman"/>
                <w:vertAlign w:val="superscript"/>
              </w:rPr>
              <w:t>2</w:t>
            </w:r>
            <w:r>
              <w:rPr>
                <w:rFonts w:cs="Times New Roman"/>
              </w:rPr>
              <w:t>）</w:t>
            </w:r>
          </w:p>
        </w:tc>
        <w:tc>
          <w:tcPr>
            <w:tcW w:w="7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1.0（kg/m</w:t>
            </w:r>
            <w:r>
              <w:rPr>
                <w:rFonts w:cs="Times New Roman"/>
                <w:vertAlign w:val="superscript"/>
              </w:rPr>
              <w:t>2</w:t>
            </w: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5</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0.0283</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0.0476</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0.0646</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0.0801</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0.0947</w:t>
            </w:r>
          </w:p>
        </w:tc>
        <w:tc>
          <w:tcPr>
            <w:tcW w:w="7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10</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0.0566</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0.0953</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0.1291</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0.1602</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0.1894</w:t>
            </w:r>
          </w:p>
        </w:tc>
        <w:tc>
          <w:tcPr>
            <w:tcW w:w="7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15</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0.0850</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0.1429</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0.1937</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0.2403</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0.2841</w:t>
            </w:r>
          </w:p>
        </w:tc>
        <w:tc>
          <w:tcPr>
            <w:tcW w:w="7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20</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0.1133</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0.1905</w:t>
            </w:r>
          </w:p>
        </w:tc>
        <w:tc>
          <w:tcPr>
            <w:tcW w:w="71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0.2583</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0.3204</w:t>
            </w:r>
          </w:p>
        </w:tc>
        <w:tc>
          <w:tcPr>
            <w:tcW w:w="714"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0.3788</w:t>
            </w:r>
          </w:p>
        </w:tc>
        <w:tc>
          <w:tcPr>
            <w:tcW w:w="712" w:type="pct"/>
            <w:tcBorders>
              <w:top w:val="single" w:color="auto" w:sz="4" w:space="0"/>
              <w:left w:val="single" w:color="auto" w:sz="4" w:space="0"/>
              <w:bottom w:val="single" w:color="auto" w:sz="4" w:space="0"/>
              <w:right w:val="single" w:color="auto" w:sz="4" w:space="0"/>
            </w:tcBorders>
            <w:vAlign w:val="center"/>
          </w:tcPr>
          <w:p>
            <w:pPr>
              <w:pStyle w:val="49"/>
              <w:rPr>
                <w:rFonts w:cs="Times New Roman"/>
              </w:rPr>
            </w:pPr>
            <w:r>
              <w:rPr>
                <w:rFonts w:cs="Times New Roman"/>
              </w:rPr>
              <w:t>0.6371</w:t>
            </w:r>
          </w:p>
        </w:tc>
      </w:tr>
    </w:tbl>
    <w:p>
      <w:pPr>
        <w:pStyle w:val="3"/>
        <w:ind w:firstLine="480"/>
        <w:rPr>
          <w:rFonts w:cs="Times New Roman"/>
          <w:kern w:val="0"/>
        </w:rPr>
      </w:pPr>
      <w:r>
        <w:rPr>
          <w:rFonts w:cs="Times New Roman"/>
          <w:kern w:val="0"/>
        </w:rPr>
        <w:t>如果在施工期间对车辆行驶的路面实施洒水抑尘，每天洒水4～5次，可使扬尘减少70%左右。表</w:t>
      </w:r>
      <w:r>
        <w:rPr>
          <w:rFonts w:hint="eastAsia" w:cs="Times New Roman"/>
          <w:kern w:val="0"/>
        </w:rPr>
        <w:t>6.1-2</w:t>
      </w:r>
      <w:r>
        <w:rPr>
          <w:rFonts w:cs="Times New Roman"/>
          <w:kern w:val="0"/>
        </w:rPr>
        <w:t>为施工场地洒水抑尘的试验结果，结果表明实施每天洒水4～5次进行抑尘，可有效地控制施工扬尘，可将TSP污染距离缩小到20～50m范围。</w:t>
      </w:r>
    </w:p>
    <w:p>
      <w:pPr>
        <w:pStyle w:val="3"/>
        <w:spacing w:line="240" w:lineRule="auto"/>
        <w:ind w:firstLine="482"/>
        <w:jc w:val="center"/>
        <w:rPr>
          <w:rFonts w:cs="Times New Roman"/>
          <w:kern w:val="0"/>
        </w:rPr>
      </w:pPr>
      <w:r>
        <w:rPr>
          <w:rFonts w:hint="eastAsia" w:cs="Times New Roman" w:eastAsiaTheme="minorEastAsia"/>
          <w:b/>
        </w:rPr>
        <w:t>表6.1-2</w:t>
      </w:r>
      <w:r>
        <w:rPr>
          <w:rFonts w:cs="Times New Roman" w:eastAsiaTheme="minorEastAsia"/>
          <w:b/>
        </w:rPr>
        <w:t xml:space="preserve">  </w:t>
      </w:r>
      <w:r>
        <w:rPr>
          <w:rFonts w:hint="eastAsia" w:cs="Times New Roman" w:eastAsiaTheme="minorEastAsia"/>
          <w:b/>
        </w:rPr>
        <w:t>施工场地洒水抑尘试验结果</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1435"/>
        <w:gridCol w:w="1394"/>
        <w:gridCol w:w="1392"/>
        <w:gridCol w:w="1394"/>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3" w:type="pct"/>
            <w:gridSpan w:val="2"/>
            <w:vAlign w:val="center"/>
          </w:tcPr>
          <w:p>
            <w:pPr>
              <w:pStyle w:val="49"/>
              <w:rPr>
                <w:rFonts w:cs="Times New Roman"/>
              </w:rPr>
            </w:pPr>
            <w:r>
              <w:rPr>
                <w:rFonts w:cs="Times New Roman"/>
              </w:rPr>
              <w:t>距离（m）</w:t>
            </w:r>
          </w:p>
        </w:tc>
        <w:tc>
          <w:tcPr>
            <w:tcW w:w="760" w:type="pct"/>
            <w:vAlign w:val="center"/>
          </w:tcPr>
          <w:p>
            <w:pPr>
              <w:pStyle w:val="49"/>
              <w:rPr>
                <w:rFonts w:cs="Times New Roman"/>
              </w:rPr>
            </w:pPr>
            <w:r>
              <w:rPr>
                <w:rFonts w:cs="Times New Roman"/>
              </w:rPr>
              <w:t>5</w:t>
            </w:r>
          </w:p>
        </w:tc>
        <w:tc>
          <w:tcPr>
            <w:tcW w:w="759" w:type="pct"/>
            <w:vAlign w:val="center"/>
          </w:tcPr>
          <w:p>
            <w:pPr>
              <w:pStyle w:val="49"/>
              <w:rPr>
                <w:rFonts w:cs="Times New Roman"/>
              </w:rPr>
            </w:pPr>
            <w:r>
              <w:rPr>
                <w:rFonts w:cs="Times New Roman"/>
              </w:rPr>
              <w:t>20</w:t>
            </w:r>
          </w:p>
        </w:tc>
        <w:tc>
          <w:tcPr>
            <w:tcW w:w="760" w:type="pct"/>
            <w:vAlign w:val="center"/>
          </w:tcPr>
          <w:p>
            <w:pPr>
              <w:pStyle w:val="49"/>
              <w:rPr>
                <w:rFonts w:cs="Times New Roman"/>
              </w:rPr>
            </w:pPr>
            <w:r>
              <w:rPr>
                <w:rFonts w:cs="Times New Roman"/>
              </w:rPr>
              <w:t>50</w:t>
            </w:r>
          </w:p>
        </w:tc>
        <w:tc>
          <w:tcPr>
            <w:tcW w:w="758" w:type="pct"/>
            <w:vAlign w:val="center"/>
          </w:tcPr>
          <w:p>
            <w:pPr>
              <w:pStyle w:val="49"/>
              <w:rPr>
                <w:rFonts w:cs="Times New Roman"/>
              </w:rPr>
            </w:pPr>
            <w:r>
              <w:rPr>
                <w:rFonts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pct"/>
            <w:vMerge w:val="restart"/>
            <w:vAlign w:val="center"/>
          </w:tcPr>
          <w:p>
            <w:pPr>
              <w:pStyle w:val="49"/>
              <w:rPr>
                <w:rFonts w:cs="Times New Roman"/>
              </w:rPr>
            </w:pPr>
            <w:r>
              <w:rPr>
                <w:rFonts w:cs="Times New Roman"/>
              </w:rPr>
              <w:t>TSP小时平均浓度</w:t>
            </w:r>
          </w:p>
          <w:p>
            <w:pPr>
              <w:pStyle w:val="49"/>
              <w:rPr>
                <w:rFonts w:cs="Times New Roman"/>
              </w:rPr>
            </w:pPr>
            <w:r>
              <w:rPr>
                <w:rFonts w:cs="Times New Roman"/>
              </w:rPr>
              <w:t>（mg/m</w:t>
            </w:r>
            <w:r>
              <w:rPr>
                <w:rFonts w:cs="Times New Roman"/>
                <w:vertAlign w:val="superscript"/>
              </w:rPr>
              <w:t>3</w:t>
            </w:r>
            <w:r>
              <w:rPr>
                <w:rFonts w:cs="Times New Roman"/>
              </w:rPr>
              <w:t>）</w:t>
            </w:r>
          </w:p>
        </w:tc>
        <w:tc>
          <w:tcPr>
            <w:tcW w:w="782" w:type="pct"/>
            <w:vAlign w:val="center"/>
          </w:tcPr>
          <w:p>
            <w:pPr>
              <w:pStyle w:val="49"/>
              <w:rPr>
                <w:rFonts w:cs="Times New Roman"/>
              </w:rPr>
            </w:pPr>
            <w:r>
              <w:rPr>
                <w:rFonts w:cs="Times New Roman"/>
              </w:rPr>
              <w:t>不洒水</w:t>
            </w:r>
          </w:p>
        </w:tc>
        <w:tc>
          <w:tcPr>
            <w:tcW w:w="760" w:type="pct"/>
            <w:vAlign w:val="center"/>
          </w:tcPr>
          <w:p>
            <w:pPr>
              <w:pStyle w:val="49"/>
              <w:rPr>
                <w:rFonts w:cs="Times New Roman"/>
              </w:rPr>
            </w:pPr>
            <w:r>
              <w:rPr>
                <w:rFonts w:cs="Times New Roman"/>
              </w:rPr>
              <w:t>10.14</w:t>
            </w:r>
          </w:p>
        </w:tc>
        <w:tc>
          <w:tcPr>
            <w:tcW w:w="759" w:type="pct"/>
            <w:vAlign w:val="center"/>
          </w:tcPr>
          <w:p>
            <w:pPr>
              <w:pStyle w:val="49"/>
              <w:rPr>
                <w:rFonts w:cs="Times New Roman"/>
              </w:rPr>
            </w:pPr>
            <w:r>
              <w:rPr>
                <w:rFonts w:cs="Times New Roman"/>
              </w:rPr>
              <w:t>2.89</w:t>
            </w:r>
          </w:p>
        </w:tc>
        <w:tc>
          <w:tcPr>
            <w:tcW w:w="760" w:type="pct"/>
            <w:vAlign w:val="center"/>
          </w:tcPr>
          <w:p>
            <w:pPr>
              <w:pStyle w:val="49"/>
              <w:rPr>
                <w:rFonts w:cs="Times New Roman"/>
              </w:rPr>
            </w:pPr>
            <w:r>
              <w:rPr>
                <w:rFonts w:cs="Times New Roman"/>
              </w:rPr>
              <w:t>1.15</w:t>
            </w:r>
          </w:p>
        </w:tc>
        <w:tc>
          <w:tcPr>
            <w:tcW w:w="758" w:type="pct"/>
            <w:vAlign w:val="center"/>
          </w:tcPr>
          <w:p>
            <w:pPr>
              <w:pStyle w:val="49"/>
              <w:rPr>
                <w:rFonts w:cs="Times New Roman"/>
              </w:rPr>
            </w:pPr>
            <w:r>
              <w:rPr>
                <w:rFonts w:cs="Times New Roma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pct"/>
            <w:vMerge w:val="continue"/>
            <w:vAlign w:val="center"/>
          </w:tcPr>
          <w:p>
            <w:pPr>
              <w:pStyle w:val="49"/>
              <w:rPr>
                <w:rFonts w:cs="Times New Roman"/>
              </w:rPr>
            </w:pPr>
          </w:p>
        </w:tc>
        <w:tc>
          <w:tcPr>
            <w:tcW w:w="782" w:type="pct"/>
            <w:vAlign w:val="center"/>
          </w:tcPr>
          <w:p>
            <w:pPr>
              <w:pStyle w:val="49"/>
              <w:rPr>
                <w:rFonts w:cs="Times New Roman"/>
              </w:rPr>
            </w:pPr>
            <w:r>
              <w:rPr>
                <w:rFonts w:cs="Times New Roman"/>
              </w:rPr>
              <w:t>洒水</w:t>
            </w:r>
          </w:p>
        </w:tc>
        <w:tc>
          <w:tcPr>
            <w:tcW w:w="760" w:type="pct"/>
            <w:vAlign w:val="center"/>
          </w:tcPr>
          <w:p>
            <w:pPr>
              <w:pStyle w:val="49"/>
              <w:rPr>
                <w:rFonts w:cs="Times New Roman"/>
              </w:rPr>
            </w:pPr>
            <w:r>
              <w:rPr>
                <w:rFonts w:cs="Times New Roman"/>
              </w:rPr>
              <w:t>2.01</w:t>
            </w:r>
          </w:p>
        </w:tc>
        <w:tc>
          <w:tcPr>
            <w:tcW w:w="759" w:type="pct"/>
            <w:vAlign w:val="center"/>
          </w:tcPr>
          <w:p>
            <w:pPr>
              <w:pStyle w:val="49"/>
              <w:rPr>
                <w:rFonts w:cs="Times New Roman"/>
              </w:rPr>
            </w:pPr>
            <w:r>
              <w:rPr>
                <w:rFonts w:cs="Times New Roman"/>
              </w:rPr>
              <w:t>1.40</w:t>
            </w:r>
          </w:p>
        </w:tc>
        <w:tc>
          <w:tcPr>
            <w:tcW w:w="760" w:type="pct"/>
            <w:vAlign w:val="center"/>
          </w:tcPr>
          <w:p>
            <w:pPr>
              <w:pStyle w:val="49"/>
              <w:rPr>
                <w:rFonts w:cs="Times New Roman"/>
              </w:rPr>
            </w:pPr>
            <w:r>
              <w:rPr>
                <w:rFonts w:cs="Times New Roman"/>
              </w:rPr>
              <w:t>0.67</w:t>
            </w:r>
          </w:p>
        </w:tc>
        <w:tc>
          <w:tcPr>
            <w:tcW w:w="758" w:type="pct"/>
            <w:vAlign w:val="center"/>
          </w:tcPr>
          <w:p>
            <w:pPr>
              <w:pStyle w:val="49"/>
              <w:rPr>
                <w:rFonts w:cs="Times New Roman"/>
              </w:rPr>
            </w:pPr>
            <w:r>
              <w:rPr>
                <w:rFonts w:cs="Times New Roman"/>
              </w:rPr>
              <w:t>0.60</w:t>
            </w:r>
          </w:p>
        </w:tc>
      </w:tr>
    </w:tbl>
    <w:p>
      <w:pPr>
        <w:pStyle w:val="3"/>
        <w:ind w:firstLine="480"/>
        <w:rPr>
          <w:rFonts w:cs="Times New Roman"/>
          <w:kern w:val="0"/>
        </w:rPr>
      </w:pPr>
      <w:r>
        <w:rPr>
          <w:rFonts w:cs="Times New Roman"/>
          <w:kern w:val="0"/>
        </w:rPr>
        <w:t>因此，限速行驶及定时清扫道路、保持路面清洁，同时对车辆轮胎进行清洗，车辆加盖，并适当洒水是减少汽车扬尘的有效手段</w:t>
      </w:r>
      <w:r>
        <w:rPr>
          <w:rFonts w:hint="eastAsia" w:cs="Times New Roman"/>
          <w:kern w:val="0"/>
        </w:rPr>
        <w:t>。</w:t>
      </w:r>
    </w:p>
    <w:p>
      <w:pPr>
        <w:pStyle w:val="3"/>
        <w:ind w:firstLine="480"/>
        <w:rPr>
          <w:rFonts w:cs="Times New Roman"/>
        </w:rPr>
      </w:pPr>
      <w:r>
        <w:rPr>
          <w:rFonts w:hint="eastAsia" w:cs="Times New Roman"/>
          <w:kern w:val="0"/>
        </w:rPr>
        <w:t>（2）</w:t>
      </w:r>
      <w:r>
        <w:rPr>
          <w:rFonts w:cs="Times New Roman"/>
        </w:rPr>
        <w:t>施工期场地风力扬尘的影响分析</w:t>
      </w:r>
    </w:p>
    <w:p>
      <w:pPr>
        <w:pStyle w:val="3"/>
        <w:ind w:firstLine="480"/>
        <w:rPr>
          <w:rFonts w:cs="Times New Roman"/>
        </w:rPr>
      </w:pPr>
      <w:r>
        <w:rPr>
          <w:rFonts w:cs="Times New Roman"/>
        </w:rPr>
        <w:t>施工期扬尘的另一个主要原因是露天堆场和裸露场地的风力扬尘。由于施工的需要，一些建材需露天堆放；一些施工点表层土壤需人工开挖、堆放，在气候干燥又有风的情况下，会产生扬尘，其扬尘量可按堆场起尘的经验公式计算：</w:t>
      </w:r>
    </w:p>
    <w:p>
      <w:pPr>
        <w:pStyle w:val="3"/>
        <w:ind w:firstLine="480"/>
        <w:jc w:val="center"/>
        <w:rPr>
          <w:rFonts w:cs="Times New Roman"/>
          <w:kern w:val="0"/>
        </w:rPr>
      </w:pPr>
      <w:r>
        <w:rPr>
          <w:rFonts w:cs="Times New Roman"/>
        </w:rPr>
        <w:object>
          <v:shape id="_x0000_i1029" o:spt="75" type="#_x0000_t75" style="height:22.5pt;width:121.5pt;" o:ole="t" filled="f" o:preferrelative="t" stroked="f" coordsize="21600,21600">
            <v:path/>
            <v:fill on="f" focussize="0,0"/>
            <v:stroke on="f" joinstyle="miter"/>
            <v:imagedata r:id="rId25" embosscolor="#FFFFFF" o:title=""/>
            <o:lock v:ext="edit" aspectratio="t"/>
            <w10:wrap type="none"/>
            <w10:anchorlock/>
          </v:shape>
          <o:OLEObject Type="Embed" ProgID="Equation.3" ShapeID="_x0000_i1029" DrawAspect="Content" ObjectID="_1468075729" r:id="rId24">
            <o:LockedField>false</o:LockedField>
          </o:OLEObject>
        </w:object>
      </w:r>
    </w:p>
    <w:p>
      <w:pPr>
        <w:pStyle w:val="3"/>
        <w:ind w:firstLine="480"/>
        <w:rPr>
          <w:rFonts w:cs="Times New Roman"/>
        </w:rPr>
      </w:pPr>
      <w:r>
        <w:rPr>
          <w:rFonts w:cs="Times New Roman"/>
        </w:rPr>
        <w:t>其中：Q—起尘量，kg/t·a；</w:t>
      </w:r>
    </w:p>
    <w:p>
      <w:pPr>
        <w:pStyle w:val="3"/>
        <w:ind w:firstLine="1200" w:firstLineChars="500"/>
        <w:rPr>
          <w:rFonts w:cs="Times New Roman"/>
        </w:rPr>
      </w:pPr>
      <w:r>
        <w:rPr>
          <w:rFonts w:cs="Times New Roman"/>
        </w:rPr>
        <w:t>V</w:t>
      </w:r>
      <w:r>
        <w:rPr>
          <w:rFonts w:cs="Times New Roman"/>
          <w:vertAlign w:val="subscript"/>
        </w:rPr>
        <w:t>50</w:t>
      </w:r>
      <w:r>
        <w:rPr>
          <w:rFonts w:cs="Times New Roman"/>
        </w:rPr>
        <w:t>—距地面50m处风速，m/s；</w:t>
      </w:r>
    </w:p>
    <w:p>
      <w:pPr>
        <w:pStyle w:val="3"/>
        <w:ind w:firstLine="1200" w:firstLineChars="500"/>
        <w:rPr>
          <w:rFonts w:cs="Times New Roman"/>
        </w:rPr>
      </w:pPr>
      <w:r>
        <w:rPr>
          <w:rFonts w:cs="Times New Roman"/>
        </w:rPr>
        <w:t>V</w:t>
      </w:r>
      <w:r>
        <w:rPr>
          <w:rFonts w:cs="Times New Roman"/>
          <w:vertAlign w:val="subscript"/>
        </w:rPr>
        <w:t>0</w:t>
      </w:r>
      <w:r>
        <w:rPr>
          <w:rFonts w:cs="Times New Roman"/>
        </w:rPr>
        <w:t>——起尘风速，m/s；</w:t>
      </w:r>
    </w:p>
    <w:p>
      <w:pPr>
        <w:pStyle w:val="3"/>
        <w:ind w:firstLine="1200" w:firstLineChars="500"/>
        <w:rPr>
          <w:rFonts w:cs="Times New Roman"/>
        </w:rPr>
      </w:pPr>
      <w:r>
        <w:rPr>
          <w:rFonts w:cs="Times New Roman"/>
        </w:rPr>
        <w:t>W——尘粒的含水率，%。</w:t>
      </w:r>
    </w:p>
    <w:p>
      <w:pPr>
        <w:pStyle w:val="3"/>
        <w:ind w:firstLine="480"/>
        <w:rPr>
          <w:rFonts w:cs="Times New Roman"/>
        </w:rPr>
      </w:pPr>
      <w:r>
        <w:rPr>
          <w:rFonts w:cs="Times New Roman"/>
        </w:rPr>
        <w:t>V</w:t>
      </w:r>
      <w:r>
        <w:rPr>
          <w:rFonts w:cs="Times New Roman"/>
          <w:vertAlign w:val="subscript"/>
        </w:rPr>
        <w:t>0</w:t>
      </w:r>
      <w:r>
        <w:rPr>
          <w:rFonts w:cs="Times New Roman"/>
        </w:rPr>
        <w:t>与粒径和含水率有关，因此，减少露天堆放和保证一定的含水率及减少裸露地面是减少风力起尘的有效手段。</w:t>
      </w:r>
    </w:p>
    <w:p>
      <w:pPr>
        <w:pStyle w:val="3"/>
        <w:ind w:firstLine="480"/>
        <w:rPr>
          <w:rFonts w:cs="Times New Roman"/>
        </w:rPr>
      </w:pPr>
      <w:r>
        <w:rPr>
          <w:rFonts w:cs="Times New Roman"/>
        </w:rPr>
        <w:t>尘粒在空气中的传播扩散情况与风速等气象条件有关，也与尘粒本身的沉降速度有关。不同粒径的尘粒的沉降速度见表</w:t>
      </w:r>
      <w:r>
        <w:rPr>
          <w:rFonts w:hint="eastAsia" w:cs="Times New Roman"/>
        </w:rPr>
        <w:t>6.1-3</w:t>
      </w:r>
      <w:r>
        <w:rPr>
          <w:rFonts w:cs="Times New Roman"/>
        </w:rPr>
        <w:t>。</w:t>
      </w:r>
    </w:p>
    <w:p>
      <w:pPr>
        <w:pStyle w:val="3"/>
        <w:spacing w:line="240" w:lineRule="auto"/>
        <w:ind w:firstLine="482"/>
        <w:jc w:val="center"/>
        <w:rPr>
          <w:rFonts w:cs="Times New Roman"/>
          <w:kern w:val="0"/>
        </w:rPr>
      </w:pPr>
      <w:r>
        <w:rPr>
          <w:rFonts w:hint="eastAsia" w:cs="Times New Roman" w:eastAsiaTheme="minorEastAsia"/>
          <w:b/>
        </w:rPr>
        <w:t>表6.1-3 不同粒径尘粒的沉降速度</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1007"/>
        <w:gridCol w:w="1009"/>
        <w:gridCol w:w="1007"/>
        <w:gridCol w:w="1007"/>
        <w:gridCol w:w="1007"/>
        <w:gridCol w:w="864"/>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粒    径 (</w:t>
            </w:r>
            <w:r>
              <w:rPr>
                <w:rFonts w:cs="Times New Roman"/>
              </w:rPr>
              <w:sym w:font="Symbol" w:char="F06D"/>
            </w:r>
            <w:r>
              <w:rPr>
                <w:rFonts w:cs="Times New Roman"/>
              </w:rPr>
              <w:t>m)</w:t>
            </w:r>
          </w:p>
        </w:tc>
        <w:tc>
          <w:tcPr>
            <w:tcW w:w="549" w:type="pct"/>
            <w:vAlign w:val="center"/>
          </w:tcPr>
          <w:p>
            <w:pPr>
              <w:pStyle w:val="49"/>
              <w:rPr>
                <w:rFonts w:cs="Times New Roman"/>
              </w:rPr>
            </w:pPr>
            <w:r>
              <w:rPr>
                <w:rFonts w:cs="Times New Roman"/>
              </w:rPr>
              <w:t>10</w:t>
            </w:r>
          </w:p>
        </w:tc>
        <w:tc>
          <w:tcPr>
            <w:tcW w:w="550" w:type="pct"/>
            <w:vAlign w:val="center"/>
          </w:tcPr>
          <w:p>
            <w:pPr>
              <w:pStyle w:val="49"/>
              <w:rPr>
                <w:rFonts w:cs="Times New Roman"/>
              </w:rPr>
            </w:pPr>
            <w:r>
              <w:rPr>
                <w:rFonts w:cs="Times New Roman"/>
              </w:rPr>
              <w:t>20</w:t>
            </w:r>
          </w:p>
        </w:tc>
        <w:tc>
          <w:tcPr>
            <w:tcW w:w="549" w:type="pct"/>
            <w:vAlign w:val="center"/>
          </w:tcPr>
          <w:p>
            <w:pPr>
              <w:pStyle w:val="49"/>
              <w:rPr>
                <w:rFonts w:cs="Times New Roman"/>
              </w:rPr>
            </w:pPr>
            <w:r>
              <w:rPr>
                <w:rFonts w:cs="Times New Roman"/>
              </w:rPr>
              <w:t>30</w:t>
            </w:r>
          </w:p>
        </w:tc>
        <w:tc>
          <w:tcPr>
            <w:tcW w:w="549" w:type="pct"/>
            <w:vAlign w:val="center"/>
          </w:tcPr>
          <w:p>
            <w:pPr>
              <w:pStyle w:val="49"/>
              <w:rPr>
                <w:rFonts w:cs="Times New Roman"/>
              </w:rPr>
            </w:pPr>
            <w:r>
              <w:rPr>
                <w:rFonts w:cs="Times New Roman"/>
              </w:rPr>
              <w:t>40</w:t>
            </w:r>
          </w:p>
        </w:tc>
        <w:tc>
          <w:tcPr>
            <w:tcW w:w="549" w:type="pct"/>
            <w:vAlign w:val="center"/>
          </w:tcPr>
          <w:p>
            <w:pPr>
              <w:pStyle w:val="49"/>
              <w:rPr>
                <w:rFonts w:cs="Times New Roman"/>
              </w:rPr>
            </w:pPr>
            <w:r>
              <w:rPr>
                <w:rFonts w:cs="Times New Roman"/>
              </w:rPr>
              <w:t>50</w:t>
            </w:r>
          </w:p>
        </w:tc>
        <w:tc>
          <w:tcPr>
            <w:tcW w:w="471" w:type="pct"/>
            <w:vAlign w:val="center"/>
          </w:tcPr>
          <w:p>
            <w:pPr>
              <w:pStyle w:val="49"/>
              <w:rPr>
                <w:rFonts w:cs="Times New Roman"/>
              </w:rPr>
            </w:pPr>
            <w:r>
              <w:rPr>
                <w:rFonts w:cs="Times New Roman"/>
              </w:rPr>
              <w:t>60</w:t>
            </w:r>
          </w:p>
        </w:tc>
        <w:tc>
          <w:tcPr>
            <w:tcW w:w="462" w:type="pct"/>
            <w:vAlign w:val="center"/>
          </w:tcPr>
          <w:p>
            <w:pPr>
              <w:pStyle w:val="49"/>
              <w:rPr>
                <w:rFonts w:cs="Times New Roman"/>
              </w:rPr>
            </w:pPr>
            <w:r>
              <w:rPr>
                <w:rFonts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沉降速度 (m/s)</w:t>
            </w:r>
          </w:p>
        </w:tc>
        <w:tc>
          <w:tcPr>
            <w:tcW w:w="549" w:type="pct"/>
            <w:vAlign w:val="center"/>
          </w:tcPr>
          <w:p>
            <w:pPr>
              <w:pStyle w:val="49"/>
              <w:rPr>
                <w:rFonts w:cs="Times New Roman"/>
              </w:rPr>
            </w:pPr>
            <w:r>
              <w:rPr>
                <w:rFonts w:cs="Times New Roman"/>
              </w:rPr>
              <w:t>0.003</w:t>
            </w:r>
          </w:p>
        </w:tc>
        <w:tc>
          <w:tcPr>
            <w:tcW w:w="550" w:type="pct"/>
            <w:vAlign w:val="center"/>
          </w:tcPr>
          <w:p>
            <w:pPr>
              <w:pStyle w:val="49"/>
              <w:rPr>
                <w:rFonts w:cs="Times New Roman"/>
              </w:rPr>
            </w:pPr>
            <w:r>
              <w:rPr>
                <w:rFonts w:cs="Times New Roman"/>
              </w:rPr>
              <w:t>0.012</w:t>
            </w:r>
          </w:p>
        </w:tc>
        <w:tc>
          <w:tcPr>
            <w:tcW w:w="549" w:type="pct"/>
            <w:vAlign w:val="center"/>
          </w:tcPr>
          <w:p>
            <w:pPr>
              <w:pStyle w:val="49"/>
              <w:rPr>
                <w:rFonts w:cs="Times New Roman"/>
              </w:rPr>
            </w:pPr>
            <w:r>
              <w:rPr>
                <w:rFonts w:cs="Times New Roman"/>
              </w:rPr>
              <w:t>0.027</w:t>
            </w:r>
          </w:p>
        </w:tc>
        <w:tc>
          <w:tcPr>
            <w:tcW w:w="549" w:type="pct"/>
            <w:vAlign w:val="center"/>
          </w:tcPr>
          <w:p>
            <w:pPr>
              <w:pStyle w:val="49"/>
              <w:rPr>
                <w:rFonts w:cs="Times New Roman"/>
              </w:rPr>
            </w:pPr>
            <w:r>
              <w:rPr>
                <w:rFonts w:cs="Times New Roman"/>
              </w:rPr>
              <w:t>0.048</w:t>
            </w:r>
          </w:p>
        </w:tc>
        <w:tc>
          <w:tcPr>
            <w:tcW w:w="549" w:type="pct"/>
            <w:vAlign w:val="center"/>
          </w:tcPr>
          <w:p>
            <w:pPr>
              <w:pStyle w:val="49"/>
              <w:rPr>
                <w:rFonts w:cs="Times New Roman"/>
              </w:rPr>
            </w:pPr>
            <w:r>
              <w:rPr>
                <w:rFonts w:cs="Times New Roman"/>
              </w:rPr>
              <w:t>0.075</w:t>
            </w:r>
          </w:p>
        </w:tc>
        <w:tc>
          <w:tcPr>
            <w:tcW w:w="471" w:type="pct"/>
            <w:vAlign w:val="center"/>
          </w:tcPr>
          <w:p>
            <w:pPr>
              <w:pStyle w:val="49"/>
              <w:rPr>
                <w:rFonts w:cs="Times New Roman"/>
              </w:rPr>
            </w:pPr>
            <w:r>
              <w:rPr>
                <w:rFonts w:cs="Times New Roman"/>
              </w:rPr>
              <w:t>0.108</w:t>
            </w:r>
          </w:p>
        </w:tc>
        <w:tc>
          <w:tcPr>
            <w:tcW w:w="462" w:type="pct"/>
            <w:vAlign w:val="center"/>
          </w:tcPr>
          <w:p>
            <w:pPr>
              <w:pStyle w:val="49"/>
              <w:rPr>
                <w:rFonts w:cs="Times New Roman"/>
              </w:rPr>
            </w:pPr>
            <w:r>
              <w:rPr>
                <w:rFonts w:cs="Times New Roman"/>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粒    径 (</w:t>
            </w:r>
            <w:r>
              <w:rPr>
                <w:rFonts w:cs="Times New Roman"/>
              </w:rPr>
              <w:sym w:font="Symbol" w:char="F06D"/>
            </w:r>
            <w:r>
              <w:rPr>
                <w:rFonts w:cs="Times New Roman"/>
              </w:rPr>
              <w:t>m)</w:t>
            </w:r>
          </w:p>
        </w:tc>
        <w:tc>
          <w:tcPr>
            <w:tcW w:w="549" w:type="pct"/>
            <w:vAlign w:val="center"/>
          </w:tcPr>
          <w:p>
            <w:pPr>
              <w:pStyle w:val="49"/>
              <w:rPr>
                <w:rFonts w:cs="Times New Roman"/>
              </w:rPr>
            </w:pPr>
            <w:r>
              <w:rPr>
                <w:rFonts w:cs="Times New Roman"/>
              </w:rPr>
              <w:t>80</w:t>
            </w:r>
          </w:p>
        </w:tc>
        <w:tc>
          <w:tcPr>
            <w:tcW w:w="550" w:type="pct"/>
            <w:vAlign w:val="center"/>
          </w:tcPr>
          <w:p>
            <w:pPr>
              <w:pStyle w:val="49"/>
              <w:rPr>
                <w:rFonts w:cs="Times New Roman"/>
              </w:rPr>
            </w:pPr>
            <w:r>
              <w:rPr>
                <w:rFonts w:cs="Times New Roman"/>
              </w:rPr>
              <w:t>90</w:t>
            </w:r>
          </w:p>
        </w:tc>
        <w:tc>
          <w:tcPr>
            <w:tcW w:w="549" w:type="pct"/>
            <w:vAlign w:val="center"/>
          </w:tcPr>
          <w:p>
            <w:pPr>
              <w:pStyle w:val="49"/>
              <w:rPr>
                <w:rFonts w:cs="Times New Roman"/>
              </w:rPr>
            </w:pPr>
            <w:r>
              <w:rPr>
                <w:rFonts w:cs="Times New Roman"/>
              </w:rPr>
              <w:t>100</w:t>
            </w:r>
          </w:p>
        </w:tc>
        <w:tc>
          <w:tcPr>
            <w:tcW w:w="549" w:type="pct"/>
            <w:vAlign w:val="center"/>
          </w:tcPr>
          <w:p>
            <w:pPr>
              <w:pStyle w:val="49"/>
              <w:rPr>
                <w:rFonts w:cs="Times New Roman"/>
              </w:rPr>
            </w:pPr>
            <w:r>
              <w:rPr>
                <w:rFonts w:cs="Times New Roman"/>
              </w:rPr>
              <w:t>150</w:t>
            </w:r>
          </w:p>
        </w:tc>
        <w:tc>
          <w:tcPr>
            <w:tcW w:w="549" w:type="pct"/>
            <w:vAlign w:val="center"/>
          </w:tcPr>
          <w:p>
            <w:pPr>
              <w:pStyle w:val="49"/>
              <w:rPr>
                <w:rFonts w:cs="Times New Roman"/>
              </w:rPr>
            </w:pPr>
            <w:r>
              <w:rPr>
                <w:rFonts w:cs="Times New Roman"/>
              </w:rPr>
              <w:t>200</w:t>
            </w:r>
          </w:p>
        </w:tc>
        <w:tc>
          <w:tcPr>
            <w:tcW w:w="471" w:type="pct"/>
            <w:vAlign w:val="center"/>
          </w:tcPr>
          <w:p>
            <w:pPr>
              <w:pStyle w:val="49"/>
              <w:rPr>
                <w:rFonts w:cs="Times New Roman"/>
              </w:rPr>
            </w:pPr>
            <w:r>
              <w:rPr>
                <w:rFonts w:cs="Times New Roman"/>
              </w:rPr>
              <w:t>250</w:t>
            </w:r>
          </w:p>
        </w:tc>
        <w:tc>
          <w:tcPr>
            <w:tcW w:w="462" w:type="pct"/>
            <w:vAlign w:val="center"/>
          </w:tcPr>
          <w:p>
            <w:pPr>
              <w:pStyle w:val="49"/>
              <w:rPr>
                <w:rFonts w:cs="Times New Roman"/>
              </w:rPr>
            </w:pPr>
            <w:r>
              <w:rPr>
                <w:rFonts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沉降速度 (m/s)</w:t>
            </w:r>
          </w:p>
        </w:tc>
        <w:tc>
          <w:tcPr>
            <w:tcW w:w="549" w:type="pct"/>
            <w:vAlign w:val="center"/>
          </w:tcPr>
          <w:p>
            <w:pPr>
              <w:pStyle w:val="49"/>
              <w:rPr>
                <w:rFonts w:cs="Times New Roman"/>
              </w:rPr>
            </w:pPr>
            <w:r>
              <w:rPr>
                <w:rFonts w:cs="Times New Roman"/>
              </w:rPr>
              <w:t>0.158</w:t>
            </w:r>
          </w:p>
        </w:tc>
        <w:tc>
          <w:tcPr>
            <w:tcW w:w="550" w:type="pct"/>
            <w:vAlign w:val="center"/>
          </w:tcPr>
          <w:p>
            <w:pPr>
              <w:pStyle w:val="49"/>
              <w:rPr>
                <w:rFonts w:cs="Times New Roman"/>
              </w:rPr>
            </w:pPr>
            <w:r>
              <w:rPr>
                <w:rFonts w:cs="Times New Roman"/>
              </w:rPr>
              <w:t>0.170</w:t>
            </w:r>
          </w:p>
        </w:tc>
        <w:tc>
          <w:tcPr>
            <w:tcW w:w="549" w:type="pct"/>
            <w:vAlign w:val="center"/>
          </w:tcPr>
          <w:p>
            <w:pPr>
              <w:pStyle w:val="49"/>
              <w:rPr>
                <w:rFonts w:cs="Times New Roman"/>
              </w:rPr>
            </w:pPr>
            <w:r>
              <w:rPr>
                <w:rFonts w:cs="Times New Roman"/>
              </w:rPr>
              <w:t>0.182</w:t>
            </w:r>
          </w:p>
        </w:tc>
        <w:tc>
          <w:tcPr>
            <w:tcW w:w="549" w:type="pct"/>
            <w:vAlign w:val="center"/>
          </w:tcPr>
          <w:p>
            <w:pPr>
              <w:pStyle w:val="49"/>
              <w:rPr>
                <w:rFonts w:cs="Times New Roman"/>
              </w:rPr>
            </w:pPr>
            <w:r>
              <w:rPr>
                <w:rFonts w:cs="Times New Roman"/>
              </w:rPr>
              <w:t>0.239</w:t>
            </w:r>
          </w:p>
        </w:tc>
        <w:tc>
          <w:tcPr>
            <w:tcW w:w="549" w:type="pct"/>
            <w:vAlign w:val="center"/>
          </w:tcPr>
          <w:p>
            <w:pPr>
              <w:pStyle w:val="49"/>
              <w:rPr>
                <w:rFonts w:cs="Times New Roman"/>
              </w:rPr>
            </w:pPr>
            <w:r>
              <w:rPr>
                <w:rFonts w:cs="Times New Roman"/>
              </w:rPr>
              <w:t>0.804</w:t>
            </w:r>
          </w:p>
        </w:tc>
        <w:tc>
          <w:tcPr>
            <w:tcW w:w="471" w:type="pct"/>
            <w:vAlign w:val="center"/>
          </w:tcPr>
          <w:p>
            <w:pPr>
              <w:pStyle w:val="49"/>
              <w:rPr>
                <w:rFonts w:cs="Times New Roman"/>
              </w:rPr>
            </w:pPr>
            <w:r>
              <w:rPr>
                <w:rFonts w:cs="Times New Roman"/>
              </w:rPr>
              <w:t>1.005</w:t>
            </w:r>
          </w:p>
        </w:tc>
        <w:tc>
          <w:tcPr>
            <w:tcW w:w="462" w:type="pct"/>
            <w:vAlign w:val="center"/>
          </w:tcPr>
          <w:p>
            <w:pPr>
              <w:pStyle w:val="49"/>
              <w:rPr>
                <w:rFonts w:cs="Times New Roman"/>
              </w:rPr>
            </w:pPr>
            <w:r>
              <w:rPr>
                <w:rFonts w:cs="Times New Roman"/>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粒    径 (</w:t>
            </w:r>
            <w:r>
              <w:rPr>
                <w:rFonts w:cs="Times New Roman"/>
              </w:rPr>
              <w:sym w:font="Symbol" w:char="F06D"/>
            </w:r>
            <w:r>
              <w:rPr>
                <w:rFonts w:cs="Times New Roman"/>
              </w:rPr>
              <w:t>m)</w:t>
            </w:r>
          </w:p>
        </w:tc>
        <w:tc>
          <w:tcPr>
            <w:tcW w:w="549" w:type="pct"/>
            <w:vAlign w:val="center"/>
          </w:tcPr>
          <w:p>
            <w:pPr>
              <w:pStyle w:val="49"/>
              <w:rPr>
                <w:rFonts w:cs="Times New Roman"/>
              </w:rPr>
            </w:pPr>
            <w:r>
              <w:rPr>
                <w:rFonts w:cs="Times New Roman"/>
              </w:rPr>
              <w:t>450</w:t>
            </w:r>
          </w:p>
        </w:tc>
        <w:tc>
          <w:tcPr>
            <w:tcW w:w="550" w:type="pct"/>
            <w:vAlign w:val="center"/>
          </w:tcPr>
          <w:p>
            <w:pPr>
              <w:pStyle w:val="49"/>
              <w:rPr>
                <w:rFonts w:cs="Times New Roman"/>
              </w:rPr>
            </w:pPr>
            <w:r>
              <w:rPr>
                <w:rFonts w:cs="Times New Roman"/>
              </w:rPr>
              <w:t>550</w:t>
            </w:r>
          </w:p>
        </w:tc>
        <w:tc>
          <w:tcPr>
            <w:tcW w:w="549" w:type="pct"/>
            <w:vAlign w:val="center"/>
          </w:tcPr>
          <w:p>
            <w:pPr>
              <w:pStyle w:val="49"/>
              <w:rPr>
                <w:rFonts w:cs="Times New Roman"/>
              </w:rPr>
            </w:pPr>
            <w:r>
              <w:rPr>
                <w:rFonts w:cs="Times New Roman"/>
              </w:rPr>
              <w:t>650</w:t>
            </w:r>
          </w:p>
        </w:tc>
        <w:tc>
          <w:tcPr>
            <w:tcW w:w="549" w:type="pct"/>
            <w:vAlign w:val="center"/>
          </w:tcPr>
          <w:p>
            <w:pPr>
              <w:pStyle w:val="49"/>
              <w:rPr>
                <w:rFonts w:cs="Times New Roman"/>
              </w:rPr>
            </w:pPr>
            <w:r>
              <w:rPr>
                <w:rFonts w:cs="Times New Roman"/>
              </w:rPr>
              <w:t>750</w:t>
            </w:r>
          </w:p>
        </w:tc>
        <w:tc>
          <w:tcPr>
            <w:tcW w:w="549" w:type="pct"/>
            <w:vAlign w:val="center"/>
          </w:tcPr>
          <w:p>
            <w:pPr>
              <w:pStyle w:val="49"/>
              <w:rPr>
                <w:rFonts w:cs="Times New Roman"/>
              </w:rPr>
            </w:pPr>
            <w:r>
              <w:rPr>
                <w:rFonts w:cs="Times New Roman"/>
              </w:rPr>
              <w:t>850</w:t>
            </w:r>
          </w:p>
        </w:tc>
        <w:tc>
          <w:tcPr>
            <w:tcW w:w="471" w:type="pct"/>
            <w:vAlign w:val="center"/>
          </w:tcPr>
          <w:p>
            <w:pPr>
              <w:pStyle w:val="49"/>
              <w:rPr>
                <w:rFonts w:cs="Times New Roman"/>
              </w:rPr>
            </w:pPr>
            <w:r>
              <w:rPr>
                <w:rFonts w:cs="Times New Roman"/>
              </w:rPr>
              <w:t>950</w:t>
            </w:r>
          </w:p>
        </w:tc>
        <w:tc>
          <w:tcPr>
            <w:tcW w:w="462" w:type="pct"/>
            <w:vAlign w:val="center"/>
          </w:tcPr>
          <w:p>
            <w:pPr>
              <w:pStyle w:val="49"/>
              <w:rPr>
                <w:rFonts w:cs="Times New Roman"/>
              </w:rPr>
            </w:pPr>
            <w:r>
              <w:rPr>
                <w:rFonts w:cs="Times New Roma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1" w:type="pct"/>
            <w:vAlign w:val="center"/>
          </w:tcPr>
          <w:p>
            <w:pPr>
              <w:pStyle w:val="49"/>
              <w:rPr>
                <w:rFonts w:cs="Times New Roman"/>
              </w:rPr>
            </w:pPr>
            <w:r>
              <w:rPr>
                <w:rFonts w:cs="Times New Roman"/>
              </w:rPr>
              <w:t>沉降速度 (m/s)</w:t>
            </w:r>
          </w:p>
        </w:tc>
        <w:tc>
          <w:tcPr>
            <w:tcW w:w="549" w:type="pct"/>
            <w:vAlign w:val="center"/>
          </w:tcPr>
          <w:p>
            <w:pPr>
              <w:pStyle w:val="49"/>
              <w:rPr>
                <w:rFonts w:cs="Times New Roman"/>
              </w:rPr>
            </w:pPr>
            <w:r>
              <w:rPr>
                <w:rFonts w:cs="Times New Roman"/>
              </w:rPr>
              <w:t>2.211</w:t>
            </w:r>
          </w:p>
        </w:tc>
        <w:tc>
          <w:tcPr>
            <w:tcW w:w="550" w:type="pct"/>
            <w:vAlign w:val="center"/>
          </w:tcPr>
          <w:p>
            <w:pPr>
              <w:pStyle w:val="49"/>
              <w:rPr>
                <w:rFonts w:cs="Times New Roman"/>
              </w:rPr>
            </w:pPr>
            <w:r>
              <w:rPr>
                <w:rFonts w:cs="Times New Roman"/>
              </w:rPr>
              <w:t>2.614</w:t>
            </w:r>
          </w:p>
        </w:tc>
        <w:tc>
          <w:tcPr>
            <w:tcW w:w="549" w:type="pct"/>
            <w:vAlign w:val="center"/>
          </w:tcPr>
          <w:p>
            <w:pPr>
              <w:pStyle w:val="49"/>
              <w:rPr>
                <w:rFonts w:cs="Times New Roman"/>
              </w:rPr>
            </w:pPr>
            <w:r>
              <w:rPr>
                <w:rFonts w:cs="Times New Roman"/>
              </w:rPr>
              <w:t>3.016</w:t>
            </w:r>
          </w:p>
        </w:tc>
        <w:tc>
          <w:tcPr>
            <w:tcW w:w="549" w:type="pct"/>
            <w:vAlign w:val="center"/>
          </w:tcPr>
          <w:p>
            <w:pPr>
              <w:pStyle w:val="49"/>
              <w:rPr>
                <w:rFonts w:cs="Times New Roman"/>
              </w:rPr>
            </w:pPr>
            <w:r>
              <w:rPr>
                <w:rFonts w:cs="Times New Roman"/>
              </w:rPr>
              <w:t>3.418</w:t>
            </w:r>
          </w:p>
        </w:tc>
        <w:tc>
          <w:tcPr>
            <w:tcW w:w="549" w:type="pct"/>
            <w:vAlign w:val="center"/>
          </w:tcPr>
          <w:p>
            <w:pPr>
              <w:pStyle w:val="49"/>
              <w:rPr>
                <w:rFonts w:cs="Times New Roman"/>
              </w:rPr>
            </w:pPr>
            <w:r>
              <w:rPr>
                <w:rFonts w:cs="Times New Roman"/>
              </w:rPr>
              <w:t>3.820</w:t>
            </w:r>
          </w:p>
        </w:tc>
        <w:tc>
          <w:tcPr>
            <w:tcW w:w="471" w:type="pct"/>
            <w:vAlign w:val="center"/>
          </w:tcPr>
          <w:p>
            <w:pPr>
              <w:pStyle w:val="49"/>
              <w:rPr>
                <w:rFonts w:cs="Times New Roman"/>
              </w:rPr>
            </w:pPr>
            <w:r>
              <w:rPr>
                <w:rFonts w:cs="Times New Roman"/>
              </w:rPr>
              <w:t>4.222</w:t>
            </w:r>
          </w:p>
        </w:tc>
        <w:tc>
          <w:tcPr>
            <w:tcW w:w="462" w:type="pct"/>
            <w:vAlign w:val="center"/>
          </w:tcPr>
          <w:p>
            <w:pPr>
              <w:pStyle w:val="49"/>
              <w:rPr>
                <w:rFonts w:cs="Times New Roman"/>
              </w:rPr>
            </w:pPr>
            <w:r>
              <w:rPr>
                <w:rFonts w:cs="Times New Roman"/>
              </w:rPr>
              <w:t>4.624</w:t>
            </w:r>
          </w:p>
        </w:tc>
      </w:tr>
    </w:tbl>
    <w:p>
      <w:pPr>
        <w:pStyle w:val="3"/>
        <w:ind w:firstLine="480"/>
        <w:rPr>
          <w:rFonts w:cs="Times New Roman"/>
        </w:rPr>
      </w:pPr>
      <w:r>
        <w:rPr>
          <w:rFonts w:cs="Times New Roman"/>
        </w:rPr>
        <w:t>由表</w:t>
      </w:r>
      <w:r>
        <w:rPr>
          <w:rFonts w:hint="eastAsia" w:cs="Times New Roman"/>
        </w:rPr>
        <w:t>6.1-3</w:t>
      </w:r>
      <w:r>
        <w:rPr>
          <w:rFonts w:cs="Times New Roman"/>
        </w:rPr>
        <w:t>可知，尘粒的沉降速度随粒径的增大而迅速增大。当粒径为250</w:t>
      </w:r>
      <w:r>
        <w:rPr>
          <w:rFonts w:cs="Times New Roman"/>
        </w:rPr>
        <w:sym w:font="Symbol" w:char="F06D"/>
      </w:r>
      <w:r>
        <w:rPr>
          <w:rFonts w:cs="Times New Roman"/>
        </w:rPr>
        <w:t>m时，沉降速度为1.005m/s，因此可以认为当尘粒大于250</w:t>
      </w:r>
      <w:r>
        <w:rPr>
          <w:rFonts w:cs="Times New Roman"/>
        </w:rPr>
        <w:sym w:font="Symbol" w:char="F06D"/>
      </w:r>
      <w:r>
        <w:rPr>
          <w:rFonts w:cs="Times New Roman"/>
        </w:rPr>
        <w:t>m时，主要影响范围在扬尘点下风向近距离范围内，而真正对外环境产生影响的是一些微小尘粒。根据现场的气候情况不同，其影响范围也有所不同。根据</w:t>
      </w:r>
      <w:r>
        <w:rPr>
          <w:rFonts w:hint="eastAsia" w:cs="Times New Roman"/>
        </w:rPr>
        <w:t>衡阳县</w:t>
      </w:r>
      <w:r>
        <w:rPr>
          <w:rFonts w:cs="Times New Roman"/>
        </w:rPr>
        <w:t>长期气象资料，全年主导风向为东北风，因此施工扬尘主要影响区域为西南区域有一定的影响，由于项目</w:t>
      </w:r>
      <w:r>
        <w:rPr>
          <w:rFonts w:hint="eastAsia" w:cs="Times New Roman"/>
        </w:rPr>
        <w:t>厂界外</w:t>
      </w:r>
      <w:r>
        <w:rPr>
          <w:rFonts w:cs="Times New Roman"/>
        </w:rPr>
        <w:t>西南区域</w:t>
      </w:r>
      <w:r>
        <w:rPr>
          <w:rFonts w:hint="eastAsia" w:cs="Times New Roman"/>
        </w:rPr>
        <w:t>仅有少量散户民点且</w:t>
      </w:r>
      <w:r>
        <w:rPr>
          <w:rFonts w:cs="Times New Roman"/>
        </w:rPr>
        <w:t>有</w:t>
      </w:r>
      <w:r>
        <w:rPr>
          <w:rFonts w:hint="eastAsia" w:cs="Times New Roman"/>
        </w:rPr>
        <w:t>植被</w:t>
      </w:r>
      <w:r>
        <w:rPr>
          <w:rFonts w:cs="Times New Roman"/>
        </w:rPr>
        <w:t>阻隔，因此施工期扬尘对西南</w:t>
      </w:r>
      <w:r>
        <w:rPr>
          <w:rFonts w:hint="eastAsia" w:cs="Times New Roman"/>
        </w:rPr>
        <w:t>区域</w:t>
      </w:r>
      <w:r>
        <w:rPr>
          <w:rFonts w:cs="Times New Roman"/>
        </w:rPr>
        <w:t>影响较小</w:t>
      </w:r>
      <w:r>
        <w:rPr>
          <w:rFonts w:hint="eastAsia" w:cs="Times New Roman"/>
        </w:rPr>
        <w:t>。</w:t>
      </w:r>
    </w:p>
    <w:p>
      <w:pPr>
        <w:pStyle w:val="3"/>
        <w:ind w:firstLine="480"/>
        <w:rPr>
          <w:rFonts w:cs="Times New Roman"/>
        </w:rPr>
      </w:pPr>
      <w:r>
        <w:rPr>
          <w:rFonts w:hint="eastAsia" w:cs="Times New Roman"/>
        </w:rPr>
        <w:t>2、汽车尾气</w:t>
      </w:r>
    </w:p>
    <w:p>
      <w:pPr>
        <w:pStyle w:val="3"/>
        <w:ind w:firstLine="480"/>
      </w:pPr>
      <w:r>
        <w:rPr>
          <w:rFonts w:hint="eastAsia"/>
        </w:rPr>
        <w:t>施工过程中各种工程机械和运输车辆在燃烧汽油、柴油，燃油机械尾气排放属低点源无序排放，这些机械运行过程中排放NO</w:t>
      </w:r>
      <w:r>
        <w:rPr>
          <w:rFonts w:hint="eastAsia"/>
          <w:vertAlign w:val="subscript"/>
        </w:rPr>
        <w:t>2</w:t>
      </w:r>
      <w:r>
        <w:rPr>
          <w:rFonts w:hint="eastAsia"/>
        </w:rPr>
        <w:t>、CO及烃类等废气，导致施工场地局部范围内空气质量下降，这些气体扩散后其浓度迅速降低，影响范围小，其尾气污染物最大浓度落点距边界的距离不超过150m，且浓度值均在《环境空气</w:t>
      </w:r>
      <w:r>
        <w:t>质量</w:t>
      </w:r>
      <w:r>
        <w:rPr>
          <w:rFonts w:hint="eastAsia"/>
        </w:rPr>
        <w:t>标准》（GB3095-2012）之内。由于项目施工所使用的工程机械和施工车辆数量较少，因而尾气排放量有限，因此，工程施工产生的大气污染物对施工区及周围居民区的空气环境影响较小。</w:t>
      </w:r>
    </w:p>
    <w:p>
      <w:pPr>
        <w:pStyle w:val="3"/>
        <w:ind w:firstLine="480"/>
      </w:pPr>
      <w:r>
        <w:rPr>
          <w:rFonts w:hint="eastAsia"/>
        </w:rPr>
        <w:t>3、装修废气</w:t>
      </w:r>
    </w:p>
    <w:p>
      <w:pPr>
        <w:pStyle w:val="3"/>
        <w:ind w:firstLine="480"/>
      </w:pPr>
      <w:r>
        <w:t>项目主体建筑施工完成后，对楼层房间进行简单装修。项目装修采用绿色建材，装饰材料中大部分无机材料是安全和无害的，如龙骨及配件、普通型材、地砖、玻璃等传统饰材。室内装修阶段对环境产生污染的材料主要是人造板、饰面人造板以及油漆等有机溶剂（主要有溶剂型涂料、溶剂型胶粘剂，水性阻燃剂、防水剂、防腐剂及防虫剂等），其主要污染因子为二甲苯、甲苯、甲醛、氨、TVOC，此外还有极少量的汽油、丁醇和丙醇等。为减轻施工期建筑装饰过程中涂料有机溶剂挥发对环境空气造成影响，在施工过程中应加强对建筑无进行通风处理，装修时使用环保型装饰材料，油漆、涂料等，装修材料的选取应按照国家质检总局颁布的《室内装修材料10项有害物质限量》规定进行严格控制室内甲醛、苯系物等挥发性有机物，使各项污染指标达到《室内空气质量标准》（GB/T18883-2002）的限值要求。本项目施工期短，有机物排放周期短，且作业点分散。带来的废气影响随着施工期结束而结束</w:t>
      </w:r>
      <w:r>
        <w:rPr>
          <w:rFonts w:hint="eastAsia"/>
        </w:rPr>
        <w:t>。</w:t>
      </w:r>
    </w:p>
    <w:p>
      <w:pPr>
        <w:pStyle w:val="3"/>
        <w:ind w:firstLine="0" w:firstLineChars="0"/>
        <w:outlineLvl w:val="2"/>
        <w:rPr>
          <w:rFonts w:eastAsia="黑体" w:cstheme="majorBidi"/>
          <w:bCs/>
          <w:szCs w:val="32"/>
        </w:rPr>
      </w:pPr>
      <w:r>
        <w:rPr>
          <w:rFonts w:hint="eastAsia"/>
        </w:rPr>
        <w:t>6.1.3</w:t>
      </w:r>
      <w:r>
        <w:rPr>
          <w:rFonts w:hint="eastAsia"/>
        </w:rPr>
        <w:tab/>
      </w:r>
      <w:r>
        <w:rPr>
          <w:rFonts w:hint="eastAsia" w:eastAsia="黑体" w:cstheme="majorBidi"/>
          <w:bCs/>
          <w:szCs w:val="32"/>
        </w:rPr>
        <w:t>施工期声环境影响预测与评价</w:t>
      </w:r>
    </w:p>
    <w:p>
      <w:pPr>
        <w:pStyle w:val="3"/>
        <w:ind w:firstLine="480"/>
      </w:pPr>
      <w:r>
        <w:t>建筑施工期的噪声源主要为施工机械和运输车辆，其特点是间歇或阵发性的，并具备流动性，噪声较高。各种施工机械的噪声源强分布情况见表5.1-1。本项目在考虑噪声源对环境的影响时，仅考虑点声源到不同距离处经距离衰减后的噪声。</w:t>
      </w:r>
    </w:p>
    <w:p>
      <w:pPr>
        <w:pStyle w:val="3"/>
        <w:ind w:firstLine="480"/>
      </w:pPr>
      <w:r>
        <w:t>施工期施工区噪声预测采用点源衰减模式进行预测，预测计算声源至受声点的几何发散衰减，计算中不考虑声屏障、空气吸收等衰减。</w:t>
      </w:r>
    </w:p>
    <w:p>
      <w:pPr>
        <w:pStyle w:val="3"/>
        <w:ind w:firstLine="480"/>
      </w:pPr>
      <w:r>
        <w:t>预测公式噪声传播衰减模式为：</w:t>
      </w:r>
    </w:p>
    <w:p>
      <w:pPr>
        <w:pStyle w:val="3"/>
        <w:ind w:firstLine="480"/>
        <w:jc w:val="center"/>
        <w:rPr>
          <w:rFonts w:cs="Times New Roman"/>
        </w:rPr>
      </w:pPr>
      <w:r>
        <w:rPr>
          <w:rFonts w:cs="Times New Roman"/>
        </w:rPr>
        <w:t>L</w:t>
      </w:r>
      <w:r>
        <w:rPr>
          <w:rFonts w:cs="Times New Roman"/>
          <w:vertAlign w:val="subscript"/>
        </w:rPr>
        <w:t>A</w:t>
      </w:r>
      <w:r>
        <w:rPr>
          <w:rFonts w:cs="Times New Roman"/>
        </w:rPr>
        <w:t>( r ) = L</w:t>
      </w:r>
      <w:r>
        <w:rPr>
          <w:rFonts w:cs="Times New Roman"/>
          <w:vertAlign w:val="subscript"/>
        </w:rPr>
        <w:t>A</w:t>
      </w:r>
      <w:r>
        <w:rPr>
          <w:rFonts w:cs="Times New Roman"/>
        </w:rPr>
        <w:t>( r</w:t>
      </w:r>
      <w:r>
        <w:rPr>
          <w:rFonts w:cs="Times New Roman"/>
          <w:vertAlign w:val="subscript"/>
        </w:rPr>
        <w:t>0</w:t>
      </w:r>
      <w:r>
        <w:rPr>
          <w:rFonts w:cs="Times New Roman"/>
        </w:rPr>
        <w:t xml:space="preserve"> )－20lg( r/ r</w:t>
      </w:r>
      <w:r>
        <w:rPr>
          <w:rFonts w:cs="Times New Roman"/>
          <w:vertAlign w:val="subscript"/>
        </w:rPr>
        <w:t>0</w:t>
      </w:r>
      <w:r>
        <w:rPr>
          <w:rFonts w:cs="Times New Roman"/>
        </w:rPr>
        <w:t xml:space="preserve"> )</w:t>
      </w:r>
    </w:p>
    <w:p>
      <w:pPr>
        <w:pStyle w:val="3"/>
        <w:ind w:firstLine="480"/>
        <w:rPr>
          <w:rFonts w:cs="Times New Roman"/>
        </w:rPr>
      </w:pPr>
      <w:r>
        <w:rPr>
          <w:rFonts w:cs="Times New Roman"/>
        </w:rPr>
        <w:t>式中：L</w:t>
      </w:r>
      <w:r>
        <w:rPr>
          <w:rFonts w:cs="Times New Roman"/>
          <w:vertAlign w:val="subscript"/>
        </w:rPr>
        <w:t>A</w:t>
      </w:r>
      <w:r>
        <w:rPr>
          <w:rFonts w:cs="Times New Roman"/>
        </w:rPr>
        <w:t>( r ) — 距声源r处的A声级，dB(A)；</w:t>
      </w:r>
    </w:p>
    <w:p>
      <w:pPr>
        <w:pStyle w:val="3"/>
        <w:ind w:firstLine="1200" w:firstLineChars="500"/>
        <w:rPr>
          <w:rFonts w:cs="Times New Roman"/>
        </w:rPr>
      </w:pPr>
      <w:r>
        <w:rPr>
          <w:rFonts w:cs="Times New Roman"/>
        </w:rPr>
        <w:t>L</w:t>
      </w:r>
      <w:r>
        <w:rPr>
          <w:rFonts w:cs="Times New Roman"/>
          <w:vertAlign w:val="subscript"/>
        </w:rPr>
        <w:t>A</w:t>
      </w:r>
      <w:r>
        <w:rPr>
          <w:rFonts w:cs="Times New Roman"/>
        </w:rPr>
        <w:t>( r</w:t>
      </w:r>
      <w:r>
        <w:rPr>
          <w:rFonts w:cs="Times New Roman"/>
          <w:vertAlign w:val="subscript"/>
        </w:rPr>
        <w:t>0</w:t>
      </w:r>
      <w:r>
        <w:rPr>
          <w:rFonts w:cs="Times New Roman"/>
        </w:rPr>
        <w:t xml:space="preserve"> ) — 距声源r</w:t>
      </w:r>
      <w:r>
        <w:rPr>
          <w:rFonts w:cs="Times New Roman"/>
          <w:vertAlign w:val="subscript"/>
        </w:rPr>
        <w:t>0</w:t>
      </w:r>
      <w:r>
        <w:rPr>
          <w:rFonts w:cs="Times New Roman"/>
        </w:rPr>
        <w:t>处的A声级，dB(A)；</w:t>
      </w:r>
    </w:p>
    <w:p>
      <w:pPr>
        <w:pStyle w:val="3"/>
        <w:ind w:firstLine="1200" w:firstLineChars="500"/>
        <w:rPr>
          <w:rFonts w:cs="Times New Roman"/>
        </w:rPr>
      </w:pPr>
      <w:r>
        <w:rPr>
          <w:rFonts w:cs="Times New Roman"/>
        </w:rPr>
        <w:t>r — 预测点距声源的距离，m；</w:t>
      </w:r>
    </w:p>
    <w:p>
      <w:pPr>
        <w:pStyle w:val="3"/>
        <w:ind w:firstLine="1200" w:firstLineChars="500"/>
        <w:rPr>
          <w:rFonts w:cs="Times New Roman"/>
        </w:rPr>
      </w:pPr>
      <w:r>
        <w:rPr>
          <w:rFonts w:cs="Times New Roman"/>
        </w:rPr>
        <w:t>r</w:t>
      </w:r>
      <w:r>
        <w:rPr>
          <w:rFonts w:cs="Times New Roman"/>
          <w:vertAlign w:val="subscript"/>
        </w:rPr>
        <w:t xml:space="preserve">0 </w:t>
      </w:r>
      <w:r>
        <w:rPr>
          <w:rFonts w:cs="Times New Roman"/>
        </w:rPr>
        <w:t>— 距声源的参照距离，m，r</w:t>
      </w:r>
      <w:r>
        <w:rPr>
          <w:rFonts w:cs="Times New Roman"/>
          <w:vertAlign w:val="subscript"/>
        </w:rPr>
        <w:t>0</w:t>
      </w:r>
      <w:r>
        <w:rPr>
          <w:rFonts w:cs="Times New Roman"/>
        </w:rPr>
        <w:t>=1m；</w:t>
      </w:r>
    </w:p>
    <w:p>
      <w:pPr>
        <w:pStyle w:val="3"/>
        <w:ind w:firstLine="480"/>
        <w:rPr>
          <w:rFonts w:cs="Times New Roman"/>
        </w:rPr>
      </w:pPr>
      <w:r>
        <w:rPr>
          <w:rFonts w:cs="Times New Roman"/>
        </w:rPr>
        <w:t>噪声合成公式：</w:t>
      </w:r>
      <w:r>
        <w:rPr>
          <w:rFonts w:cs="Times New Roman"/>
        </w:rPr>
        <w:tab/>
      </w:r>
    </w:p>
    <w:p>
      <w:pPr>
        <w:pStyle w:val="3"/>
        <w:ind w:firstLine="480"/>
        <w:jc w:val="center"/>
        <w:rPr>
          <w:rFonts w:cs="Times New Roman"/>
        </w:rPr>
      </w:pPr>
      <w:r>
        <w:rPr>
          <w:rFonts w:cs="Times New Roman"/>
        </w:rPr>
        <w:t>L</w:t>
      </w:r>
      <w:r>
        <w:rPr>
          <w:rFonts w:cs="Times New Roman"/>
          <w:vertAlign w:val="subscript"/>
        </w:rPr>
        <w:t>n</w:t>
      </w:r>
      <w:r>
        <w:rPr>
          <w:rFonts w:cs="Times New Roman"/>
        </w:rPr>
        <w:t xml:space="preserve"> =10lg∑10</w:t>
      </w:r>
      <w:r>
        <w:rPr>
          <w:rFonts w:cs="Times New Roman"/>
          <w:vertAlign w:val="superscript"/>
        </w:rPr>
        <w:t>L</w:t>
      </w:r>
      <w:r>
        <w:rPr>
          <w:rFonts w:cs="Times New Roman"/>
        </w:rPr>
        <w:t>i</w:t>
      </w:r>
      <w:r>
        <w:rPr>
          <w:rFonts w:cs="Times New Roman"/>
          <w:vertAlign w:val="superscript"/>
        </w:rPr>
        <w:t>/10</w:t>
      </w:r>
    </w:p>
    <w:p>
      <w:pPr>
        <w:pStyle w:val="3"/>
        <w:ind w:firstLine="480"/>
        <w:rPr>
          <w:rFonts w:cs="Times New Roman"/>
        </w:rPr>
      </w:pPr>
      <w:r>
        <w:rPr>
          <w:rFonts w:cs="Times New Roman"/>
        </w:rPr>
        <w:t>式中：L</w:t>
      </w:r>
      <w:r>
        <w:rPr>
          <w:rFonts w:cs="Times New Roman"/>
          <w:vertAlign w:val="subscript"/>
        </w:rPr>
        <w:t>n</w:t>
      </w:r>
      <w:r>
        <w:rPr>
          <w:rFonts w:cs="Times New Roman"/>
        </w:rPr>
        <w:t xml:space="preserve"> —n个声压级的合成声压级，dB(A)；</w:t>
      </w:r>
    </w:p>
    <w:p>
      <w:pPr>
        <w:pStyle w:val="3"/>
        <w:ind w:firstLine="1320" w:firstLineChars="550"/>
        <w:rPr>
          <w:rFonts w:cs="Times New Roman"/>
        </w:rPr>
      </w:pPr>
      <w:r>
        <w:rPr>
          <w:rFonts w:cs="Times New Roman"/>
        </w:rPr>
        <w:t>L</w:t>
      </w:r>
      <w:r>
        <w:rPr>
          <w:rFonts w:cs="Times New Roman"/>
          <w:vertAlign w:val="subscript"/>
        </w:rPr>
        <w:t>i</w:t>
      </w:r>
      <w:r>
        <w:rPr>
          <w:rFonts w:cs="Times New Roman"/>
        </w:rPr>
        <w:t xml:space="preserve"> — 各声源的A声级，dB(A)。</w:t>
      </w:r>
    </w:p>
    <w:p>
      <w:pPr>
        <w:pStyle w:val="3"/>
        <w:ind w:firstLine="480"/>
        <w:rPr>
          <w:rFonts w:cs="Times New Roman"/>
        </w:rPr>
      </w:pPr>
      <w:r>
        <w:rPr>
          <w:rFonts w:cs="Times New Roman"/>
        </w:rPr>
        <w:t>具体预测值见表</w:t>
      </w:r>
      <w:r>
        <w:rPr>
          <w:rFonts w:hint="eastAsia" w:cs="Times New Roman"/>
        </w:rPr>
        <w:t>6.1-4</w:t>
      </w:r>
      <w:r>
        <w:rPr>
          <w:rFonts w:cs="Times New Roman"/>
        </w:rPr>
        <w:t>、</w:t>
      </w:r>
      <w:r>
        <w:rPr>
          <w:rFonts w:hint="eastAsia" w:cs="Times New Roman"/>
        </w:rPr>
        <w:t>6</w:t>
      </w:r>
      <w:r>
        <w:rPr>
          <w:rFonts w:cs="Times New Roman"/>
        </w:rPr>
        <w:t>.1-</w:t>
      </w:r>
      <w:r>
        <w:rPr>
          <w:rFonts w:hint="eastAsia" w:cs="Times New Roman"/>
        </w:rPr>
        <w:t>5</w:t>
      </w:r>
      <w:r>
        <w:rPr>
          <w:rFonts w:cs="Times New Roman"/>
        </w:rPr>
        <w:t>。</w:t>
      </w:r>
    </w:p>
    <w:p>
      <w:pPr>
        <w:pStyle w:val="3"/>
        <w:spacing w:line="240" w:lineRule="auto"/>
        <w:ind w:firstLine="0" w:firstLineChars="0"/>
        <w:jc w:val="center"/>
        <w:rPr>
          <w:rFonts w:cs="Times New Roman"/>
        </w:rPr>
      </w:pPr>
      <w:r>
        <w:rPr>
          <w:rFonts w:hint="eastAsia" w:cs="Times New Roman" w:eastAsiaTheme="minorEastAsia"/>
          <w:b/>
        </w:rPr>
        <w:t>表6.1-4   单台机械设备噪声距离衰减预测值  单位：dB(A)</w:t>
      </w:r>
    </w:p>
    <w:tbl>
      <w:tblPr>
        <w:tblStyle w:val="30"/>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676"/>
        <w:gridCol w:w="604"/>
        <w:gridCol w:w="604"/>
        <w:gridCol w:w="604"/>
        <w:gridCol w:w="604"/>
        <w:gridCol w:w="712"/>
        <w:gridCol w:w="712"/>
        <w:gridCol w:w="712"/>
        <w:gridCol w:w="712"/>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84" w:type="dxa"/>
            <w:vMerge w:val="restart"/>
            <w:vAlign w:val="center"/>
          </w:tcPr>
          <w:p>
            <w:pPr>
              <w:pStyle w:val="49"/>
              <w:rPr>
                <w:rFonts w:cs="Times New Roman"/>
              </w:rPr>
            </w:pPr>
            <w:r>
              <w:rPr>
                <w:rFonts w:cs="Times New Roman"/>
              </w:rPr>
              <w:t>机械类型</w:t>
            </w:r>
          </w:p>
        </w:tc>
        <w:tc>
          <w:tcPr>
            <w:tcW w:w="1134" w:type="dxa"/>
            <w:vMerge w:val="restart"/>
            <w:vAlign w:val="center"/>
          </w:tcPr>
          <w:p>
            <w:pPr>
              <w:pStyle w:val="49"/>
              <w:rPr>
                <w:rFonts w:cs="Times New Roman"/>
              </w:rPr>
            </w:pPr>
            <w:r>
              <w:rPr>
                <w:rFonts w:cs="Times New Roman"/>
              </w:rPr>
              <w:t>源强</w:t>
            </w:r>
          </w:p>
          <w:p>
            <w:pPr>
              <w:pStyle w:val="49"/>
              <w:rPr>
                <w:rFonts w:cs="Times New Roman"/>
              </w:rPr>
            </w:pPr>
            <w:r>
              <w:rPr>
                <w:rFonts w:cs="Times New Roman"/>
              </w:rPr>
              <w:t>（1m处）</w:t>
            </w:r>
          </w:p>
        </w:tc>
        <w:tc>
          <w:tcPr>
            <w:tcW w:w="6655" w:type="dxa"/>
            <w:gridSpan w:val="10"/>
            <w:vAlign w:val="center"/>
          </w:tcPr>
          <w:p>
            <w:pPr>
              <w:pStyle w:val="49"/>
              <w:rPr>
                <w:rFonts w:cs="Times New Roman"/>
              </w:rPr>
            </w:pPr>
            <w:r>
              <w:rPr>
                <w:rFonts w:cs="Times New Roman"/>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84" w:type="dxa"/>
            <w:vMerge w:val="continue"/>
            <w:vAlign w:val="center"/>
          </w:tcPr>
          <w:p>
            <w:pPr>
              <w:pStyle w:val="49"/>
              <w:rPr>
                <w:rFonts w:cs="Times New Roman"/>
              </w:rPr>
            </w:pPr>
          </w:p>
        </w:tc>
        <w:tc>
          <w:tcPr>
            <w:tcW w:w="1134" w:type="dxa"/>
            <w:vMerge w:val="continue"/>
            <w:vAlign w:val="center"/>
          </w:tcPr>
          <w:p>
            <w:pPr>
              <w:pStyle w:val="49"/>
              <w:rPr>
                <w:rFonts w:cs="Times New Roman"/>
              </w:rPr>
            </w:pPr>
          </w:p>
        </w:tc>
        <w:tc>
          <w:tcPr>
            <w:tcW w:w="676" w:type="dxa"/>
            <w:vAlign w:val="center"/>
          </w:tcPr>
          <w:p>
            <w:pPr>
              <w:pStyle w:val="49"/>
              <w:rPr>
                <w:rFonts w:cs="Times New Roman"/>
              </w:rPr>
            </w:pPr>
            <w:r>
              <w:rPr>
                <w:rFonts w:cs="Times New Roman"/>
              </w:rPr>
              <w:t>5m</w:t>
            </w:r>
          </w:p>
        </w:tc>
        <w:tc>
          <w:tcPr>
            <w:tcW w:w="604" w:type="dxa"/>
            <w:vAlign w:val="center"/>
          </w:tcPr>
          <w:p>
            <w:pPr>
              <w:pStyle w:val="49"/>
              <w:rPr>
                <w:rFonts w:cs="Times New Roman"/>
              </w:rPr>
            </w:pPr>
            <w:r>
              <w:rPr>
                <w:rFonts w:cs="Times New Roman"/>
              </w:rPr>
              <w:t>10m</w:t>
            </w:r>
          </w:p>
        </w:tc>
        <w:tc>
          <w:tcPr>
            <w:tcW w:w="604" w:type="dxa"/>
            <w:vAlign w:val="center"/>
          </w:tcPr>
          <w:p>
            <w:pPr>
              <w:pStyle w:val="49"/>
              <w:rPr>
                <w:rFonts w:cs="Times New Roman"/>
              </w:rPr>
            </w:pPr>
            <w:r>
              <w:rPr>
                <w:rFonts w:cs="Times New Roman"/>
              </w:rPr>
              <w:t>20m</w:t>
            </w:r>
          </w:p>
        </w:tc>
        <w:tc>
          <w:tcPr>
            <w:tcW w:w="604" w:type="dxa"/>
            <w:vAlign w:val="center"/>
          </w:tcPr>
          <w:p>
            <w:pPr>
              <w:pStyle w:val="49"/>
              <w:rPr>
                <w:rFonts w:cs="Times New Roman"/>
              </w:rPr>
            </w:pPr>
            <w:r>
              <w:rPr>
                <w:rFonts w:cs="Times New Roman"/>
              </w:rPr>
              <w:t>40m</w:t>
            </w:r>
          </w:p>
        </w:tc>
        <w:tc>
          <w:tcPr>
            <w:tcW w:w="604" w:type="dxa"/>
            <w:vAlign w:val="center"/>
          </w:tcPr>
          <w:p>
            <w:pPr>
              <w:pStyle w:val="49"/>
              <w:rPr>
                <w:rFonts w:cs="Times New Roman"/>
              </w:rPr>
            </w:pPr>
            <w:r>
              <w:rPr>
                <w:rFonts w:cs="Times New Roman"/>
              </w:rPr>
              <w:t>50m</w:t>
            </w:r>
          </w:p>
        </w:tc>
        <w:tc>
          <w:tcPr>
            <w:tcW w:w="712" w:type="dxa"/>
            <w:vAlign w:val="center"/>
          </w:tcPr>
          <w:p>
            <w:pPr>
              <w:pStyle w:val="49"/>
              <w:rPr>
                <w:rFonts w:cs="Times New Roman"/>
              </w:rPr>
            </w:pPr>
            <w:r>
              <w:rPr>
                <w:rFonts w:cs="Times New Roman"/>
              </w:rPr>
              <w:t>100m</w:t>
            </w:r>
          </w:p>
        </w:tc>
        <w:tc>
          <w:tcPr>
            <w:tcW w:w="712" w:type="dxa"/>
            <w:vAlign w:val="center"/>
          </w:tcPr>
          <w:p>
            <w:pPr>
              <w:pStyle w:val="49"/>
              <w:rPr>
                <w:rFonts w:cs="Times New Roman"/>
              </w:rPr>
            </w:pPr>
            <w:r>
              <w:rPr>
                <w:rFonts w:cs="Times New Roman"/>
              </w:rPr>
              <w:t>150m</w:t>
            </w:r>
          </w:p>
        </w:tc>
        <w:tc>
          <w:tcPr>
            <w:tcW w:w="712" w:type="dxa"/>
            <w:vAlign w:val="center"/>
          </w:tcPr>
          <w:p>
            <w:pPr>
              <w:pStyle w:val="49"/>
              <w:rPr>
                <w:rFonts w:cs="Times New Roman"/>
              </w:rPr>
            </w:pPr>
            <w:r>
              <w:rPr>
                <w:rFonts w:cs="Times New Roman"/>
              </w:rPr>
              <w:t>200m</w:t>
            </w:r>
          </w:p>
        </w:tc>
        <w:tc>
          <w:tcPr>
            <w:tcW w:w="712" w:type="dxa"/>
            <w:vAlign w:val="center"/>
          </w:tcPr>
          <w:p>
            <w:pPr>
              <w:pStyle w:val="49"/>
              <w:rPr>
                <w:rFonts w:cs="Times New Roman"/>
              </w:rPr>
            </w:pPr>
            <w:r>
              <w:rPr>
                <w:rFonts w:cs="Times New Roman"/>
              </w:rPr>
              <w:t>300m</w:t>
            </w:r>
          </w:p>
        </w:tc>
        <w:tc>
          <w:tcPr>
            <w:tcW w:w="715" w:type="dxa"/>
            <w:vAlign w:val="center"/>
          </w:tcPr>
          <w:p>
            <w:pPr>
              <w:pStyle w:val="49"/>
              <w:rPr>
                <w:rFonts w:cs="Times New Roman"/>
              </w:rPr>
            </w:pPr>
            <w:r>
              <w:rPr>
                <w:rFonts w:cs="Times New Roman"/>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84" w:type="dxa"/>
            <w:vAlign w:val="center"/>
          </w:tcPr>
          <w:p>
            <w:pPr>
              <w:pStyle w:val="49"/>
              <w:rPr>
                <w:rFonts w:cs="Times New Roman"/>
              </w:rPr>
            </w:pPr>
            <w:r>
              <w:rPr>
                <w:rFonts w:cs="Times New Roman"/>
                <w:kern w:val="0"/>
              </w:rPr>
              <w:t>振捣器</w:t>
            </w:r>
          </w:p>
        </w:tc>
        <w:tc>
          <w:tcPr>
            <w:tcW w:w="1134" w:type="dxa"/>
            <w:vAlign w:val="center"/>
          </w:tcPr>
          <w:p>
            <w:pPr>
              <w:pStyle w:val="49"/>
              <w:rPr>
                <w:rFonts w:cs="Times New Roman"/>
              </w:rPr>
            </w:pPr>
            <w:r>
              <w:rPr>
                <w:rFonts w:cs="Times New Roman"/>
              </w:rPr>
              <w:t>105</w:t>
            </w:r>
          </w:p>
        </w:tc>
        <w:tc>
          <w:tcPr>
            <w:tcW w:w="676" w:type="dxa"/>
            <w:vAlign w:val="center"/>
          </w:tcPr>
          <w:p>
            <w:pPr>
              <w:pStyle w:val="49"/>
              <w:rPr>
                <w:rFonts w:cs="Times New Roman"/>
              </w:rPr>
            </w:pPr>
            <w:r>
              <w:rPr>
                <w:rFonts w:cs="Times New Roman"/>
              </w:rPr>
              <w:t>91</w:t>
            </w:r>
          </w:p>
        </w:tc>
        <w:tc>
          <w:tcPr>
            <w:tcW w:w="604" w:type="dxa"/>
            <w:vAlign w:val="center"/>
          </w:tcPr>
          <w:p>
            <w:pPr>
              <w:pStyle w:val="49"/>
              <w:rPr>
                <w:rFonts w:cs="Times New Roman"/>
              </w:rPr>
            </w:pPr>
            <w:r>
              <w:rPr>
                <w:rFonts w:cs="Times New Roman"/>
              </w:rPr>
              <w:t>85</w:t>
            </w:r>
          </w:p>
        </w:tc>
        <w:tc>
          <w:tcPr>
            <w:tcW w:w="604" w:type="dxa"/>
            <w:vAlign w:val="center"/>
          </w:tcPr>
          <w:p>
            <w:pPr>
              <w:pStyle w:val="49"/>
              <w:rPr>
                <w:rFonts w:cs="Times New Roman"/>
              </w:rPr>
            </w:pPr>
            <w:r>
              <w:rPr>
                <w:rFonts w:cs="Times New Roman"/>
              </w:rPr>
              <w:t>79</w:t>
            </w:r>
          </w:p>
        </w:tc>
        <w:tc>
          <w:tcPr>
            <w:tcW w:w="604" w:type="dxa"/>
            <w:vAlign w:val="center"/>
          </w:tcPr>
          <w:p>
            <w:pPr>
              <w:pStyle w:val="49"/>
              <w:rPr>
                <w:rFonts w:cs="Times New Roman"/>
              </w:rPr>
            </w:pPr>
            <w:r>
              <w:rPr>
                <w:rFonts w:cs="Times New Roman"/>
              </w:rPr>
              <w:t>73</w:t>
            </w:r>
          </w:p>
        </w:tc>
        <w:tc>
          <w:tcPr>
            <w:tcW w:w="604" w:type="dxa"/>
            <w:vAlign w:val="center"/>
          </w:tcPr>
          <w:p>
            <w:pPr>
              <w:pStyle w:val="49"/>
              <w:rPr>
                <w:rFonts w:cs="Times New Roman"/>
              </w:rPr>
            </w:pPr>
            <w:r>
              <w:rPr>
                <w:rFonts w:cs="Times New Roman"/>
              </w:rPr>
              <w:t>71</w:t>
            </w:r>
          </w:p>
        </w:tc>
        <w:tc>
          <w:tcPr>
            <w:tcW w:w="712" w:type="dxa"/>
            <w:vAlign w:val="center"/>
          </w:tcPr>
          <w:p>
            <w:pPr>
              <w:pStyle w:val="49"/>
              <w:rPr>
                <w:rFonts w:cs="Times New Roman"/>
              </w:rPr>
            </w:pPr>
            <w:r>
              <w:rPr>
                <w:rFonts w:cs="Times New Roman"/>
              </w:rPr>
              <w:t>65</w:t>
            </w:r>
          </w:p>
        </w:tc>
        <w:tc>
          <w:tcPr>
            <w:tcW w:w="712" w:type="dxa"/>
            <w:vAlign w:val="center"/>
          </w:tcPr>
          <w:p>
            <w:pPr>
              <w:pStyle w:val="49"/>
              <w:rPr>
                <w:rFonts w:cs="Times New Roman"/>
              </w:rPr>
            </w:pPr>
            <w:r>
              <w:rPr>
                <w:rFonts w:cs="Times New Roman"/>
              </w:rPr>
              <w:t>61</w:t>
            </w:r>
          </w:p>
        </w:tc>
        <w:tc>
          <w:tcPr>
            <w:tcW w:w="712" w:type="dxa"/>
            <w:vAlign w:val="center"/>
          </w:tcPr>
          <w:p>
            <w:pPr>
              <w:pStyle w:val="49"/>
              <w:rPr>
                <w:rFonts w:cs="Times New Roman"/>
              </w:rPr>
            </w:pPr>
            <w:r>
              <w:rPr>
                <w:rFonts w:cs="Times New Roman"/>
              </w:rPr>
              <w:t>59</w:t>
            </w:r>
          </w:p>
        </w:tc>
        <w:tc>
          <w:tcPr>
            <w:tcW w:w="712" w:type="dxa"/>
            <w:vAlign w:val="center"/>
          </w:tcPr>
          <w:p>
            <w:pPr>
              <w:pStyle w:val="49"/>
              <w:rPr>
                <w:rFonts w:cs="Times New Roman"/>
              </w:rPr>
            </w:pPr>
            <w:r>
              <w:rPr>
                <w:rFonts w:cs="Times New Roman"/>
              </w:rPr>
              <w:t>55</w:t>
            </w:r>
          </w:p>
        </w:tc>
        <w:tc>
          <w:tcPr>
            <w:tcW w:w="715" w:type="dxa"/>
            <w:vAlign w:val="center"/>
          </w:tcPr>
          <w:p>
            <w:pPr>
              <w:pStyle w:val="49"/>
              <w:rPr>
                <w:rFonts w:cs="Times New Roman"/>
              </w:rPr>
            </w:pPr>
            <w:r>
              <w:rPr>
                <w:rFonts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84" w:type="dxa"/>
            <w:vAlign w:val="center"/>
          </w:tcPr>
          <w:p>
            <w:pPr>
              <w:pStyle w:val="49"/>
              <w:rPr>
                <w:rFonts w:cs="Times New Roman"/>
              </w:rPr>
            </w:pPr>
            <w:r>
              <w:rPr>
                <w:rFonts w:cs="Times New Roman"/>
              </w:rPr>
              <w:t>电锯</w:t>
            </w:r>
          </w:p>
        </w:tc>
        <w:tc>
          <w:tcPr>
            <w:tcW w:w="1134" w:type="dxa"/>
            <w:vAlign w:val="center"/>
          </w:tcPr>
          <w:p>
            <w:pPr>
              <w:pStyle w:val="49"/>
              <w:rPr>
                <w:rFonts w:cs="Times New Roman"/>
              </w:rPr>
            </w:pPr>
            <w:r>
              <w:rPr>
                <w:rFonts w:cs="Times New Roman"/>
              </w:rPr>
              <w:t>100</w:t>
            </w:r>
          </w:p>
        </w:tc>
        <w:tc>
          <w:tcPr>
            <w:tcW w:w="676" w:type="dxa"/>
            <w:vAlign w:val="center"/>
          </w:tcPr>
          <w:p>
            <w:pPr>
              <w:pStyle w:val="49"/>
              <w:rPr>
                <w:rFonts w:cs="Times New Roman"/>
              </w:rPr>
            </w:pPr>
            <w:r>
              <w:rPr>
                <w:rFonts w:cs="Times New Roman"/>
              </w:rPr>
              <w:t>86</w:t>
            </w:r>
          </w:p>
        </w:tc>
        <w:tc>
          <w:tcPr>
            <w:tcW w:w="604" w:type="dxa"/>
            <w:vAlign w:val="center"/>
          </w:tcPr>
          <w:p>
            <w:pPr>
              <w:pStyle w:val="49"/>
              <w:rPr>
                <w:rFonts w:cs="Times New Roman"/>
              </w:rPr>
            </w:pPr>
            <w:r>
              <w:rPr>
                <w:rFonts w:cs="Times New Roman"/>
              </w:rPr>
              <w:t>80</w:t>
            </w:r>
          </w:p>
        </w:tc>
        <w:tc>
          <w:tcPr>
            <w:tcW w:w="604" w:type="dxa"/>
            <w:vAlign w:val="center"/>
          </w:tcPr>
          <w:p>
            <w:pPr>
              <w:pStyle w:val="49"/>
              <w:rPr>
                <w:rFonts w:cs="Times New Roman"/>
              </w:rPr>
            </w:pPr>
            <w:r>
              <w:rPr>
                <w:rFonts w:cs="Times New Roman"/>
              </w:rPr>
              <w:t>74</w:t>
            </w:r>
          </w:p>
        </w:tc>
        <w:tc>
          <w:tcPr>
            <w:tcW w:w="604" w:type="dxa"/>
            <w:vAlign w:val="center"/>
          </w:tcPr>
          <w:p>
            <w:pPr>
              <w:pStyle w:val="49"/>
              <w:rPr>
                <w:rFonts w:cs="Times New Roman"/>
              </w:rPr>
            </w:pPr>
            <w:r>
              <w:rPr>
                <w:rFonts w:cs="Times New Roman"/>
              </w:rPr>
              <w:t>68</w:t>
            </w:r>
          </w:p>
        </w:tc>
        <w:tc>
          <w:tcPr>
            <w:tcW w:w="604" w:type="dxa"/>
            <w:vAlign w:val="center"/>
          </w:tcPr>
          <w:p>
            <w:pPr>
              <w:pStyle w:val="49"/>
              <w:rPr>
                <w:rFonts w:cs="Times New Roman"/>
              </w:rPr>
            </w:pPr>
            <w:r>
              <w:rPr>
                <w:rFonts w:cs="Times New Roman"/>
              </w:rPr>
              <w:t>66</w:t>
            </w:r>
          </w:p>
        </w:tc>
        <w:tc>
          <w:tcPr>
            <w:tcW w:w="712" w:type="dxa"/>
            <w:vAlign w:val="center"/>
          </w:tcPr>
          <w:p>
            <w:pPr>
              <w:pStyle w:val="49"/>
              <w:rPr>
                <w:rFonts w:cs="Times New Roman"/>
              </w:rPr>
            </w:pPr>
            <w:r>
              <w:rPr>
                <w:rFonts w:cs="Times New Roman"/>
              </w:rPr>
              <w:t>60</w:t>
            </w:r>
          </w:p>
        </w:tc>
        <w:tc>
          <w:tcPr>
            <w:tcW w:w="712" w:type="dxa"/>
            <w:vAlign w:val="center"/>
          </w:tcPr>
          <w:p>
            <w:pPr>
              <w:pStyle w:val="49"/>
              <w:rPr>
                <w:rFonts w:cs="Times New Roman"/>
              </w:rPr>
            </w:pPr>
            <w:r>
              <w:rPr>
                <w:rFonts w:cs="Times New Roman"/>
              </w:rPr>
              <w:t>56</w:t>
            </w:r>
          </w:p>
        </w:tc>
        <w:tc>
          <w:tcPr>
            <w:tcW w:w="712" w:type="dxa"/>
            <w:vAlign w:val="center"/>
          </w:tcPr>
          <w:p>
            <w:pPr>
              <w:pStyle w:val="49"/>
              <w:rPr>
                <w:rFonts w:cs="Times New Roman"/>
              </w:rPr>
            </w:pPr>
            <w:r>
              <w:rPr>
                <w:rFonts w:cs="Times New Roman"/>
              </w:rPr>
              <w:t>54</w:t>
            </w:r>
          </w:p>
        </w:tc>
        <w:tc>
          <w:tcPr>
            <w:tcW w:w="712" w:type="dxa"/>
            <w:vAlign w:val="center"/>
          </w:tcPr>
          <w:p>
            <w:pPr>
              <w:pStyle w:val="49"/>
              <w:rPr>
                <w:rFonts w:cs="Times New Roman"/>
              </w:rPr>
            </w:pPr>
            <w:r>
              <w:rPr>
                <w:rFonts w:cs="Times New Roman"/>
              </w:rPr>
              <w:t>50</w:t>
            </w:r>
          </w:p>
        </w:tc>
        <w:tc>
          <w:tcPr>
            <w:tcW w:w="715" w:type="dxa"/>
            <w:vAlign w:val="center"/>
          </w:tcPr>
          <w:p>
            <w:pPr>
              <w:pStyle w:val="49"/>
              <w:rPr>
                <w:rFonts w:cs="Times New Roman"/>
              </w:rPr>
            </w:pPr>
            <w:r>
              <w:rPr>
                <w:rFonts w:cs="Times New Roma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pStyle w:val="49"/>
              <w:rPr>
                <w:rFonts w:cs="Times New Roman"/>
              </w:rPr>
            </w:pPr>
            <w:r>
              <w:rPr>
                <w:rFonts w:cs="Times New Roman"/>
              </w:rPr>
              <w:t>挖土机</w:t>
            </w:r>
          </w:p>
        </w:tc>
        <w:tc>
          <w:tcPr>
            <w:tcW w:w="1134" w:type="dxa"/>
            <w:vAlign w:val="center"/>
          </w:tcPr>
          <w:p>
            <w:pPr>
              <w:pStyle w:val="49"/>
              <w:rPr>
                <w:rFonts w:cs="Times New Roman"/>
              </w:rPr>
            </w:pPr>
            <w:r>
              <w:rPr>
                <w:rFonts w:cs="Times New Roman"/>
              </w:rPr>
              <w:t>96</w:t>
            </w:r>
          </w:p>
        </w:tc>
        <w:tc>
          <w:tcPr>
            <w:tcW w:w="676" w:type="dxa"/>
            <w:vAlign w:val="center"/>
          </w:tcPr>
          <w:p>
            <w:pPr>
              <w:pStyle w:val="49"/>
              <w:rPr>
                <w:rFonts w:cs="Times New Roman"/>
              </w:rPr>
            </w:pPr>
            <w:r>
              <w:rPr>
                <w:rFonts w:cs="Times New Roman"/>
              </w:rPr>
              <w:t>82</w:t>
            </w:r>
          </w:p>
        </w:tc>
        <w:tc>
          <w:tcPr>
            <w:tcW w:w="604" w:type="dxa"/>
            <w:vAlign w:val="center"/>
          </w:tcPr>
          <w:p>
            <w:pPr>
              <w:pStyle w:val="49"/>
              <w:rPr>
                <w:rFonts w:cs="Times New Roman"/>
              </w:rPr>
            </w:pPr>
            <w:r>
              <w:rPr>
                <w:rFonts w:cs="Times New Roman"/>
              </w:rPr>
              <w:t>76</w:t>
            </w:r>
          </w:p>
        </w:tc>
        <w:tc>
          <w:tcPr>
            <w:tcW w:w="604" w:type="dxa"/>
            <w:vAlign w:val="center"/>
          </w:tcPr>
          <w:p>
            <w:pPr>
              <w:pStyle w:val="49"/>
              <w:rPr>
                <w:rFonts w:cs="Times New Roman"/>
              </w:rPr>
            </w:pPr>
            <w:r>
              <w:rPr>
                <w:rFonts w:cs="Times New Roman"/>
              </w:rPr>
              <w:t>70</w:t>
            </w:r>
          </w:p>
        </w:tc>
        <w:tc>
          <w:tcPr>
            <w:tcW w:w="604" w:type="dxa"/>
            <w:vAlign w:val="center"/>
          </w:tcPr>
          <w:p>
            <w:pPr>
              <w:pStyle w:val="49"/>
              <w:rPr>
                <w:rFonts w:cs="Times New Roman"/>
              </w:rPr>
            </w:pPr>
            <w:r>
              <w:rPr>
                <w:rFonts w:cs="Times New Roman"/>
              </w:rPr>
              <w:t>64</w:t>
            </w:r>
          </w:p>
        </w:tc>
        <w:tc>
          <w:tcPr>
            <w:tcW w:w="604" w:type="dxa"/>
            <w:vAlign w:val="center"/>
          </w:tcPr>
          <w:p>
            <w:pPr>
              <w:pStyle w:val="49"/>
              <w:rPr>
                <w:rFonts w:cs="Times New Roman"/>
              </w:rPr>
            </w:pPr>
            <w:r>
              <w:rPr>
                <w:rFonts w:cs="Times New Roman"/>
              </w:rPr>
              <w:t>62</w:t>
            </w:r>
          </w:p>
        </w:tc>
        <w:tc>
          <w:tcPr>
            <w:tcW w:w="712" w:type="dxa"/>
            <w:vAlign w:val="center"/>
          </w:tcPr>
          <w:p>
            <w:pPr>
              <w:pStyle w:val="49"/>
              <w:rPr>
                <w:rFonts w:cs="Times New Roman"/>
              </w:rPr>
            </w:pPr>
            <w:r>
              <w:rPr>
                <w:rFonts w:cs="Times New Roman"/>
              </w:rPr>
              <w:t>56</w:t>
            </w:r>
          </w:p>
        </w:tc>
        <w:tc>
          <w:tcPr>
            <w:tcW w:w="712" w:type="dxa"/>
            <w:vAlign w:val="center"/>
          </w:tcPr>
          <w:p>
            <w:pPr>
              <w:pStyle w:val="49"/>
              <w:rPr>
                <w:rFonts w:cs="Times New Roman"/>
              </w:rPr>
            </w:pPr>
            <w:r>
              <w:rPr>
                <w:rFonts w:cs="Times New Roman"/>
              </w:rPr>
              <w:t>52</w:t>
            </w:r>
          </w:p>
        </w:tc>
        <w:tc>
          <w:tcPr>
            <w:tcW w:w="712" w:type="dxa"/>
            <w:vAlign w:val="center"/>
          </w:tcPr>
          <w:p>
            <w:pPr>
              <w:pStyle w:val="49"/>
              <w:rPr>
                <w:rFonts w:cs="Times New Roman"/>
              </w:rPr>
            </w:pPr>
            <w:r>
              <w:rPr>
                <w:rFonts w:cs="Times New Roman"/>
              </w:rPr>
              <w:t>50</w:t>
            </w:r>
          </w:p>
        </w:tc>
        <w:tc>
          <w:tcPr>
            <w:tcW w:w="712" w:type="dxa"/>
            <w:vAlign w:val="center"/>
          </w:tcPr>
          <w:p>
            <w:pPr>
              <w:pStyle w:val="49"/>
              <w:rPr>
                <w:rFonts w:cs="Times New Roman"/>
              </w:rPr>
            </w:pPr>
            <w:r>
              <w:rPr>
                <w:rFonts w:cs="Times New Roman"/>
              </w:rPr>
              <w:t>46</w:t>
            </w:r>
          </w:p>
        </w:tc>
        <w:tc>
          <w:tcPr>
            <w:tcW w:w="715" w:type="dxa"/>
            <w:vAlign w:val="center"/>
          </w:tcPr>
          <w:p>
            <w:pPr>
              <w:pStyle w:val="49"/>
              <w:rPr>
                <w:rFonts w:cs="Times New Roman"/>
              </w:rPr>
            </w:pPr>
            <w:r>
              <w:rPr>
                <w:rFonts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pStyle w:val="49"/>
              <w:rPr>
                <w:rFonts w:cs="Times New Roman"/>
              </w:rPr>
            </w:pPr>
            <w:r>
              <w:rPr>
                <w:rFonts w:cs="Times New Roman"/>
              </w:rPr>
              <w:t>电焊机</w:t>
            </w:r>
          </w:p>
        </w:tc>
        <w:tc>
          <w:tcPr>
            <w:tcW w:w="1134" w:type="dxa"/>
            <w:vAlign w:val="center"/>
          </w:tcPr>
          <w:p>
            <w:pPr>
              <w:pStyle w:val="49"/>
              <w:rPr>
                <w:rFonts w:cs="Times New Roman"/>
              </w:rPr>
            </w:pPr>
            <w:r>
              <w:rPr>
                <w:rFonts w:cs="Times New Roman"/>
              </w:rPr>
              <w:t>95</w:t>
            </w:r>
          </w:p>
        </w:tc>
        <w:tc>
          <w:tcPr>
            <w:tcW w:w="676" w:type="dxa"/>
            <w:vAlign w:val="center"/>
          </w:tcPr>
          <w:p>
            <w:pPr>
              <w:pStyle w:val="49"/>
              <w:rPr>
                <w:rFonts w:cs="Times New Roman"/>
              </w:rPr>
            </w:pPr>
            <w:r>
              <w:rPr>
                <w:rFonts w:cs="Times New Roman"/>
              </w:rPr>
              <w:t>81</w:t>
            </w:r>
          </w:p>
        </w:tc>
        <w:tc>
          <w:tcPr>
            <w:tcW w:w="604" w:type="dxa"/>
            <w:vAlign w:val="center"/>
          </w:tcPr>
          <w:p>
            <w:pPr>
              <w:pStyle w:val="49"/>
              <w:rPr>
                <w:rFonts w:cs="Times New Roman"/>
              </w:rPr>
            </w:pPr>
            <w:r>
              <w:rPr>
                <w:rFonts w:cs="Times New Roman"/>
              </w:rPr>
              <w:t>75</w:t>
            </w:r>
          </w:p>
        </w:tc>
        <w:tc>
          <w:tcPr>
            <w:tcW w:w="604" w:type="dxa"/>
            <w:vAlign w:val="center"/>
          </w:tcPr>
          <w:p>
            <w:pPr>
              <w:pStyle w:val="49"/>
              <w:rPr>
                <w:rFonts w:cs="Times New Roman"/>
              </w:rPr>
            </w:pPr>
            <w:r>
              <w:rPr>
                <w:rFonts w:cs="Times New Roman"/>
              </w:rPr>
              <w:t>69</w:t>
            </w:r>
          </w:p>
        </w:tc>
        <w:tc>
          <w:tcPr>
            <w:tcW w:w="604" w:type="dxa"/>
            <w:vAlign w:val="center"/>
          </w:tcPr>
          <w:p>
            <w:pPr>
              <w:pStyle w:val="49"/>
              <w:rPr>
                <w:rFonts w:cs="Times New Roman"/>
              </w:rPr>
            </w:pPr>
            <w:r>
              <w:rPr>
                <w:rFonts w:cs="Times New Roman"/>
              </w:rPr>
              <w:t>63</w:t>
            </w:r>
          </w:p>
        </w:tc>
        <w:tc>
          <w:tcPr>
            <w:tcW w:w="604" w:type="dxa"/>
            <w:vAlign w:val="center"/>
          </w:tcPr>
          <w:p>
            <w:pPr>
              <w:pStyle w:val="49"/>
              <w:rPr>
                <w:rFonts w:cs="Times New Roman"/>
              </w:rPr>
            </w:pPr>
            <w:r>
              <w:rPr>
                <w:rFonts w:cs="Times New Roman"/>
              </w:rPr>
              <w:t>61</w:t>
            </w:r>
          </w:p>
        </w:tc>
        <w:tc>
          <w:tcPr>
            <w:tcW w:w="712" w:type="dxa"/>
            <w:vAlign w:val="center"/>
          </w:tcPr>
          <w:p>
            <w:pPr>
              <w:pStyle w:val="49"/>
              <w:rPr>
                <w:rFonts w:cs="Times New Roman"/>
              </w:rPr>
            </w:pPr>
            <w:r>
              <w:rPr>
                <w:rFonts w:cs="Times New Roman"/>
              </w:rPr>
              <w:t>55</w:t>
            </w:r>
          </w:p>
        </w:tc>
        <w:tc>
          <w:tcPr>
            <w:tcW w:w="712" w:type="dxa"/>
            <w:vAlign w:val="center"/>
          </w:tcPr>
          <w:p>
            <w:pPr>
              <w:pStyle w:val="49"/>
              <w:rPr>
                <w:rFonts w:cs="Times New Roman"/>
              </w:rPr>
            </w:pPr>
            <w:r>
              <w:rPr>
                <w:rFonts w:cs="Times New Roman"/>
              </w:rPr>
              <w:t>51</w:t>
            </w:r>
          </w:p>
        </w:tc>
        <w:tc>
          <w:tcPr>
            <w:tcW w:w="712" w:type="dxa"/>
            <w:vAlign w:val="center"/>
          </w:tcPr>
          <w:p>
            <w:pPr>
              <w:pStyle w:val="49"/>
              <w:rPr>
                <w:rFonts w:cs="Times New Roman"/>
              </w:rPr>
            </w:pPr>
            <w:r>
              <w:rPr>
                <w:rFonts w:cs="Times New Roman"/>
              </w:rPr>
              <w:t>49</w:t>
            </w:r>
          </w:p>
        </w:tc>
        <w:tc>
          <w:tcPr>
            <w:tcW w:w="712" w:type="dxa"/>
            <w:vAlign w:val="center"/>
          </w:tcPr>
          <w:p>
            <w:pPr>
              <w:pStyle w:val="49"/>
              <w:rPr>
                <w:rFonts w:cs="Times New Roman"/>
              </w:rPr>
            </w:pPr>
            <w:r>
              <w:rPr>
                <w:rFonts w:cs="Times New Roman"/>
              </w:rPr>
              <w:t>45</w:t>
            </w:r>
          </w:p>
        </w:tc>
        <w:tc>
          <w:tcPr>
            <w:tcW w:w="715" w:type="dxa"/>
            <w:vAlign w:val="center"/>
          </w:tcPr>
          <w:p>
            <w:pPr>
              <w:pStyle w:val="49"/>
              <w:rPr>
                <w:rFonts w:cs="Times New Roman"/>
              </w:rPr>
            </w:pPr>
            <w:r>
              <w:rPr>
                <w:rFonts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pStyle w:val="49"/>
              <w:rPr>
                <w:rFonts w:cs="Times New Roman"/>
              </w:rPr>
            </w:pPr>
            <w:r>
              <w:rPr>
                <w:rFonts w:cs="Times New Roman"/>
              </w:rPr>
              <w:t>空压机</w:t>
            </w:r>
          </w:p>
        </w:tc>
        <w:tc>
          <w:tcPr>
            <w:tcW w:w="1134" w:type="dxa"/>
            <w:vAlign w:val="center"/>
          </w:tcPr>
          <w:p>
            <w:pPr>
              <w:pStyle w:val="49"/>
              <w:rPr>
                <w:rFonts w:cs="Times New Roman"/>
              </w:rPr>
            </w:pPr>
            <w:r>
              <w:rPr>
                <w:rFonts w:cs="Times New Roman"/>
              </w:rPr>
              <w:t>85</w:t>
            </w:r>
          </w:p>
        </w:tc>
        <w:tc>
          <w:tcPr>
            <w:tcW w:w="676" w:type="dxa"/>
            <w:vAlign w:val="center"/>
          </w:tcPr>
          <w:p>
            <w:pPr>
              <w:pStyle w:val="49"/>
              <w:rPr>
                <w:rFonts w:cs="Times New Roman"/>
              </w:rPr>
            </w:pPr>
            <w:r>
              <w:rPr>
                <w:rFonts w:cs="Times New Roman"/>
              </w:rPr>
              <w:t>71</w:t>
            </w:r>
          </w:p>
        </w:tc>
        <w:tc>
          <w:tcPr>
            <w:tcW w:w="604" w:type="dxa"/>
            <w:vAlign w:val="center"/>
          </w:tcPr>
          <w:p>
            <w:pPr>
              <w:pStyle w:val="49"/>
              <w:rPr>
                <w:rFonts w:cs="Times New Roman"/>
              </w:rPr>
            </w:pPr>
            <w:r>
              <w:rPr>
                <w:rFonts w:cs="Times New Roman"/>
              </w:rPr>
              <w:t>65</w:t>
            </w:r>
          </w:p>
        </w:tc>
        <w:tc>
          <w:tcPr>
            <w:tcW w:w="604" w:type="dxa"/>
            <w:vAlign w:val="center"/>
          </w:tcPr>
          <w:p>
            <w:pPr>
              <w:pStyle w:val="49"/>
              <w:rPr>
                <w:rFonts w:cs="Times New Roman"/>
              </w:rPr>
            </w:pPr>
            <w:r>
              <w:rPr>
                <w:rFonts w:cs="Times New Roman"/>
              </w:rPr>
              <w:t>59</w:t>
            </w:r>
          </w:p>
        </w:tc>
        <w:tc>
          <w:tcPr>
            <w:tcW w:w="604" w:type="dxa"/>
            <w:vAlign w:val="center"/>
          </w:tcPr>
          <w:p>
            <w:pPr>
              <w:pStyle w:val="49"/>
              <w:rPr>
                <w:rFonts w:cs="Times New Roman"/>
              </w:rPr>
            </w:pPr>
            <w:r>
              <w:rPr>
                <w:rFonts w:cs="Times New Roman"/>
              </w:rPr>
              <w:t>53</w:t>
            </w:r>
          </w:p>
        </w:tc>
        <w:tc>
          <w:tcPr>
            <w:tcW w:w="604" w:type="dxa"/>
            <w:vAlign w:val="center"/>
          </w:tcPr>
          <w:p>
            <w:pPr>
              <w:pStyle w:val="49"/>
              <w:rPr>
                <w:rFonts w:cs="Times New Roman"/>
              </w:rPr>
            </w:pPr>
            <w:r>
              <w:rPr>
                <w:rFonts w:cs="Times New Roman"/>
              </w:rPr>
              <w:t>51</w:t>
            </w:r>
          </w:p>
        </w:tc>
        <w:tc>
          <w:tcPr>
            <w:tcW w:w="712" w:type="dxa"/>
            <w:vAlign w:val="center"/>
          </w:tcPr>
          <w:p>
            <w:pPr>
              <w:pStyle w:val="49"/>
              <w:rPr>
                <w:rFonts w:cs="Times New Roman"/>
              </w:rPr>
            </w:pPr>
            <w:r>
              <w:rPr>
                <w:rFonts w:cs="Times New Roman"/>
              </w:rPr>
              <w:t>45</w:t>
            </w:r>
          </w:p>
        </w:tc>
        <w:tc>
          <w:tcPr>
            <w:tcW w:w="712" w:type="dxa"/>
            <w:vAlign w:val="center"/>
          </w:tcPr>
          <w:p>
            <w:pPr>
              <w:pStyle w:val="49"/>
              <w:rPr>
                <w:rFonts w:cs="Times New Roman"/>
              </w:rPr>
            </w:pPr>
            <w:r>
              <w:rPr>
                <w:rFonts w:cs="Times New Roman"/>
              </w:rPr>
              <w:t>41</w:t>
            </w:r>
          </w:p>
        </w:tc>
        <w:tc>
          <w:tcPr>
            <w:tcW w:w="712" w:type="dxa"/>
            <w:vAlign w:val="center"/>
          </w:tcPr>
          <w:p>
            <w:pPr>
              <w:pStyle w:val="49"/>
              <w:rPr>
                <w:rFonts w:cs="Times New Roman"/>
              </w:rPr>
            </w:pPr>
            <w:r>
              <w:rPr>
                <w:rFonts w:cs="Times New Roman"/>
              </w:rPr>
              <w:t>39</w:t>
            </w:r>
          </w:p>
        </w:tc>
        <w:tc>
          <w:tcPr>
            <w:tcW w:w="712" w:type="dxa"/>
            <w:vAlign w:val="center"/>
          </w:tcPr>
          <w:p>
            <w:pPr>
              <w:pStyle w:val="49"/>
              <w:rPr>
                <w:rFonts w:cs="Times New Roman"/>
              </w:rPr>
            </w:pPr>
            <w:r>
              <w:rPr>
                <w:rFonts w:cs="Times New Roman"/>
              </w:rPr>
              <w:t>35</w:t>
            </w:r>
          </w:p>
        </w:tc>
        <w:tc>
          <w:tcPr>
            <w:tcW w:w="715" w:type="dxa"/>
            <w:vAlign w:val="center"/>
          </w:tcPr>
          <w:p>
            <w:pPr>
              <w:pStyle w:val="49"/>
              <w:rPr>
                <w:rFonts w:cs="Times New Roman"/>
              </w:rPr>
            </w:pPr>
            <w:r>
              <w:rPr>
                <w:rFonts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pStyle w:val="49"/>
              <w:rPr>
                <w:rFonts w:cs="Times New Roman"/>
              </w:rPr>
            </w:pPr>
            <w:r>
              <w:rPr>
                <w:rFonts w:cs="Times New Roman"/>
              </w:rPr>
              <w:t>混凝土装罐车</w:t>
            </w:r>
          </w:p>
        </w:tc>
        <w:tc>
          <w:tcPr>
            <w:tcW w:w="1134" w:type="dxa"/>
            <w:vAlign w:val="center"/>
          </w:tcPr>
          <w:p>
            <w:pPr>
              <w:pStyle w:val="49"/>
              <w:rPr>
                <w:rFonts w:cs="Times New Roman"/>
              </w:rPr>
            </w:pPr>
            <w:r>
              <w:rPr>
                <w:rFonts w:cs="Times New Roman"/>
              </w:rPr>
              <w:t>80</w:t>
            </w:r>
          </w:p>
        </w:tc>
        <w:tc>
          <w:tcPr>
            <w:tcW w:w="676" w:type="dxa"/>
            <w:vAlign w:val="center"/>
          </w:tcPr>
          <w:p>
            <w:pPr>
              <w:pStyle w:val="49"/>
              <w:rPr>
                <w:rFonts w:cs="Times New Roman"/>
              </w:rPr>
            </w:pPr>
            <w:r>
              <w:rPr>
                <w:rFonts w:cs="Times New Roman"/>
              </w:rPr>
              <w:t>66</w:t>
            </w:r>
          </w:p>
        </w:tc>
        <w:tc>
          <w:tcPr>
            <w:tcW w:w="604" w:type="dxa"/>
            <w:vAlign w:val="center"/>
          </w:tcPr>
          <w:p>
            <w:pPr>
              <w:pStyle w:val="49"/>
              <w:rPr>
                <w:rFonts w:cs="Times New Roman"/>
              </w:rPr>
            </w:pPr>
            <w:r>
              <w:rPr>
                <w:rFonts w:cs="Times New Roman"/>
              </w:rPr>
              <w:t>60</w:t>
            </w:r>
          </w:p>
        </w:tc>
        <w:tc>
          <w:tcPr>
            <w:tcW w:w="604" w:type="dxa"/>
            <w:vAlign w:val="center"/>
          </w:tcPr>
          <w:p>
            <w:pPr>
              <w:pStyle w:val="49"/>
              <w:rPr>
                <w:rFonts w:cs="Times New Roman"/>
              </w:rPr>
            </w:pPr>
            <w:r>
              <w:rPr>
                <w:rFonts w:cs="Times New Roman"/>
              </w:rPr>
              <w:t>54</w:t>
            </w:r>
          </w:p>
        </w:tc>
        <w:tc>
          <w:tcPr>
            <w:tcW w:w="604" w:type="dxa"/>
            <w:vAlign w:val="center"/>
          </w:tcPr>
          <w:p>
            <w:pPr>
              <w:pStyle w:val="49"/>
              <w:rPr>
                <w:rFonts w:cs="Times New Roman"/>
              </w:rPr>
            </w:pPr>
            <w:r>
              <w:rPr>
                <w:rFonts w:cs="Times New Roman"/>
              </w:rPr>
              <w:t>48</w:t>
            </w:r>
          </w:p>
        </w:tc>
        <w:tc>
          <w:tcPr>
            <w:tcW w:w="604" w:type="dxa"/>
            <w:vAlign w:val="center"/>
          </w:tcPr>
          <w:p>
            <w:pPr>
              <w:pStyle w:val="49"/>
              <w:rPr>
                <w:rFonts w:cs="Times New Roman"/>
              </w:rPr>
            </w:pPr>
            <w:r>
              <w:rPr>
                <w:rFonts w:cs="Times New Roman"/>
              </w:rPr>
              <w:t>46</w:t>
            </w:r>
          </w:p>
        </w:tc>
        <w:tc>
          <w:tcPr>
            <w:tcW w:w="712" w:type="dxa"/>
            <w:vAlign w:val="center"/>
          </w:tcPr>
          <w:p>
            <w:pPr>
              <w:pStyle w:val="49"/>
              <w:rPr>
                <w:rFonts w:cs="Times New Roman"/>
              </w:rPr>
            </w:pPr>
            <w:r>
              <w:rPr>
                <w:rFonts w:cs="Times New Roman"/>
              </w:rPr>
              <w:t>40</w:t>
            </w:r>
          </w:p>
        </w:tc>
        <w:tc>
          <w:tcPr>
            <w:tcW w:w="712" w:type="dxa"/>
            <w:vAlign w:val="center"/>
          </w:tcPr>
          <w:p>
            <w:pPr>
              <w:pStyle w:val="49"/>
              <w:rPr>
                <w:rFonts w:cs="Times New Roman"/>
              </w:rPr>
            </w:pPr>
            <w:r>
              <w:rPr>
                <w:rFonts w:cs="Times New Roman"/>
              </w:rPr>
              <w:t>36</w:t>
            </w:r>
          </w:p>
        </w:tc>
        <w:tc>
          <w:tcPr>
            <w:tcW w:w="712" w:type="dxa"/>
            <w:vAlign w:val="center"/>
          </w:tcPr>
          <w:p>
            <w:pPr>
              <w:pStyle w:val="49"/>
              <w:rPr>
                <w:rFonts w:cs="Times New Roman"/>
              </w:rPr>
            </w:pPr>
            <w:r>
              <w:rPr>
                <w:rFonts w:cs="Times New Roman"/>
              </w:rPr>
              <w:t>34</w:t>
            </w:r>
          </w:p>
        </w:tc>
        <w:tc>
          <w:tcPr>
            <w:tcW w:w="712" w:type="dxa"/>
            <w:vAlign w:val="center"/>
          </w:tcPr>
          <w:p>
            <w:pPr>
              <w:pStyle w:val="49"/>
              <w:rPr>
                <w:rFonts w:cs="Times New Roman"/>
              </w:rPr>
            </w:pPr>
            <w:r>
              <w:rPr>
                <w:rFonts w:cs="Times New Roman"/>
              </w:rPr>
              <w:t>30</w:t>
            </w:r>
          </w:p>
        </w:tc>
        <w:tc>
          <w:tcPr>
            <w:tcW w:w="715" w:type="dxa"/>
            <w:vAlign w:val="center"/>
          </w:tcPr>
          <w:p>
            <w:pPr>
              <w:pStyle w:val="49"/>
              <w:rPr>
                <w:rFonts w:cs="Times New Roman"/>
              </w:rPr>
            </w:pPr>
            <w:r>
              <w:rPr>
                <w:rFonts w:cs="Times New Roman"/>
              </w:rPr>
              <w:t>28</w:t>
            </w:r>
          </w:p>
        </w:tc>
      </w:tr>
    </w:tbl>
    <w:p>
      <w:pPr>
        <w:pStyle w:val="3"/>
        <w:spacing w:line="240" w:lineRule="auto"/>
        <w:ind w:firstLine="0" w:firstLineChars="0"/>
        <w:jc w:val="center"/>
        <w:rPr>
          <w:rFonts w:cs="Times New Roman"/>
        </w:rPr>
      </w:pPr>
      <w:r>
        <w:rPr>
          <w:rFonts w:hint="eastAsia" w:cs="Times New Roman" w:eastAsiaTheme="minorEastAsia"/>
          <w:b/>
        </w:rPr>
        <w:t>表6.1-5   多台机械设备同时运转的噪声预测值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726"/>
        <w:gridCol w:w="727"/>
        <w:gridCol w:w="727"/>
        <w:gridCol w:w="727"/>
        <w:gridCol w:w="727"/>
        <w:gridCol w:w="727"/>
        <w:gridCol w:w="727"/>
        <w:gridCol w:w="727"/>
        <w:gridCol w:w="727"/>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7" w:type="pct"/>
            <w:vAlign w:val="center"/>
          </w:tcPr>
          <w:p>
            <w:pPr>
              <w:pStyle w:val="49"/>
              <w:rPr>
                <w:rFonts w:cs="Times New Roman"/>
              </w:rPr>
            </w:pPr>
            <w:r>
              <w:rPr>
                <w:rFonts w:cs="Times New Roman"/>
              </w:rPr>
              <w:t>距离（m）</w:t>
            </w:r>
          </w:p>
        </w:tc>
        <w:tc>
          <w:tcPr>
            <w:tcW w:w="396" w:type="pct"/>
            <w:vAlign w:val="center"/>
          </w:tcPr>
          <w:p>
            <w:pPr>
              <w:pStyle w:val="49"/>
              <w:rPr>
                <w:rFonts w:cs="Times New Roman"/>
              </w:rPr>
            </w:pPr>
            <w:r>
              <w:rPr>
                <w:rFonts w:cs="Times New Roman"/>
              </w:rPr>
              <w:t>5</w:t>
            </w:r>
          </w:p>
        </w:tc>
        <w:tc>
          <w:tcPr>
            <w:tcW w:w="396" w:type="pct"/>
            <w:vAlign w:val="center"/>
          </w:tcPr>
          <w:p>
            <w:pPr>
              <w:pStyle w:val="49"/>
              <w:rPr>
                <w:rFonts w:cs="Times New Roman"/>
              </w:rPr>
            </w:pPr>
            <w:r>
              <w:rPr>
                <w:rFonts w:cs="Times New Roman"/>
              </w:rPr>
              <w:t>10</w:t>
            </w:r>
          </w:p>
        </w:tc>
        <w:tc>
          <w:tcPr>
            <w:tcW w:w="396" w:type="pct"/>
            <w:vAlign w:val="center"/>
          </w:tcPr>
          <w:p>
            <w:pPr>
              <w:pStyle w:val="49"/>
              <w:rPr>
                <w:rFonts w:cs="Times New Roman"/>
              </w:rPr>
            </w:pPr>
            <w:r>
              <w:rPr>
                <w:rFonts w:cs="Times New Roman"/>
              </w:rPr>
              <w:t>20</w:t>
            </w:r>
          </w:p>
        </w:tc>
        <w:tc>
          <w:tcPr>
            <w:tcW w:w="396" w:type="pct"/>
            <w:vAlign w:val="center"/>
          </w:tcPr>
          <w:p>
            <w:pPr>
              <w:pStyle w:val="49"/>
              <w:rPr>
                <w:rFonts w:cs="Times New Roman"/>
              </w:rPr>
            </w:pPr>
            <w:r>
              <w:rPr>
                <w:rFonts w:cs="Times New Roman"/>
              </w:rPr>
              <w:t>40</w:t>
            </w:r>
          </w:p>
        </w:tc>
        <w:tc>
          <w:tcPr>
            <w:tcW w:w="396" w:type="pct"/>
            <w:vAlign w:val="center"/>
          </w:tcPr>
          <w:p>
            <w:pPr>
              <w:pStyle w:val="49"/>
              <w:rPr>
                <w:rFonts w:cs="Times New Roman"/>
              </w:rPr>
            </w:pPr>
            <w:r>
              <w:rPr>
                <w:rFonts w:cs="Times New Roman"/>
              </w:rPr>
              <w:t>50</w:t>
            </w:r>
          </w:p>
        </w:tc>
        <w:tc>
          <w:tcPr>
            <w:tcW w:w="396" w:type="pct"/>
            <w:vAlign w:val="center"/>
          </w:tcPr>
          <w:p>
            <w:pPr>
              <w:pStyle w:val="49"/>
              <w:rPr>
                <w:rFonts w:cs="Times New Roman"/>
              </w:rPr>
            </w:pPr>
            <w:r>
              <w:rPr>
                <w:rFonts w:cs="Times New Roman"/>
              </w:rPr>
              <w:t>100</w:t>
            </w:r>
          </w:p>
        </w:tc>
        <w:tc>
          <w:tcPr>
            <w:tcW w:w="396" w:type="pct"/>
            <w:vAlign w:val="center"/>
          </w:tcPr>
          <w:p>
            <w:pPr>
              <w:pStyle w:val="49"/>
              <w:rPr>
                <w:rFonts w:cs="Times New Roman"/>
              </w:rPr>
            </w:pPr>
            <w:r>
              <w:rPr>
                <w:rFonts w:cs="Times New Roman"/>
              </w:rPr>
              <w:t>150</w:t>
            </w:r>
          </w:p>
        </w:tc>
        <w:tc>
          <w:tcPr>
            <w:tcW w:w="396" w:type="pct"/>
            <w:vAlign w:val="center"/>
          </w:tcPr>
          <w:p>
            <w:pPr>
              <w:pStyle w:val="49"/>
              <w:rPr>
                <w:rFonts w:cs="Times New Roman"/>
              </w:rPr>
            </w:pPr>
            <w:r>
              <w:rPr>
                <w:rFonts w:cs="Times New Roman"/>
              </w:rPr>
              <w:t>200</w:t>
            </w:r>
          </w:p>
        </w:tc>
        <w:tc>
          <w:tcPr>
            <w:tcW w:w="396" w:type="pct"/>
            <w:vAlign w:val="center"/>
          </w:tcPr>
          <w:p>
            <w:pPr>
              <w:pStyle w:val="49"/>
              <w:rPr>
                <w:rFonts w:cs="Times New Roman"/>
              </w:rPr>
            </w:pPr>
            <w:r>
              <w:rPr>
                <w:rFonts w:cs="Times New Roman"/>
              </w:rPr>
              <w:t>300</w:t>
            </w:r>
          </w:p>
        </w:tc>
        <w:tc>
          <w:tcPr>
            <w:tcW w:w="397" w:type="pct"/>
            <w:vAlign w:val="center"/>
          </w:tcPr>
          <w:p>
            <w:pPr>
              <w:pStyle w:val="49"/>
              <w:rPr>
                <w:rFonts w:cs="Times New Roman"/>
              </w:rPr>
            </w:pPr>
            <w:r>
              <w:rPr>
                <w:rFonts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7" w:type="pct"/>
            <w:vAlign w:val="center"/>
          </w:tcPr>
          <w:p>
            <w:pPr>
              <w:pStyle w:val="49"/>
              <w:rPr>
                <w:rFonts w:cs="Times New Roman"/>
              </w:rPr>
            </w:pPr>
            <w:r>
              <w:rPr>
                <w:rFonts w:cs="Times New Roman"/>
              </w:rPr>
              <w:t>噪声预测值</w:t>
            </w:r>
          </w:p>
        </w:tc>
        <w:tc>
          <w:tcPr>
            <w:tcW w:w="396" w:type="pct"/>
            <w:vAlign w:val="center"/>
          </w:tcPr>
          <w:p>
            <w:pPr>
              <w:pStyle w:val="49"/>
              <w:rPr>
                <w:rFonts w:cs="Times New Roman"/>
              </w:rPr>
            </w:pPr>
            <w:r>
              <w:rPr>
                <w:rFonts w:cs="Times New Roman"/>
              </w:rPr>
              <w:t>93</w:t>
            </w:r>
          </w:p>
        </w:tc>
        <w:tc>
          <w:tcPr>
            <w:tcW w:w="396" w:type="pct"/>
            <w:vAlign w:val="center"/>
          </w:tcPr>
          <w:p>
            <w:pPr>
              <w:pStyle w:val="49"/>
              <w:rPr>
                <w:rFonts w:cs="Times New Roman"/>
              </w:rPr>
            </w:pPr>
            <w:r>
              <w:rPr>
                <w:rFonts w:cs="Times New Roman"/>
              </w:rPr>
              <w:t>87</w:t>
            </w:r>
          </w:p>
        </w:tc>
        <w:tc>
          <w:tcPr>
            <w:tcW w:w="396" w:type="pct"/>
            <w:vAlign w:val="center"/>
          </w:tcPr>
          <w:p>
            <w:pPr>
              <w:pStyle w:val="49"/>
              <w:rPr>
                <w:rFonts w:cs="Times New Roman"/>
              </w:rPr>
            </w:pPr>
            <w:r>
              <w:rPr>
                <w:rFonts w:cs="Times New Roman"/>
              </w:rPr>
              <w:t>81</w:t>
            </w:r>
          </w:p>
        </w:tc>
        <w:tc>
          <w:tcPr>
            <w:tcW w:w="396" w:type="pct"/>
            <w:vAlign w:val="center"/>
          </w:tcPr>
          <w:p>
            <w:pPr>
              <w:pStyle w:val="49"/>
              <w:rPr>
                <w:rFonts w:cs="Times New Roman"/>
              </w:rPr>
            </w:pPr>
            <w:r>
              <w:rPr>
                <w:rFonts w:cs="Times New Roman"/>
              </w:rPr>
              <w:t>75</w:t>
            </w:r>
          </w:p>
        </w:tc>
        <w:tc>
          <w:tcPr>
            <w:tcW w:w="396" w:type="pct"/>
            <w:vAlign w:val="center"/>
          </w:tcPr>
          <w:p>
            <w:pPr>
              <w:pStyle w:val="49"/>
              <w:rPr>
                <w:rFonts w:cs="Times New Roman"/>
              </w:rPr>
            </w:pPr>
            <w:r>
              <w:rPr>
                <w:rFonts w:cs="Times New Roman"/>
              </w:rPr>
              <w:t>73</w:t>
            </w:r>
          </w:p>
        </w:tc>
        <w:tc>
          <w:tcPr>
            <w:tcW w:w="396" w:type="pct"/>
            <w:vAlign w:val="center"/>
          </w:tcPr>
          <w:p>
            <w:pPr>
              <w:pStyle w:val="49"/>
              <w:rPr>
                <w:rFonts w:cs="Times New Roman"/>
              </w:rPr>
            </w:pPr>
            <w:r>
              <w:rPr>
                <w:rFonts w:cs="Times New Roman"/>
              </w:rPr>
              <w:t>67</w:t>
            </w:r>
          </w:p>
        </w:tc>
        <w:tc>
          <w:tcPr>
            <w:tcW w:w="396" w:type="pct"/>
            <w:vAlign w:val="center"/>
          </w:tcPr>
          <w:p>
            <w:pPr>
              <w:pStyle w:val="49"/>
              <w:rPr>
                <w:rFonts w:cs="Times New Roman"/>
              </w:rPr>
            </w:pPr>
            <w:r>
              <w:rPr>
                <w:rFonts w:cs="Times New Roman"/>
              </w:rPr>
              <w:t>63</w:t>
            </w:r>
          </w:p>
        </w:tc>
        <w:tc>
          <w:tcPr>
            <w:tcW w:w="396" w:type="pct"/>
            <w:vAlign w:val="center"/>
          </w:tcPr>
          <w:p>
            <w:pPr>
              <w:pStyle w:val="49"/>
              <w:rPr>
                <w:rFonts w:cs="Times New Roman"/>
              </w:rPr>
            </w:pPr>
            <w:r>
              <w:rPr>
                <w:rFonts w:cs="Times New Roman"/>
              </w:rPr>
              <w:t>61</w:t>
            </w:r>
          </w:p>
        </w:tc>
        <w:tc>
          <w:tcPr>
            <w:tcW w:w="396" w:type="pct"/>
            <w:vAlign w:val="center"/>
          </w:tcPr>
          <w:p>
            <w:pPr>
              <w:pStyle w:val="49"/>
              <w:rPr>
                <w:rFonts w:cs="Times New Roman"/>
              </w:rPr>
            </w:pPr>
            <w:r>
              <w:rPr>
                <w:rFonts w:cs="Times New Roman"/>
              </w:rPr>
              <w:t>57</w:t>
            </w:r>
          </w:p>
        </w:tc>
        <w:tc>
          <w:tcPr>
            <w:tcW w:w="397" w:type="pct"/>
            <w:vAlign w:val="center"/>
          </w:tcPr>
          <w:p>
            <w:pPr>
              <w:pStyle w:val="49"/>
              <w:rPr>
                <w:rFonts w:cs="Times New Roman"/>
              </w:rPr>
            </w:pPr>
            <w:r>
              <w:rPr>
                <w:rFonts w:cs="Times New Roman"/>
              </w:rPr>
              <w:t>55</w:t>
            </w:r>
          </w:p>
        </w:tc>
      </w:tr>
    </w:tbl>
    <w:p>
      <w:pPr>
        <w:pStyle w:val="3"/>
        <w:ind w:firstLine="480"/>
        <w:rPr>
          <w:rFonts w:cs="Times New Roman"/>
        </w:rPr>
      </w:pPr>
      <w:r>
        <w:rPr>
          <w:rFonts w:cs="Times New Roman"/>
        </w:rPr>
        <w:t>由表6.1-4及表6.1-5表明，施工噪声随传播距离衰减。一般施工机械噪声在场区中心施工时对场界外影响很小，但在场界边附近施工时将对项目边界外200m范围内的敏感点声环境产生一定的不利影响。通过优化布局，合理安排施工机械，噪声大的施工机械和施工主体布置在远离居民区等敏感点的区域，合理安排施工时间，在夜间尽量不进行施工或安排低噪声施工作业等措施后，主体工程施工期噪声对周边居民点环境影响不大。防止噪声影响周围环境和人们的正常生活，必须采取以下措施：</w:t>
      </w:r>
    </w:p>
    <w:p>
      <w:pPr>
        <w:pStyle w:val="3"/>
        <w:ind w:firstLine="480"/>
        <w:rPr>
          <w:rFonts w:cs="Times New Roman"/>
        </w:rPr>
      </w:pPr>
      <w:r>
        <w:rPr>
          <w:rFonts w:cs="Times New Roman"/>
        </w:rPr>
        <w:t>a、严格执行政府城建施工有关规定，合理安排施工工作时间和施工设备数量，避免在打夯、挖掘等过程中影响居民休息。</w:t>
      </w:r>
    </w:p>
    <w:p>
      <w:pPr>
        <w:pStyle w:val="3"/>
        <w:ind w:firstLine="480"/>
        <w:rPr>
          <w:rFonts w:cs="Times New Roman"/>
        </w:rPr>
      </w:pPr>
      <w:r>
        <w:rPr>
          <w:rFonts w:cs="Times New Roman"/>
        </w:rPr>
        <w:t>b、禁止高噪声设备在午休时间和夜间22：00 至次日6：00 作业；应避免在同一时间集中使用大量的高噪声动力机械设备。</w:t>
      </w:r>
    </w:p>
    <w:p>
      <w:pPr>
        <w:pStyle w:val="3"/>
        <w:ind w:firstLine="480"/>
        <w:rPr>
          <w:rFonts w:cs="Times New Roman"/>
        </w:rPr>
      </w:pPr>
      <w:r>
        <w:rPr>
          <w:rFonts w:cs="Times New Roman"/>
        </w:rPr>
        <w:t>c、合理布局施工场地，同时避免局部声级过高。</w:t>
      </w:r>
    </w:p>
    <w:p>
      <w:pPr>
        <w:pStyle w:val="3"/>
        <w:ind w:firstLine="480"/>
        <w:rPr>
          <w:rFonts w:cs="Times New Roman"/>
        </w:rPr>
      </w:pPr>
      <w:r>
        <w:rPr>
          <w:rFonts w:cs="Times New Roman"/>
        </w:rPr>
        <w:t>d、设备选型上尽量采用低噪声设备。固定机械设备可通过排气管消音器和隔离发动机振动部件的方法减低噪声。对动力机械设备进行定期的维修、养护，维修不良的设备常因松动部件的振动或消音器的损坏而增加其工作时的声级。</w:t>
      </w:r>
    </w:p>
    <w:p>
      <w:pPr>
        <w:pStyle w:val="3"/>
        <w:ind w:firstLine="480"/>
        <w:rPr>
          <w:rFonts w:cs="Times New Roman"/>
        </w:rPr>
      </w:pPr>
      <w:r>
        <w:rPr>
          <w:rFonts w:cs="Times New Roman"/>
        </w:rPr>
        <w:t>e、建立临时屏障。对位置相对固定的机械设备，尽可能采用隔声措施；机械设备应尽量入棚操作，并布置在场地的中间并设简易隔声围挡，不能入棚入室的可适当建立单面声障。</w:t>
      </w:r>
    </w:p>
    <w:p>
      <w:pPr>
        <w:pStyle w:val="3"/>
        <w:ind w:firstLine="480"/>
        <w:rPr>
          <w:rFonts w:cs="Times New Roman"/>
        </w:rPr>
      </w:pPr>
      <w:r>
        <w:rPr>
          <w:rFonts w:cs="Times New Roman"/>
        </w:rPr>
        <w:t>f、加强对施工设备的维护保养，减少设备噪声。</w:t>
      </w:r>
    </w:p>
    <w:p>
      <w:pPr>
        <w:pStyle w:val="3"/>
        <w:ind w:firstLine="480"/>
        <w:rPr>
          <w:rFonts w:cs="Times New Roman"/>
        </w:rPr>
      </w:pPr>
      <w:r>
        <w:rPr>
          <w:rFonts w:cs="Times New Roman"/>
        </w:rPr>
        <w:t>综上所述，该项目建设过程中产生的施工噪声具有阶段性、临时性和不固定性，随着施工阶段的不同，施工噪声影响也不同。施工结束时，施工噪声也自行结束，采取相应的措施后，对周边敏感点影响小。</w:t>
      </w:r>
    </w:p>
    <w:p>
      <w:pPr>
        <w:pStyle w:val="3"/>
        <w:ind w:firstLine="0" w:firstLineChars="0"/>
        <w:outlineLvl w:val="2"/>
        <w:rPr>
          <w:rFonts w:eastAsia="黑体" w:cstheme="majorBidi"/>
          <w:bCs/>
          <w:szCs w:val="32"/>
        </w:rPr>
      </w:pPr>
      <w:r>
        <w:rPr>
          <w:rFonts w:hint="eastAsia"/>
        </w:rPr>
        <w:t>6.1.4</w:t>
      </w:r>
      <w:r>
        <w:rPr>
          <w:rFonts w:hint="eastAsia"/>
        </w:rPr>
        <w:tab/>
      </w:r>
      <w:r>
        <w:rPr>
          <w:rFonts w:hint="eastAsia" w:eastAsia="黑体" w:cstheme="majorBidi"/>
          <w:bCs/>
          <w:szCs w:val="32"/>
        </w:rPr>
        <w:t>施工期固体废物影响分析</w:t>
      </w:r>
    </w:p>
    <w:p>
      <w:pPr>
        <w:pStyle w:val="3"/>
        <w:ind w:firstLine="480"/>
        <w:rPr>
          <w:rFonts w:cs="Times New Roman"/>
        </w:rPr>
      </w:pPr>
      <w:r>
        <w:rPr>
          <w:rFonts w:hint="eastAsia" w:cs="Times New Roman"/>
        </w:rPr>
        <w:t>项目施工期固体废物主要是场地开挖产生的土石方、建筑材料废弃物、施工人员生活垃圾。</w:t>
      </w:r>
    </w:p>
    <w:p>
      <w:pPr>
        <w:pStyle w:val="3"/>
        <w:ind w:firstLine="480"/>
        <w:rPr>
          <w:rFonts w:cs="Times New Roman"/>
        </w:rPr>
      </w:pPr>
      <w:r>
        <w:rPr>
          <w:rFonts w:hint="eastAsia" w:cs="Times New Roman"/>
        </w:rPr>
        <w:t>1、开挖土石方</w:t>
      </w:r>
    </w:p>
    <w:p>
      <w:pPr>
        <w:pStyle w:val="3"/>
        <w:ind w:firstLine="480"/>
        <w:rPr>
          <w:rFonts w:cs="Times New Roman"/>
        </w:rPr>
      </w:pPr>
      <w:r>
        <w:rPr>
          <w:rFonts w:hint="eastAsia" w:cs="Times New Roman"/>
        </w:rPr>
        <w:t>本项目开挖方量全部用于场区土坑回填和环境绿植土壤，不外排。建设单位设置规范临时土石方堆场，合理的将土石方用于厂区土坑回填、低洼地填平，并进行压实处理。表土剥离产生的表土和妥善堆存，用于建设后期环境绿化，不外排。</w:t>
      </w:r>
    </w:p>
    <w:p>
      <w:pPr>
        <w:pStyle w:val="3"/>
        <w:ind w:firstLine="480"/>
        <w:rPr>
          <w:rFonts w:cs="Times New Roman"/>
        </w:rPr>
      </w:pPr>
      <w:r>
        <w:rPr>
          <w:rFonts w:hint="eastAsia" w:cs="Times New Roman"/>
        </w:rPr>
        <w:t>2、建筑垃圾</w:t>
      </w:r>
    </w:p>
    <w:p>
      <w:pPr>
        <w:pStyle w:val="3"/>
        <w:ind w:firstLine="480"/>
        <w:rPr>
          <w:rFonts w:cs="Times New Roman"/>
        </w:rPr>
      </w:pPr>
      <w:r>
        <w:rPr>
          <w:rFonts w:hint="eastAsia" w:cs="Times New Roman"/>
        </w:rPr>
        <w:t>建筑垃圾包括混凝土碎块、废弃钢筋、废弃瓷砖、废弃建筑包装材料等房屋主体施工产生建筑垃圾。施工完成后集中收集，包装材料、木材边角料、金属类等可回收利用废物回收利用，碎砖、碎瓷片、混凝土块等不可回收废物定期清运至衡阳县城市管理部门指定的建筑垃圾堆放场集中堆存。</w:t>
      </w:r>
    </w:p>
    <w:p>
      <w:pPr>
        <w:pStyle w:val="3"/>
        <w:ind w:firstLine="480"/>
        <w:rPr>
          <w:rFonts w:cs="Times New Roman"/>
        </w:rPr>
      </w:pPr>
      <w:r>
        <w:rPr>
          <w:rFonts w:hint="eastAsia" w:cs="Times New Roman"/>
        </w:rPr>
        <w:t>此外，装修期间产生一定量的装修垃圾，其中的油漆、涂料容器等固体废物属于危险固废，不得随意抛弃，需单独集中收集后交由具有相关资质的单位进行处置，不得随意丢弃，避免对环境造成较大影响。</w:t>
      </w:r>
    </w:p>
    <w:p>
      <w:pPr>
        <w:pStyle w:val="3"/>
        <w:ind w:firstLine="480"/>
        <w:rPr>
          <w:rFonts w:cs="Times New Roman"/>
        </w:rPr>
      </w:pPr>
      <w:r>
        <w:rPr>
          <w:rFonts w:hint="eastAsia" w:cs="Times New Roman"/>
        </w:rPr>
        <w:t>3、生活垃圾</w:t>
      </w:r>
    </w:p>
    <w:p>
      <w:pPr>
        <w:pStyle w:val="3"/>
        <w:ind w:firstLine="480"/>
        <w:rPr>
          <w:rFonts w:cs="Times New Roman"/>
        </w:rPr>
      </w:pPr>
      <w:r>
        <w:rPr>
          <w:rFonts w:hint="eastAsia" w:cs="Times New Roman"/>
        </w:rPr>
        <w:t>本项目施工期高峰施工人数约为20人，人均产生生活垃圾为</w:t>
      </w:r>
      <w:r>
        <w:rPr>
          <w:rFonts w:cs="Times New Roman"/>
        </w:rPr>
        <w:t>0.5kg/d</w:t>
      </w:r>
      <w:r>
        <w:rPr>
          <w:rFonts w:hint="eastAsia" w:cs="Times New Roman"/>
        </w:rPr>
        <w:t>，则生活垃圾产生量为10</w:t>
      </w:r>
      <w:r>
        <w:rPr>
          <w:rFonts w:cs="Times New Roman"/>
        </w:rPr>
        <w:t>kg/d</w:t>
      </w:r>
      <w:r>
        <w:rPr>
          <w:rFonts w:hint="eastAsia" w:cs="Times New Roman"/>
        </w:rPr>
        <w:t>。由于这些垃圾含有大量有机物和病毒、寄生虫和肠道病原体，如不及时收集处理，垃圾中的有机部分就会腐烂发臭，成为细菌繁殖的场所。对施工人员产生的生活垃圾应设置专门的垃圾收集点，并采取密闭措施，定期交环卫部门统一处置，不会对周边环境产生污染影响。</w:t>
      </w:r>
    </w:p>
    <w:p>
      <w:pPr>
        <w:pStyle w:val="3"/>
        <w:ind w:firstLine="480"/>
        <w:rPr>
          <w:rFonts w:cs="Times New Roman"/>
        </w:rPr>
      </w:pPr>
      <w:r>
        <w:rPr>
          <w:rFonts w:hint="eastAsia" w:cs="Times New Roman"/>
        </w:rPr>
        <w:t>综上所示，本项目施工期各类固体废物去向合理，不会对周边环境产生二次污染。</w:t>
      </w:r>
    </w:p>
    <w:p>
      <w:pPr>
        <w:pStyle w:val="3"/>
        <w:ind w:firstLine="0" w:firstLineChars="0"/>
        <w:outlineLvl w:val="2"/>
        <w:rPr>
          <w:rFonts w:eastAsia="黑体" w:cstheme="majorBidi"/>
          <w:bCs/>
          <w:szCs w:val="32"/>
        </w:rPr>
      </w:pPr>
      <w:r>
        <w:rPr>
          <w:rFonts w:hint="eastAsia"/>
        </w:rPr>
        <w:t>6.1.5</w:t>
      </w:r>
      <w:r>
        <w:rPr>
          <w:rFonts w:hint="eastAsia"/>
        </w:rPr>
        <w:tab/>
      </w:r>
      <w:r>
        <w:rPr>
          <w:rFonts w:hint="eastAsia" w:eastAsia="黑体" w:cstheme="majorBidi"/>
          <w:bCs/>
          <w:szCs w:val="32"/>
        </w:rPr>
        <w:t>施工期生态环境影响分析</w:t>
      </w:r>
    </w:p>
    <w:p>
      <w:pPr>
        <w:pStyle w:val="3"/>
        <w:ind w:firstLine="480"/>
        <w:rPr>
          <w:rFonts w:cs="Times New Roman"/>
        </w:rPr>
      </w:pPr>
      <w:r>
        <w:rPr>
          <w:rFonts w:hint="eastAsia" w:cs="Times New Roman"/>
        </w:rPr>
        <w:t>1、土地利用资源影响</w:t>
      </w:r>
    </w:p>
    <w:p>
      <w:pPr>
        <w:pStyle w:val="3"/>
        <w:ind w:firstLine="480"/>
        <w:rPr>
          <w:rFonts w:cs="Times New Roman"/>
        </w:rPr>
      </w:pPr>
      <w:r>
        <w:rPr>
          <w:rFonts w:hint="eastAsia" w:cs="Times New Roman"/>
        </w:rPr>
        <w:t>经现场勘察，本项目是改扩建项目在现有厂区场地进行建设，项目建设不会改变土地的利用性质。</w:t>
      </w:r>
    </w:p>
    <w:p>
      <w:pPr>
        <w:pStyle w:val="3"/>
        <w:ind w:firstLine="480"/>
        <w:rPr>
          <w:rFonts w:cs="Times New Roman"/>
        </w:rPr>
      </w:pPr>
      <w:r>
        <w:rPr>
          <w:rFonts w:hint="eastAsia" w:cs="Times New Roman"/>
        </w:rPr>
        <w:t>为保降低项目建设对场地产生产干扰影响，本环评要求建设单位做到如下几点：</w:t>
      </w:r>
    </w:p>
    <w:p>
      <w:pPr>
        <w:pStyle w:val="3"/>
        <w:ind w:firstLine="480"/>
        <w:rPr>
          <w:rFonts w:cs="Times New Roman"/>
        </w:rPr>
      </w:pPr>
      <w:r>
        <w:rPr>
          <w:rFonts w:hint="eastAsia" w:cs="Times New Roman"/>
        </w:rPr>
        <w:t>（1）避免高填深埋，做到少取土，少弃土，少占地，搞好挖填土方平衡，最大限度的减少临时用地。</w:t>
      </w:r>
    </w:p>
    <w:p>
      <w:pPr>
        <w:pStyle w:val="3"/>
        <w:ind w:firstLine="480"/>
        <w:rPr>
          <w:rFonts w:cs="Times New Roman"/>
        </w:rPr>
      </w:pPr>
      <w:r>
        <w:rPr>
          <w:rFonts w:hint="eastAsia" w:cs="Times New Roman"/>
        </w:rPr>
        <w:t>（2）在项目建设充分利用地块内原有的地形地貌，依山就势进行规划设计，在尽量少破坏原有生态的基础上营造优美的场区环境，根据国家有关政策、法规，节约、珍惜和保护土地资源。</w:t>
      </w:r>
    </w:p>
    <w:p>
      <w:pPr>
        <w:pStyle w:val="3"/>
        <w:ind w:firstLine="480"/>
        <w:rPr>
          <w:rFonts w:cs="Times New Roman"/>
        </w:rPr>
      </w:pPr>
      <w:r>
        <w:rPr>
          <w:rFonts w:hint="eastAsia" w:cs="Times New Roman"/>
        </w:rPr>
        <w:t>2、水土流失影响分析</w:t>
      </w:r>
    </w:p>
    <w:p>
      <w:pPr>
        <w:pStyle w:val="3"/>
        <w:ind w:firstLine="480"/>
        <w:rPr>
          <w:rFonts w:cs="Times New Roman"/>
        </w:rPr>
      </w:pPr>
      <w:r>
        <w:rPr>
          <w:rFonts w:hint="eastAsia" w:cs="Times New Roman"/>
        </w:rPr>
        <w:t>水土流失是指土壤在降水侵蚀力作用下的分散、迁移和沉积的过程。影响水土流失的因素较多，主要包括降雨、土壤、植被、地形地貌以及工程施工等因素。就本项目项目而言，影响施工期水土流失的主要因素是降雨和工程施工。</w:t>
      </w:r>
    </w:p>
    <w:p>
      <w:pPr>
        <w:pStyle w:val="3"/>
        <w:ind w:firstLine="480"/>
        <w:rPr>
          <w:rFonts w:cs="Times New Roman"/>
        </w:rPr>
      </w:pPr>
      <w:r>
        <w:rPr>
          <w:rFonts w:hint="eastAsia" w:cs="Times New Roman"/>
        </w:rPr>
        <w:t>本项目水土流失主要发生在施工期。项目建设期由于开挖、弃土、堆置等活动将扰动地表、占压土地和损坏植被等，如果遇上暴水、雨水集中、径流汇集等情况，在无水土保持措施的情况下，易产生水土流失。因此，施工期为本项目水土流失防治重点阶段，</w:t>
      </w:r>
    </w:p>
    <w:p>
      <w:pPr>
        <w:pStyle w:val="3"/>
        <w:ind w:firstLine="480"/>
        <w:rPr>
          <w:rFonts w:cs="Times New Roman"/>
        </w:rPr>
      </w:pPr>
      <w:r>
        <w:rPr>
          <w:rFonts w:hint="eastAsia" w:cs="Times New Roman"/>
        </w:rPr>
        <w:t>为减少施工场地水土流失量，应采取如下措施：</w:t>
      </w:r>
    </w:p>
    <w:p>
      <w:pPr>
        <w:pStyle w:val="3"/>
        <w:ind w:firstLine="480"/>
        <w:rPr>
          <w:rFonts w:cs="Times New Roman"/>
        </w:rPr>
      </w:pPr>
      <w:r>
        <w:rPr>
          <w:rFonts w:hint="eastAsia" w:cs="Times New Roman"/>
        </w:rPr>
        <w:t>（1）分区分块施工：根据土石方移动规划，划定分块作业区，减少土石方运输，缩短地表扰动时间。</w:t>
      </w:r>
    </w:p>
    <w:p>
      <w:pPr>
        <w:pStyle w:val="3"/>
        <w:ind w:firstLine="480"/>
        <w:rPr>
          <w:rFonts w:cs="Times New Roman"/>
        </w:rPr>
      </w:pPr>
      <w:r>
        <w:rPr>
          <w:rFonts w:hint="eastAsia" w:cs="Times New Roman"/>
        </w:rPr>
        <w:t>（2）上截下拦措施：在开挖山体凌空坡的顶部修剪开沟即坡顶截水沟，拦截坡面经径流，防止坡面冲刷，在填筑范围下部设置挡土墙及排水沟，防止雨水冲刷场地，并在排水沟出口设沉淀池，使雨水经沉淀池澄清后用作抑尘用水。</w:t>
      </w:r>
    </w:p>
    <w:p>
      <w:pPr>
        <w:pStyle w:val="3"/>
        <w:ind w:firstLine="480"/>
        <w:rPr>
          <w:rFonts w:cs="Times New Roman"/>
        </w:rPr>
      </w:pPr>
      <w:r>
        <w:rPr>
          <w:rFonts w:hint="eastAsia" w:cs="Times New Roman"/>
        </w:rPr>
        <w:t>（3）保持边坡稳定：对不同地段、不同岩性、不同边坡形状和位置分别考虑，放缓开挖边坡坡面角，坡比不大于</w:t>
      </w:r>
      <w:r>
        <w:rPr>
          <w:rFonts w:cs="Times New Roman"/>
        </w:rPr>
        <w:t>1</w:t>
      </w:r>
      <w:r>
        <w:rPr>
          <w:rFonts w:hint="eastAsia" w:cs="Times New Roman"/>
        </w:rPr>
        <w:t>：</w:t>
      </w:r>
      <w:r>
        <w:rPr>
          <w:rFonts w:cs="Times New Roman"/>
        </w:rPr>
        <w:t>1</w:t>
      </w:r>
      <w:r>
        <w:rPr>
          <w:rFonts w:hint="eastAsia" w:cs="Times New Roman"/>
        </w:rPr>
        <w:t>，使整体边坡保持稳定，防止产生滑坡崩塌等地质灾害。根据岩土的特性，合理设计填筑方案，确保填筑边坡的稳定，避免滑坡的产生。</w:t>
      </w:r>
    </w:p>
    <w:p>
      <w:pPr>
        <w:pStyle w:val="3"/>
        <w:ind w:firstLine="480"/>
        <w:rPr>
          <w:rFonts w:cs="Times New Roman"/>
        </w:rPr>
      </w:pPr>
      <w:r>
        <w:rPr>
          <w:rFonts w:hint="eastAsia" w:cs="Times New Roman"/>
        </w:rPr>
        <w:t>（4）修筑排水设施：在进行土地平整时，结合项目建设区内的永久性排水沟建设临时性排水设施，满足排水的要求。</w:t>
      </w:r>
    </w:p>
    <w:p>
      <w:pPr>
        <w:pStyle w:val="3"/>
        <w:ind w:firstLine="480"/>
        <w:rPr>
          <w:rFonts w:cs="Times New Roman"/>
        </w:rPr>
      </w:pPr>
      <w:r>
        <w:rPr>
          <w:rFonts w:hint="eastAsia" w:cs="Times New Roman"/>
        </w:rPr>
        <w:t>（5）耕植土保护措施：在项目建设区土地平整或建筑物基建前，先剥离表层土，并对这部分表层土尤其是耕植土进行妥善单独堆存，为日后需绿化的土地复耕提供表土土源。</w:t>
      </w:r>
    </w:p>
    <w:p>
      <w:pPr>
        <w:pStyle w:val="3"/>
        <w:ind w:firstLine="480"/>
        <w:rPr>
          <w:rFonts w:cs="Times New Roman"/>
        </w:rPr>
      </w:pPr>
      <w:r>
        <w:rPr>
          <w:rFonts w:hint="eastAsia" w:cs="Times New Roman"/>
        </w:rPr>
        <w:t>（6）工程竣工后，厂区将尽可能进行绿化，以改善厂区的生态环境。</w:t>
      </w:r>
    </w:p>
    <w:p>
      <w:pPr>
        <w:pStyle w:val="3"/>
        <w:ind w:firstLine="480"/>
        <w:rPr>
          <w:rFonts w:cs="Times New Roman"/>
        </w:rPr>
      </w:pPr>
      <w:r>
        <w:rPr>
          <w:rFonts w:hint="eastAsia" w:cs="Times New Roman"/>
        </w:rPr>
        <w:t>采取以上措施后，可大大减少因施工造成的水土流失，将生态环境影响降至最低。</w:t>
      </w:r>
    </w:p>
    <w:p>
      <w:pPr>
        <w:pStyle w:val="3"/>
        <w:ind w:firstLine="480"/>
        <w:rPr>
          <w:rFonts w:cs="Times New Roman"/>
        </w:rPr>
      </w:pPr>
      <w:r>
        <w:rPr>
          <w:rFonts w:hint="eastAsia" w:cs="Times New Roman"/>
        </w:rPr>
        <w:t>3、植被、土壤影响分析</w:t>
      </w:r>
    </w:p>
    <w:p>
      <w:pPr>
        <w:pStyle w:val="3"/>
        <w:ind w:firstLine="480"/>
        <w:rPr>
          <w:rFonts w:cs="Times New Roman"/>
        </w:rPr>
      </w:pPr>
      <w:r>
        <w:rPr>
          <w:rFonts w:hint="eastAsia" w:cs="Times New Roman"/>
        </w:rPr>
        <w:t>（1）施工扬尘覆盖在植物叶片上，会影响其生长发育。但项目产生的扬尘的影响是暂时、局部的，施工结束影响随之消失。</w:t>
      </w:r>
    </w:p>
    <w:p>
      <w:pPr>
        <w:pStyle w:val="3"/>
        <w:ind w:firstLine="480"/>
        <w:rPr>
          <w:rFonts w:cs="Times New Roman"/>
        </w:rPr>
      </w:pPr>
      <w:r>
        <w:rPr>
          <w:rFonts w:hint="eastAsia" w:cs="Times New Roman"/>
        </w:rPr>
        <w:t>（2）项目施工建设，原有土地被置于人工地表之下，破坏了土壤的原本功能，改变了土壤的使用价值。由于人为的不断压实以及建筑施工使砖瓦、石砾、灰渣砾等大量侵入土壤，改变了土壤原有的结构和理化性质。不过，项目占地面积不大，对生态环境的影响较小。</w:t>
      </w:r>
    </w:p>
    <w:p>
      <w:pPr>
        <w:pStyle w:val="3"/>
        <w:ind w:firstLine="480"/>
        <w:rPr>
          <w:rFonts w:cs="Times New Roman"/>
        </w:rPr>
      </w:pPr>
      <w:r>
        <w:rPr>
          <w:rFonts w:hint="eastAsia" w:cs="Times New Roman"/>
        </w:rPr>
        <w:t>（3）拟建项目场址附近没有国家和地方重点保护的植物种类和珍稀物种，也没有发现国家和地方重点保护的野生动物及珍稀野生动物。项目施工期不会导致任何野生动植物物种的濒危。</w:t>
      </w:r>
    </w:p>
    <w:p>
      <w:pPr>
        <w:pStyle w:val="3"/>
        <w:ind w:firstLine="480"/>
        <w:rPr>
          <w:rFonts w:cs="Times New Roman"/>
        </w:rPr>
      </w:pPr>
      <w:r>
        <w:rPr>
          <w:rFonts w:hint="eastAsia" w:cs="Times New Roman"/>
        </w:rPr>
        <w:t>综上所述，项目施工期对生态环境的影响不大，且多数影响随着施工期的结束而结束。</w:t>
      </w:r>
    </w:p>
    <w:p>
      <w:pPr>
        <w:pStyle w:val="5"/>
      </w:pPr>
      <w:bookmarkStart w:id="30" w:name="_Toc116993073"/>
      <w:r>
        <w:rPr>
          <w:rFonts w:hint="eastAsia"/>
        </w:rPr>
        <w:t>营运期</w:t>
      </w:r>
      <w:r>
        <w:t>环境影响预测与评价</w:t>
      </w:r>
      <w:bookmarkEnd w:id="30"/>
    </w:p>
    <w:p>
      <w:pPr>
        <w:pStyle w:val="3"/>
        <w:ind w:firstLine="0" w:firstLineChars="0"/>
        <w:outlineLvl w:val="2"/>
        <w:rPr>
          <w:rFonts w:eastAsia="黑体" w:cstheme="majorBidi"/>
          <w:bCs/>
          <w:szCs w:val="32"/>
        </w:rPr>
      </w:pPr>
      <w:r>
        <w:rPr>
          <w:rFonts w:hint="eastAsia"/>
        </w:rPr>
        <w:t>6.2.1</w:t>
      </w:r>
      <w:r>
        <w:rPr>
          <w:rFonts w:hint="eastAsia"/>
        </w:rPr>
        <w:tab/>
      </w:r>
      <w:r>
        <w:rPr>
          <w:rFonts w:hint="eastAsia" w:eastAsia="黑体" w:cstheme="majorBidi"/>
          <w:bCs/>
          <w:szCs w:val="32"/>
        </w:rPr>
        <w:t>营运期地表水环境影响分析</w:t>
      </w:r>
    </w:p>
    <w:p>
      <w:pPr>
        <w:pStyle w:val="3"/>
        <w:ind w:firstLine="0" w:firstLineChars="0"/>
        <w:outlineLvl w:val="3"/>
        <w:rPr>
          <w:rFonts w:eastAsia="黑体" w:cstheme="majorBidi"/>
          <w:bCs/>
          <w:szCs w:val="32"/>
        </w:rPr>
      </w:pPr>
      <w:r>
        <w:rPr>
          <w:rFonts w:hint="eastAsia" w:eastAsia="黑体" w:cstheme="majorBidi"/>
          <w:bCs/>
          <w:szCs w:val="32"/>
        </w:rPr>
        <w:t>6.2.1.1 废水概况</w:t>
      </w:r>
    </w:p>
    <w:p>
      <w:pPr>
        <w:pStyle w:val="3"/>
        <w:ind w:firstLine="480"/>
        <w:rPr>
          <w:rFonts w:cs="Times New Roman"/>
          <w:color w:val="FF0000"/>
        </w:rPr>
      </w:pPr>
      <w:r>
        <w:rPr>
          <w:rFonts w:hint="eastAsia" w:cs="Times New Roman"/>
          <w:color w:val="FF0000"/>
        </w:rPr>
        <w:t>项目采用雨污分流；生活污水</w:t>
      </w:r>
      <w:r>
        <w:rPr>
          <w:rFonts w:hint="eastAsia"/>
          <w:color w:val="FF0000"/>
        </w:rPr>
        <w:t>隔油池+</w:t>
      </w:r>
      <w:r>
        <w:rPr>
          <w:color w:val="FF0000"/>
        </w:rPr>
        <w:t>三级化粪池处理后用作农肥，不外排。</w:t>
      </w:r>
    </w:p>
    <w:p>
      <w:pPr>
        <w:pStyle w:val="3"/>
        <w:ind w:firstLine="480"/>
        <w:rPr>
          <w:rFonts w:cs="Times New Roman"/>
          <w:color w:val="FF0000"/>
        </w:rPr>
      </w:pPr>
      <w:r>
        <w:rPr>
          <w:rFonts w:hint="eastAsia" w:cs="Times New Roman"/>
          <w:color w:val="FF0000"/>
        </w:rPr>
        <w:t>生产废水经自建粪污处理系统处理达《农田灌溉水质标准》（GB5084-2021）旱作标准后，交由衡阳县喜耕田有机肥厂回收处理，不外排，</w:t>
      </w:r>
      <w:r>
        <w:rPr>
          <w:rFonts w:hint="eastAsia"/>
          <w:color w:val="FF0000"/>
        </w:rPr>
        <w:t>衡阳县喜耕田有机肥厂与种植大户及种植基地签订了《粪肥施用供应协议》，保证有足够的消纳基地，协议内容包括粪肥施用面积，作物种类，需要各类肥量，施用技术服务。</w:t>
      </w:r>
      <w:r>
        <w:rPr>
          <w:rFonts w:hint="eastAsia" w:cs="Times New Roman"/>
          <w:color w:val="FF0000"/>
        </w:rPr>
        <w:t>项目无废水排放，对周围环境影响很小。</w:t>
      </w:r>
    </w:p>
    <w:p>
      <w:pPr>
        <w:pStyle w:val="3"/>
        <w:ind w:firstLine="480"/>
        <w:rPr>
          <w:rFonts w:cs="Times New Roman"/>
          <w:color w:val="FF0000"/>
        </w:rPr>
      </w:pPr>
      <w:r>
        <w:rPr>
          <w:rFonts w:hint="eastAsia" w:cs="Times New Roman"/>
          <w:color w:val="FF0000"/>
        </w:rPr>
        <w:t>根据</w:t>
      </w:r>
      <w:r>
        <w:rPr>
          <w:rFonts w:cs="Times New Roman"/>
          <w:color w:val="FF0000"/>
        </w:rPr>
        <w:t>《环境影响评价技术导则 地表水环境》（HJ2.3-2018）</w:t>
      </w:r>
      <w:r>
        <w:rPr>
          <w:rFonts w:hint="eastAsia" w:cs="Times New Roman"/>
          <w:color w:val="FF0000"/>
        </w:rPr>
        <w:t>，本项目三级B</w:t>
      </w:r>
      <w:r>
        <w:rPr>
          <w:rFonts w:cs="Times New Roman"/>
          <w:color w:val="FF0000"/>
        </w:rPr>
        <w:t>仅对</w:t>
      </w:r>
      <w:r>
        <w:rPr>
          <w:rFonts w:hint="eastAsia" w:cs="Times New Roman"/>
          <w:color w:val="FF0000"/>
        </w:rPr>
        <w:t>生产废水</w:t>
      </w:r>
      <w:r>
        <w:rPr>
          <w:rFonts w:cs="Times New Roman"/>
          <w:color w:val="FF0000"/>
        </w:rPr>
        <w:t>通过处理后</w:t>
      </w:r>
      <w:r>
        <w:rPr>
          <w:rFonts w:hint="eastAsia" w:cs="Times New Roman"/>
          <w:color w:val="FF0000"/>
        </w:rPr>
        <w:t>委托给衡阳县喜耕田有机肥厂回收处理的</w:t>
      </w:r>
      <w:r>
        <w:rPr>
          <w:rFonts w:cs="Times New Roman"/>
          <w:color w:val="FF0000"/>
        </w:rPr>
        <w:t>可行性进行分析</w:t>
      </w:r>
      <w:r>
        <w:rPr>
          <w:rFonts w:hint="eastAsia" w:cs="Times New Roman"/>
          <w:color w:val="FF0000"/>
        </w:rPr>
        <w:t>。</w:t>
      </w:r>
    </w:p>
    <w:p>
      <w:pPr>
        <w:pStyle w:val="3"/>
        <w:ind w:firstLine="0" w:firstLineChars="0"/>
        <w:outlineLvl w:val="3"/>
        <w:rPr>
          <w:rFonts w:eastAsia="黑体" w:cstheme="majorBidi"/>
          <w:bCs/>
          <w:szCs w:val="32"/>
        </w:rPr>
      </w:pPr>
      <w:r>
        <w:rPr>
          <w:rFonts w:hint="eastAsia" w:eastAsia="黑体" w:cstheme="majorBidi"/>
          <w:bCs/>
          <w:szCs w:val="32"/>
        </w:rPr>
        <w:t>6.2.1.2 项目废水消纳的可行性分析</w:t>
      </w:r>
    </w:p>
    <w:p>
      <w:pPr>
        <w:pStyle w:val="3"/>
        <w:ind w:firstLine="480"/>
        <w:rPr>
          <w:rFonts w:cs="Times New Roman"/>
          <w:color w:val="FF0000"/>
        </w:rPr>
      </w:pPr>
      <w:r>
        <w:rPr>
          <w:rFonts w:hint="eastAsia" w:cs="Times New Roman"/>
          <w:color w:val="FF0000"/>
        </w:rPr>
        <w:t>1、委外可行性分析</w:t>
      </w:r>
    </w:p>
    <w:p>
      <w:pPr>
        <w:pStyle w:val="3"/>
        <w:ind w:firstLine="480"/>
        <w:rPr>
          <w:rFonts w:cs="Times New Roman"/>
          <w:color w:val="FF0000"/>
        </w:rPr>
      </w:pPr>
      <w:r>
        <w:rPr>
          <w:rFonts w:hint="eastAsia"/>
          <w:color w:val="FF0000"/>
        </w:rPr>
        <w:t>根据农业农村部办公厅</w:t>
      </w:r>
      <w:r>
        <w:rPr>
          <w:color w:val="FF0000"/>
        </w:rPr>
        <w:t xml:space="preserve"> </w:t>
      </w:r>
      <w:r>
        <w:rPr>
          <w:rFonts w:hint="eastAsia"/>
          <w:color w:val="FF0000"/>
        </w:rPr>
        <w:t>生态环境部办公厅《关于进一步明确畜禽粪污还田利用要求强化养殖污染监管的通知》（农办牧〔</w:t>
      </w:r>
      <w:r>
        <w:rPr>
          <w:color w:val="FF0000"/>
        </w:rPr>
        <w:t>2020</w:t>
      </w:r>
      <w:r>
        <w:rPr>
          <w:rFonts w:hint="eastAsia"/>
          <w:color w:val="FF0000"/>
        </w:rPr>
        <w:t>〕</w:t>
      </w:r>
      <w:r>
        <w:rPr>
          <w:color w:val="FF0000"/>
        </w:rPr>
        <w:t>23</w:t>
      </w:r>
      <w:r>
        <w:rPr>
          <w:rFonts w:hint="eastAsia"/>
          <w:color w:val="FF0000"/>
        </w:rPr>
        <w:t>号）要求：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p>
      <w:pPr>
        <w:pStyle w:val="3"/>
        <w:ind w:firstLine="480"/>
        <w:rPr>
          <w:color w:val="FF0000"/>
        </w:rPr>
      </w:pPr>
      <w:r>
        <w:rPr>
          <w:rFonts w:hint="eastAsia"/>
          <w:color w:val="FF0000"/>
        </w:rPr>
        <w:t>根据建设单位提供的粪污处理合作协议书以及</w:t>
      </w:r>
      <w:r>
        <w:rPr>
          <w:rFonts w:hint="eastAsia" w:cs="Times New Roman"/>
          <w:color w:val="FF0000"/>
        </w:rPr>
        <w:t>衡阳县喜耕田有机肥厂与第三方签订的粪肥施用协议可知本项目废水处理后直接交由衡阳县喜耕田有机肥厂回收处理后，再由衡阳县喜耕田有机肥厂进行灌溉。衡阳县喜耕田有机肥厂</w:t>
      </w:r>
      <w:r>
        <w:rPr>
          <w:rFonts w:hint="eastAsia"/>
          <w:color w:val="FF0000"/>
        </w:rPr>
        <w:t>与种植大户及种植基地签订了《粪肥施用供应协议》对接种植面积在</w:t>
      </w:r>
      <w:r>
        <w:rPr>
          <w:color w:val="FF0000"/>
        </w:rPr>
        <w:t>21000</w:t>
      </w:r>
      <w:r>
        <w:rPr>
          <w:rFonts w:hint="eastAsia"/>
          <w:color w:val="FF0000"/>
        </w:rPr>
        <w:t>亩以上，且在各个种植区均设置有收集池，收集池总容积在5</w:t>
      </w:r>
      <w:r>
        <w:rPr>
          <w:color w:val="FF0000"/>
        </w:rPr>
        <w:t>000</w:t>
      </w:r>
      <w:r>
        <w:rPr>
          <w:rFonts w:hint="eastAsia"/>
          <w:color w:val="FF0000"/>
        </w:rPr>
        <w:t>0</w:t>
      </w:r>
      <w:r>
        <w:rPr>
          <w:color w:val="FF0000"/>
        </w:rPr>
        <w:t>m</w:t>
      </w:r>
      <w:r>
        <w:rPr>
          <w:color w:val="FF0000"/>
          <w:vertAlign w:val="superscript"/>
        </w:rPr>
        <w:t>3</w:t>
      </w:r>
      <w:r>
        <w:rPr>
          <w:rFonts w:hint="eastAsia"/>
          <w:color w:val="FF0000"/>
        </w:rPr>
        <w:t>以上</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参照《畜禽养殖业污染防治技术规范》（</w:t>
      </w:r>
      <w:r>
        <w:rPr>
          <w:rFonts w:ascii="Times New Roman" w:hAnsi="Times New Roman"/>
          <w:color w:val="FF0000"/>
          <w:sz w:val="24"/>
        </w:rPr>
        <w:t>HJ/T 81-2001</w:t>
      </w:r>
      <w:r>
        <w:rPr>
          <w:rFonts w:hint="eastAsia" w:ascii="Times New Roman" w:hAnsi="Times New Roman"/>
          <w:color w:val="FF0000"/>
          <w:sz w:val="24"/>
        </w:rPr>
        <w:t>）及《关于进一步明确畜禽粪污还田利用要求强化养殖污染监管的通知》（农办牧〔</w:t>
      </w:r>
      <w:r>
        <w:rPr>
          <w:rFonts w:ascii="Times New Roman" w:hAnsi="Times New Roman"/>
          <w:color w:val="FF0000"/>
          <w:sz w:val="24"/>
        </w:rPr>
        <w:t>2020</w:t>
      </w:r>
      <w:r>
        <w:rPr>
          <w:rFonts w:hint="eastAsia" w:ascii="Times New Roman" w:hAnsi="Times New Roman"/>
          <w:color w:val="FF0000"/>
          <w:sz w:val="24"/>
        </w:rPr>
        <w:t>〕</w:t>
      </w:r>
      <w:r>
        <w:rPr>
          <w:rFonts w:ascii="Times New Roman" w:hAnsi="Times New Roman"/>
          <w:color w:val="FF0000"/>
          <w:sz w:val="24"/>
        </w:rPr>
        <w:t>23</w:t>
      </w:r>
      <w:r>
        <w:rPr>
          <w:rFonts w:hint="eastAsia" w:ascii="Times New Roman" w:hAnsi="Times New Roman"/>
          <w:color w:val="FF0000"/>
          <w:sz w:val="24"/>
        </w:rPr>
        <w:t>号）要求，设施总容积不得低于当地农林作物生产用肥的最大间隔时间内产生粪污的总量，根据《粪肥施用供应协议》可知灌溉农作物主要类型为水稻、玉米，最大施肥间隔时间为</w:t>
      </w:r>
      <w:r>
        <w:rPr>
          <w:rFonts w:ascii="Times New Roman" w:hAnsi="Times New Roman"/>
          <w:color w:val="FF0000"/>
          <w:sz w:val="24"/>
        </w:rPr>
        <w:t>15~20d</w:t>
      </w:r>
      <w:r>
        <w:rPr>
          <w:rFonts w:hint="eastAsia" w:ascii="Times New Roman" w:hAnsi="Times New Roman"/>
          <w:color w:val="FF0000"/>
          <w:sz w:val="24"/>
        </w:rPr>
        <w:t>；根据计算，本项目灌溉场所的储水池总容积不得低于11163.4</w:t>
      </w:r>
      <w:r>
        <w:rPr>
          <w:rFonts w:ascii="Times New Roman" w:hAnsi="Times New Roman"/>
          <w:color w:val="FF0000"/>
          <w:sz w:val="24"/>
        </w:rPr>
        <w:t>m</w:t>
      </w:r>
      <w:r>
        <w:rPr>
          <w:rFonts w:ascii="Times New Roman" w:hAnsi="Times New Roman"/>
          <w:color w:val="FF0000"/>
          <w:sz w:val="24"/>
          <w:vertAlign w:val="superscript"/>
        </w:rPr>
        <w:t>3</w:t>
      </w:r>
      <w:r>
        <w:rPr>
          <w:rFonts w:hint="eastAsia" w:ascii="Times New Roman" w:hAnsi="Times New Roman"/>
          <w:color w:val="FF0000"/>
          <w:sz w:val="24"/>
        </w:rPr>
        <w:t>。</w:t>
      </w:r>
    </w:p>
    <w:p>
      <w:pPr>
        <w:pStyle w:val="3"/>
        <w:ind w:firstLine="480"/>
        <w:rPr>
          <w:color w:val="FF0000"/>
          <w:kern w:val="0"/>
        </w:rPr>
      </w:pPr>
      <w:r>
        <w:rPr>
          <w:rFonts w:hint="eastAsia"/>
          <w:color w:val="FF0000"/>
          <w:kern w:val="0"/>
        </w:rPr>
        <w:t>根据《畜禽养殖业污染治理工程技术规范》（</w:t>
      </w:r>
      <w:r>
        <w:rPr>
          <w:color w:val="FF0000"/>
          <w:kern w:val="0"/>
        </w:rPr>
        <w:t>HJ497-2009</w:t>
      </w:r>
      <w:r>
        <w:rPr>
          <w:rFonts w:hint="eastAsia"/>
          <w:color w:val="FF0000"/>
          <w:kern w:val="0"/>
        </w:rPr>
        <w:t>）：“</w:t>
      </w:r>
      <w:r>
        <w:rPr>
          <w:color w:val="FF0000"/>
          <w:kern w:val="0"/>
        </w:rPr>
        <w:t xml:space="preserve">6.1.2.3 </w:t>
      </w:r>
      <w:r>
        <w:rPr>
          <w:rFonts w:hint="eastAsia"/>
          <w:color w:val="FF0000"/>
          <w:kern w:val="0"/>
        </w:rPr>
        <w:t>贮存池的贮存期不得低于当地农作物生产用肥的最大时间和冬季封冻期或雨季最长降雨期，一般不小于</w:t>
      </w:r>
      <w:r>
        <w:rPr>
          <w:color w:val="FF0000"/>
          <w:kern w:val="0"/>
        </w:rPr>
        <w:t>30</w:t>
      </w:r>
      <w:r>
        <w:rPr>
          <w:rFonts w:hint="eastAsia"/>
          <w:color w:val="FF0000"/>
          <w:kern w:val="0"/>
        </w:rPr>
        <w:t>天的排放总量”</w:t>
      </w:r>
      <w:r>
        <w:rPr>
          <w:rFonts w:hint="eastAsia"/>
          <w:color w:val="FF0000"/>
          <w:spacing w:val="-7"/>
          <w:kern w:val="0"/>
        </w:rPr>
        <w:t>因此本项目非浇灌期按</w:t>
      </w:r>
      <w:r>
        <w:rPr>
          <w:rFonts w:eastAsia="Times New Roman"/>
          <w:color w:val="FF0000"/>
          <w:kern w:val="0"/>
        </w:rPr>
        <w:t>30</w:t>
      </w:r>
      <w:r>
        <w:rPr>
          <w:rFonts w:hint="eastAsia"/>
          <w:color w:val="FF0000"/>
          <w:spacing w:val="-3"/>
          <w:kern w:val="0"/>
        </w:rPr>
        <w:t>天连续降雨日考虑，</w:t>
      </w:r>
      <w:r>
        <w:rPr>
          <w:rFonts w:hint="eastAsia"/>
          <w:color w:val="FF0000"/>
          <w:kern w:val="0"/>
        </w:rPr>
        <w:t>因此，本项目灌溉储水池总容积不得低于16745.1</w:t>
      </w:r>
      <w:r>
        <w:rPr>
          <w:color w:val="FF0000"/>
          <w:kern w:val="0"/>
        </w:rPr>
        <w:t>m</w:t>
      </w:r>
      <w:r>
        <w:rPr>
          <w:color w:val="FF0000"/>
          <w:kern w:val="0"/>
          <w:vertAlign w:val="superscript"/>
        </w:rPr>
        <w:t>3</w:t>
      </w:r>
      <w:r>
        <w:rPr>
          <w:rFonts w:hint="eastAsia"/>
          <w:color w:val="FF0000"/>
          <w:kern w:val="0"/>
        </w:rPr>
        <w:t>。</w:t>
      </w:r>
    </w:p>
    <w:p>
      <w:pPr>
        <w:pStyle w:val="3"/>
        <w:ind w:firstLine="480"/>
        <w:rPr>
          <w:rFonts w:cs="Times New Roman"/>
          <w:color w:val="FF0000"/>
        </w:rPr>
      </w:pPr>
      <w:r>
        <w:rPr>
          <w:rFonts w:hint="eastAsia" w:cs="Times New Roman"/>
          <w:color w:val="FF0000"/>
        </w:rPr>
        <w:t>衡阳县喜耕田有机肥厂在各个施肥种植区收集池</w:t>
      </w:r>
      <w:r>
        <w:rPr>
          <w:rFonts w:hint="eastAsia"/>
          <w:color w:val="FF0000"/>
          <w:kern w:val="0"/>
        </w:rPr>
        <w:t>总容积为50000</w:t>
      </w:r>
      <w:r>
        <w:rPr>
          <w:color w:val="FF0000"/>
          <w:kern w:val="0"/>
        </w:rPr>
        <w:t>m</w:t>
      </w:r>
      <w:r>
        <w:rPr>
          <w:color w:val="FF0000"/>
          <w:kern w:val="0"/>
          <w:vertAlign w:val="superscript"/>
        </w:rPr>
        <w:t>3</w:t>
      </w:r>
      <w:r>
        <w:rPr>
          <w:rFonts w:hint="eastAsia"/>
          <w:color w:val="FF0000"/>
          <w:kern w:val="0"/>
        </w:rPr>
        <w:t>，用于施肥粪污储存，满足本项目上述出储水池容积要求，在雨季最长降雨期间的时候，衡阳县喜耕田有机肥厂灌溉储水池容积完全有暂存功能，可以满足雨季最长降雨期间废水不外排的要求。因此将处理后的废水交由</w:t>
      </w:r>
      <w:r>
        <w:rPr>
          <w:rFonts w:hint="eastAsia" w:cs="Times New Roman"/>
          <w:color w:val="FF0000"/>
        </w:rPr>
        <w:t>衡阳县喜耕田有机肥厂回收处理是可行的。</w:t>
      </w:r>
    </w:p>
    <w:p>
      <w:pPr>
        <w:pStyle w:val="3"/>
        <w:ind w:firstLine="480"/>
        <w:rPr>
          <w:rFonts w:cs="Times New Roman"/>
          <w:color w:val="FF0000"/>
        </w:rPr>
      </w:pPr>
      <w:r>
        <w:rPr>
          <w:rFonts w:hint="eastAsia" w:cs="Times New Roman"/>
          <w:color w:val="FF0000"/>
        </w:rPr>
        <w:t>（2）废水消纳可行性分析</w:t>
      </w:r>
    </w:p>
    <w:p>
      <w:pPr>
        <w:pStyle w:val="3"/>
        <w:ind w:firstLine="480"/>
        <w:rPr>
          <w:rFonts w:cs="Times New Roman"/>
          <w:color w:val="FF0000"/>
        </w:rPr>
      </w:pPr>
      <w:r>
        <w:rPr>
          <w:rFonts w:hint="eastAsia" w:cs="Times New Roman"/>
          <w:color w:val="FF0000"/>
        </w:rPr>
        <w:t>本项目处于衡阳县。参考《湖南省用水定额》（DB43/T 388-2020），衡阳县属于湘中山丘区属于IV区，周围林地种植灌溉量参考IV区柑橘灌溉用水量203m</w:t>
      </w:r>
      <w:r>
        <w:rPr>
          <w:rFonts w:hint="eastAsia" w:cs="Times New Roman"/>
          <w:color w:val="FF0000"/>
          <w:vertAlign w:val="superscript"/>
        </w:rPr>
        <w:t>3</w:t>
      </w:r>
      <w:r>
        <w:rPr>
          <w:rFonts w:hint="eastAsia" w:cs="Times New Roman"/>
          <w:color w:val="FF0000"/>
        </w:rPr>
        <w:t>/亩，取其灌溉保证率为75%则计算出衡阳县喜耕田有机肥厂《粪肥施用供应协议》可以消纳的废水量为3197250m</w:t>
      </w:r>
      <w:r>
        <w:rPr>
          <w:rFonts w:hint="eastAsia" w:cs="Times New Roman"/>
          <w:color w:val="FF0000"/>
          <w:vertAlign w:val="superscript"/>
        </w:rPr>
        <w:t>3</w:t>
      </w:r>
      <w:r>
        <w:rPr>
          <w:rFonts w:hint="eastAsia" w:cs="Times New Roman"/>
          <w:color w:val="FF0000"/>
        </w:rPr>
        <w:t>/a。由此说明衡阳县喜耕田有机肥厂灌溉场所足以消纳项目处理后的废水，且满足轮作要求，尾水消纳的保险系数较大。因此，本项目废水可在交由衡阳县喜耕田有机肥厂回收处理的灌溉场所完全消纳，实现废水产纳平衡，确保项目尾水不外排，不污染周围水环境。项目尾水交由衡阳县喜耕田有机肥厂回收处理用于灌溉是可行的。</w:t>
      </w:r>
    </w:p>
    <w:p>
      <w:pPr>
        <w:pStyle w:val="3"/>
        <w:ind w:firstLine="480"/>
        <w:rPr>
          <w:rFonts w:cs="Times New Roman"/>
          <w:color w:val="FF0000"/>
        </w:rPr>
      </w:pPr>
      <w:r>
        <w:rPr>
          <w:rFonts w:hint="eastAsia" w:cs="Times New Roman"/>
          <w:color w:val="FF0000"/>
        </w:rPr>
        <w:t>（3）土壤肥力承载力分析</w:t>
      </w:r>
    </w:p>
    <w:p>
      <w:pPr>
        <w:pStyle w:val="3"/>
        <w:ind w:firstLine="480"/>
        <w:rPr>
          <w:color w:val="FF0000"/>
          <w:szCs w:val="24"/>
        </w:rPr>
      </w:pPr>
      <w:r>
        <w:rPr>
          <w:rFonts w:hint="eastAsia"/>
          <w:color w:val="FF0000"/>
          <w:szCs w:val="24"/>
        </w:rPr>
        <w:t>根据《农业部办公厅关于印发</w:t>
      </w:r>
      <w:r>
        <w:rPr>
          <w:color w:val="FF0000"/>
          <w:szCs w:val="24"/>
        </w:rPr>
        <w:t>&lt;</w:t>
      </w:r>
      <w:r>
        <w:rPr>
          <w:rFonts w:hint="eastAsia"/>
          <w:color w:val="FF0000"/>
          <w:szCs w:val="24"/>
        </w:rPr>
        <w:t>畜禽粪污土地承载力测算技术指南</w:t>
      </w:r>
      <w:r>
        <w:rPr>
          <w:color w:val="FF0000"/>
          <w:szCs w:val="24"/>
        </w:rPr>
        <w:t>&gt;</w:t>
      </w:r>
      <w:r>
        <w:rPr>
          <w:rFonts w:hint="eastAsia"/>
          <w:color w:val="FF0000"/>
          <w:szCs w:val="24"/>
        </w:rPr>
        <w:t>的通知》（农办牧</w:t>
      </w:r>
      <w:r>
        <w:rPr>
          <w:color w:val="FF0000"/>
          <w:szCs w:val="24"/>
        </w:rPr>
        <w:t>[2018]1</w:t>
      </w:r>
      <w:r>
        <w:rPr>
          <w:rFonts w:hint="eastAsia"/>
          <w:color w:val="FF0000"/>
          <w:szCs w:val="24"/>
        </w:rPr>
        <w:t>号）表</w:t>
      </w:r>
      <w:r>
        <w:rPr>
          <w:color w:val="FF0000"/>
          <w:szCs w:val="24"/>
        </w:rPr>
        <w:t>1</w:t>
      </w:r>
      <w:r>
        <w:rPr>
          <w:rFonts w:hint="eastAsia"/>
          <w:color w:val="FF0000"/>
          <w:szCs w:val="24"/>
        </w:rPr>
        <w:t>不同植物形成</w:t>
      </w:r>
      <w:r>
        <w:rPr>
          <w:color w:val="FF0000"/>
          <w:szCs w:val="24"/>
        </w:rPr>
        <w:t>100k</w:t>
      </w:r>
      <w:r>
        <w:rPr>
          <w:rFonts w:hint="eastAsia"/>
          <w:color w:val="FF0000"/>
          <w:szCs w:val="24"/>
        </w:rPr>
        <w:t>g产量需要吸收氮磷量推荐值可知，</w:t>
      </w:r>
      <w:r>
        <w:rPr>
          <w:rFonts w:hint="eastAsia" w:cs="Times New Roman"/>
          <w:color w:val="FF0000"/>
        </w:rPr>
        <w:t>衡阳县喜耕田有机肥厂施肥种植区</w:t>
      </w:r>
      <w:r>
        <w:rPr>
          <w:rFonts w:hint="eastAsia"/>
          <w:color w:val="FF0000"/>
          <w:szCs w:val="24"/>
        </w:rPr>
        <w:t>大部分为水稻、蔬菜和果树（参考</w:t>
      </w:r>
      <w:r>
        <w:rPr>
          <w:rFonts w:hint="eastAsia" w:cs="Times New Roman"/>
          <w:color w:val="FF0000"/>
        </w:rPr>
        <w:t>柑橘</w:t>
      </w:r>
      <w:r>
        <w:rPr>
          <w:rFonts w:hint="eastAsia"/>
          <w:color w:val="FF0000"/>
          <w:szCs w:val="24"/>
        </w:rPr>
        <w:t>）所需的氮磷分别为0.6kg和0.11kg。</w:t>
      </w:r>
    </w:p>
    <w:p>
      <w:pPr>
        <w:pStyle w:val="3"/>
        <w:ind w:firstLine="480"/>
        <w:rPr>
          <w:color w:val="FF0000"/>
          <w:szCs w:val="24"/>
        </w:rPr>
      </w:pPr>
      <w:r>
        <w:rPr>
          <w:rFonts w:hint="eastAsia"/>
          <w:color w:val="FF0000"/>
          <w:szCs w:val="24"/>
        </w:rPr>
        <w:t>本项目保守估计每亩柑橘产量为1500kg</w:t>
      </w:r>
      <w:r>
        <w:rPr>
          <w:color w:val="FF0000"/>
          <w:szCs w:val="24"/>
        </w:rPr>
        <w:t>。</w:t>
      </w:r>
      <w:r>
        <w:rPr>
          <w:rFonts w:hint="eastAsia" w:cs="Times New Roman"/>
          <w:color w:val="FF0000"/>
        </w:rPr>
        <w:t>衡阳县喜耕田有机肥厂施肥种植区</w:t>
      </w:r>
      <w:r>
        <w:rPr>
          <w:rFonts w:hint="eastAsia"/>
          <w:color w:val="FF0000"/>
          <w:szCs w:val="24"/>
        </w:rPr>
        <w:t>21000亩，则年需氮肥189</w:t>
      </w:r>
      <w:r>
        <w:rPr>
          <w:color w:val="FF0000"/>
          <w:szCs w:val="24"/>
        </w:rPr>
        <w:t>t/a</w:t>
      </w:r>
      <w:r>
        <w:rPr>
          <w:rFonts w:hint="eastAsia"/>
          <w:color w:val="FF0000"/>
          <w:szCs w:val="24"/>
        </w:rPr>
        <w:t>，所需磷肥34.65</w:t>
      </w:r>
      <w:r>
        <w:rPr>
          <w:color w:val="FF0000"/>
          <w:szCs w:val="24"/>
        </w:rPr>
        <w:t>t/a</w:t>
      </w:r>
      <w:r>
        <w:rPr>
          <w:rFonts w:hint="eastAsia"/>
          <w:color w:val="FF0000"/>
          <w:szCs w:val="24"/>
        </w:rPr>
        <w:t>。</w:t>
      </w:r>
    </w:p>
    <w:p>
      <w:pPr>
        <w:pStyle w:val="3"/>
        <w:ind w:firstLine="480"/>
        <w:rPr>
          <w:color w:val="FF0000"/>
          <w:szCs w:val="24"/>
        </w:rPr>
      </w:pPr>
      <w:r>
        <w:rPr>
          <w:rFonts w:hint="eastAsia"/>
          <w:color w:val="FF0000"/>
          <w:szCs w:val="24"/>
        </w:rPr>
        <w:t>项目用于浇灌的尾水中</w:t>
      </w:r>
      <w:r>
        <w:rPr>
          <w:color w:val="FF0000"/>
          <w:szCs w:val="24"/>
        </w:rPr>
        <w:t>N</w:t>
      </w:r>
      <w:r>
        <w:rPr>
          <w:rFonts w:hint="eastAsia"/>
          <w:color w:val="FF0000"/>
          <w:szCs w:val="24"/>
        </w:rPr>
        <w:t>和</w:t>
      </w:r>
      <w:r>
        <w:rPr>
          <w:color w:val="FF0000"/>
          <w:szCs w:val="24"/>
        </w:rPr>
        <w:t>P</w:t>
      </w:r>
      <w:r>
        <w:rPr>
          <w:rFonts w:hint="eastAsia"/>
          <w:color w:val="FF0000"/>
          <w:szCs w:val="24"/>
        </w:rPr>
        <w:t>的总量分别为26.52</w:t>
      </w:r>
      <w:r>
        <w:rPr>
          <w:color w:val="FF0000"/>
          <w:szCs w:val="24"/>
        </w:rPr>
        <w:t>t/a</w:t>
      </w:r>
      <w:r>
        <w:rPr>
          <w:rFonts w:hint="eastAsia"/>
          <w:color w:val="FF0000"/>
          <w:szCs w:val="24"/>
        </w:rPr>
        <w:t>和1.08</w:t>
      </w:r>
      <w:r>
        <w:rPr>
          <w:color w:val="FF0000"/>
          <w:szCs w:val="24"/>
        </w:rPr>
        <w:t>t/a</w:t>
      </w:r>
      <w:r>
        <w:rPr>
          <w:rFonts w:hint="eastAsia"/>
          <w:color w:val="FF0000"/>
          <w:szCs w:val="24"/>
        </w:rPr>
        <w:t>，远远小于</w:t>
      </w:r>
      <w:r>
        <w:rPr>
          <w:rFonts w:hint="eastAsia" w:cs="Times New Roman"/>
          <w:color w:val="FF0000"/>
        </w:rPr>
        <w:t>衡阳县喜耕田有机肥厂施肥种植区</w:t>
      </w:r>
      <w:r>
        <w:rPr>
          <w:rFonts w:hint="eastAsia"/>
          <w:color w:val="FF0000"/>
          <w:szCs w:val="24"/>
        </w:rPr>
        <w:t>灌溉场所种植作物对氮肥和磷肥的需求量，故项目废水经粪污处理系统处理后交由</w:t>
      </w:r>
      <w:r>
        <w:rPr>
          <w:rFonts w:hint="eastAsia" w:cs="Times New Roman"/>
          <w:color w:val="FF0000"/>
        </w:rPr>
        <w:t>衡阳县喜耕田有机肥厂回收后</w:t>
      </w:r>
      <w:r>
        <w:rPr>
          <w:rFonts w:hint="eastAsia"/>
          <w:color w:val="FF0000"/>
          <w:szCs w:val="24"/>
        </w:rPr>
        <w:t>用于灌溉场所浇灌不会超过灌区土壤的环境承载力。</w:t>
      </w:r>
    </w:p>
    <w:p>
      <w:pPr>
        <w:pStyle w:val="3"/>
        <w:ind w:firstLine="480"/>
        <w:rPr>
          <w:rFonts w:cs="Times New Roman"/>
          <w:color w:val="FF0000"/>
        </w:rPr>
      </w:pPr>
      <w:r>
        <w:rPr>
          <w:color w:val="FF0000"/>
          <w:szCs w:val="24"/>
        </w:rPr>
        <w:t>综上所述，</w:t>
      </w:r>
      <w:r>
        <w:rPr>
          <w:rFonts w:hint="eastAsia" w:cs="Times New Roman"/>
          <w:color w:val="FF0000"/>
        </w:rPr>
        <w:t>本项目建成运营后，废水经粪污处理系统处理后交由衡阳县喜耕田有机肥厂回收处理是可行的，本项目实现了污水资源化利用，废水污染物实现零排放的情况下，不会对周围地表水环境产生大的影响。</w:t>
      </w:r>
    </w:p>
    <w:p>
      <w:pPr>
        <w:pStyle w:val="3"/>
        <w:ind w:firstLine="0" w:firstLineChars="0"/>
        <w:outlineLvl w:val="2"/>
        <w:rPr>
          <w:rFonts w:eastAsia="黑体" w:cstheme="majorBidi"/>
          <w:bCs/>
          <w:szCs w:val="32"/>
        </w:rPr>
      </w:pPr>
      <w:r>
        <w:rPr>
          <w:rFonts w:hint="eastAsia"/>
        </w:rPr>
        <w:t>6.2.2</w:t>
      </w:r>
      <w:r>
        <w:rPr>
          <w:rFonts w:hint="eastAsia"/>
        </w:rPr>
        <w:tab/>
      </w:r>
      <w:r>
        <w:rPr>
          <w:rFonts w:hint="eastAsia" w:eastAsia="黑体" w:cstheme="majorBidi"/>
          <w:bCs/>
          <w:szCs w:val="32"/>
        </w:rPr>
        <w:t>营运期空气环境影响分析</w:t>
      </w:r>
    </w:p>
    <w:p>
      <w:pPr>
        <w:pStyle w:val="3"/>
        <w:ind w:firstLine="0" w:firstLineChars="0"/>
        <w:outlineLvl w:val="3"/>
        <w:rPr>
          <w:rFonts w:eastAsia="黑体" w:cstheme="majorBidi"/>
          <w:bCs/>
          <w:szCs w:val="32"/>
        </w:rPr>
      </w:pPr>
      <w:r>
        <w:rPr>
          <w:rFonts w:hint="eastAsia" w:eastAsia="黑体" w:cstheme="majorBidi"/>
          <w:bCs/>
          <w:szCs w:val="32"/>
        </w:rPr>
        <w:t>6.2.2.1 大气环境影响预测与分析</w:t>
      </w:r>
    </w:p>
    <w:p>
      <w:pPr>
        <w:pStyle w:val="3"/>
        <w:ind w:firstLine="480"/>
        <w:rPr>
          <w:kern w:val="0"/>
        </w:rPr>
      </w:pPr>
      <w:r>
        <w:rPr>
          <w:rFonts w:hint="eastAsia" w:cs="Times New Roman"/>
        </w:rPr>
        <w:t>本项目大气污染源主要来自屠宰区待宰区恶臭、粪污处理系统恶臭、生物质锅炉废气废气等。</w:t>
      </w:r>
      <w:r>
        <w:rPr>
          <w:rFonts w:hint="eastAsia"/>
          <w:kern w:val="0"/>
        </w:rPr>
        <w:t>根据前章</w:t>
      </w:r>
      <w:r>
        <w:rPr>
          <w:kern w:val="0"/>
        </w:rPr>
        <w:t>2.6.1</w:t>
      </w:r>
      <w:r>
        <w:rPr>
          <w:rFonts w:hint="eastAsia"/>
          <w:kern w:val="0"/>
        </w:rPr>
        <w:t>节内容可知：本项目评价等级为二级评价，根据《环境影响评价技术导则大气环境》（</w:t>
      </w:r>
      <w:r>
        <w:rPr>
          <w:kern w:val="0"/>
        </w:rPr>
        <w:t>HJ2.2-2018</w:t>
      </w:r>
      <w:r>
        <w:rPr>
          <w:rFonts w:hint="eastAsia"/>
          <w:kern w:val="0"/>
        </w:rPr>
        <w:t>）中“</w:t>
      </w:r>
      <w:r>
        <w:rPr>
          <w:kern w:val="0"/>
        </w:rPr>
        <w:t>8.1.2</w:t>
      </w:r>
      <w:r>
        <w:rPr>
          <w:rFonts w:hint="eastAsia"/>
          <w:kern w:val="0"/>
        </w:rPr>
        <w:t>二级评价不进行进一步预测与评价，只对污染物排放量进行核算”。本次采用《环境影响评价技术导则</w:t>
      </w:r>
      <w:r>
        <w:rPr>
          <w:kern w:val="0"/>
        </w:rPr>
        <w:t>——</w:t>
      </w:r>
      <w:r>
        <w:rPr>
          <w:rFonts w:hint="eastAsia"/>
          <w:kern w:val="0"/>
        </w:rPr>
        <w:t>大气环境》（</w:t>
      </w:r>
      <w:r>
        <w:rPr>
          <w:kern w:val="0"/>
        </w:rPr>
        <w:t>HJ2.2-2018</w:t>
      </w:r>
      <w:r>
        <w:rPr>
          <w:rFonts w:hint="eastAsia"/>
          <w:kern w:val="0"/>
        </w:rPr>
        <w:t>）中推荐的估算模式</w:t>
      </w:r>
      <w:r>
        <w:rPr>
          <w:kern w:val="0"/>
        </w:rPr>
        <w:t>AERSCREEN</w:t>
      </w:r>
      <w:r>
        <w:rPr>
          <w:rFonts w:hint="eastAsia"/>
          <w:kern w:val="0"/>
        </w:rPr>
        <w:t>估算结果对环境空气影响进行评价。</w:t>
      </w:r>
    </w:p>
    <w:p>
      <w:pPr>
        <w:pStyle w:val="3"/>
        <w:ind w:firstLine="480"/>
        <w:rPr>
          <w:kern w:val="0"/>
        </w:rPr>
      </w:pPr>
      <w:r>
        <w:rPr>
          <w:rFonts w:hint="eastAsia"/>
          <w:kern w:val="0"/>
        </w:rPr>
        <w:t>1、评价因子及评价标准</w:t>
      </w:r>
    </w:p>
    <w:p>
      <w:pPr>
        <w:pStyle w:val="3"/>
        <w:ind w:firstLine="480"/>
        <w:rPr>
          <w:rFonts w:cs="Times New Roman"/>
        </w:rPr>
      </w:pPr>
      <w:r>
        <w:rPr>
          <w:rFonts w:hint="eastAsia"/>
        </w:rPr>
        <w:t>本项目排放的废气污染物为颗粒物、</w:t>
      </w:r>
      <w:r>
        <w:rPr>
          <w:rFonts w:eastAsiaTheme="minorEastAsia"/>
        </w:rPr>
        <w:t>NH</w:t>
      </w:r>
      <w:r>
        <w:rPr>
          <w:rFonts w:eastAsiaTheme="minorEastAsia"/>
          <w:vertAlign w:val="subscript"/>
        </w:rPr>
        <w:t>3</w:t>
      </w:r>
      <w:r>
        <w:rPr>
          <w:rFonts w:hint="eastAsia" w:eastAsiaTheme="minorEastAsia"/>
        </w:rPr>
        <w:t>、</w:t>
      </w:r>
      <w:r>
        <w:rPr>
          <w:rFonts w:eastAsiaTheme="minorEastAsia"/>
        </w:rPr>
        <w:t>H</w:t>
      </w:r>
      <w:r>
        <w:rPr>
          <w:rFonts w:eastAsiaTheme="minorEastAsia"/>
          <w:vertAlign w:val="subscript"/>
        </w:rPr>
        <w:t>2</w:t>
      </w:r>
      <w:r>
        <w:rPr>
          <w:rFonts w:eastAsiaTheme="minorEastAsia"/>
        </w:rPr>
        <w:t>S</w:t>
      </w:r>
      <w:r>
        <w:rPr>
          <w:rFonts w:hint="eastAsia" w:eastAsiaTheme="minorEastAsia"/>
        </w:rPr>
        <w:t>、</w:t>
      </w:r>
      <w:r>
        <w:rPr>
          <w:rFonts w:eastAsiaTheme="minorEastAsia"/>
        </w:rPr>
        <w:t>SO</w:t>
      </w:r>
      <w:r>
        <w:rPr>
          <w:rFonts w:eastAsiaTheme="minorEastAsia"/>
          <w:vertAlign w:val="subscript"/>
        </w:rPr>
        <w:t>2</w:t>
      </w:r>
      <w:r>
        <w:rPr>
          <w:rFonts w:hint="eastAsia" w:eastAsiaTheme="minorEastAsia"/>
        </w:rPr>
        <w:t>、</w:t>
      </w:r>
      <w:r>
        <w:rPr>
          <w:rFonts w:eastAsiaTheme="minorEastAsia"/>
        </w:rPr>
        <w:t>NOx</w:t>
      </w:r>
      <w:r>
        <w:rPr>
          <w:rFonts w:hint="eastAsia"/>
        </w:rPr>
        <w:t>，本次评价选取其中有环境质量标准限值的颗粒物为评价因子，</w:t>
      </w:r>
      <w:r>
        <w:rPr>
          <w:rFonts w:hint="eastAsia" w:cs="Times New Roman"/>
        </w:rPr>
        <w:t>评价因子及评价标准如下表所示。</w:t>
      </w:r>
    </w:p>
    <w:p>
      <w:pPr>
        <w:pStyle w:val="3"/>
        <w:spacing w:line="240" w:lineRule="auto"/>
        <w:ind w:firstLine="0" w:firstLineChars="0"/>
        <w:jc w:val="center"/>
        <w:rPr>
          <w:rFonts w:cs="Times New Roman"/>
        </w:rPr>
      </w:pPr>
      <w:r>
        <w:rPr>
          <w:rFonts w:hint="eastAsia" w:cs="Times New Roman" w:eastAsiaTheme="minorEastAsia"/>
          <w:b/>
        </w:rPr>
        <w:t>表6.2-2   评价因子和评价标准表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567"/>
        <w:gridCol w:w="2238"/>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pct"/>
            <w:vAlign w:val="center"/>
          </w:tcPr>
          <w:p>
            <w:pPr>
              <w:widowControl w:val="0"/>
              <w:jc w:val="center"/>
              <w:rPr>
                <w:rFonts w:ascii="Times New Roman" w:hAnsi="Times New Roman" w:cs="Times New Roman"/>
              </w:rPr>
            </w:pPr>
            <w:r>
              <w:rPr>
                <w:rFonts w:hint="eastAsia" w:ascii="Times New Roman" w:hAnsi="Times New Roman"/>
              </w:rPr>
              <w:t>评价因子</w:t>
            </w:r>
          </w:p>
        </w:tc>
        <w:tc>
          <w:tcPr>
            <w:tcW w:w="854" w:type="pct"/>
            <w:vAlign w:val="center"/>
          </w:tcPr>
          <w:p>
            <w:pPr>
              <w:widowControl w:val="0"/>
              <w:jc w:val="center"/>
              <w:rPr>
                <w:rFonts w:ascii="Times New Roman" w:hAnsi="Times New Roman" w:cs="Times New Roman"/>
              </w:rPr>
            </w:pPr>
            <w:r>
              <w:rPr>
                <w:rFonts w:hint="eastAsia" w:ascii="Times New Roman" w:hAnsi="Times New Roman"/>
              </w:rPr>
              <w:t>平均时段</w:t>
            </w:r>
          </w:p>
        </w:tc>
        <w:tc>
          <w:tcPr>
            <w:tcW w:w="1220" w:type="pct"/>
            <w:vAlign w:val="center"/>
          </w:tcPr>
          <w:p>
            <w:pPr>
              <w:widowControl w:val="0"/>
              <w:jc w:val="center"/>
              <w:rPr>
                <w:rFonts w:ascii="Times New Roman" w:hAnsi="Times New Roman" w:cs="Times New Roman"/>
              </w:rPr>
            </w:pPr>
            <w:r>
              <w:rPr>
                <w:rFonts w:hint="eastAsia" w:ascii="Times New Roman" w:hAnsi="Times New Roman"/>
              </w:rPr>
              <w:t>标准值（</w:t>
            </w:r>
            <w:r>
              <w:rPr>
                <w:rFonts w:ascii="Times New Roman" w:hAnsi="Times New Roman"/>
                <w:color w:val="000000"/>
                <w:shd w:val="clear" w:color="auto" w:fill="FFFFFF"/>
              </w:rPr>
              <w:t>ug/m</w:t>
            </w:r>
            <w:r>
              <w:rPr>
                <w:rFonts w:ascii="Times New Roman" w:hAnsi="Times New Roman"/>
                <w:color w:val="000000"/>
                <w:shd w:val="clear" w:color="auto" w:fill="FFFFFF"/>
                <w:vertAlign w:val="superscript"/>
              </w:rPr>
              <w:t>3</w:t>
            </w:r>
            <w:r>
              <w:rPr>
                <w:rFonts w:hint="eastAsia" w:ascii="Times New Roman" w:hAnsi="Times New Roman"/>
              </w:rPr>
              <w:t>）</w:t>
            </w:r>
          </w:p>
        </w:tc>
        <w:tc>
          <w:tcPr>
            <w:tcW w:w="2243" w:type="pct"/>
            <w:vAlign w:val="center"/>
          </w:tcPr>
          <w:p>
            <w:pPr>
              <w:widowControl w:val="0"/>
              <w:jc w:val="center"/>
              <w:rPr>
                <w:rFonts w:ascii="Times New Roman" w:hAnsi="Times New Roman" w:cs="Times New Roman"/>
              </w:rPr>
            </w:pPr>
            <w:r>
              <w:rPr>
                <w:rFonts w:hint="eastAsia" w:ascii="Times New Roman" w:hAnsi="Times New Roma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3" w:type="pct"/>
            <w:vAlign w:val="center"/>
          </w:tcPr>
          <w:p>
            <w:pPr>
              <w:widowControl w:val="0"/>
              <w:jc w:val="center"/>
              <w:rPr>
                <w:rFonts w:ascii="Times New Roman" w:hAnsi="Times New Roman" w:cs="Times New Roman"/>
              </w:rPr>
            </w:pPr>
            <w:r>
              <w:rPr>
                <w:rFonts w:ascii="Times New Roman" w:hAnsi="Times New Roman"/>
              </w:rPr>
              <w:t>NH</w:t>
            </w:r>
            <w:r>
              <w:rPr>
                <w:rFonts w:ascii="Times New Roman" w:hAnsi="Times New Roman"/>
                <w:vertAlign w:val="subscript"/>
              </w:rPr>
              <w:t>3</w:t>
            </w:r>
          </w:p>
        </w:tc>
        <w:tc>
          <w:tcPr>
            <w:tcW w:w="854" w:type="pct"/>
            <w:vAlign w:val="center"/>
          </w:tcPr>
          <w:p>
            <w:pPr>
              <w:widowControl w:val="0"/>
              <w:jc w:val="center"/>
              <w:rPr>
                <w:rFonts w:ascii="Times New Roman" w:hAnsi="Times New Roman" w:cs="Times New Roman"/>
              </w:rPr>
            </w:pPr>
            <w:r>
              <w:rPr>
                <w:rFonts w:hint="eastAsia" w:ascii="Times New Roman" w:hAnsi="Times New Roman"/>
              </w:rPr>
              <w:t>一次值</w:t>
            </w:r>
          </w:p>
        </w:tc>
        <w:tc>
          <w:tcPr>
            <w:tcW w:w="1220" w:type="pct"/>
            <w:vAlign w:val="center"/>
          </w:tcPr>
          <w:p>
            <w:pPr>
              <w:pStyle w:val="67"/>
              <w:spacing w:before="31"/>
              <w:rPr>
                <w:rFonts w:ascii="Times New Roman" w:hAnsi="Times New Roman" w:eastAsiaTheme="minorEastAsia"/>
              </w:rPr>
            </w:pPr>
            <w:r>
              <w:rPr>
                <w:rFonts w:ascii="Times New Roman" w:hAnsi="Times New Roman" w:eastAsiaTheme="minorEastAsia"/>
              </w:rPr>
              <w:t>200</w:t>
            </w:r>
          </w:p>
        </w:tc>
        <w:tc>
          <w:tcPr>
            <w:tcW w:w="2243" w:type="pct"/>
            <w:vMerge w:val="restart"/>
            <w:vAlign w:val="center"/>
          </w:tcPr>
          <w:p>
            <w:pPr>
              <w:widowControl w:val="0"/>
              <w:jc w:val="center"/>
              <w:rPr>
                <w:rFonts w:ascii="Times New Roman" w:hAnsi="Times New Roman" w:cs="Times New Roman"/>
              </w:rPr>
            </w:pPr>
            <w:r>
              <w:rPr>
                <w:rFonts w:hint="eastAsia" w:ascii="Times New Roman" w:hAnsi="Times New Roman"/>
              </w:rPr>
              <w:t>《环境影响评价技术导则</w:t>
            </w:r>
            <w:r>
              <w:rPr>
                <w:rFonts w:ascii="Times New Roman" w:hAnsi="Times New Roman"/>
              </w:rPr>
              <w:t xml:space="preserve"> </w:t>
            </w:r>
            <w:r>
              <w:rPr>
                <w:rFonts w:hint="eastAsia" w:ascii="Times New Roman" w:hAnsi="Times New Roman"/>
              </w:rPr>
              <w:t>大气环境</w:t>
            </w:r>
            <w:r>
              <w:rPr>
                <w:rFonts w:ascii="Times New Roman" w:hAnsi="Times New Roman"/>
              </w:rPr>
              <w:t>-</w:t>
            </w:r>
            <w:r>
              <w:rPr>
                <w:rFonts w:hint="eastAsia" w:ascii="Times New Roman" w:hAnsi="Times New Roman"/>
              </w:rPr>
              <w:t>修订》中附录</w:t>
            </w:r>
            <w:r>
              <w:rPr>
                <w:rFonts w:ascii="Times New Roman" w:hAnsi="Times New Roman"/>
              </w:rPr>
              <w:t xml:space="preserve">D </w:t>
            </w:r>
            <w:r>
              <w:rPr>
                <w:rFonts w:hint="eastAsia" w:ascii="Times New Roman" w:hAnsi="Times New Roman"/>
              </w:rPr>
              <w:t>表</w:t>
            </w:r>
            <w:r>
              <w:rPr>
                <w:rFonts w:ascii="Times New Roman" w:hAnsi="Times New Roman"/>
              </w:rPr>
              <w:t>D.1</w:t>
            </w:r>
            <w:r>
              <w:rPr>
                <w:rFonts w:hint="eastAsia" w:ascii="Times New Roman" w:hAnsi="Times New Roman"/>
              </w:rPr>
              <w:t>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pct"/>
            <w:vAlign w:val="center"/>
          </w:tcPr>
          <w:p>
            <w:pPr>
              <w:widowControl w:val="0"/>
              <w:jc w:val="center"/>
              <w:rPr>
                <w:rFonts w:ascii="Times New Roman" w:hAnsi="Times New Roman" w:cs="Times New Roman"/>
                <w:u w:val="single"/>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854" w:type="pct"/>
            <w:vAlign w:val="center"/>
          </w:tcPr>
          <w:p>
            <w:pPr>
              <w:widowControl w:val="0"/>
              <w:jc w:val="center"/>
              <w:rPr>
                <w:rFonts w:ascii="Times New Roman" w:hAnsi="Times New Roman" w:cs="Times New Roman"/>
              </w:rPr>
            </w:pPr>
            <w:r>
              <w:rPr>
                <w:rFonts w:hint="eastAsia" w:ascii="Times New Roman" w:hAnsi="Times New Roman"/>
              </w:rPr>
              <w:t>一次值</w:t>
            </w:r>
          </w:p>
        </w:tc>
        <w:tc>
          <w:tcPr>
            <w:tcW w:w="1220" w:type="pct"/>
            <w:vAlign w:val="center"/>
          </w:tcPr>
          <w:p>
            <w:pPr>
              <w:pStyle w:val="67"/>
              <w:spacing w:before="31"/>
              <w:rPr>
                <w:rFonts w:ascii="Times New Roman" w:hAnsi="Times New Roman" w:eastAsiaTheme="minorEastAsia"/>
              </w:rPr>
            </w:pPr>
            <w:r>
              <w:rPr>
                <w:rFonts w:ascii="Times New Roman" w:hAnsi="Times New Roman" w:eastAsiaTheme="minorEastAsia"/>
              </w:rPr>
              <w:t>10</w:t>
            </w:r>
          </w:p>
        </w:tc>
        <w:tc>
          <w:tcPr>
            <w:tcW w:w="0" w:type="auto"/>
            <w:vMerge w:val="continue"/>
            <w:vAlign w:val="center"/>
          </w:tcPr>
          <w:p>
            <w:pPr>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pct"/>
            <w:vAlign w:val="center"/>
          </w:tcPr>
          <w:p>
            <w:pPr>
              <w:widowControl w:val="0"/>
              <w:jc w:val="center"/>
              <w:rPr>
                <w:rFonts w:ascii="Times New Roman" w:hAnsi="Times New Roman" w:cs="Times New Roman"/>
              </w:rPr>
            </w:pPr>
            <w:r>
              <w:rPr>
                <w:rFonts w:ascii="Times New Roman" w:hAnsi="Times New Roman"/>
              </w:rPr>
              <w:t>SO</w:t>
            </w:r>
            <w:r>
              <w:rPr>
                <w:rFonts w:ascii="Times New Roman" w:hAnsi="Times New Roman"/>
                <w:vertAlign w:val="subscript"/>
              </w:rPr>
              <w:t>2</w:t>
            </w:r>
          </w:p>
        </w:tc>
        <w:tc>
          <w:tcPr>
            <w:tcW w:w="854" w:type="pct"/>
            <w:vAlign w:val="center"/>
          </w:tcPr>
          <w:p>
            <w:pPr>
              <w:pStyle w:val="67"/>
              <w:spacing w:before="31"/>
              <w:rPr>
                <w:rFonts w:ascii="Times New Roman" w:hAnsi="Times New Roman" w:eastAsiaTheme="minorEastAsia"/>
              </w:rPr>
            </w:pPr>
            <w:r>
              <w:rPr>
                <w:rFonts w:ascii="Times New Roman" w:hAnsi="Times New Roman" w:eastAsiaTheme="minorEastAsia"/>
              </w:rPr>
              <w:t>1</w:t>
            </w:r>
            <w:r>
              <w:rPr>
                <w:rFonts w:hint="eastAsia" w:ascii="Times New Roman" w:hAnsi="Times New Roman" w:eastAsiaTheme="minorEastAsia"/>
              </w:rPr>
              <w:t>小时平均</w:t>
            </w:r>
          </w:p>
        </w:tc>
        <w:tc>
          <w:tcPr>
            <w:tcW w:w="1220" w:type="pct"/>
            <w:vAlign w:val="center"/>
          </w:tcPr>
          <w:p>
            <w:pPr>
              <w:pStyle w:val="67"/>
              <w:spacing w:before="31"/>
              <w:rPr>
                <w:rFonts w:ascii="Times New Roman" w:hAnsi="Times New Roman" w:eastAsiaTheme="minorEastAsia"/>
              </w:rPr>
            </w:pPr>
            <w:r>
              <w:rPr>
                <w:rFonts w:ascii="Times New Roman" w:hAnsi="Times New Roman" w:eastAsiaTheme="minorEastAsia"/>
              </w:rPr>
              <w:t>500</w:t>
            </w:r>
          </w:p>
        </w:tc>
        <w:tc>
          <w:tcPr>
            <w:tcW w:w="2243" w:type="pct"/>
            <w:vAlign w:val="center"/>
          </w:tcPr>
          <w:p>
            <w:pPr>
              <w:pStyle w:val="67"/>
              <w:spacing w:before="31"/>
              <w:rPr>
                <w:rFonts w:ascii="Times New Roman" w:hAnsi="Times New Roman" w:eastAsiaTheme="minorEastAsia"/>
              </w:rPr>
            </w:pPr>
            <w:r>
              <w:rPr>
                <w:rFonts w:hint="eastAsia" w:ascii="Times New Roman" w:hAnsi="Times New Roman" w:eastAsiaTheme="minorEastAsia"/>
              </w:rPr>
              <w:t>《环境空气质量标准》</w:t>
            </w:r>
            <w:r>
              <w:rPr>
                <w:rFonts w:ascii="Times New Roman" w:hAnsi="Times New Roman" w:eastAsiaTheme="minorEastAsia"/>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pct"/>
            <w:vAlign w:val="center"/>
          </w:tcPr>
          <w:p>
            <w:pPr>
              <w:widowControl w:val="0"/>
              <w:jc w:val="center"/>
              <w:rPr>
                <w:rFonts w:ascii="Times New Roman" w:hAnsi="Times New Roman" w:cs="Times New Roman"/>
              </w:rPr>
            </w:pPr>
            <w:r>
              <w:rPr>
                <w:rFonts w:ascii="Times New Roman" w:hAnsi="Times New Roman"/>
              </w:rPr>
              <w:t>NOx</w:t>
            </w:r>
          </w:p>
        </w:tc>
        <w:tc>
          <w:tcPr>
            <w:tcW w:w="854" w:type="pct"/>
            <w:vAlign w:val="center"/>
          </w:tcPr>
          <w:p>
            <w:pPr>
              <w:pStyle w:val="67"/>
              <w:spacing w:before="31"/>
              <w:rPr>
                <w:rFonts w:ascii="Times New Roman" w:hAnsi="Times New Roman" w:eastAsiaTheme="minorEastAsia"/>
              </w:rPr>
            </w:pPr>
            <w:r>
              <w:rPr>
                <w:rFonts w:ascii="Times New Roman" w:hAnsi="Times New Roman" w:eastAsiaTheme="minorEastAsia"/>
              </w:rPr>
              <w:t>1</w:t>
            </w:r>
            <w:r>
              <w:rPr>
                <w:rFonts w:hint="eastAsia" w:ascii="Times New Roman" w:hAnsi="Times New Roman" w:eastAsiaTheme="minorEastAsia"/>
              </w:rPr>
              <w:t>小时平均</w:t>
            </w:r>
          </w:p>
        </w:tc>
        <w:tc>
          <w:tcPr>
            <w:tcW w:w="1220" w:type="pct"/>
            <w:vAlign w:val="center"/>
          </w:tcPr>
          <w:p>
            <w:pPr>
              <w:pStyle w:val="67"/>
              <w:spacing w:before="31"/>
              <w:rPr>
                <w:rFonts w:ascii="Times New Roman" w:hAnsi="Times New Roman" w:eastAsiaTheme="minorEastAsia"/>
              </w:rPr>
            </w:pPr>
            <w:r>
              <w:rPr>
                <w:rFonts w:ascii="Times New Roman" w:hAnsi="Times New Roman" w:eastAsiaTheme="minorEastAsia"/>
              </w:rPr>
              <w:t>200</w:t>
            </w:r>
          </w:p>
        </w:tc>
        <w:tc>
          <w:tcPr>
            <w:tcW w:w="2243" w:type="pct"/>
            <w:vAlign w:val="center"/>
          </w:tcPr>
          <w:p>
            <w:pPr>
              <w:pStyle w:val="67"/>
              <w:spacing w:before="31"/>
              <w:rPr>
                <w:rFonts w:ascii="Times New Roman" w:hAnsi="Times New Roman" w:eastAsiaTheme="minorEastAsia"/>
              </w:rPr>
            </w:pPr>
            <w:r>
              <w:rPr>
                <w:rFonts w:hint="eastAsia" w:ascii="Times New Roman" w:hAnsi="Times New Roman" w:eastAsiaTheme="minorEastAsia"/>
              </w:rPr>
              <w:t>《环境空气质量标准》</w:t>
            </w:r>
            <w:r>
              <w:rPr>
                <w:rFonts w:ascii="Times New Roman" w:hAnsi="Times New Roman" w:eastAsiaTheme="minorEastAsia"/>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pct"/>
            <w:vAlign w:val="center"/>
          </w:tcPr>
          <w:p>
            <w:pPr>
              <w:widowControl w:val="0"/>
              <w:jc w:val="center"/>
              <w:rPr>
                <w:rFonts w:ascii="Times New Roman" w:hAnsi="Times New Roman" w:cs="Times New Roman"/>
              </w:rPr>
            </w:pPr>
            <w:r>
              <w:rPr>
                <w:rFonts w:hint="eastAsia" w:ascii="Times New Roman" w:hAnsi="Times New Roman"/>
              </w:rPr>
              <w:t>烟尘</w:t>
            </w:r>
          </w:p>
        </w:tc>
        <w:tc>
          <w:tcPr>
            <w:tcW w:w="854" w:type="pct"/>
            <w:vAlign w:val="center"/>
          </w:tcPr>
          <w:p>
            <w:pPr>
              <w:pStyle w:val="67"/>
              <w:spacing w:before="31"/>
              <w:rPr>
                <w:rFonts w:ascii="Times New Roman" w:hAnsi="Times New Roman" w:eastAsiaTheme="minorEastAsia"/>
              </w:rPr>
            </w:pPr>
            <w:r>
              <w:rPr>
                <w:rFonts w:ascii="Times New Roman" w:hAnsi="Times New Roman" w:eastAsiaTheme="minorEastAsia"/>
              </w:rPr>
              <w:t>24</w:t>
            </w:r>
            <w:r>
              <w:rPr>
                <w:rFonts w:hint="eastAsia" w:ascii="Times New Roman" w:hAnsi="Times New Roman" w:eastAsiaTheme="minorEastAsia"/>
              </w:rPr>
              <w:t>小时平均</w:t>
            </w:r>
          </w:p>
        </w:tc>
        <w:tc>
          <w:tcPr>
            <w:tcW w:w="1220" w:type="pct"/>
            <w:vAlign w:val="center"/>
          </w:tcPr>
          <w:p>
            <w:pPr>
              <w:pStyle w:val="67"/>
              <w:spacing w:before="31"/>
              <w:rPr>
                <w:rFonts w:ascii="Times New Roman" w:hAnsi="Times New Roman" w:eastAsiaTheme="minorEastAsia"/>
              </w:rPr>
            </w:pPr>
            <w:r>
              <w:rPr>
                <w:rFonts w:hint="eastAsia" w:ascii="Times New Roman" w:hAnsi="Times New Roman" w:eastAsiaTheme="minorEastAsia"/>
              </w:rPr>
              <w:t>300</w:t>
            </w:r>
          </w:p>
        </w:tc>
        <w:tc>
          <w:tcPr>
            <w:tcW w:w="2243" w:type="pct"/>
            <w:vAlign w:val="center"/>
          </w:tcPr>
          <w:p>
            <w:pPr>
              <w:pStyle w:val="67"/>
              <w:spacing w:before="31"/>
              <w:rPr>
                <w:rFonts w:ascii="Times New Roman" w:hAnsi="Times New Roman" w:eastAsiaTheme="minorEastAsia"/>
              </w:rPr>
            </w:pPr>
            <w:r>
              <w:rPr>
                <w:rFonts w:hint="eastAsia" w:ascii="Times New Roman" w:hAnsi="Times New Roman" w:eastAsiaTheme="minorEastAsia"/>
              </w:rPr>
              <w:t>《环境空气质量标准》</w:t>
            </w:r>
            <w:r>
              <w:rPr>
                <w:rFonts w:ascii="Times New Roman" w:hAnsi="Times New Roman" w:eastAsiaTheme="minorEastAsia"/>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pPr>
              <w:pStyle w:val="67"/>
              <w:spacing w:before="31"/>
              <w:rPr>
                <w:rFonts w:ascii="Times New Roman" w:hAnsi="Times New Roman" w:eastAsiaTheme="minorEastAsia"/>
              </w:rPr>
            </w:pPr>
            <w:r>
              <w:rPr>
                <w:rFonts w:hint="eastAsia" w:ascii="Times New Roman" w:hAnsi="Times New Roman" w:eastAsiaTheme="minorEastAsia"/>
              </w:rPr>
              <w:t>注：对仅有</w:t>
            </w:r>
            <w:r>
              <w:rPr>
                <w:rFonts w:ascii="Times New Roman" w:hAnsi="Times New Roman" w:eastAsiaTheme="minorEastAsia"/>
              </w:rPr>
              <w:t>8h</w:t>
            </w:r>
            <w:r>
              <w:rPr>
                <w:rFonts w:hint="eastAsia" w:ascii="Times New Roman" w:hAnsi="Times New Roman" w:eastAsiaTheme="minorEastAsia"/>
              </w:rPr>
              <w:t>平均质量浓度限值、日平均质量浓度限值或年平均质量浓度限值的，分别按</w:t>
            </w:r>
            <w:r>
              <w:rPr>
                <w:rFonts w:ascii="Times New Roman" w:hAnsi="Times New Roman" w:eastAsiaTheme="minorEastAsia"/>
              </w:rPr>
              <w:t>2</w:t>
            </w:r>
            <w:r>
              <w:rPr>
                <w:rFonts w:hint="eastAsia" w:ascii="Times New Roman" w:hAnsi="Times New Roman" w:eastAsiaTheme="minorEastAsia"/>
              </w:rPr>
              <w:t>倍、</w:t>
            </w:r>
            <w:r>
              <w:rPr>
                <w:rFonts w:ascii="Times New Roman" w:hAnsi="Times New Roman" w:eastAsiaTheme="minorEastAsia"/>
              </w:rPr>
              <w:t>3</w:t>
            </w:r>
            <w:r>
              <w:rPr>
                <w:rFonts w:hint="eastAsia" w:ascii="Times New Roman" w:hAnsi="Times New Roman" w:eastAsiaTheme="minorEastAsia"/>
              </w:rPr>
              <w:t>倍、</w:t>
            </w:r>
            <w:r>
              <w:rPr>
                <w:rFonts w:ascii="Times New Roman" w:hAnsi="Times New Roman" w:eastAsiaTheme="minorEastAsia"/>
              </w:rPr>
              <w:t>6</w:t>
            </w:r>
            <w:r>
              <w:rPr>
                <w:rFonts w:hint="eastAsia" w:ascii="Times New Roman" w:hAnsi="Times New Roman" w:eastAsiaTheme="minorEastAsia"/>
              </w:rPr>
              <w:t>倍折算为</w:t>
            </w:r>
            <w:r>
              <w:rPr>
                <w:rFonts w:ascii="Times New Roman" w:hAnsi="Times New Roman" w:eastAsiaTheme="minorEastAsia"/>
              </w:rPr>
              <w:t>1h</w:t>
            </w:r>
            <w:r>
              <w:rPr>
                <w:rFonts w:hint="eastAsia" w:ascii="Times New Roman" w:hAnsi="Times New Roman" w:eastAsiaTheme="minorEastAsia"/>
              </w:rPr>
              <w:t>平均质量浓度限值。</w:t>
            </w:r>
          </w:p>
        </w:tc>
      </w:tr>
    </w:tbl>
    <w:p>
      <w:pPr>
        <w:pStyle w:val="3"/>
        <w:ind w:firstLine="480"/>
        <w:rPr>
          <w:rFonts w:cs="Times New Roman"/>
        </w:rPr>
      </w:pPr>
      <w:r>
        <w:rPr>
          <w:rFonts w:hint="eastAsia" w:cs="Times New Roman"/>
        </w:rPr>
        <w:t>2、估算模型和参数选择</w:t>
      </w:r>
    </w:p>
    <w:p>
      <w:pPr>
        <w:pStyle w:val="3"/>
        <w:ind w:firstLine="480"/>
        <w:rPr>
          <w:kern w:val="0"/>
        </w:rPr>
      </w:pPr>
      <w:r>
        <w:rPr>
          <w:rFonts w:hint="eastAsia"/>
          <w:kern w:val="0"/>
        </w:rPr>
        <w:t>本项目采用《环境影响评价技术导则大气环境》（</w:t>
      </w:r>
      <w:r>
        <w:rPr>
          <w:kern w:val="0"/>
        </w:rPr>
        <w:t>HJ2.2-2018</w:t>
      </w:r>
      <w:r>
        <w:rPr>
          <w:rFonts w:hint="eastAsia"/>
          <w:kern w:val="0"/>
        </w:rPr>
        <w:t>）中推荐的</w:t>
      </w:r>
      <w:r>
        <w:rPr>
          <w:kern w:val="0"/>
        </w:rPr>
        <w:t xml:space="preserve">AERSCREEN </w:t>
      </w:r>
      <w:r>
        <w:rPr>
          <w:rFonts w:hint="eastAsia"/>
          <w:kern w:val="0"/>
        </w:rPr>
        <w:t>估算模型进行估算。估算模型参数选择详见下表。</w:t>
      </w:r>
    </w:p>
    <w:p>
      <w:pPr>
        <w:pStyle w:val="3"/>
        <w:spacing w:line="240" w:lineRule="auto"/>
        <w:ind w:firstLine="0" w:firstLineChars="0"/>
        <w:jc w:val="center"/>
        <w:rPr>
          <w:rFonts w:cs="Times New Roman"/>
        </w:rPr>
      </w:pPr>
      <w:r>
        <w:rPr>
          <w:rFonts w:hint="eastAsia" w:cs="Times New Roman" w:eastAsiaTheme="minorEastAsia"/>
          <w:b/>
        </w:rPr>
        <w:t>表6.2-3   AERSCREEN估算模型参数表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2473"/>
        <w:gridCol w:w="4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4" w:type="pct"/>
            <w:gridSpan w:val="2"/>
            <w:vAlign w:val="center"/>
          </w:tcPr>
          <w:p>
            <w:pPr>
              <w:pStyle w:val="49"/>
              <w:rPr>
                <w:b/>
              </w:rPr>
            </w:pPr>
            <w:r>
              <w:rPr>
                <w:rFonts w:hint="eastAsia"/>
                <w:b/>
              </w:rPr>
              <w:t>参数</w:t>
            </w:r>
          </w:p>
        </w:tc>
        <w:tc>
          <w:tcPr>
            <w:tcW w:w="2406" w:type="pct"/>
            <w:vAlign w:val="center"/>
          </w:tcPr>
          <w:p>
            <w:pPr>
              <w:pStyle w:val="49"/>
              <w:rPr>
                <w:b/>
              </w:rPr>
            </w:pPr>
            <w:r>
              <w:rPr>
                <w:rFonts w:hint="eastAsia"/>
                <w:b/>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restart"/>
            <w:vAlign w:val="center"/>
          </w:tcPr>
          <w:p>
            <w:pPr>
              <w:pStyle w:val="49"/>
            </w:pPr>
            <w:r>
              <w:rPr>
                <w:rFonts w:hint="eastAsia"/>
              </w:rPr>
              <w:t>城市农村</w:t>
            </w:r>
            <w:r>
              <w:t>/</w:t>
            </w:r>
            <w:r>
              <w:rPr>
                <w:rFonts w:hint="eastAsia"/>
              </w:rPr>
              <w:t>选项</w:t>
            </w:r>
          </w:p>
        </w:tc>
        <w:tc>
          <w:tcPr>
            <w:tcW w:w="1348" w:type="pct"/>
            <w:vAlign w:val="center"/>
          </w:tcPr>
          <w:p>
            <w:pPr>
              <w:pStyle w:val="49"/>
            </w:pPr>
            <w:r>
              <w:rPr>
                <w:rFonts w:hint="eastAsia"/>
              </w:rPr>
              <w:t>城市</w:t>
            </w:r>
            <w:r>
              <w:t>/</w:t>
            </w:r>
            <w:r>
              <w:rPr>
                <w:rFonts w:hint="eastAsia"/>
              </w:rPr>
              <w:t>农村</w:t>
            </w:r>
          </w:p>
        </w:tc>
        <w:tc>
          <w:tcPr>
            <w:tcW w:w="2406" w:type="pct"/>
            <w:vAlign w:val="center"/>
          </w:tcPr>
          <w:p>
            <w:pPr>
              <w:pStyle w:val="49"/>
            </w:pPr>
            <w:r>
              <w:rPr>
                <w:rFonts w:hint="eastAsia"/>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continue"/>
            <w:vAlign w:val="center"/>
          </w:tcPr>
          <w:p>
            <w:pPr>
              <w:jc w:val="left"/>
              <w:rPr>
                <w:rFonts w:ascii="Times New Roman" w:hAnsi="Times New Roman" w:cs="Times New Roman"/>
              </w:rPr>
            </w:pPr>
          </w:p>
        </w:tc>
        <w:tc>
          <w:tcPr>
            <w:tcW w:w="1348" w:type="pct"/>
            <w:vAlign w:val="center"/>
          </w:tcPr>
          <w:p>
            <w:pPr>
              <w:pStyle w:val="49"/>
            </w:pPr>
            <w:r>
              <w:rPr>
                <w:rFonts w:hint="eastAsia"/>
              </w:rPr>
              <w:t>人口数</w:t>
            </w:r>
            <w:r>
              <w:t>(</w:t>
            </w:r>
            <w:r>
              <w:rPr>
                <w:rFonts w:hint="eastAsia"/>
              </w:rPr>
              <w:t>城市人口数</w:t>
            </w:r>
            <w:r>
              <w:t>)</w:t>
            </w:r>
          </w:p>
        </w:tc>
        <w:tc>
          <w:tcPr>
            <w:tcW w:w="2406" w:type="pct"/>
            <w:vAlign w:val="center"/>
          </w:tcPr>
          <w:p>
            <w:pPr>
              <w:pStyle w:val="4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4" w:type="pct"/>
            <w:gridSpan w:val="2"/>
            <w:vAlign w:val="center"/>
          </w:tcPr>
          <w:p>
            <w:pPr>
              <w:pStyle w:val="49"/>
            </w:pPr>
            <w:r>
              <w:rPr>
                <w:rFonts w:hint="eastAsia"/>
              </w:rPr>
              <w:t>最高环境温度</w:t>
            </w:r>
          </w:p>
        </w:tc>
        <w:tc>
          <w:tcPr>
            <w:tcW w:w="2406" w:type="pct"/>
            <w:vAlign w:val="center"/>
          </w:tcPr>
          <w:p>
            <w:pPr>
              <w:pStyle w:val="49"/>
            </w:pPr>
            <w:r>
              <w:t>40.8°C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4" w:type="pct"/>
            <w:gridSpan w:val="2"/>
            <w:vAlign w:val="center"/>
          </w:tcPr>
          <w:p>
            <w:pPr>
              <w:pStyle w:val="49"/>
            </w:pPr>
            <w:r>
              <w:rPr>
                <w:rFonts w:hint="eastAsia"/>
              </w:rPr>
              <w:t>最低环境温度</w:t>
            </w:r>
          </w:p>
        </w:tc>
        <w:tc>
          <w:tcPr>
            <w:tcW w:w="2406" w:type="pct"/>
            <w:vAlign w:val="center"/>
          </w:tcPr>
          <w:p>
            <w:pPr>
              <w:pStyle w:val="49"/>
            </w:pPr>
            <w:r>
              <w:t>-7.4°C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4" w:type="pct"/>
            <w:gridSpan w:val="2"/>
            <w:vAlign w:val="center"/>
          </w:tcPr>
          <w:p>
            <w:pPr>
              <w:pStyle w:val="49"/>
            </w:pPr>
            <w:r>
              <w:rPr>
                <w:rFonts w:hint="eastAsia"/>
              </w:rPr>
              <w:t>土地利用类型</w:t>
            </w:r>
          </w:p>
        </w:tc>
        <w:tc>
          <w:tcPr>
            <w:tcW w:w="2406" w:type="pct"/>
            <w:vAlign w:val="center"/>
          </w:tcPr>
          <w:p>
            <w:pPr>
              <w:pStyle w:val="49"/>
            </w:pPr>
            <w:r>
              <w:rPr>
                <w:rFonts w:hint="eastAsia"/>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4" w:type="pct"/>
            <w:gridSpan w:val="2"/>
            <w:vAlign w:val="center"/>
          </w:tcPr>
          <w:p>
            <w:pPr>
              <w:pStyle w:val="49"/>
            </w:pPr>
            <w:r>
              <w:rPr>
                <w:rFonts w:hint="eastAsia"/>
              </w:rPr>
              <w:t>区域湿度条件</w:t>
            </w:r>
          </w:p>
        </w:tc>
        <w:tc>
          <w:tcPr>
            <w:tcW w:w="2406" w:type="pct"/>
            <w:vAlign w:val="center"/>
          </w:tcPr>
          <w:p>
            <w:pPr>
              <w:pStyle w:val="49"/>
            </w:pPr>
            <w:r>
              <w:rPr>
                <w:rFonts w:hint="eastAsia"/>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restart"/>
            <w:vAlign w:val="center"/>
          </w:tcPr>
          <w:p>
            <w:pPr>
              <w:pStyle w:val="49"/>
            </w:pPr>
            <w:r>
              <w:rPr>
                <w:rFonts w:hint="eastAsia"/>
              </w:rPr>
              <w:t>是否考虑地形</w:t>
            </w:r>
          </w:p>
        </w:tc>
        <w:tc>
          <w:tcPr>
            <w:tcW w:w="1348" w:type="pct"/>
            <w:vAlign w:val="center"/>
          </w:tcPr>
          <w:p>
            <w:pPr>
              <w:pStyle w:val="49"/>
            </w:pPr>
            <w:r>
              <w:rPr>
                <w:rFonts w:hint="eastAsia"/>
              </w:rPr>
              <w:t>考虑地形</w:t>
            </w:r>
          </w:p>
        </w:tc>
        <w:tc>
          <w:tcPr>
            <w:tcW w:w="2406" w:type="pct"/>
            <w:vAlign w:val="center"/>
          </w:tcPr>
          <w:p>
            <w:pPr>
              <w:pStyle w:val="49"/>
            </w:pPr>
            <w:r>
              <w:rPr>
                <w:rFonts w:hint="eastAsia" w:ascii="MS Mincho" w:hAnsi="MS Mincho" w:eastAsia="MS Mincho" w:cs="MS Mincho"/>
              </w:rPr>
              <w:t>☑</w:t>
            </w:r>
            <w:r>
              <w:rPr>
                <w:rFonts w:hint="eastAsia"/>
              </w:rPr>
              <w:t>是</w:t>
            </w:r>
            <w:r>
              <w:t xml:space="preserve">  □</w:t>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continue"/>
            <w:vAlign w:val="center"/>
          </w:tcPr>
          <w:p>
            <w:pPr>
              <w:jc w:val="left"/>
              <w:rPr>
                <w:rFonts w:ascii="Times New Roman" w:hAnsi="Times New Roman" w:cs="Times New Roman"/>
              </w:rPr>
            </w:pPr>
          </w:p>
        </w:tc>
        <w:tc>
          <w:tcPr>
            <w:tcW w:w="1348" w:type="pct"/>
            <w:vAlign w:val="center"/>
          </w:tcPr>
          <w:p>
            <w:pPr>
              <w:pStyle w:val="49"/>
            </w:pPr>
            <w:r>
              <w:rPr>
                <w:rFonts w:hint="eastAsia"/>
              </w:rPr>
              <w:t>地形数据分辨率</w:t>
            </w:r>
            <w:r>
              <w:t>(m)</w:t>
            </w:r>
          </w:p>
        </w:tc>
        <w:tc>
          <w:tcPr>
            <w:tcW w:w="2406" w:type="pct"/>
            <w:vAlign w:val="center"/>
          </w:tcPr>
          <w:p>
            <w:pPr>
              <w:pStyle w:val="49"/>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restart"/>
            <w:vAlign w:val="center"/>
          </w:tcPr>
          <w:p>
            <w:pPr>
              <w:pStyle w:val="49"/>
            </w:pPr>
            <w:r>
              <w:rPr>
                <w:rFonts w:hint="eastAsia"/>
              </w:rPr>
              <w:t>是否考虑海岸线熏烟</w:t>
            </w:r>
          </w:p>
        </w:tc>
        <w:tc>
          <w:tcPr>
            <w:tcW w:w="1348" w:type="pct"/>
            <w:vAlign w:val="center"/>
          </w:tcPr>
          <w:p>
            <w:pPr>
              <w:pStyle w:val="49"/>
            </w:pPr>
            <w:r>
              <w:rPr>
                <w:rFonts w:hint="eastAsia"/>
              </w:rPr>
              <w:t>考虑海岸线熏烟</w:t>
            </w:r>
          </w:p>
        </w:tc>
        <w:tc>
          <w:tcPr>
            <w:tcW w:w="2406" w:type="pct"/>
            <w:vAlign w:val="center"/>
          </w:tcPr>
          <w:p>
            <w:pPr>
              <w:pStyle w:val="49"/>
            </w:pPr>
            <w:r>
              <w:t>□</w:t>
            </w:r>
            <w:r>
              <w:rPr>
                <w:rFonts w:hint="eastAsia"/>
              </w:rPr>
              <w:t>是</w:t>
            </w:r>
            <w:r>
              <w:t xml:space="preserve">  </w:t>
            </w:r>
            <w:r>
              <w:rPr>
                <w:rFonts w:hint="eastAsia" w:ascii="MS Mincho" w:hAnsi="MS Mincho" w:eastAsia="MS Mincho" w:cs="MS Mincho"/>
              </w:rPr>
              <w:t>☑</w:t>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continue"/>
            <w:vAlign w:val="center"/>
          </w:tcPr>
          <w:p>
            <w:pPr>
              <w:jc w:val="left"/>
              <w:rPr>
                <w:rFonts w:ascii="Times New Roman" w:hAnsi="Times New Roman" w:cs="Times New Roman"/>
              </w:rPr>
            </w:pPr>
          </w:p>
        </w:tc>
        <w:tc>
          <w:tcPr>
            <w:tcW w:w="1348" w:type="pct"/>
            <w:vAlign w:val="center"/>
          </w:tcPr>
          <w:p>
            <w:pPr>
              <w:pStyle w:val="49"/>
            </w:pPr>
            <w:r>
              <w:rPr>
                <w:rFonts w:hint="eastAsia"/>
              </w:rPr>
              <w:t>海岸线距离</w:t>
            </w:r>
            <w:r>
              <w:t>/m</w:t>
            </w:r>
          </w:p>
        </w:tc>
        <w:tc>
          <w:tcPr>
            <w:tcW w:w="2406" w:type="pct"/>
            <w:vAlign w:val="center"/>
          </w:tcPr>
          <w:p>
            <w:pPr>
              <w:pStyle w:val="4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vMerge w:val="continue"/>
            <w:vAlign w:val="center"/>
          </w:tcPr>
          <w:p>
            <w:pPr>
              <w:jc w:val="left"/>
              <w:rPr>
                <w:rFonts w:ascii="Times New Roman" w:hAnsi="Times New Roman" w:cs="Times New Roman"/>
              </w:rPr>
            </w:pPr>
          </w:p>
        </w:tc>
        <w:tc>
          <w:tcPr>
            <w:tcW w:w="1348" w:type="pct"/>
            <w:vAlign w:val="center"/>
          </w:tcPr>
          <w:p>
            <w:pPr>
              <w:pStyle w:val="49"/>
            </w:pPr>
            <w:r>
              <w:rPr>
                <w:rFonts w:hint="eastAsia"/>
              </w:rPr>
              <w:t>海岸线方向</w:t>
            </w:r>
            <w:r>
              <w:t>/</w:t>
            </w:r>
            <w:r>
              <w:rPr>
                <w:vertAlign w:val="superscript"/>
              </w:rPr>
              <w:t>o</w:t>
            </w:r>
          </w:p>
        </w:tc>
        <w:tc>
          <w:tcPr>
            <w:tcW w:w="2406" w:type="pct"/>
            <w:vAlign w:val="center"/>
          </w:tcPr>
          <w:p>
            <w:pPr>
              <w:pStyle w:val="49"/>
            </w:pPr>
            <w:r>
              <w:t>/</w:t>
            </w:r>
          </w:p>
        </w:tc>
      </w:tr>
    </w:tbl>
    <w:p>
      <w:pPr>
        <w:pStyle w:val="3"/>
        <w:ind w:firstLine="480"/>
        <w:rPr>
          <w:kern w:val="0"/>
        </w:rPr>
        <w:sectPr>
          <w:pgSz w:w="11906" w:h="16838"/>
          <w:pgMar w:top="1474" w:right="1361" w:bottom="1474" w:left="1588" w:header="851" w:footer="992" w:gutter="0"/>
          <w:cols w:space="425" w:num="1"/>
          <w:docGrid w:type="lines" w:linePitch="312" w:charSpace="0"/>
        </w:sectPr>
      </w:pPr>
    </w:p>
    <w:p>
      <w:pPr>
        <w:pStyle w:val="3"/>
        <w:ind w:firstLine="480"/>
        <w:rPr>
          <w:rFonts w:ascii="宋体" w:cs="宋体" w:eastAsiaTheme="minorEastAsia"/>
          <w:kern w:val="0"/>
          <w:szCs w:val="24"/>
        </w:rPr>
      </w:pPr>
      <w:r>
        <w:rPr>
          <w:rFonts w:hint="eastAsia"/>
          <w:kern w:val="0"/>
        </w:rPr>
        <w:t>3、</w:t>
      </w:r>
      <w:r>
        <w:rPr>
          <w:rFonts w:hint="eastAsia" w:ascii="宋体" w:cs="宋体"/>
          <w:kern w:val="0"/>
          <w:szCs w:val="24"/>
        </w:rPr>
        <w:t>污染源参数</w:t>
      </w:r>
    </w:p>
    <w:p>
      <w:pPr>
        <w:pStyle w:val="3"/>
        <w:ind w:firstLine="480"/>
        <w:rPr>
          <w:kern w:val="0"/>
        </w:rPr>
      </w:pPr>
      <w:r>
        <w:rPr>
          <w:rFonts w:hint="eastAsia"/>
          <w:kern w:val="0"/>
        </w:rPr>
        <w:t>项目的大气污染源包括有组织及无组织排放源，根据工程分析章节排入环境主要污染因子评价结果，项目预测因子主要为</w:t>
      </w:r>
      <w:r>
        <w:rPr>
          <w:rFonts w:hint="eastAsia"/>
        </w:rPr>
        <w:t>颗粒物、</w:t>
      </w:r>
      <w:r>
        <w:rPr>
          <w:rFonts w:eastAsiaTheme="minorEastAsia"/>
        </w:rPr>
        <w:t>NH</w:t>
      </w:r>
      <w:r>
        <w:rPr>
          <w:rFonts w:eastAsiaTheme="minorEastAsia"/>
          <w:vertAlign w:val="subscript"/>
        </w:rPr>
        <w:t>3</w:t>
      </w:r>
      <w:r>
        <w:rPr>
          <w:rFonts w:hint="eastAsia" w:eastAsiaTheme="minorEastAsia"/>
        </w:rPr>
        <w:t>、</w:t>
      </w:r>
      <w:r>
        <w:rPr>
          <w:rFonts w:eastAsiaTheme="minorEastAsia"/>
        </w:rPr>
        <w:t>H</w:t>
      </w:r>
      <w:r>
        <w:rPr>
          <w:rFonts w:eastAsiaTheme="minorEastAsia"/>
          <w:vertAlign w:val="subscript"/>
        </w:rPr>
        <w:t>2</w:t>
      </w:r>
      <w:r>
        <w:rPr>
          <w:rFonts w:eastAsiaTheme="minorEastAsia"/>
        </w:rPr>
        <w:t>S</w:t>
      </w:r>
      <w:r>
        <w:rPr>
          <w:rFonts w:hint="eastAsia" w:eastAsiaTheme="minorEastAsia"/>
        </w:rPr>
        <w:t>、</w:t>
      </w:r>
      <w:r>
        <w:rPr>
          <w:rFonts w:eastAsiaTheme="minorEastAsia"/>
        </w:rPr>
        <w:t>SO</w:t>
      </w:r>
      <w:r>
        <w:rPr>
          <w:rFonts w:eastAsiaTheme="minorEastAsia"/>
          <w:vertAlign w:val="subscript"/>
        </w:rPr>
        <w:t>2</w:t>
      </w:r>
      <w:r>
        <w:rPr>
          <w:rFonts w:hint="eastAsia" w:eastAsiaTheme="minorEastAsia"/>
        </w:rPr>
        <w:t>、</w:t>
      </w:r>
      <w:r>
        <w:rPr>
          <w:rFonts w:eastAsiaTheme="minorEastAsia"/>
        </w:rPr>
        <w:t>NOx</w:t>
      </w:r>
      <w:r>
        <w:rPr>
          <w:rFonts w:hint="eastAsia"/>
          <w:kern w:val="0"/>
        </w:rPr>
        <w:t>。各预测评价因子污染源强及相关排放参数见下表。</w:t>
      </w:r>
    </w:p>
    <w:p>
      <w:pPr>
        <w:pStyle w:val="3"/>
        <w:spacing w:line="240" w:lineRule="auto"/>
        <w:ind w:firstLine="0" w:firstLineChars="0"/>
        <w:jc w:val="center"/>
        <w:rPr>
          <w:rFonts w:cs="Times New Roman"/>
        </w:rPr>
      </w:pPr>
      <w:r>
        <w:rPr>
          <w:rFonts w:hint="eastAsia" w:cs="Times New Roman" w:eastAsiaTheme="minorEastAsia"/>
          <w:b/>
        </w:rPr>
        <w:t>表6.2-4   主要废气污染源（点源）参数一览表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262"/>
        <w:gridCol w:w="1514"/>
        <w:gridCol w:w="1424"/>
        <w:gridCol w:w="974"/>
        <w:gridCol w:w="1148"/>
        <w:gridCol w:w="745"/>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编号</w:t>
            </w:r>
          </w:p>
        </w:tc>
        <w:tc>
          <w:tcPr>
            <w:tcW w:w="688"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名称</w:t>
            </w:r>
          </w:p>
        </w:tc>
        <w:tc>
          <w:tcPr>
            <w:tcW w:w="1601" w:type="pct"/>
            <w:gridSpan w:val="2"/>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底部中心坐标</w:t>
            </w:r>
          </w:p>
        </w:tc>
        <w:tc>
          <w:tcPr>
            <w:tcW w:w="531"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排气筒高度</w:t>
            </w:r>
            <w:r>
              <w:rPr>
                <w:rFonts w:cs="Times New Roman"/>
                <w:kern w:val="0"/>
              </w:rPr>
              <w:t>/m</w:t>
            </w:r>
          </w:p>
        </w:tc>
        <w:tc>
          <w:tcPr>
            <w:tcW w:w="626"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排气筒出口内径</w:t>
            </w:r>
            <w:r>
              <w:rPr>
                <w:rFonts w:cs="Times New Roman"/>
                <w:kern w:val="0"/>
              </w:rPr>
              <w:t>/m</w:t>
            </w:r>
          </w:p>
        </w:tc>
        <w:tc>
          <w:tcPr>
            <w:tcW w:w="1077" w:type="pct"/>
            <w:gridSpan w:val="2"/>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排放速率</w:t>
            </w:r>
          </w:p>
          <w:p>
            <w:pPr>
              <w:pStyle w:val="49"/>
              <w:rPr>
                <w:rFonts w:cs="Times New Roman"/>
                <w:kern w:val="0"/>
              </w:rPr>
            </w:pPr>
            <w:r>
              <w:rPr>
                <w:rFonts w:cs="Times New Roma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82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X</w:t>
            </w:r>
            <w:r>
              <w:rPr>
                <w:rFonts w:hint="eastAsia" w:cs="Times New Roman"/>
                <w:kern w:val="0"/>
              </w:rPr>
              <w:t>（</w:t>
            </w:r>
            <w:r>
              <w:rPr>
                <w:rFonts w:cs="Times New Roman"/>
                <w:kern w:val="0"/>
              </w:rPr>
              <w:t>E</w:t>
            </w:r>
            <w:r>
              <w:rPr>
                <w:rFonts w:hint="eastAsia" w:cs="Times New Roman"/>
                <w:kern w:val="0"/>
              </w:rPr>
              <w:t>）</w:t>
            </w:r>
          </w:p>
        </w:tc>
        <w:tc>
          <w:tcPr>
            <w:tcW w:w="77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Y</w:t>
            </w:r>
            <w:r>
              <w:rPr>
                <w:rFonts w:hint="eastAsia" w:cs="Times New Roman"/>
                <w:kern w:val="0"/>
              </w:rPr>
              <w:t>（</w:t>
            </w:r>
            <w:r>
              <w:rPr>
                <w:rFonts w:cs="Times New Roman"/>
                <w:kern w:val="0"/>
              </w:rPr>
              <w:t>N</w:t>
            </w:r>
            <w:r>
              <w:rPr>
                <w:rFonts w:hint="eastAsia" w:cs="Times New Roman"/>
                <w:kern w:val="0"/>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1</w:t>
            </w:r>
          </w:p>
        </w:tc>
        <w:tc>
          <w:tcPr>
            <w:tcW w:w="68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生物质锅炉排气筒</w:t>
            </w:r>
          </w:p>
          <w:p>
            <w:pPr>
              <w:pStyle w:val="49"/>
              <w:rPr>
                <w:rFonts w:cs="Times New Roman"/>
                <w:kern w:val="0"/>
              </w:rPr>
            </w:pPr>
            <w:r>
              <w:rPr>
                <w:rFonts w:hint="eastAsia"/>
                <w:shd w:val="clear" w:color="auto" w:fill="FFFFFF"/>
              </w:rPr>
              <w:t>（</w:t>
            </w:r>
            <w:r>
              <w:rPr>
                <w:shd w:val="clear" w:color="auto" w:fill="FFFFFF"/>
              </w:rPr>
              <w:t>DA001</w:t>
            </w:r>
            <w:r>
              <w:rPr>
                <w:rFonts w:hint="eastAsia"/>
                <w:shd w:val="clear" w:color="auto" w:fill="FFFFFF"/>
              </w:rPr>
              <w:t>）</w:t>
            </w:r>
          </w:p>
        </w:tc>
        <w:tc>
          <w:tcPr>
            <w:tcW w:w="825"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112.52749264</w:t>
            </w:r>
          </w:p>
        </w:tc>
        <w:tc>
          <w:tcPr>
            <w:tcW w:w="77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26.98255913</w:t>
            </w:r>
          </w:p>
        </w:tc>
        <w:tc>
          <w:tcPr>
            <w:tcW w:w="531"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25</w:t>
            </w:r>
          </w:p>
        </w:tc>
        <w:tc>
          <w:tcPr>
            <w:tcW w:w="62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0.3</w:t>
            </w:r>
          </w:p>
        </w:tc>
        <w:tc>
          <w:tcPr>
            <w:tcW w:w="40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TSP</w:t>
            </w:r>
          </w:p>
        </w:tc>
        <w:tc>
          <w:tcPr>
            <w:tcW w:w="671" w:type="pct"/>
            <w:tcBorders>
              <w:top w:val="single" w:color="auto" w:sz="4" w:space="0"/>
              <w:left w:val="single" w:color="auto" w:sz="4" w:space="0"/>
              <w:bottom w:val="single" w:color="auto" w:sz="4" w:space="0"/>
              <w:right w:val="single" w:color="auto" w:sz="4" w:space="0"/>
            </w:tcBorders>
            <w:vAlign w:val="center"/>
          </w:tcPr>
          <w:p>
            <w:pPr>
              <w:pStyle w:val="49"/>
            </w:pPr>
            <w:r>
              <w:t>0.0</w:t>
            </w:r>
            <w:r>
              <w:rPr>
                <w:rFonts w:hint="eastAsia"/>
              </w:rPr>
              <w:t>0</w:t>
            </w: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continue"/>
            <w:tcBorders>
              <w:left w:val="single" w:color="auto" w:sz="4" w:space="0"/>
              <w:right w:val="single" w:color="auto" w:sz="4" w:space="0"/>
            </w:tcBorders>
            <w:vAlign w:val="center"/>
          </w:tcPr>
          <w:p>
            <w:pPr>
              <w:pStyle w:val="49"/>
              <w:rPr>
                <w:rFonts w:cs="Times New Roman"/>
                <w:kern w:val="0"/>
              </w:rPr>
            </w:pPr>
          </w:p>
        </w:tc>
        <w:tc>
          <w:tcPr>
            <w:tcW w:w="688" w:type="pct"/>
            <w:vMerge w:val="continue"/>
            <w:tcBorders>
              <w:left w:val="single" w:color="auto" w:sz="4" w:space="0"/>
              <w:right w:val="single" w:color="auto" w:sz="4" w:space="0"/>
            </w:tcBorders>
            <w:vAlign w:val="center"/>
          </w:tcPr>
          <w:p>
            <w:pPr>
              <w:pStyle w:val="49"/>
              <w:rPr>
                <w:rFonts w:cs="Times New Roman"/>
                <w:kern w:val="0"/>
              </w:rPr>
            </w:pPr>
          </w:p>
        </w:tc>
        <w:tc>
          <w:tcPr>
            <w:tcW w:w="825" w:type="pct"/>
            <w:vMerge w:val="continue"/>
            <w:tcBorders>
              <w:left w:val="single" w:color="auto" w:sz="4" w:space="0"/>
              <w:right w:val="single" w:color="auto" w:sz="4" w:space="0"/>
            </w:tcBorders>
            <w:vAlign w:val="center"/>
          </w:tcPr>
          <w:p>
            <w:pPr>
              <w:pStyle w:val="49"/>
              <w:rPr>
                <w:rFonts w:cs="Times New Roman"/>
                <w:kern w:val="0"/>
              </w:rPr>
            </w:pPr>
          </w:p>
        </w:tc>
        <w:tc>
          <w:tcPr>
            <w:tcW w:w="776" w:type="pct"/>
            <w:vMerge w:val="continue"/>
            <w:tcBorders>
              <w:left w:val="single" w:color="auto" w:sz="4" w:space="0"/>
              <w:right w:val="single" w:color="auto" w:sz="4" w:space="0"/>
            </w:tcBorders>
            <w:vAlign w:val="center"/>
          </w:tcPr>
          <w:p>
            <w:pPr>
              <w:pStyle w:val="49"/>
              <w:rPr>
                <w:rFonts w:cs="Times New Roman"/>
                <w:kern w:val="0"/>
              </w:rPr>
            </w:pPr>
          </w:p>
        </w:tc>
        <w:tc>
          <w:tcPr>
            <w:tcW w:w="531" w:type="pct"/>
            <w:vMerge w:val="continue"/>
            <w:tcBorders>
              <w:left w:val="single" w:color="auto" w:sz="4" w:space="0"/>
              <w:right w:val="single" w:color="auto" w:sz="4" w:space="0"/>
            </w:tcBorders>
            <w:vAlign w:val="center"/>
          </w:tcPr>
          <w:p>
            <w:pPr>
              <w:pStyle w:val="49"/>
              <w:rPr>
                <w:rFonts w:cs="Times New Roman"/>
                <w:kern w:val="0"/>
              </w:rPr>
            </w:pPr>
          </w:p>
        </w:tc>
        <w:tc>
          <w:tcPr>
            <w:tcW w:w="626" w:type="pct"/>
            <w:vMerge w:val="continue"/>
            <w:tcBorders>
              <w:left w:val="single" w:color="auto" w:sz="4" w:space="0"/>
              <w:right w:val="single" w:color="auto" w:sz="4" w:space="0"/>
            </w:tcBorders>
            <w:vAlign w:val="center"/>
          </w:tcPr>
          <w:p>
            <w:pPr>
              <w:pStyle w:val="49"/>
              <w:rPr>
                <w:rFonts w:cs="Times New Roman"/>
                <w:kern w:val="0"/>
              </w:rPr>
            </w:pPr>
          </w:p>
        </w:tc>
        <w:tc>
          <w:tcPr>
            <w:tcW w:w="40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SO</w:t>
            </w:r>
            <w:r>
              <w:rPr>
                <w:rFonts w:cs="Times New Roman"/>
                <w:kern w:val="0"/>
                <w:vertAlign w:val="subscript"/>
              </w:rPr>
              <w:t>2</w:t>
            </w:r>
          </w:p>
        </w:tc>
        <w:tc>
          <w:tcPr>
            <w:tcW w:w="671" w:type="pct"/>
            <w:tcBorders>
              <w:top w:val="single" w:color="auto" w:sz="4" w:space="0"/>
              <w:left w:val="single" w:color="auto" w:sz="4" w:space="0"/>
              <w:bottom w:val="single" w:color="auto" w:sz="4" w:space="0"/>
              <w:right w:val="single" w:color="auto" w:sz="4" w:space="0"/>
            </w:tcBorders>
            <w:vAlign w:val="center"/>
          </w:tcPr>
          <w:p>
            <w:pPr>
              <w:pStyle w:val="49"/>
            </w:pPr>
            <w: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0" w:type="auto"/>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40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NOx</w:t>
            </w:r>
          </w:p>
        </w:tc>
        <w:tc>
          <w:tcPr>
            <w:tcW w:w="671" w:type="pct"/>
            <w:tcBorders>
              <w:top w:val="single" w:color="auto" w:sz="4" w:space="0"/>
              <w:left w:val="single" w:color="auto" w:sz="4" w:space="0"/>
              <w:bottom w:val="single" w:color="auto" w:sz="4" w:space="0"/>
              <w:right w:val="single" w:color="auto" w:sz="4" w:space="0"/>
            </w:tcBorders>
            <w:vAlign w:val="center"/>
          </w:tcPr>
          <w:p>
            <w:pPr>
              <w:pStyle w:val="49"/>
            </w:pPr>
            <w:r>
              <w:t>0.255</w:t>
            </w:r>
          </w:p>
        </w:tc>
      </w:tr>
    </w:tbl>
    <w:p>
      <w:pPr>
        <w:pStyle w:val="3"/>
        <w:spacing w:line="240" w:lineRule="auto"/>
        <w:ind w:firstLine="0" w:firstLineChars="0"/>
        <w:jc w:val="center"/>
        <w:rPr>
          <w:rFonts w:cs="Times New Roman"/>
        </w:rPr>
      </w:pPr>
      <w:r>
        <w:rPr>
          <w:rFonts w:hint="eastAsia" w:cs="Times New Roman" w:eastAsiaTheme="minorEastAsia"/>
          <w:b/>
        </w:rPr>
        <w:t>表6.2-5   主要废气污染源（面源）参数一览表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424"/>
        <w:gridCol w:w="1319"/>
        <w:gridCol w:w="1075"/>
        <w:gridCol w:w="1134"/>
        <w:gridCol w:w="1281"/>
        <w:gridCol w:w="752"/>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名称</w:t>
            </w:r>
          </w:p>
        </w:tc>
        <w:tc>
          <w:tcPr>
            <w:tcW w:w="1495" w:type="pct"/>
            <w:gridSpan w:val="2"/>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面源起点坐标</w:t>
            </w:r>
          </w:p>
        </w:tc>
        <w:tc>
          <w:tcPr>
            <w:tcW w:w="586"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面源长度</w:t>
            </w:r>
            <w:r>
              <w:rPr>
                <w:rFonts w:cs="Times New Roman"/>
                <w:kern w:val="0"/>
              </w:rPr>
              <w:t>/m</w:t>
            </w:r>
          </w:p>
        </w:tc>
        <w:tc>
          <w:tcPr>
            <w:tcW w:w="618"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面源宽度</w:t>
            </w:r>
            <w:r>
              <w:rPr>
                <w:rFonts w:cs="Times New Roman"/>
                <w:kern w:val="0"/>
              </w:rPr>
              <w:t>/m</w:t>
            </w:r>
          </w:p>
        </w:tc>
        <w:tc>
          <w:tcPr>
            <w:tcW w:w="69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面源有效排放高度（</w:t>
            </w:r>
            <w:r>
              <w:rPr>
                <w:rFonts w:cs="Times New Roman"/>
                <w:kern w:val="0"/>
              </w:rPr>
              <w:t>m</w:t>
            </w:r>
            <w:r>
              <w:rPr>
                <w:rFonts w:hint="eastAsia" w:cs="Times New Roman"/>
                <w:kern w:val="0"/>
              </w:rPr>
              <w:t>）</w:t>
            </w:r>
          </w:p>
        </w:tc>
        <w:tc>
          <w:tcPr>
            <w:tcW w:w="1075" w:type="pct"/>
            <w:gridSpan w:val="2"/>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排放量</w:t>
            </w:r>
            <w:r>
              <w:rPr>
                <w:rFonts w:cs="Times New Roma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776"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X</w:t>
            </w:r>
            <w:r>
              <w:rPr>
                <w:rFonts w:hint="eastAsia" w:cs="Times New Roman"/>
                <w:kern w:val="0"/>
              </w:rPr>
              <w:t>（</w:t>
            </w:r>
            <w:r>
              <w:rPr>
                <w:rFonts w:cs="Times New Roman"/>
                <w:kern w:val="0"/>
              </w:rPr>
              <w:t>E</w:t>
            </w:r>
            <w:r>
              <w:rPr>
                <w:rFonts w:hint="eastAsia" w:cs="Times New Roman"/>
                <w:kern w:val="0"/>
              </w:rPr>
              <w:t>）</w:t>
            </w:r>
          </w:p>
        </w:tc>
        <w:tc>
          <w:tcPr>
            <w:tcW w:w="719"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Y</w:t>
            </w:r>
            <w:r>
              <w:rPr>
                <w:rFonts w:hint="eastAsia" w:cs="Times New Roman"/>
                <w:kern w:val="0"/>
              </w:rPr>
              <w:t>（</w:t>
            </w:r>
            <w:r>
              <w:rPr>
                <w:rFonts w:cs="Times New Roman"/>
                <w:kern w:val="0"/>
              </w:rPr>
              <w:t>N</w:t>
            </w:r>
            <w:r>
              <w:rPr>
                <w:rFonts w:hint="eastAsia" w:cs="Times New Roman"/>
                <w:kern w:val="0"/>
              </w:rPr>
              <w:t>）</w:t>
            </w:r>
          </w:p>
        </w:tc>
        <w:tc>
          <w:tcPr>
            <w:tcW w:w="586"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618"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69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1075"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牛屠宰、待宰区</w:t>
            </w:r>
          </w:p>
        </w:tc>
        <w:tc>
          <w:tcPr>
            <w:tcW w:w="776"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112.52592623</w:t>
            </w:r>
          </w:p>
        </w:tc>
        <w:tc>
          <w:tcPr>
            <w:tcW w:w="719"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26.98311367</w:t>
            </w:r>
          </w:p>
        </w:tc>
        <w:tc>
          <w:tcPr>
            <w:tcW w:w="586"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65</w:t>
            </w:r>
          </w:p>
        </w:tc>
        <w:tc>
          <w:tcPr>
            <w:tcW w:w="618" w:type="pct"/>
            <w:vMerge w:val="restar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hint="eastAsia" w:cs="Times New Roman"/>
                <w:kern w:val="0"/>
              </w:rPr>
              <w:t>28</w:t>
            </w:r>
          </w:p>
        </w:tc>
        <w:tc>
          <w:tcPr>
            <w:tcW w:w="69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5m</w:t>
            </w: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NH</w:t>
            </w:r>
            <w:r>
              <w:rPr>
                <w:rFonts w:cs="Times New Roman"/>
                <w:kern w:val="0"/>
                <w:vertAlign w:val="subscript"/>
              </w:rPr>
              <w:t>3</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rFonts w:hint="eastAsia" w:cs="Times New Roman"/>
                <w:color w:val="FF0000"/>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776"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719"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586"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618" w:type="pct"/>
            <w:vMerge w:val="continue"/>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p>
        </w:tc>
        <w:tc>
          <w:tcPr>
            <w:tcW w:w="698" w:type="pct"/>
            <w:vMerge w:val="continue"/>
            <w:tcBorders>
              <w:left w:val="single" w:color="auto" w:sz="4" w:space="0"/>
              <w:right w:val="single" w:color="auto" w:sz="4" w:space="0"/>
            </w:tcBorders>
            <w:vAlign w:val="center"/>
          </w:tcPr>
          <w:p>
            <w:pPr>
              <w:pStyle w:val="49"/>
              <w:rPr>
                <w:rFonts w:cs="Times New Roman"/>
                <w:kern w:val="0"/>
              </w:rPr>
            </w:pP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H</w:t>
            </w:r>
            <w:r>
              <w:rPr>
                <w:rFonts w:cs="Times New Roman"/>
                <w:kern w:val="0"/>
                <w:vertAlign w:val="subscript"/>
              </w:rPr>
              <w:t>2</w:t>
            </w:r>
            <w:r>
              <w:rPr>
                <w:rFonts w:cs="Times New Roman"/>
                <w:kern w:val="0"/>
              </w:rPr>
              <w:t>S</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rFonts w:hint="eastAsia" w:cs="Times New Roman"/>
                <w:color w:val="FF0000"/>
              </w:rPr>
              <w:t>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禽类屠宰、待宰区</w:t>
            </w:r>
          </w:p>
        </w:tc>
        <w:tc>
          <w:tcPr>
            <w:tcW w:w="77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112.52722979</w:t>
            </w:r>
          </w:p>
        </w:tc>
        <w:tc>
          <w:tcPr>
            <w:tcW w:w="719"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26.98241572</w:t>
            </w:r>
          </w:p>
        </w:tc>
        <w:tc>
          <w:tcPr>
            <w:tcW w:w="58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75</w:t>
            </w:r>
          </w:p>
        </w:tc>
        <w:tc>
          <w:tcPr>
            <w:tcW w:w="61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25</w:t>
            </w:r>
          </w:p>
        </w:tc>
        <w:tc>
          <w:tcPr>
            <w:tcW w:w="698" w:type="pct"/>
            <w:vMerge w:val="restart"/>
            <w:tcBorders>
              <w:left w:val="single" w:color="auto" w:sz="4" w:space="0"/>
              <w:right w:val="single" w:color="auto" w:sz="4" w:space="0"/>
            </w:tcBorders>
            <w:vAlign w:val="center"/>
          </w:tcPr>
          <w:p>
            <w:pPr>
              <w:pStyle w:val="49"/>
              <w:rPr>
                <w:rFonts w:cs="Times New Roman"/>
                <w:kern w:val="0"/>
              </w:rPr>
            </w:pPr>
            <w:r>
              <w:rPr>
                <w:rFonts w:hint="eastAsia" w:cs="Times New Roman"/>
                <w:kern w:val="0"/>
              </w:rPr>
              <w:t>5m</w:t>
            </w: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NH</w:t>
            </w:r>
            <w:r>
              <w:rPr>
                <w:rFonts w:cs="Times New Roman"/>
                <w:kern w:val="0"/>
                <w:vertAlign w:val="subscript"/>
              </w:rPr>
              <w:t>3</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rFonts w:hint="eastAsia" w:cs="Times New Roman"/>
                <w:color w:val="FF0000"/>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776"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719"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586"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61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69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H</w:t>
            </w:r>
            <w:r>
              <w:rPr>
                <w:rFonts w:cs="Times New Roman"/>
                <w:kern w:val="0"/>
                <w:vertAlign w:val="subscript"/>
              </w:rPr>
              <w:t>2</w:t>
            </w:r>
            <w:r>
              <w:rPr>
                <w:rFonts w:cs="Times New Roman"/>
                <w:kern w:val="0"/>
              </w:rPr>
              <w:t>S</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rFonts w:hint="eastAsia" w:cs="Times New Roman"/>
                <w:color w:val="FF0000"/>
              </w:rPr>
              <w:t>0.000076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粪污处理区</w:t>
            </w:r>
          </w:p>
        </w:tc>
        <w:tc>
          <w:tcPr>
            <w:tcW w:w="77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112.52644122</w:t>
            </w:r>
          </w:p>
        </w:tc>
        <w:tc>
          <w:tcPr>
            <w:tcW w:w="719"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cs="Times New Roman"/>
                <w:kern w:val="0"/>
              </w:rPr>
              <w:t>26.98364430</w:t>
            </w:r>
          </w:p>
        </w:tc>
        <w:tc>
          <w:tcPr>
            <w:tcW w:w="586"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50</w:t>
            </w:r>
          </w:p>
        </w:tc>
        <w:tc>
          <w:tcPr>
            <w:tcW w:w="618" w:type="pct"/>
            <w:vMerge w:val="restart"/>
            <w:tcBorders>
              <w:top w:val="single" w:color="auto" w:sz="4" w:space="0"/>
              <w:left w:val="single" w:color="auto" w:sz="4" w:space="0"/>
              <w:right w:val="single" w:color="auto" w:sz="4" w:space="0"/>
            </w:tcBorders>
            <w:vAlign w:val="center"/>
          </w:tcPr>
          <w:p>
            <w:pPr>
              <w:pStyle w:val="49"/>
              <w:rPr>
                <w:rFonts w:cs="Times New Roman"/>
                <w:kern w:val="0"/>
              </w:rPr>
            </w:pPr>
            <w:r>
              <w:rPr>
                <w:rFonts w:hint="eastAsia" w:cs="Times New Roman"/>
                <w:kern w:val="0"/>
              </w:rPr>
              <w:t>35</w:t>
            </w:r>
          </w:p>
        </w:tc>
        <w:tc>
          <w:tcPr>
            <w:tcW w:w="698" w:type="pct"/>
            <w:vMerge w:val="restart"/>
            <w:tcBorders>
              <w:left w:val="single" w:color="auto" w:sz="4" w:space="0"/>
              <w:right w:val="single" w:color="auto" w:sz="4" w:space="0"/>
            </w:tcBorders>
            <w:vAlign w:val="center"/>
          </w:tcPr>
          <w:p>
            <w:pPr>
              <w:pStyle w:val="49"/>
              <w:rPr>
                <w:rFonts w:cs="Times New Roman"/>
                <w:kern w:val="0"/>
              </w:rPr>
            </w:pPr>
            <w:r>
              <w:rPr>
                <w:rFonts w:hint="eastAsia" w:cs="Times New Roman"/>
                <w:kern w:val="0"/>
              </w:rPr>
              <w:t>5m</w:t>
            </w: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NH</w:t>
            </w:r>
            <w:r>
              <w:rPr>
                <w:rFonts w:cs="Times New Roman"/>
                <w:kern w:val="0"/>
                <w:vertAlign w:val="subscript"/>
              </w:rPr>
              <w:t>3</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color w:val="FF0000"/>
              </w:rPr>
              <w:t>0.01215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776"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719"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586"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61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698" w:type="pct"/>
            <w:vMerge w:val="continue"/>
            <w:tcBorders>
              <w:left w:val="single" w:color="auto" w:sz="4" w:space="0"/>
              <w:bottom w:val="single" w:color="auto" w:sz="4" w:space="0"/>
              <w:right w:val="single" w:color="auto" w:sz="4" w:space="0"/>
            </w:tcBorders>
            <w:vAlign w:val="center"/>
          </w:tcPr>
          <w:p>
            <w:pPr>
              <w:pStyle w:val="49"/>
              <w:rPr>
                <w:rFonts w:cs="Times New Roman"/>
                <w:kern w:val="0"/>
              </w:rPr>
            </w:pPr>
          </w:p>
        </w:tc>
        <w:tc>
          <w:tcPr>
            <w:tcW w:w="410" w:type="pct"/>
            <w:tcBorders>
              <w:top w:val="single" w:color="auto" w:sz="4" w:space="0"/>
              <w:left w:val="single" w:color="auto" w:sz="4" w:space="0"/>
              <w:bottom w:val="single" w:color="auto" w:sz="4" w:space="0"/>
              <w:right w:val="single" w:color="auto" w:sz="4" w:space="0"/>
            </w:tcBorders>
            <w:vAlign w:val="center"/>
          </w:tcPr>
          <w:p>
            <w:pPr>
              <w:pStyle w:val="49"/>
              <w:rPr>
                <w:rFonts w:cs="Times New Roman"/>
                <w:kern w:val="0"/>
              </w:rPr>
            </w:pPr>
            <w:r>
              <w:rPr>
                <w:rFonts w:cs="Times New Roman"/>
                <w:kern w:val="0"/>
              </w:rPr>
              <w:t>H</w:t>
            </w:r>
            <w:r>
              <w:rPr>
                <w:rFonts w:cs="Times New Roman"/>
                <w:kern w:val="0"/>
                <w:vertAlign w:val="subscript"/>
              </w:rPr>
              <w:t>2</w:t>
            </w:r>
            <w:r>
              <w:rPr>
                <w:rFonts w:cs="Times New Roman"/>
                <w:kern w:val="0"/>
              </w:rPr>
              <w:t>S</w:t>
            </w:r>
          </w:p>
        </w:tc>
        <w:tc>
          <w:tcPr>
            <w:tcW w:w="665" w:type="pct"/>
            <w:tcBorders>
              <w:top w:val="single" w:color="auto" w:sz="4" w:space="0"/>
              <w:left w:val="single" w:color="auto" w:sz="4" w:space="0"/>
              <w:bottom w:val="single" w:color="auto" w:sz="4" w:space="0"/>
              <w:right w:val="single" w:color="auto" w:sz="4" w:space="0"/>
            </w:tcBorders>
            <w:vAlign w:val="center"/>
          </w:tcPr>
          <w:p>
            <w:pPr>
              <w:pStyle w:val="49"/>
              <w:rPr>
                <w:rFonts w:cs="Times New Roman"/>
                <w:color w:val="FF0000"/>
                <w:kern w:val="0"/>
              </w:rPr>
            </w:pPr>
            <w:r>
              <w:rPr>
                <w:color w:val="FF0000"/>
              </w:rPr>
              <w:t>0.000468</w:t>
            </w:r>
          </w:p>
        </w:tc>
      </w:tr>
    </w:tbl>
    <w:p>
      <w:pPr>
        <w:pStyle w:val="3"/>
        <w:ind w:firstLine="480"/>
        <w:rPr>
          <w:rFonts w:cs="Times New Roman"/>
        </w:rPr>
      </w:pPr>
      <w:r>
        <w:rPr>
          <w:rFonts w:hint="eastAsia" w:cs="Times New Roman"/>
        </w:rPr>
        <w:t>4、估算方案</w:t>
      </w:r>
    </w:p>
    <w:p>
      <w:pPr>
        <w:pStyle w:val="3"/>
        <w:ind w:firstLine="480"/>
        <w:rPr>
          <w:rFonts w:ascii="宋体" w:cs="宋体" w:eastAsiaTheme="minorEastAsia"/>
          <w:kern w:val="0"/>
          <w:szCs w:val="24"/>
        </w:rPr>
      </w:pPr>
      <w:r>
        <w:rPr>
          <w:rFonts w:hint="eastAsia" w:ascii="宋体" w:cs="宋体"/>
          <w:kern w:val="0"/>
          <w:szCs w:val="24"/>
        </w:rPr>
        <w:t>本次评价估算正常工况下项目大气污染物排放的最大环境影响。</w:t>
      </w:r>
    </w:p>
    <w:p>
      <w:pPr>
        <w:pStyle w:val="3"/>
        <w:ind w:firstLine="480"/>
        <w:rPr>
          <w:rFonts w:cs="Times New Roman"/>
        </w:rPr>
      </w:pPr>
      <w:r>
        <w:rPr>
          <w:rFonts w:hint="eastAsia" w:cs="Times New Roman"/>
        </w:rPr>
        <w:t>5、估算结果</w:t>
      </w:r>
    </w:p>
    <w:p>
      <w:pPr>
        <w:pStyle w:val="3"/>
        <w:ind w:firstLine="480"/>
        <w:rPr>
          <w:rFonts w:cs="Times New Roman" w:eastAsiaTheme="minorEastAsia"/>
        </w:rPr>
      </w:pPr>
      <w:r>
        <w:rPr>
          <w:rFonts w:hint="eastAsia"/>
          <w:color w:val="000000"/>
        </w:rPr>
        <w:t>有组织排放的污染物等预测结果见表6.2-6；无组织逸散的污染物预测结果见表6.2-7、6.2-8、6.2-9</w:t>
      </w:r>
      <w:r>
        <w:rPr>
          <w:rFonts w:hint="eastAsia" w:cs="Times New Roman" w:eastAsiaTheme="minorEastAsia"/>
        </w:rPr>
        <w:t>。</w:t>
      </w: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表6.2-6   有组织排放污染物预测结果汇总表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420"/>
        <w:gridCol w:w="1578"/>
        <w:gridCol w:w="1824"/>
        <w:gridCol w:w="1807"/>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6" w:type="pct"/>
            <w:vAlign w:val="center"/>
          </w:tcPr>
          <w:p>
            <w:pPr>
              <w:pStyle w:val="49"/>
              <w:rPr>
                <w:rFonts w:cs="Times New Roman" w:eastAsiaTheme="minorEastAsia"/>
                <w:color w:val="FF0000"/>
                <w:u w:val="single"/>
              </w:rPr>
            </w:pPr>
            <w:r>
              <w:rPr>
                <w:rFonts w:cs="Times New Roman" w:eastAsiaTheme="minorEastAsia"/>
                <w:color w:val="FF0000"/>
                <w:u w:val="single"/>
              </w:rPr>
              <w:t>排气筒</w:t>
            </w:r>
          </w:p>
        </w:tc>
        <w:tc>
          <w:tcPr>
            <w:tcW w:w="774" w:type="pct"/>
            <w:vAlign w:val="center"/>
          </w:tcPr>
          <w:p>
            <w:pPr>
              <w:pStyle w:val="49"/>
              <w:rPr>
                <w:rFonts w:cs="Times New Roman" w:eastAsiaTheme="minorEastAsia"/>
                <w:color w:val="FF0000"/>
                <w:u w:val="single"/>
              </w:rPr>
            </w:pPr>
            <w:r>
              <w:rPr>
                <w:rFonts w:cs="Times New Roman" w:eastAsiaTheme="minorEastAsia"/>
                <w:color w:val="FF0000"/>
                <w:u w:val="single"/>
              </w:rPr>
              <w:t>污染物名称</w:t>
            </w:r>
          </w:p>
        </w:tc>
        <w:tc>
          <w:tcPr>
            <w:tcW w:w="860" w:type="pct"/>
            <w:vAlign w:val="center"/>
          </w:tcPr>
          <w:p>
            <w:pPr>
              <w:pStyle w:val="49"/>
              <w:rPr>
                <w:rFonts w:cs="Times New Roman" w:eastAsiaTheme="minorEastAsia"/>
                <w:color w:val="FF0000"/>
                <w:u w:val="single"/>
              </w:rPr>
            </w:pPr>
            <w:r>
              <w:rPr>
                <w:rFonts w:cs="Times New Roman" w:eastAsiaTheme="minorEastAsia"/>
                <w:color w:val="FF0000"/>
                <w:u w:val="single"/>
              </w:rPr>
              <w:t>最大落地浓度距离（m）</w:t>
            </w:r>
          </w:p>
        </w:tc>
        <w:tc>
          <w:tcPr>
            <w:tcW w:w="994" w:type="pct"/>
            <w:vAlign w:val="center"/>
          </w:tcPr>
          <w:p>
            <w:pPr>
              <w:pStyle w:val="49"/>
              <w:rPr>
                <w:rFonts w:cs="Times New Roman" w:eastAsiaTheme="minorEastAsia"/>
                <w:color w:val="FF0000"/>
                <w:u w:val="single"/>
              </w:rPr>
            </w:pPr>
            <w:r>
              <w:rPr>
                <w:rFonts w:cs="Times New Roman" w:eastAsiaTheme="minorEastAsia"/>
                <w:color w:val="FF0000"/>
                <w:u w:val="single"/>
              </w:rPr>
              <w:t>最大落地浓度值（mg/m</w:t>
            </w:r>
            <w:r>
              <w:rPr>
                <w:rFonts w:cs="Times New Roman" w:eastAsiaTheme="minorEastAsia"/>
                <w:color w:val="FF0000"/>
                <w:u w:val="single"/>
                <w:vertAlign w:val="superscript"/>
              </w:rPr>
              <w:t>3</w:t>
            </w:r>
            <w:r>
              <w:rPr>
                <w:rFonts w:cs="Times New Roman" w:eastAsiaTheme="minorEastAsia"/>
                <w:color w:val="FF0000"/>
                <w:u w:val="single"/>
              </w:rPr>
              <w:t>）</w:t>
            </w:r>
          </w:p>
        </w:tc>
        <w:tc>
          <w:tcPr>
            <w:tcW w:w="985" w:type="pct"/>
            <w:vAlign w:val="center"/>
          </w:tcPr>
          <w:p>
            <w:pPr>
              <w:pStyle w:val="49"/>
              <w:rPr>
                <w:rFonts w:cs="Times New Roman" w:eastAsiaTheme="minorEastAsia"/>
                <w:color w:val="FF0000"/>
                <w:u w:val="single"/>
              </w:rPr>
            </w:pPr>
            <w:r>
              <w:rPr>
                <w:rFonts w:cs="Times New Roman" w:eastAsiaTheme="minorEastAsia"/>
                <w:color w:val="FF0000"/>
                <w:u w:val="single"/>
              </w:rPr>
              <w:t>环境质量标准（</w:t>
            </w:r>
            <w:r>
              <w:rPr>
                <w:rFonts w:cs="Times New Roman"/>
                <w:color w:val="FF0000"/>
                <w:u w:val="single"/>
                <w:shd w:val="clear" w:color="auto" w:fill="FFFFFF"/>
              </w:rPr>
              <w:t>ug/m</w:t>
            </w:r>
            <w:r>
              <w:rPr>
                <w:rFonts w:cs="Times New Roman"/>
                <w:color w:val="FF0000"/>
                <w:u w:val="single"/>
                <w:shd w:val="clear" w:color="auto" w:fill="FFFFFF"/>
                <w:vertAlign w:val="superscript"/>
              </w:rPr>
              <w:t>3</w:t>
            </w:r>
            <w:r>
              <w:rPr>
                <w:rFonts w:cs="Times New Roman" w:eastAsiaTheme="minorEastAsia"/>
                <w:color w:val="FF0000"/>
                <w:u w:val="single"/>
              </w:rPr>
              <w:t>）</w:t>
            </w:r>
          </w:p>
        </w:tc>
        <w:tc>
          <w:tcPr>
            <w:tcW w:w="681" w:type="pct"/>
            <w:vAlign w:val="center"/>
          </w:tcPr>
          <w:p>
            <w:pPr>
              <w:pStyle w:val="49"/>
              <w:rPr>
                <w:rFonts w:cs="Times New Roman" w:eastAsiaTheme="minorEastAsia"/>
                <w:color w:val="FF0000"/>
                <w:u w:val="single"/>
              </w:rPr>
            </w:pPr>
            <w:r>
              <w:rPr>
                <w:rFonts w:cs="Times New Roman" w:eastAsiaTheme="minorEastAsia"/>
                <w:color w:val="FF0000"/>
                <w:u w:val="single"/>
              </w:rPr>
              <w:t>Pmax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6" w:type="pct"/>
            <w:vMerge w:val="restar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DA001</w:t>
            </w:r>
          </w:p>
        </w:tc>
        <w:tc>
          <w:tcPr>
            <w:tcW w:w="774"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SO</w:t>
            </w:r>
            <w:r>
              <w:rPr>
                <w:rFonts w:ascii="Times New Roman" w:hAnsi="Times New Roman" w:cs="Times New Roman"/>
                <w:color w:val="FF0000"/>
                <w:u w:val="single"/>
                <w:vertAlign w:val="subscript"/>
              </w:rPr>
              <w:t>2</w:t>
            </w:r>
          </w:p>
        </w:tc>
        <w:tc>
          <w:tcPr>
            <w:tcW w:w="860" w:type="pct"/>
            <w:vAlign w:val="center"/>
          </w:tcPr>
          <w:p>
            <w:pPr>
              <w:widowControl w:val="0"/>
              <w:jc w:val="center"/>
              <w:rPr>
                <w:rFonts w:ascii="Times New Roman" w:hAnsi="Times New Roman" w:cs="Times New Roman"/>
                <w:color w:val="FF0000"/>
                <w:u w:val="single"/>
              </w:rPr>
            </w:pPr>
            <w:r>
              <w:rPr>
                <w:rFonts w:hint="eastAsia" w:ascii="Times New Roman" w:hAnsi="Times New Roman" w:cs="Times New Roman"/>
                <w:color w:val="FF0000"/>
                <w:u w:val="single"/>
              </w:rPr>
              <w:t>100</w:t>
            </w:r>
          </w:p>
        </w:tc>
        <w:tc>
          <w:tcPr>
            <w:tcW w:w="99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0.0039</w:t>
            </w:r>
          </w:p>
        </w:tc>
        <w:tc>
          <w:tcPr>
            <w:tcW w:w="985"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500</w:t>
            </w:r>
          </w:p>
        </w:tc>
        <w:tc>
          <w:tcPr>
            <w:tcW w:w="681"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szCs w:val="24"/>
                <w:u w:val="singl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jc w:val="center"/>
              <w:rPr>
                <w:rFonts w:ascii="Times New Roman" w:hAnsi="Times New Roman" w:cs="Times New Roman"/>
                <w:color w:val="FF0000"/>
                <w:u w:val="single"/>
              </w:rPr>
            </w:pPr>
          </w:p>
        </w:tc>
        <w:tc>
          <w:tcPr>
            <w:tcW w:w="774"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NO</w:t>
            </w:r>
            <w:r>
              <w:rPr>
                <w:rFonts w:ascii="Times New Roman" w:hAnsi="Times New Roman" w:cs="Times New Roman"/>
                <w:color w:val="FF0000"/>
                <w:u w:val="single"/>
                <w:vertAlign w:val="subscript"/>
              </w:rPr>
              <w:t>X</w:t>
            </w:r>
          </w:p>
        </w:tc>
        <w:tc>
          <w:tcPr>
            <w:tcW w:w="860" w:type="pct"/>
            <w:vAlign w:val="center"/>
          </w:tcPr>
          <w:p>
            <w:pPr>
              <w:widowControl w:val="0"/>
              <w:jc w:val="center"/>
              <w:rPr>
                <w:rFonts w:ascii="Times New Roman" w:hAnsi="Times New Roman" w:cs="Times New Roman"/>
                <w:color w:val="FF0000"/>
                <w:szCs w:val="24"/>
                <w:u w:val="single"/>
              </w:rPr>
            </w:pPr>
            <w:r>
              <w:rPr>
                <w:rFonts w:hint="eastAsia" w:ascii="Times New Roman" w:hAnsi="Times New Roman" w:cs="Times New Roman"/>
                <w:color w:val="FF0000"/>
                <w:szCs w:val="24"/>
                <w:u w:val="single"/>
              </w:rPr>
              <w:t>100</w:t>
            </w:r>
          </w:p>
        </w:tc>
        <w:tc>
          <w:tcPr>
            <w:tcW w:w="994" w:type="pct"/>
            <w:vAlign w:val="center"/>
          </w:tcPr>
          <w:p>
            <w:pPr>
              <w:jc w:val="center"/>
              <w:rPr>
                <w:rFonts w:ascii="Times New Roman" w:hAnsi="Times New Roman" w:cs="Times New Roman"/>
                <w:color w:val="FF0000"/>
                <w:u w:val="single"/>
              </w:rPr>
            </w:pPr>
            <w:r>
              <w:rPr>
                <w:rFonts w:hint="eastAsia" w:ascii="Times New Roman" w:hAnsi="Times New Roman" w:cs="Times New Roman"/>
                <w:color w:val="FF0000"/>
                <w:u w:val="single"/>
              </w:rPr>
              <w:t>0.0116</w:t>
            </w:r>
          </w:p>
        </w:tc>
        <w:tc>
          <w:tcPr>
            <w:tcW w:w="985"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200</w:t>
            </w:r>
          </w:p>
        </w:tc>
        <w:tc>
          <w:tcPr>
            <w:tcW w:w="681" w:type="pct"/>
            <w:vAlign w:val="center"/>
          </w:tcPr>
          <w:p>
            <w:pPr>
              <w:widowControl w:val="0"/>
              <w:jc w:val="center"/>
              <w:rPr>
                <w:rFonts w:ascii="Times New Roman" w:hAnsi="Times New Roman" w:cs="Times New Roman"/>
                <w:color w:val="FF0000"/>
                <w:szCs w:val="24"/>
                <w:u w:val="single"/>
              </w:rPr>
            </w:pPr>
            <w:r>
              <w:rPr>
                <w:rFonts w:ascii="Times New Roman" w:hAnsi="Times New Roman" w:cs="Times New Roman"/>
                <w:color w:val="FF0000"/>
                <w:szCs w:val="24"/>
                <w:u w:val="singl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jc w:val="center"/>
              <w:rPr>
                <w:rFonts w:ascii="Times New Roman" w:hAnsi="Times New Roman" w:cs="Times New Roman"/>
                <w:color w:val="FF0000"/>
                <w:u w:val="single"/>
              </w:rPr>
            </w:pPr>
          </w:p>
        </w:tc>
        <w:tc>
          <w:tcPr>
            <w:tcW w:w="774"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TSP</w:t>
            </w:r>
          </w:p>
        </w:tc>
        <w:tc>
          <w:tcPr>
            <w:tcW w:w="860" w:type="pct"/>
            <w:vAlign w:val="center"/>
          </w:tcPr>
          <w:p>
            <w:pPr>
              <w:widowControl w:val="0"/>
              <w:jc w:val="center"/>
              <w:rPr>
                <w:rFonts w:ascii="Times New Roman" w:hAnsi="Times New Roman" w:cs="Times New Roman"/>
                <w:color w:val="FF0000"/>
                <w:szCs w:val="24"/>
                <w:u w:val="single"/>
              </w:rPr>
            </w:pPr>
            <w:r>
              <w:rPr>
                <w:rFonts w:hint="eastAsia" w:ascii="Times New Roman" w:hAnsi="Times New Roman" w:cs="Times New Roman"/>
                <w:color w:val="FF0000"/>
                <w:szCs w:val="24"/>
                <w:u w:val="single"/>
              </w:rPr>
              <w:t>100</w:t>
            </w:r>
          </w:p>
        </w:tc>
        <w:tc>
          <w:tcPr>
            <w:tcW w:w="99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0.000</w:t>
            </w:r>
            <w:r>
              <w:rPr>
                <w:rFonts w:hint="eastAsia" w:ascii="Times New Roman" w:hAnsi="Times New Roman" w:cs="Times New Roman"/>
                <w:color w:val="FF0000"/>
                <w:u w:val="single"/>
              </w:rPr>
              <w:t>1</w:t>
            </w:r>
          </w:p>
        </w:tc>
        <w:tc>
          <w:tcPr>
            <w:tcW w:w="985" w:type="pct"/>
            <w:vAlign w:val="center"/>
          </w:tcPr>
          <w:p>
            <w:pPr>
              <w:pStyle w:val="67"/>
              <w:spacing w:before="31" w:line="240" w:lineRule="auto"/>
              <w:rPr>
                <w:rFonts w:ascii="Times New Roman" w:hAnsi="Times New Roman" w:eastAsiaTheme="minorEastAsia"/>
                <w:color w:val="FF0000"/>
                <w:u w:val="single"/>
              </w:rPr>
            </w:pPr>
            <w:r>
              <w:rPr>
                <w:rFonts w:ascii="Times New Roman" w:hAnsi="Times New Roman" w:eastAsiaTheme="minorEastAsia"/>
                <w:color w:val="FF0000"/>
                <w:u w:val="single"/>
              </w:rPr>
              <w:t>300</w:t>
            </w:r>
          </w:p>
        </w:tc>
        <w:tc>
          <w:tcPr>
            <w:tcW w:w="681" w:type="pct"/>
            <w:vAlign w:val="center"/>
          </w:tcPr>
          <w:p>
            <w:pPr>
              <w:widowControl w:val="0"/>
              <w:jc w:val="center"/>
              <w:rPr>
                <w:rFonts w:ascii="Times New Roman" w:hAnsi="Times New Roman" w:cs="Times New Roman"/>
                <w:color w:val="FF0000"/>
                <w:szCs w:val="24"/>
                <w:u w:val="single"/>
              </w:rPr>
            </w:pPr>
            <w:r>
              <w:rPr>
                <w:rFonts w:ascii="Times New Roman" w:hAnsi="Times New Roman" w:cs="Times New Roman"/>
                <w:color w:val="FF0000"/>
                <w:szCs w:val="24"/>
                <w:u w:val="single"/>
              </w:rPr>
              <w:t>0.00</w:t>
            </w:r>
          </w:p>
        </w:tc>
      </w:tr>
    </w:tbl>
    <w:p>
      <w:pPr>
        <w:pStyle w:val="3"/>
        <w:spacing w:line="240" w:lineRule="auto"/>
        <w:ind w:firstLine="0" w:firstLineChars="0"/>
        <w:jc w:val="center"/>
        <w:rPr>
          <w:rFonts w:cs="Times New Roman" w:eastAsiaTheme="minorEastAsia"/>
          <w:b/>
        </w:rPr>
      </w:pP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表6.2-7   牛屠宰待宰区无组织排放污染物预测结果汇总表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15"/>
        <w:gridCol w:w="1479"/>
        <w:gridCol w:w="201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90" w:type="pct"/>
            <w:vMerge w:val="restar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距源中心下风向距离</w:t>
            </w:r>
          </w:p>
          <w:p>
            <w:pPr>
              <w:pStyle w:val="49"/>
              <w:rPr>
                <w:rFonts w:eastAsiaTheme="minorEastAsia"/>
                <w:color w:val="FF0000"/>
                <w:u w:val="single"/>
              </w:rPr>
            </w:pPr>
            <w:r>
              <w:rPr>
                <w:rFonts w:eastAsiaTheme="minorEastAsia"/>
                <w:color w:val="FF0000"/>
                <w:u w:val="single"/>
              </w:rPr>
              <w:t>D</w:t>
            </w:r>
            <w:r>
              <w:rPr>
                <w:rFonts w:hint="eastAsia" w:eastAsiaTheme="minorEastAsia"/>
                <w:color w:val="FF0000"/>
                <w:u w:val="single"/>
              </w:rPr>
              <w:t>（</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H</w:t>
            </w:r>
            <w:r>
              <w:rPr>
                <w:rFonts w:eastAsiaTheme="minorEastAsia"/>
                <w:color w:val="FF0000"/>
                <w:u w:val="single"/>
                <w:vertAlign w:val="subscript"/>
              </w:rPr>
              <w:t>2</w:t>
            </w:r>
            <w:r>
              <w:rPr>
                <w:rFonts w:eastAsiaTheme="minorEastAsia"/>
                <w:color w:val="FF0000"/>
                <w:u w:val="single"/>
              </w:rPr>
              <w:t>S</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NH</w:t>
            </w:r>
            <w:r>
              <w:rPr>
                <w:rFonts w:eastAsiaTheme="minorEastAsia"/>
                <w:color w:val="FF0000"/>
                <w:u w:val="singl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eastAsiaTheme="minorEastAsia"/>
                <w:color w:val="FF0000"/>
                <w:u w:val="single"/>
              </w:rPr>
            </w:pP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2.94</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0.0147</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0.0004</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3.68</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0.0184</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34</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0.0004</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3.87</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FF0000"/>
                <w:u w:val="single"/>
              </w:rPr>
            </w:pPr>
            <w:r>
              <w:rPr>
                <w:rFonts w:hint="eastAsia" w:ascii="Times New Roman" w:hAnsi="Times New Roman" w:eastAsia="宋体" w:cs="Times New Roman"/>
                <w:b/>
                <w:bCs/>
                <w:color w:val="FF0000"/>
                <w:u w:val="single"/>
              </w:rPr>
              <w:t>0.0193</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FF0000"/>
                <w:u w:val="single"/>
              </w:rPr>
            </w:pPr>
            <w:r>
              <w:rPr>
                <w:rFonts w:hint="eastAsia" w:ascii="Times New Roman" w:hAnsi="Times New Roman" w:eastAsia="宋体" w:cs="Times New Roman"/>
                <w:b/>
                <w:bCs/>
                <w:color w:val="FF0000"/>
                <w:u w:val="single"/>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3.37</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0.0169</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3.28</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0.0164</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3.15</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0.0157</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3.01</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0.0150</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2.87</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0.0143</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2.72</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0.0136</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2.59</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0.0129</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最大落地浓度及占标率</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0.0004</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3.87</w:t>
            </w:r>
          </w:p>
        </w:tc>
        <w:tc>
          <w:tcPr>
            <w:tcW w:w="1099"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0.0193</w:t>
            </w:r>
          </w:p>
        </w:tc>
        <w:tc>
          <w:tcPr>
            <w:tcW w:w="806" w:type="pc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FF0000"/>
                <w:u w:val="single"/>
              </w:rPr>
            </w:pPr>
            <w:r>
              <w:rPr>
                <w:rFonts w:hint="eastAsia" w:ascii="Times New Roman" w:hAnsi="Times New Roman" w:eastAsia="宋体" w:cs="Times New Roman"/>
                <w:color w:val="FF0000"/>
                <w:u w:val="single"/>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最大浓度出现距离（</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34</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34</w:t>
            </w:r>
          </w:p>
        </w:tc>
      </w:tr>
    </w:tbl>
    <w:p>
      <w:pPr>
        <w:pStyle w:val="3"/>
        <w:spacing w:line="240" w:lineRule="auto"/>
        <w:ind w:firstLine="0" w:firstLineChars="0"/>
        <w:jc w:val="center"/>
        <w:rPr>
          <w:rFonts w:cs="Times New Roman" w:eastAsiaTheme="minorEastAsia"/>
          <w:b/>
          <w:u w:val="single"/>
        </w:rPr>
      </w:pP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表6.2-8   禽类屠宰待宰区无组织排放污染物预测结果汇总表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15"/>
        <w:gridCol w:w="1479"/>
        <w:gridCol w:w="201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90" w:type="pct"/>
            <w:vMerge w:val="restar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距源中心下风向距离</w:t>
            </w:r>
          </w:p>
          <w:p>
            <w:pPr>
              <w:pStyle w:val="49"/>
              <w:rPr>
                <w:rFonts w:eastAsiaTheme="minorEastAsia"/>
                <w:color w:val="FF0000"/>
                <w:u w:val="single"/>
              </w:rPr>
            </w:pPr>
            <w:r>
              <w:rPr>
                <w:rFonts w:eastAsiaTheme="minorEastAsia"/>
                <w:color w:val="FF0000"/>
                <w:u w:val="single"/>
              </w:rPr>
              <w:t>D</w:t>
            </w:r>
            <w:r>
              <w:rPr>
                <w:rFonts w:hint="eastAsia" w:eastAsiaTheme="minorEastAsia"/>
                <w:color w:val="FF0000"/>
                <w:u w:val="single"/>
              </w:rPr>
              <w:t>（</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H</w:t>
            </w:r>
            <w:r>
              <w:rPr>
                <w:rFonts w:eastAsiaTheme="minorEastAsia"/>
                <w:color w:val="FF0000"/>
                <w:u w:val="single"/>
                <w:vertAlign w:val="subscript"/>
              </w:rPr>
              <w:t>2</w:t>
            </w:r>
            <w:r>
              <w:rPr>
                <w:rFonts w:eastAsiaTheme="minorEastAsia"/>
                <w:color w:val="FF0000"/>
                <w:u w:val="single"/>
              </w:rPr>
              <w:t>S</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NH</w:t>
            </w:r>
            <w:r>
              <w:rPr>
                <w:rFonts w:eastAsiaTheme="minorEastAsia"/>
                <w:color w:val="FF0000"/>
                <w:u w:val="singl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eastAsiaTheme="minorEastAsia"/>
                <w:color w:val="FF0000"/>
                <w:u w:val="single"/>
              </w:rPr>
            </w:pP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0.94</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0.0078</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1.12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00093</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39</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1.22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0.0101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1.11</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0.0092</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0.0088</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1.01</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0.0084</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0.97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0.0080</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0.92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0.0076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0.87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0.0072</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0.82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0.0068</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最大落地浓度及占标率</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1.22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0.0101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最大浓度出现距离（</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39</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39</w:t>
            </w:r>
          </w:p>
        </w:tc>
      </w:tr>
    </w:tbl>
    <w:p>
      <w:pPr>
        <w:pStyle w:val="49"/>
        <w:rPr>
          <w:rFonts w:eastAsiaTheme="minorEastAsia"/>
          <w:color w:val="FF0000"/>
        </w:rPr>
      </w:pPr>
    </w:p>
    <w:p>
      <w:pPr>
        <w:pStyle w:val="49"/>
        <w:rPr>
          <w:rFonts w:eastAsiaTheme="minorEastAsia"/>
        </w:rPr>
      </w:pPr>
    </w:p>
    <w:p>
      <w:pPr>
        <w:pStyle w:val="49"/>
        <w:rPr>
          <w:rFonts w:eastAsiaTheme="minorEastAsia"/>
        </w:rPr>
      </w:pPr>
    </w:p>
    <w:p>
      <w:pPr>
        <w:pStyle w:val="3"/>
        <w:spacing w:line="240" w:lineRule="auto"/>
        <w:ind w:firstLine="0" w:firstLineChars="0"/>
        <w:jc w:val="center"/>
        <w:rPr>
          <w:rFonts w:cs="Times New Roman"/>
          <w:color w:val="FF0000"/>
          <w:u w:val="single"/>
        </w:rPr>
      </w:pPr>
      <w:r>
        <w:rPr>
          <w:rFonts w:hint="eastAsia" w:cs="Times New Roman" w:eastAsiaTheme="minorEastAsia"/>
          <w:b/>
          <w:color w:val="FF0000"/>
          <w:u w:val="single"/>
        </w:rPr>
        <w:t>表6.2-9   粪污处理区无组织排放污染物预测结果汇总表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15"/>
        <w:gridCol w:w="1479"/>
        <w:gridCol w:w="201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90" w:type="pct"/>
            <w:vMerge w:val="restar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距源中心下风向距离</w:t>
            </w:r>
          </w:p>
          <w:p>
            <w:pPr>
              <w:pStyle w:val="49"/>
              <w:rPr>
                <w:rFonts w:eastAsiaTheme="minorEastAsia"/>
                <w:color w:val="FF0000"/>
                <w:u w:val="single"/>
              </w:rPr>
            </w:pPr>
            <w:r>
              <w:rPr>
                <w:rFonts w:eastAsiaTheme="minorEastAsia"/>
                <w:color w:val="FF0000"/>
                <w:u w:val="single"/>
              </w:rPr>
              <w:t>D</w:t>
            </w:r>
            <w:r>
              <w:rPr>
                <w:rFonts w:hint="eastAsia" w:eastAsiaTheme="minorEastAsia"/>
                <w:color w:val="FF0000"/>
                <w:u w:val="single"/>
              </w:rPr>
              <w:t>（</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H</w:t>
            </w:r>
            <w:r>
              <w:rPr>
                <w:rFonts w:eastAsiaTheme="minorEastAsia"/>
                <w:color w:val="FF0000"/>
                <w:u w:val="single"/>
                <w:vertAlign w:val="subscript"/>
              </w:rPr>
              <w:t>2</w:t>
            </w:r>
            <w:r>
              <w:rPr>
                <w:rFonts w:eastAsiaTheme="minorEastAsia"/>
                <w:color w:val="FF0000"/>
                <w:u w:val="single"/>
              </w:rPr>
              <w:t>S</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eastAsiaTheme="minorEastAsia"/>
                <w:color w:val="FF0000"/>
                <w:u w:val="single"/>
              </w:rPr>
              <w:t>NH</w:t>
            </w:r>
            <w:r>
              <w:rPr>
                <w:rFonts w:eastAsiaTheme="minorEastAsia"/>
                <w:color w:val="FF0000"/>
                <w:u w:val="singl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49"/>
              <w:rPr>
                <w:rFonts w:eastAsiaTheme="minorEastAsia"/>
                <w:color w:val="FF0000"/>
                <w:u w:val="single"/>
              </w:rPr>
            </w:pP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预测浓度</w:t>
            </w:r>
            <w:r>
              <w:rPr>
                <w:rFonts w:eastAsiaTheme="minorEastAsia"/>
                <w:color w:val="FF0000"/>
                <w:u w:val="single"/>
              </w:rPr>
              <w:t>Ci</w:t>
            </w:r>
            <w:r>
              <w:rPr>
                <w:rFonts w:hint="eastAsia" w:eastAsiaTheme="minorEastAsia"/>
                <w:color w:val="FF0000"/>
                <w:u w:val="single"/>
              </w:rPr>
              <w:t>（</w:t>
            </w:r>
            <w:r>
              <w:rPr>
                <w:rFonts w:eastAsiaTheme="minorEastAsia"/>
                <w:color w:val="FF0000"/>
                <w:u w:val="single"/>
              </w:rPr>
              <w:t>mg/m</w:t>
            </w:r>
            <w:r>
              <w:rPr>
                <w:rFonts w:eastAsiaTheme="minorEastAsia"/>
                <w:color w:val="FF0000"/>
                <w:u w:val="single"/>
                <w:vertAlign w:val="superscript"/>
              </w:rPr>
              <w:t>3</w:t>
            </w:r>
            <w:r>
              <w:rPr>
                <w:rFonts w:hint="eastAsia" w:eastAsiaTheme="minorEastAsia"/>
                <w:color w:val="FF0000"/>
                <w:u w:val="single"/>
              </w:rPr>
              <w:t>）</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占标率</w:t>
            </w:r>
            <w:r>
              <w:rPr>
                <w:rFonts w:eastAsiaTheme="minorEastAsia"/>
                <w:color w:val="FF0000"/>
                <w:u w:val="single"/>
              </w:rPr>
              <w:t>Pi</w:t>
            </w:r>
            <w:r>
              <w:rPr>
                <w:rFonts w:hint="eastAsia" w:eastAsiaTheme="minorEastAsia"/>
                <w:color w:val="FF0000"/>
                <w:u w:val="single"/>
              </w:rPr>
              <w:t>（</w:t>
            </w:r>
            <w:r>
              <w:rPr>
                <w:rFonts w:eastAsiaTheme="minorEastAsia"/>
                <w:color w:val="FF0000"/>
                <w:u w:val="single"/>
              </w:rPr>
              <w:t>%</w:t>
            </w:r>
            <w:r>
              <w:rPr>
                <w:rFonts w:hint="eastAsia" w:eastAsiaTheme="minorEastAsia"/>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5.19</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0.0135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0.0007</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7.13</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0.0185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31</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0.0007</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7.37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0.0191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b/>
                <w:color w:val="FF0000"/>
                <w:u w:val="single"/>
              </w:rPr>
            </w:pPr>
            <w:r>
              <w:rPr>
                <w:rFonts w:hint="eastAsia" w:eastAsiaTheme="minorEastAsia"/>
                <w:b/>
                <w:color w:val="FF0000"/>
                <w:u w:val="single"/>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5.92</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0.0154</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5.99</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0.0156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5.87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0.0152</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125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0.0006</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5.67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0.0147</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150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5.44</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0.0141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175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5.19</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0.0135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200</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0.0005</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4.95</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0.0129</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最大落地浓度及占标率</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b/>
                <w:color w:val="FF0000"/>
                <w:u w:val="single"/>
              </w:rPr>
              <w:t>0.0007</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7.37</w:t>
            </w:r>
          </w:p>
        </w:tc>
        <w:tc>
          <w:tcPr>
            <w:tcW w:w="1099"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b/>
                <w:color w:val="FF0000"/>
                <w:u w:val="single"/>
              </w:rPr>
              <w:t>0.0191</w:t>
            </w:r>
          </w:p>
        </w:tc>
        <w:tc>
          <w:tcPr>
            <w:tcW w:w="806"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最大浓度出现距离（</w:t>
            </w:r>
            <w:r>
              <w:rPr>
                <w:rFonts w:eastAsiaTheme="minorEastAsia"/>
                <w:color w:val="FF0000"/>
                <w:u w:val="single"/>
              </w:rPr>
              <w:t>m</w:t>
            </w:r>
            <w:r>
              <w:rPr>
                <w:rFonts w:hint="eastAsia" w:eastAsiaTheme="minorEastAsia"/>
                <w:color w:val="FF0000"/>
                <w:u w:val="single"/>
              </w:rPr>
              <w:t>）</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31</w:t>
            </w:r>
          </w:p>
        </w:tc>
        <w:tc>
          <w:tcPr>
            <w:tcW w:w="1905" w:type="pct"/>
            <w:gridSpan w:val="2"/>
            <w:tcBorders>
              <w:top w:val="single" w:color="auto" w:sz="4" w:space="0"/>
              <w:left w:val="single" w:color="auto" w:sz="4" w:space="0"/>
              <w:bottom w:val="single" w:color="auto" w:sz="4" w:space="0"/>
              <w:right w:val="single" w:color="auto" w:sz="4" w:space="0"/>
            </w:tcBorders>
            <w:noWrap/>
            <w:vAlign w:val="center"/>
          </w:tcPr>
          <w:p>
            <w:pPr>
              <w:pStyle w:val="49"/>
              <w:rPr>
                <w:rFonts w:eastAsiaTheme="minorEastAsia"/>
                <w:color w:val="FF0000"/>
                <w:u w:val="single"/>
              </w:rPr>
            </w:pPr>
            <w:r>
              <w:rPr>
                <w:rFonts w:hint="eastAsia" w:eastAsiaTheme="minorEastAsia"/>
                <w:color w:val="FF0000"/>
                <w:u w:val="single"/>
              </w:rPr>
              <w:t>31</w:t>
            </w:r>
          </w:p>
        </w:tc>
      </w:tr>
    </w:tbl>
    <w:p>
      <w:pPr>
        <w:pStyle w:val="3"/>
        <w:ind w:firstLine="480"/>
        <w:rPr>
          <w:color w:val="000000"/>
        </w:rPr>
      </w:pPr>
      <w:r>
        <w:rPr>
          <w:rFonts w:hint="eastAsia"/>
          <w:color w:val="000000"/>
        </w:rPr>
        <w:t>经预测计算，在正常排放情况下，本项目生物质锅炉废气通过排气筒外排的</w:t>
      </w:r>
      <w:r>
        <w:rPr>
          <w:rFonts w:eastAsiaTheme="minorEastAsia"/>
        </w:rPr>
        <w:t>SO</w:t>
      </w:r>
      <w:r>
        <w:rPr>
          <w:rFonts w:eastAsiaTheme="minorEastAsia"/>
          <w:vertAlign w:val="subscript"/>
        </w:rPr>
        <w:t>2</w:t>
      </w:r>
      <w:r>
        <w:rPr>
          <w:rFonts w:hint="eastAsia" w:eastAsiaTheme="minorEastAsia"/>
        </w:rPr>
        <w:t>、</w:t>
      </w:r>
      <w:r>
        <w:rPr>
          <w:rFonts w:eastAsiaTheme="minorEastAsia"/>
        </w:rPr>
        <w:t>NOx</w:t>
      </w:r>
      <w:r>
        <w:rPr>
          <w:rFonts w:hint="eastAsia" w:eastAsiaTheme="minorEastAsia"/>
        </w:rPr>
        <w:t>、TSP</w:t>
      </w:r>
      <w:r>
        <w:rPr>
          <w:rFonts w:hint="eastAsia"/>
          <w:color w:val="000000"/>
        </w:rPr>
        <w:t>排放最大落地浓度分别为0.0039</w:t>
      </w:r>
      <w:r>
        <w:rPr>
          <w:color w:val="000000"/>
        </w:rPr>
        <w:t>mg/m</w:t>
      </w:r>
      <w:r>
        <w:rPr>
          <w:color w:val="000000"/>
          <w:vertAlign w:val="superscript"/>
        </w:rPr>
        <w:t>3</w:t>
      </w:r>
      <w:r>
        <w:rPr>
          <w:rFonts w:hint="eastAsia"/>
          <w:color w:val="000000"/>
        </w:rPr>
        <w:t>、0.0116</w:t>
      </w:r>
      <w:r>
        <w:rPr>
          <w:color w:val="000000"/>
        </w:rPr>
        <w:t>mg/ m</w:t>
      </w:r>
      <w:r>
        <w:rPr>
          <w:color w:val="000000"/>
          <w:vertAlign w:val="superscript"/>
        </w:rPr>
        <w:t>3</w:t>
      </w:r>
      <w:r>
        <w:rPr>
          <w:rFonts w:hint="eastAsia"/>
          <w:color w:val="000000"/>
        </w:rPr>
        <w:t>、0.0001</w:t>
      </w:r>
      <w:r>
        <w:rPr>
          <w:color w:val="000000"/>
        </w:rPr>
        <w:t xml:space="preserve"> mg/ m</w:t>
      </w:r>
      <w:r>
        <w:rPr>
          <w:color w:val="000000"/>
          <w:vertAlign w:val="superscript"/>
        </w:rPr>
        <w:t>3</w:t>
      </w:r>
      <w:r>
        <w:rPr>
          <w:rFonts w:hint="eastAsia"/>
          <w:color w:val="000000"/>
        </w:rPr>
        <w:t>，浓度占标率为0</w:t>
      </w:r>
      <w:r>
        <w:rPr>
          <w:color w:val="000000"/>
        </w:rPr>
        <w:t>%</w:t>
      </w:r>
      <w:r>
        <w:rPr>
          <w:rFonts w:hint="eastAsia"/>
          <w:color w:val="000000"/>
        </w:rPr>
        <w:t>、0</w:t>
      </w:r>
      <w:r>
        <w:rPr>
          <w:color w:val="000000"/>
        </w:rPr>
        <w:t>%</w:t>
      </w:r>
      <w:r>
        <w:rPr>
          <w:rFonts w:hint="eastAsia"/>
          <w:color w:val="000000"/>
        </w:rPr>
        <w:t>、0</w:t>
      </w:r>
      <w:r>
        <w:rPr>
          <w:color w:val="000000"/>
        </w:rPr>
        <w:t>%</w:t>
      </w:r>
      <w:r>
        <w:rPr>
          <w:rFonts w:hint="eastAsia"/>
          <w:color w:val="000000"/>
        </w:rPr>
        <w:t>，最大落地浓度距离污染源100</w:t>
      </w:r>
      <w:r>
        <w:rPr>
          <w:color w:val="000000"/>
        </w:rPr>
        <w:t>m</w:t>
      </w:r>
      <w:r>
        <w:rPr>
          <w:rFonts w:hint="eastAsia"/>
          <w:color w:val="000000"/>
        </w:rPr>
        <w:t>，根据估算结果显示，本项目有组织排放的各污染物浓度满足</w:t>
      </w:r>
      <w:r>
        <w:rPr>
          <w:rFonts w:hint="eastAsia" w:eastAsiaTheme="minorEastAsia"/>
          <w:kern w:val="0"/>
        </w:rPr>
        <w:t>《锅炉大气污染物排放标准》（</w:t>
      </w:r>
      <w:r>
        <w:rPr>
          <w:rFonts w:eastAsiaTheme="minorEastAsia"/>
          <w:kern w:val="0"/>
        </w:rPr>
        <w:t>GB13271-2014</w:t>
      </w:r>
      <w:r>
        <w:rPr>
          <w:rFonts w:hint="eastAsia" w:eastAsiaTheme="minorEastAsia"/>
          <w:kern w:val="0"/>
        </w:rPr>
        <w:t>）中新建燃煤锅炉排放标准要求</w:t>
      </w:r>
      <w:r>
        <w:rPr>
          <w:rFonts w:hint="eastAsia"/>
          <w:color w:val="000000"/>
        </w:rPr>
        <w:t>，且能达到相应环境质量标准。</w:t>
      </w:r>
    </w:p>
    <w:p>
      <w:pPr>
        <w:pStyle w:val="3"/>
        <w:ind w:firstLine="480"/>
        <w:rPr>
          <w:color w:val="000000"/>
        </w:rPr>
      </w:pPr>
      <w:r>
        <w:rPr>
          <w:rFonts w:hint="eastAsia"/>
          <w:color w:val="000000"/>
        </w:rPr>
        <w:t>本项目牛屠宰（待宰）区无组织排放的</w:t>
      </w:r>
      <w:r>
        <w:rPr>
          <w:color w:val="000000"/>
        </w:rPr>
        <w:t>H</w:t>
      </w:r>
      <w:r>
        <w:rPr>
          <w:color w:val="000000"/>
          <w:vertAlign w:val="subscript"/>
        </w:rPr>
        <w:t>2</w:t>
      </w:r>
      <w:r>
        <w:rPr>
          <w:color w:val="000000"/>
        </w:rPr>
        <w:t>S</w:t>
      </w:r>
      <w:r>
        <w:rPr>
          <w:rFonts w:hint="eastAsia"/>
          <w:color w:val="000000"/>
        </w:rPr>
        <w:t>、</w:t>
      </w:r>
      <w:r>
        <w:rPr>
          <w:color w:val="000000"/>
        </w:rPr>
        <w:t>NH</w:t>
      </w:r>
      <w:r>
        <w:rPr>
          <w:color w:val="000000"/>
          <w:vertAlign w:val="subscript"/>
        </w:rPr>
        <w:t>3</w:t>
      </w:r>
      <w:r>
        <w:rPr>
          <w:rFonts w:hint="eastAsia"/>
          <w:color w:val="000000"/>
        </w:rPr>
        <w:t>排放最大落地浓度分别为0.0004</w:t>
      </w:r>
      <w:r>
        <w:rPr>
          <w:color w:val="000000"/>
        </w:rPr>
        <w:t>mg/m</w:t>
      </w:r>
      <w:r>
        <w:rPr>
          <w:color w:val="000000"/>
          <w:vertAlign w:val="superscript"/>
        </w:rPr>
        <w:t>3</w:t>
      </w:r>
      <w:r>
        <w:rPr>
          <w:rFonts w:hint="eastAsia"/>
          <w:color w:val="000000"/>
        </w:rPr>
        <w:t>、0.0193</w:t>
      </w:r>
      <w:r>
        <w:rPr>
          <w:color w:val="000000"/>
        </w:rPr>
        <w:t>mg/m</w:t>
      </w:r>
      <w:r>
        <w:rPr>
          <w:color w:val="000000"/>
          <w:vertAlign w:val="superscript"/>
        </w:rPr>
        <w:t>3</w:t>
      </w:r>
      <w:r>
        <w:rPr>
          <w:rFonts w:hint="eastAsia"/>
          <w:color w:val="000000"/>
        </w:rPr>
        <w:t>，浓度占标率为3.87</w:t>
      </w:r>
      <w:r>
        <w:rPr>
          <w:color w:val="000000"/>
        </w:rPr>
        <w:t>%</w:t>
      </w:r>
      <w:r>
        <w:rPr>
          <w:rFonts w:hint="eastAsia"/>
          <w:color w:val="000000"/>
        </w:rPr>
        <w:t>、9.67</w:t>
      </w:r>
      <w:r>
        <w:rPr>
          <w:color w:val="000000"/>
        </w:rPr>
        <w:t>%</w:t>
      </w:r>
      <w:r>
        <w:rPr>
          <w:rFonts w:hint="eastAsia"/>
          <w:color w:val="000000"/>
        </w:rPr>
        <w:t>，最大落地浓度距离污染源34</w:t>
      </w:r>
      <w:r>
        <w:rPr>
          <w:color w:val="000000"/>
        </w:rPr>
        <w:t>m</w:t>
      </w:r>
      <w:r>
        <w:rPr>
          <w:rFonts w:hint="eastAsia"/>
          <w:color w:val="000000"/>
        </w:rPr>
        <w:t>；禽类屠宰（待宰）区无组织排放的</w:t>
      </w:r>
      <w:r>
        <w:rPr>
          <w:color w:val="000000"/>
        </w:rPr>
        <w:t>H</w:t>
      </w:r>
      <w:r>
        <w:rPr>
          <w:color w:val="000000"/>
          <w:vertAlign w:val="subscript"/>
        </w:rPr>
        <w:t>2</w:t>
      </w:r>
      <w:r>
        <w:rPr>
          <w:color w:val="000000"/>
        </w:rPr>
        <w:t>S</w:t>
      </w:r>
      <w:r>
        <w:rPr>
          <w:rFonts w:hint="eastAsia"/>
          <w:color w:val="000000"/>
        </w:rPr>
        <w:t>、</w:t>
      </w:r>
      <w:r>
        <w:rPr>
          <w:color w:val="000000"/>
        </w:rPr>
        <w:t>NH</w:t>
      </w:r>
      <w:r>
        <w:rPr>
          <w:color w:val="000000"/>
          <w:vertAlign w:val="subscript"/>
        </w:rPr>
        <w:t>3</w:t>
      </w:r>
      <w:r>
        <w:rPr>
          <w:rFonts w:hint="eastAsia"/>
          <w:color w:val="000000"/>
        </w:rPr>
        <w:t>排放最大落地浓度分别为0.0001</w:t>
      </w:r>
      <w:r>
        <w:rPr>
          <w:color w:val="000000"/>
        </w:rPr>
        <w:t>mg/m</w:t>
      </w:r>
      <w:r>
        <w:rPr>
          <w:color w:val="000000"/>
          <w:vertAlign w:val="superscript"/>
        </w:rPr>
        <w:t>3</w:t>
      </w:r>
      <w:r>
        <w:rPr>
          <w:rFonts w:hint="eastAsia"/>
          <w:color w:val="000000"/>
        </w:rPr>
        <w:t>、0.0101</w:t>
      </w:r>
      <w:r>
        <w:rPr>
          <w:color w:val="000000"/>
        </w:rPr>
        <w:t>mg/m</w:t>
      </w:r>
      <w:r>
        <w:rPr>
          <w:color w:val="000000"/>
          <w:vertAlign w:val="superscript"/>
        </w:rPr>
        <w:t>3</w:t>
      </w:r>
      <w:r>
        <w:rPr>
          <w:rFonts w:hint="eastAsia"/>
          <w:color w:val="000000"/>
        </w:rPr>
        <w:t>，浓度占标率为1.22</w:t>
      </w:r>
      <w:r>
        <w:rPr>
          <w:color w:val="000000"/>
        </w:rPr>
        <w:t>%</w:t>
      </w:r>
      <w:r>
        <w:rPr>
          <w:rFonts w:hint="eastAsia"/>
          <w:color w:val="000000"/>
        </w:rPr>
        <w:t>、5.04</w:t>
      </w:r>
      <w:r>
        <w:rPr>
          <w:color w:val="000000"/>
        </w:rPr>
        <w:t>%</w:t>
      </w:r>
      <w:r>
        <w:rPr>
          <w:rFonts w:hint="eastAsia"/>
          <w:color w:val="000000"/>
        </w:rPr>
        <w:t>，最大落地浓度距离污染源39</w:t>
      </w:r>
      <w:r>
        <w:rPr>
          <w:color w:val="000000"/>
        </w:rPr>
        <w:t>m</w:t>
      </w:r>
      <w:r>
        <w:rPr>
          <w:rFonts w:hint="eastAsia"/>
          <w:color w:val="000000"/>
        </w:rPr>
        <w:t>；粪污处理区无组织排放的</w:t>
      </w:r>
      <w:r>
        <w:rPr>
          <w:color w:val="000000"/>
        </w:rPr>
        <w:t>H</w:t>
      </w:r>
      <w:r>
        <w:rPr>
          <w:color w:val="000000"/>
          <w:vertAlign w:val="subscript"/>
        </w:rPr>
        <w:t>2</w:t>
      </w:r>
      <w:r>
        <w:rPr>
          <w:color w:val="000000"/>
        </w:rPr>
        <w:t>S</w:t>
      </w:r>
      <w:r>
        <w:rPr>
          <w:rFonts w:hint="eastAsia"/>
          <w:color w:val="000000"/>
        </w:rPr>
        <w:t>、</w:t>
      </w:r>
      <w:r>
        <w:rPr>
          <w:color w:val="000000"/>
        </w:rPr>
        <w:t>NH</w:t>
      </w:r>
      <w:r>
        <w:rPr>
          <w:color w:val="000000"/>
          <w:vertAlign w:val="subscript"/>
        </w:rPr>
        <w:t>3</w:t>
      </w:r>
      <w:r>
        <w:rPr>
          <w:rFonts w:hint="eastAsia"/>
          <w:color w:val="000000"/>
        </w:rPr>
        <w:t>排放最大落地浓度分别为</w:t>
      </w:r>
      <w:r>
        <w:rPr>
          <w:color w:val="000000"/>
        </w:rPr>
        <w:t>0.000</w:t>
      </w:r>
      <w:r>
        <w:rPr>
          <w:rFonts w:hint="eastAsia"/>
          <w:color w:val="000000"/>
        </w:rPr>
        <w:t>7</w:t>
      </w:r>
      <w:r>
        <w:rPr>
          <w:color w:val="000000"/>
        </w:rPr>
        <w:t>mg/m</w:t>
      </w:r>
      <w:r>
        <w:rPr>
          <w:color w:val="000000"/>
          <w:vertAlign w:val="superscript"/>
        </w:rPr>
        <w:t>3</w:t>
      </w:r>
      <w:r>
        <w:rPr>
          <w:rFonts w:hint="eastAsia"/>
          <w:color w:val="000000"/>
        </w:rPr>
        <w:t>、0.0191</w:t>
      </w:r>
      <w:r>
        <w:rPr>
          <w:color w:val="000000"/>
        </w:rPr>
        <w:t>mg/m</w:t>
      </w:r>
      <w:r>
        <w:rPr>
          <w:color w:val="000000"/>
          <w:vertAlign w:val="superscript"/>
        </w:rPr>
        <w:t>3</w:t>
      </w:r>
      <w:r>
        <w:rPr>
          <w:rFonts w:hint="eastAsia"/>
          <w:color w:val="000000"/>
        </w:rPr>
        <w:t>，浓度占标率为7.37</w:t>
      </w:r>
      <w:r>
        <w:rPr>
          <w:color w:val="000000"/>
        </w:rPr>
        <w:t>%</w:t>
      </w:r>
      <w:r>
        <w:rPr>
          <w:rFonts w:hint="eastAsia"/>
          <w:color w:val="000000"/>
        </w:rPr>
        <w:t>、9.57</w:t>
      </w:r>
      <w:r>
        <w:rPr>
          <w:color w:val="000000"/>
        </w:rPr>
        <w:t>%</w:t>
      </w:r>
      <w:r>
        <w:rPr>
          <w:rFonts w:hint="eastAsia"/>
          <w:color w:val="000000"/>
        </w:rPr>
        <w:t>，最大落地浓度距离污染源31</w:t>
      </w:r>
      <w:r>
        <w:rPr>
          <w:color w:val="000000"/>
        </w:rPr>
        <w:t>m</w:t>
      </w:r>
      <w:r>
        <w:rPr>
          <w:rFonts w:hint="eastAsia"/>
          <w:color w:val="000000"/>
        </w:rPr>
        <w:t>。</w:t>
      </w:r>
    </w:p>
    <w:p>
      <w:pPr>
        <w:pStyle w:val="3"/>
        <w:ind w:firstLine="480"/>
        <w:rPr>
          <w:color w:val="000000"/>
        </w:rPr>
      </w:pPr>
      <w:r>
        <w:rPr>
          <w:rFonts w:hint="eastAsia"/>
          <w:color w:val="000000"/>
        </w:rPr>
        <w:t>以上三种情况均可以达到《恶臭污染物排放标准》（</w:t>
      </w:r>
      <w:r>
        <w:rPr>
          <w:color w:val="000000"/>
        </w:rPr>
        <w:t>GB14554-93</w:t>
      </w:r>
      <w:r>
        <w:rPr>
          <w:rFonts w:hint="eastAsia"/>
          <w:color w:val="000000"/>
        </w:rPr>
        <w:t>）要求（</w:t>
      </w:r>
      <w:r>
        <w:rPr>
          <w:color w:val="000000"/>
        </w:rPr>
        <w:t>H</w:t>
      </w:r>
      <w:r>
        <w:rPr>
          <w:color w:val="000000"/>
          <w:vertAlign w:val="subscript"/>
        </w:rPr>
        <w:t>2</w:t>
      </w:r>
      <w:r>
        <w:rPr>
          <w:color w:val="000000"/>
        </w:rPr>
        <w:t>S</w:t>
      </w:r>
      <w:r>
        <w:rPr>
          <w:rFonts w:hint="eastAsia"/>
          <w:color w:val="000000"/>
        </w:rPr>
        <w:t>＜</w:t>
      </w:r>
      <w:r>
        <w:rPr>
          <w:color w:val="000000"/>
        </w:rPr>
        <w:t>0.06mg/m</w:t>
      </w:r>
      <w:r>
        <w:rPr>
          <w:color w:val="000000"/>
          <w:vertAlign w:val="superscript"/>
        </w:rPr>
        <w:t>3</w:t>
      </w:r>
      <w:r>
        <w:rPr>
          <w:rFonts w:hint="eastAsia"/>
          <w:color w:val="000000"/>
        </w:rPr>
        <w:t>、</w:t>
      </w:r>
      <w:r>
        <w:rPr>
          <w:color w:val="000000"/>
        </w:rPr>
        <w:t>NH</w:t>
      </w:r>
      <w:r>
        <w:rPr>
          <w:color w:val="000000"/>
          <w:vertAlign w:val="subscript"/>
        </w:rPr>
        <w:t>3</w:t>
      </w:r>
      <w:r>
        <w:rPr>
          <w:rFonts w:hint="eastAsia"/>
          <w:color w:val="000000"/>
        </w:rPr>
        <w:t>＜</w:t>
      </w:r>
      <w:r>
        <w:rPr>
          <w:color w:val="000000"/>
        </w:rPr>
        <w:t>1.5mg/m</w:t>
      </w:r>
      <w:r>
        <w:rPr>
          <w:color w:val="000000"/>
          <w:vertAlign w:val="superscript"/>
        </w:rPr>
        <w:t>3</w:t>
      </w:r>
      <w:r>
        <w:rPr>
          <w:rFonts w:hint="eastAsia"/>
          <w:color w:val="000000"/>
        </w:rPr>
        <w:t>），且同时满足《环境影响评价技术导则</w:t>
      </w:r>
      <w:r>
        <w:rPr>
          <w:color w:val="000000"/>
        </w:rPr>
        <w:t>—</w:t>
      </w:r>
      <w:r>
        <w:rPr>
          <w:rFonts w:hint="eastAsia"/>
          <w:color w:val="000000"/>
        </w:rPr>
        <w:t>大气环境》（</w:t>
      </w:r>
      <w:r>
        <w:rPr>
          <w:color w:val="000000"/>
        </w:rPr>
        <w:t>HJ2.2-2018</w:t>
      </w:r>
      <w:r>
        <w:rPr>
          <w:rFonts w:hint="eastAsia"/>
          <w:color w:val="000000"/>
        </w:rPr>
        <w:t>）附录</w:t>
      </w:r>
      <w:r>
        <w:rPr>
          <w:color w:val="000000"/>
        </w:rPr>
        <w:t>D</w:t>
      </w:r>
      <w:r>
        <w:rPr>
          <w:rFonts w:hint="eastAsia"/>
          <w:color w:val="000000"/>
        </w:rPr>
        <w:t>对</w:t>
      </w:r>
      <w:r>
        <w:rPr>
          <w:color w:val="000000"/>
        </w:rPr>
        <w:t>H</w:t>
      </w:r>
      <w:r>
        <w:rPr>
          <w:color w:val="000000"/>
          <w:vertAlign w:val="subscript"/>
        </w:rPr>
        <w:t>2</w:t>
      </w:r>
      <w:r>
        <w:rPr>
          <w:color w:val="000000"/>
        </w:rPr>
        <w:t>S</w:t>
      </w:r>
      <w:r>
        <w:rPr>
          <w:rFonts w:hint="eastAsia"/>
          <w:color w:val="000000"/>
        </w:rPr>
        <w:t>＜</w:t>
      </w:r>
      <w:r>
        <w:rPr>
          <w:color w:val="000000"/>
        </w:rPr>
        <w:t>0.01mg/m</w:t>
      </w:r>
      <w:r>
        <w:rPr>
          <w:color w:val="000000"/>
          <w:vertAlign w:val="superscript"/>
        </w:rPr>
        <w:t>3</w:t>
      </w:r>
      <w:r>
        <w:rPr>
          <w:rFonts w:hint="eastAsia"/>
          <w:color w:val="000000"/>
        </w:rPr>
        <w:t>、</w:t>
      </w:r>
      <w:r>
        <w:rPr>
          <w:color w:val="000000"/>
        </w:rPr>
        <w:t>NH</w:t>
      </w:r>
      <w:r>
        <w:rPr>
          <w:color w:val="000000"/>
          <w:vertAlign w:val="subscript"/>
        </w:rPr>
        <w:t>3</w:t>
      </w:r>
      <w:r>
        <w:rPr>
          <w:rFonts w:hint="eastAsia"/>
          <w:color w:val="000000"/>
        </w:rPr>
        <w:t>＜</w:t>
      </w:r>
      <w:r>
        <w:rPr>
          <w:color w:val="000000"/>
        </w:rPr>
        <w:t>0.2mg/m</w:t>
      </w:r>
      <w:r>
        <w:rPr>
          <w:color w:val="000000"/>
          <w:vertAlign w:val="superscript"/>
        </w:rPr>
        <w:t>3</w:t>
      </w:r>
      <w:r>
        <w:rPr>
          <w:rFonts w:hint="eastAsia"/>
          <w:color w:val="000000"/>
        </w:rPr>
        <w:t>的空气质量要求。</w:t>
      </w:r>
    </w:p>
    <w:p>
      <w:pPr>
        <w:pStyle w:val="3"/>
        <w:ind w:firstLine="480"/>
        <w:rPr>
          <w:color w:val="000000"/>
        </w:rPr>
      </w:pPr>
      <w:r>
        <w:rPr>
          <w:rFonts w:hint="eastAsia"/>
          <w:color w:val="000000"/>
        </w:rPr>
        <w:t>同时各污染物最大落地浓度出现在34</w:t>
      </w:r>
      <w:r>
        <w:rPr>
          <w:color w:val="000000"/>
        </w:rPr>
        <w:t>m</w:t>
      </w:r>
      <w:r>
        <w:rPr>
          <w:rFonts w:hint="eastAsia"/>
          <w:color w:val="000000"/>
        </w:rPr>
        <w:t>、39</w:t>
      </w:r>
      <w:r>
        <w:rPr>
          <w:color w:val="000000"/>
        </w:rPr>
        <w:t>m</w:t>
      </w:r>
      <w:r>
        <w:rPr>
          <w:rFonts w:hint="eastAsia"/>
          <w:color w:val="000000"/>
        </w:rPr>
        <w:t>、31m，由于最大贡献值较小，叠加本底值后，预测值与目前区域环境空气质量监测结果基本一致，不会增加区域环境质量的负荷。因此，本项目屠宰区（待宰区）、粪污处理区经喷洒除臭剂处理后对区域环境空气影响较小。</w:t>
      </w:r>
    </w:p>
    <w:p>
      <w:pPr>
        <w:pStyle w:val="3"/>
        <w:ind w:firstLine="0" w:firstLineChars="0"/>
        <w:outlineLvl w:val="3"/>
        <w:rPr>
          <w:rFonts w:eastAsia="黑体" w:cstheme="majorBidi"/>
          <w:bCs/>
          <w:szCs w:val="32"/>
        </w:rPr>
      </w:pPr>
      <w:r>
        <w:rPr>
          <w:rFonts w:hint="eastAsia" w:eastAsia="黑体" w:cstheme="majorBidi"/>
          <w:bCs/>
          <w:szCs w:val="32"/>
        </w:rPr>
        <w:t>6.2.2.2 非正常工况</w:t>
      </w:r>
    </w:p>
    <w:p>
      <w:pPr>
        <w:pStyle w:val="3"/>
        <w:ind w:firstLine="480"/>
        <w:rPr>
          <w:color w:val="000000"/>
        </w:rPr>
      </w:pPr>
      <w:r>
        <w:rPr>
          <w:rFonts w:hint="eastAsia"/>
          <w:color w:val="000000"/>
        </w:rPr>
        <w:t>本项目的非正常工况主要是污染物排放控制措施达不到应有效率，即锅炉废气处理措施失效，造成排气筒废气未经处理直接排放，其排放情况如表6.2-10所示。</w:t>
      </w:r>
    </w:p>
    <w:p>
      <w:pPr>
        <w:pStyle w:val="3"/>
        <w:spacing w:line="240" w:lineRule="auto"/>
        <w:ind w:firstLine="0" w:firstLineChars="0"/>
        <w:jc w:val="center"/>
        <w:rPr>
          <w:rFonts w:cs="Times New Roman"/>
        </w:rPr>
      </w:pPr>
      <w:r>
        <w:rPr>
          <w:rFonts w:hint="eastAsia" w:cs="Times New Roman" w:eastAsiaTheme="minorEastAsia"/>
          <w:b/>
        </w:rPr>
        <w:t xml:space="preserve">表6.2-10   </w:t>
      </w:r>
      <w:r>
        <w:rPr>
          <w:rFonts w:hint="eastAsia"/>
          <w:b/>
        </w:rPr>
        <w:t>非正常工况废气污染物排放预测结果汇总表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722"/>
        <w:gridCol w:w="1068"/>
        <w:gridCol w:w="904"/>
        <w:gridCol w:w="758"/>
        <w:gridCol w:w="1101"/>
        <w:gridCol w:w="926"/>
        <w:gridCol w:w="921"/>
        <w:gridCol w:w="85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vMerge w:val="restart"/>
            <w:vAlign w:val="center"/>
          </w:tcPr>
          <w:p>
            <w:pPr>
              <w:pStyle w:val="49"/>
              <w:rPr>
                <w:rFonts w:cs="Times New Roman"/>
              </w:rPr>
            </w:pPr>
            <w:r>
              <w:rPr>
                <w:rFonts w:cs="Times New Roman"/>
              </w:rPr>
              <w:t>污染源</w:t>
            </w:r>
          </w:p>
        </w:tc>
        <w:tc>
          <w:tcPr>
            <w:tcW w:w="394" w:type="pct"/>
            <w:vMerge w:val="restart"/>
            <w:vAlign w:val="center"/>
          </w:tcPr>
          <w:p>
            <w:pPr>
              <w:pStyle w:val="49"/>
              <w:rPr>
                <w:rFonts w:cs="Times New Roman"/>
              </w:rPr>
            </w:pPr>
            <w:r>
              <w:rPr>
                <w:rFonts w:cs="Times New Roman"/>
              </w:rPr>
              <w:t>污染物名称</w:t>
            </w:r>
          </w:p>
        </w:tc>
        <w:tc>
          <w:tcPr>
            <w:tcW w:w="582" w:type="pct"/>
            <w:vMerge w:val="restart"/>
            <w:vAlign w:val="center"/>
          </w:tcPr>
          <w:p>
            <w:pPr>
              <w:pStyle w:val="49"/>
              <w:rPr>
                <w:rFonts w:cs="Times New Roman"/>
              </w:rPr>
            </w:pPr>
            <w:r>
              <w:rPr>
                <w:rFonts w:cs="Times New Roman"/>
              </w:rPr>
              <w:t>非正常排放原因</w:t>
            </w:r>
          </w:p>
        </w:tc>
        <w:tc>
          <w:tcPr>
            <w:tcW w:w="2011" w:type="pct"/>
            <w:gridSpan w:val="4"/>
            <w:vAlign w:val="center"/>
          </w:tcPr>
          <w:p>
            <w:pPr>
              <w:pStyle w:val="49"/>
              <w:ind w:firstLine="211"/>
              <w:rPr>
                <w:rFonts w:cs="Times New Roman"/>
              </w:rPr>
            </w:pPr>
            <w:r>
              <w:rPr>
                <w:rFonts w:cs="Times New Roman"/>
              </w:rPr>
              <w:t>非正常排放状况</w:t>
            </w:r>
          </w:p>
        </w:tc>
        <w:tc>
          <w:tcPr>
            <w:tcW w:w="970" w:type="pct"/>
            <w:gridSpan w:val="2"/>
            <w:vAlign w:val="center"/>
          </w:tcPr>
          <w:p>
            <w:pPr>
              <w:pStyle w:val="49"/>
              <w:ind w:firstLine="211"/>
              <w:rPr>
                <w:rFonts w:cs="Times New Roman"/>
              </w:rPr>
            </w:pPr>
            <w:r>
              <w:rPr>
                <w:rFonts w:cs="Times New Roman"/>
              </w:rPr>
              <w:t>执行标准</w:t>
            </w:r>
          </w:p>
        </w:tc>
        <w:tc>
          <w:tcPr>
            <w:tcW w:w="359" w:type="pct"/>
            <w:vMerge w:val="restart"/>
            <w:vAlign w:val="center"/>
          </w:tcPr>
          <w:p>
            <w:pPr>
              <w:pStyle w:val="49"/>
              <w:rPr>
                <w:rFonts w:cs="Times New Roman"/>
              </w:rPr>
            </w:pPr>
            <w:r>
              <w:rPr>
                <w:rFonts w:cs="Times New Roma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vMerge w:val="continue"/>
            <w:vAlign w:val="center"/>
          </w:tcPr>
          <w:p>
            <w:pPr>
              <w:jc w:val="center"/>
              <w:rPr>
                <w:rFonts w:ascii="Times New Roman" w:hAnsi="Times New Roman" w:cs="Times New Roman"/>
              </w:rPr>
            </w:pPr>
          </w:p>
        </w:tc>
        <w:tc>
          <w:tcPr>
            <w:tcW w:w="394" w:type="pct"/>
            <w:vMerge w:val="continue"/>
            <w:vAlign w:val="center"/>
          </w:tcPr>
          <w:p>
            <w:pPr>
              <w:jc w:val="center"/>
              <w:rPr>
                <w:rFonts w:ascii="Times New Roman" w:hAnsi="Times New Roman" w:cs="Times New Roman"/>
              </w:rPr>
            </w:pPr>
          </w:p>
        </w:tc>
        <w:tc>
          <w:tcPr>
            <w:tcW w:w="582" w:type="pct"/>
            <w:vMerge w:val="continue"/>
            <w:vAlign w:val="center"/>
          </w:tcPr>
          <w:p>
            <w:pPr>
              <w:jc w:val="center"/>
              <w:rPr>
                <w:rFonts w:ascii="Times New Roman" w:hAnsi="Times New Roman" w:cs="Times New Roman"/>
              </w:rPr>
            </w:pPr>
          </w:p>
        </w:tc>
        <w:tc>
          <w:tcPr>
            <w:tcW w:w="493" w:type="pct"/>
            <w:vAlign w:val="center"/>
          </w:tcPr>
          <w:p>
            <w:pPr>
              <w:pStyle w:val="68"/>
              <w:jc w:val="center"/>
              <w:rPr>
                <w:rFonts w:ascii="Times New Roman" w:hAnsi="Times New Roman" w:eastAsia="宋体"/>
                <w:sz w:val="21"/>
                <w:szCs w:val="21"/>
              </w:rPr>
            </w:pPr>
            <w:r>
              <w:rPr>
                <w:rFonts w:ascii="Times New Roman" w:hAnsi="Times New Roman" w:eastAsia="宋体"/>
                <w:sz w:val="21"/>
                <w:szCs w:val="21"/>
              </w:rPr>
              <w:t>浓度mg/m</w:t>
            </w:r>
            <w:r>
              <w:rPr>
                <w:rFonts w:ascii="Times New Roman" w:hAnsi="Times New Roman" w:eastAsia="宋体"/>
                <w:sz w:val="21"/>
                <w:szCs w:val="21"/>
                <w:vertAlign w:val="superscript"/>
              </w:rPr>
              <w:t>3</w:t>
            </w:r>
          </w:p>
        </w:tc>
        <w:tc>
          <w:tcPr>
            <w:tcW w:w="413" w:type="pct"/>
            <w:vAlign w:val="center"/>
          </w:tcPr>
          <w:p>
            <w:pPr>
              <w:pStyle w:val="68"/>
              <w:jc w:val="center"/>
              <w:rPr>
                <w:rFonts w:ascii="Times New Roman" w:hAnsi="Times New Roman" w:eastAsia="宋体"/>
                <w:sz w:val="21"/>
                <w:szCs w:val="21"/>
              </w:rPr>
            </w:pPr>
            <w:r>
              <w:rPr>
                <w:rFonts w:ascii="Times New Roman" w:hAnsi="Times New Roman" w:eastAsia="宋体"/>
                <w:sz w:val="21"/>
                <w:szCs w:val="21"/>
              </w:rPr>
              <w:t>速率kg/h</w:t>
            </w:r>
          </w:p>
        </w:tc>
        <w:tc>
          <w:tcPr>
            <w:tcW w:w="600" w:type="pct"/>
            <w:vAlign w:val="center"/>
          </w:tcPr>
          <w:p>
            <w:pPr>
              <w:pStyle w:val="68"/>
              <w:jc w:val="center"/>
              <w:rPr>
                <w:rFonts w:ascii="Times New Roman" w:hAnsi="Times New Roman" w:eastAsia="宋体"/>
                <w:sz w:val="21"/>
                <w:szCs w:val="21"/>
              </w:rPr>
            </w:pPr>
            <w:r>
              <w:rPr>
                <w:rFonts w:ascii="Times New Roman" w:hAnsi="Times New Roman" w:eastAsia="宋体"/>
                <w:sz w:val="21"/>
                <w:szCs w:val="21"/>
              </w:rPr>
              <w:t>频次及持续时间</w:t>
            </w:r>
          </w:p>
        </w:tc>
        <w:tc>
          <w:tcPr>
            <w:tcW w:w="505" w:type="pct"/>
            <w:vAlign w:val="center"/>
          </w:tcPr>
          <w:p>
            <w:pPr>
              <w:pStyle w:val="68"/>
              <w:jc w:val="center"/>
              <w:rPr>
                <w:rFonts w:ascii="Times New Roman" w:hAnsi="Times New Roman" w:eastAsia="宋体"/>
                <w:sz w:val="21"/>
                <w:szCs w:val="21"/>
              </w:rPr>
            </w:pPr>
            <w:r>
              <w:rPr>
                <w:rFonts w:ascii="Times New Roman" w:hAnsi="Times New Roman" w:eastAsia="宋体"/>
                <w:sz w:val="21"/>
                <w:szCs w:val="21"/>
              </w:rPr>
              <w:t>排放量kg/a</w:t>
            </w:r>
          </w:p>
        </w:tc>
        <w:tc>
          <w:tcPr>
            <w:tcW w:w="502" w:type="pct"/>
            <w:vAlign w:val="center"/>
          </w:tcPr>
          <w:p>
            <w:pPr>
              <w:widowControl w:val="0"/>
              <w:jc w:val="center"/>
              <w:rPr>
                <w:rFonts w:ascii="Times New Roman" w:hAnsi="Times New Roman" w:cs="Times New Roman"/>
                <w:color w:val="000000"/>
              </w:rPr>
            </w:pPr>
            <w:r>
              <w:rPr>
                <w:rFonts w:ascii="Times New Roman" w:hAnsi="Times New Roman" w:cs="Times New Roman"/>
              </w:rPr>
              <w:t>浓度mg/m</w:t>
            </w:r>
            <w:r>
              <w:rPr>
                <w:rFonts w:ascii="Times New Roman" w:hAnsi="Times New Roman" w:cs="Times New Roman"/>
                <w:vertAlign w:val="superscript"/>
              </w:rPr>
              <w:t>3</w:t>
            </w:r>
          </w:p>
        </w:tc>
        <w:tc>
          <w:tcPr>
            <w:tcW w:w="468" w:type="pct"/>
            <w:vAlign w:val="center"/>
          </w:tcPr>
          <w:p>
            <w:pPr>
              <w:widowControl w:val="0"/>
              <w:jc w:val="center"/>
              <w:rPr>
                <w:rFonts w:ascii="Times New Roman" w:hAnsi="Times New Roman" w:cs="Times New Roman"/>
                <w:color w:val="000000"/>
              </w:rPr>
            </w:pPr>
            <w:r>
              <w:rPr>
                <w:rFonts w:ascii="Times New Roman" w:hAnsi="Times New Roman" w:cs="Times New Roman"/>
              </w:rPr>
              <w:t>速率kg/h</w:t>
            </w:r>
          </w:p>
        </w:tc>
        <w:tc>
          <w:tcPr>
            <w:tcW w:w="359" w:type="pct"/>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84" w:type="pct"/>
            <w:vMerge w:val="restart"/>
            <w:vAlign w:val="center"/>
          </w:tcPr>
          <w:p>
            <w:pPr>
              <w:widowControl w:val="0"/>
              <w:jc w:val="center"/>
              <w:rPr>
                <w:rFonts w:ascii="Times New Roman" w:hAnsi="Times New Roman" w:cs="Times New Roman"/>
                <w:color w:val="000000"/>
              </w:rPr>
            </w:pPr>
            <w:r>
              <w:rPr>
                <w:rFonts w:ascii="Times New Roman" w:hAnsi="Times New Roman" w:cs="Times New Roman"/>
                <w:color w:val="000000"/>
              </w:rPr>
              <w:t>锅炉排气筒（DA001）</w:t>
            </w:r>
          </w:p>
        </w:tc>
        <w:tc>
          <w:tcPr>
            <w:tcW w:w="394" w:type="pct"/>
            <w:vAlign w:val="center"/>
          </w:tcPr>
          <w:p>
            <w:pPr>
              <w:widowControl w:val="0"/>
              <w:jc w:val="center"/>
              <w:rPr>
                <w:rFonts w:ascii="Times New Roman" w:hAnsi="Times New Roman" w:cs="Times New Roman"/>
                <w:color w:val="000000"/>
              </w:rPr>
            </w:pPr>
            <w:r>
              <w:rPr>
                <w:rFonts w:ascii="Times New Roman" w:hAnsi="Times New Roman" w:cs="Times New Roman"/>
                <w:color w:val="000000"/>
              </w:rPr>
              <w:t>颗粒物</w:t>
            </w:r>
          </w:p>
        </w:tc>
        <w:tc>
          <w:tcPr>
            <w:tcW w:w="582" w:type="pct"/>
            <w:vMerge w:val="restart"/>
            <w:vAlign w:val="center"/>
          </w:tcPr>
          <w:p>
            <w:pPr>
              <w:widowControl w:val="0"/>
              <w:jc w:val="center"/>
              <w:rPr>
                <w:rFonts w:ascii="Times New Roman" w:hAnsi="Times New Roman" w:cs="Times New Roman"/>
                <w:color w:val="000000"/>
              </w:rPr>
            </w:pPr>
            <w:r>
              <w:rPr>
                <w:rFonts w:ascii="Times New Roman" w:hAnsi="Times New Roman" w:cs="Times New Roman"/>
                <w:color w:val="000000"/>
              </w:rPr>
              <w:t>布袋除尘器故障，处理效率为0</w:t>
            </w:r>
          </w:p>
        </w:tc>
        <w:tc>
          <w:tcPr>
            <w:tcW w:w="493" w:type="pct"/>
            <w:vAlign w:val="center"/>
          </w:tcPr>
          <w:p>
            <w:pPr>
              <w:widowControl w:val="0"/>
              <w:jc w:val="center"/>
              <w:rPr>
                <w:rFonts w:ascii="Times New Roman" w:hAnsi="Times New Roman" w:cs="Times New Roman"/>
                <w:color w:val="000000"/>
              </w:rPr>
            </w:pPr>
            <w:r>
              <w:rPr>
                <w:rFonts w:ascii="Times New Roman" w:hAnsi="Times New Roman" w:cs="Times New Roman"/>
                <w:color w:val="000000"/>
              </w:rPr>
              <w:t>41.7</w:t>
            </w:r>
          </w:p>
        </w:tc>
        <w:tc>
          <w:tcPr>
            <w:tcW w:w="413" w:type="pct"/>
            <w:vAlign w:val="center"/>
          </w:tcPr>
          <w:p>
            <w:pPr>
              <w:widowControl w:val="0"/>
              <w:jc w:val="center"/>
              <w:rPr>
                <w:rFonts w:ascii="Times New Roman" w:hAnsi="Times New Roman" w:cs="Times New Roman"/>
                <w:color w:val="000000"/>
              </w:rPr>
            </w:pPr>
            <w:r>
              <w:rPr>
                <w:rFonts w:ascii="Times New Roman" w:hAnsi="Times New Roman" w:cs="Times New Roman"/>
                <w:color w:val="000000"/>
              </w:rPr>
              <w:t>0.125</w:t>
            </w:r>
          </w:p>
        </w:tc>
        <w:tc>
          <w:tcPr>
            <w:tcW w:w="600" w:type="pct"/>
            <w:vMerge w:val="restart"/>
            <w:vAlign w:val="center"/>
          </w:tcPr>
          <w:p>
            <w:pPr>
              <w:widowControl w:val="0"/>
              <w:ind w:firstLine="210"/>
              <w:jc w:val="center"/>
              <w:rPr>
                <w:rFonts w:ascii="Times New Roman" w:hAnsi="Times New Roman" w:cs="Times New Roman"/>
                <w:color w:val="000000"/>
              </w:rPr>
            </w:pPr>
            <w:r>
              <w:rPr>
                <w:rFonts w:ascii="Times New Roman" w:hAnsi="Times New Roman" w:cs="Times New Roman"/>
                <w:color w:val="000000"/>
              </w:rPr>
              <w:t>1次/a，1h/次</w:t>
            </w:r>
          </w:p>
        </w:tc>
        <w:tc>
          <w:tcPr>
            <w:tcW w:w="505" w:type="pct"/>
            <w:vAlign w:val="center"/>
          </w:tcPr>
          <w:p>
            <w:pPr>
              <w:pStyle w:val="62"/>
              <w:adjustRightInd w:val="0"/>
              <w:snapToGrid w:val="0"/>
              <w:ind w:firstLine="0" w:firstLineChars="0"/>
              <w:jc w:val="center"/>
              <w:rPr>
                <w:rFonts w:ascii="Times New Roman" w:hAnsi="Times New Roman"/>
                <w:szCs w:val="21"/>
              </w:rPr>
            </w:pPr>
            <w:r>
              <w:rPr>
                <w:rFonts w:ascii="Times New Roman" w:hAnsi="Times New Roman"/>
                <w:szCs w:val="21"/>
              </w:rPr>
              <w:t>0.03</w:t>
            </w:r>
          </w:p>
        </w:tc>
        <w:tc>
          <w:tcPr>
            <w:tcW w:w="502" w:type="pct"/>
            <w:vAlign w:val="center"/>
          </w:tcPr>
          <w:p>
            <w:pPr>
              <w:widowControl w:val="0"/>
              <w:jc w:val="center"/>
              <w:rPr>
                <w:rFonts w:ascii="Times New Roman" w:hAnsi="Times New Roman" w:cs="Times New Roman"/>
                <w:szCs w:val="24"/>
              </w:rPr>
            </w:pPr>
            <w:r>
              <w:rPr>
                <w:rFonts w:ascii="Times New Roman" w:hAnsi="Times New Roman" w:cs="Times New Roman"/>
              </w:rPr>
              <w:t>50</w:t>
            </w:r>
          </w:p>
        </w:tc>
        <w:tc>
          <w:tcPr>
            <w:tcW w:w="468" w:type="pct"/>
            <w:vAlign w:val="center"/>
          </w:tcPr>
          <w:p>
            <w:pPr>
              <w:widowControl w:val="0"/>
              <w:jc w:val="center"/>
              <w:rPr>
                <w:rFonts w:ascii="Times New Roman" w:hAnsi="Times New Roman" w:cs="Times New Roman"/>
                <w:color w:val="000000"/>
              </w:rPr>
            </w:pPr>
            <w:r>
              <w:rPr>
                <w:rFonts w:ascii="Times New Roman" w:hAnsi="Times New Roman" w:cs="Times New Roman"/>
                <w:color w:val="000000"/>
              </w:rPr>
              <w:t>/</w:t>
            </w:r>
          </w:p>
        </w:tc>
        <w:tc>
          <w:tcPr>
            <w:tcW w:w="359" w:type="pct"/>
            <w:vAlign w:val="center"/>
          </w:tcPr>
          <w:p>
            <w:pPr>
              <w:widowControl w:val="0"/>
              <w:jc w:val="center"/>
              <w:rPr>
                <w:rFonts w:ascii="Times New Roman" w:hAnsi="Times New Roman" w:cs="Times New Roman"/>
                <w:color w:val="000000"/>
              </w:rPr>
            </w:pPr>
            <w:r>
              <w:rPr>
                <w:rFonts w:ascii="Times New Roman" w:hAnsi="Times New Roman" w:cs="Times New Roman"/>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84" w:type="pct"/>
            <w:vMerge w:val="continue"/>
            <w:vAlign w:val="center"/>
          </w:tcPr>
          <w:p>
            <w:pPr>
              <w:jc w:val="center"/>
              <w:rPr>
                <w:rFonts w:ascii="Times New Roman" w:hAnsi="Times New Roman" w:cs="Times New Roman"/>
                <w:color w:val="000000"/>
              </w:rPr>
            </w:pPr>
          </w:p>
        </w:tc>
        <w:tc>
          <w:tcPr>
            <w:tcW w:w="394"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SO</w:t>
            </w:r>
            <w:r>
              <w:rPr>
                <w:rFonts w:ascii="Times New Roman" w:hAnsi="Times New Roman" w:cs="Times New Roman"/>
                <w:color w:val="000000"/>
                <w:vertAlign w:val="subscript"/>
              </w:rPr>
              <w:t>2</w:t>
            </w:r>
          </w:p>
        </w:tc>
        <w:tc>
          <w:tcPr>
            <w:tcW w:w="582" w:type="pct"/>
            <w:vMerge w:val="continue"/>
            <w:vAlign w:val="center"/>
          </w:tcPr>
          <w:p>
            <w:pPr>
              <w:jc w:val="center"/>
              <w:rPr>
                <w:rFonts w:ascii="Times New Roman" w:hAnsi="Times New Roman" w:cs="Times New Roman"/>
                <w:color w:val="000000"/>
              </w:rPr>
            </w:pPr>
          </w:p>
        </w:tc>
        <w:tc>
          <w:tcPr>
            <w:tcW w:w="493"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28.3</w:t>
            </w:r>
          </w:p>
        </w:tc>
        <w:tc>
          <w:tcPr>
            <w:tcW w:w="413"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0.085</w:t>
            </w:r>
          </w:p>
        </w:tc>
        <w:tc>
          <w:tcPr>
            <w:tcW w:w="600" w:type="pct"/>
            <w:vMerge w:val="continue"/>
            <w:vAlign w:val="center"/>
          </w:tcPr>
          <w:p>
            <w:pPr>
              <w:jc w:val="center"/>
              <w:rPr>
                <w:rFonts w:ascii="Times New Roman" w:hAnsi="Times New Roman" w:cs="Times New Roman"/>
                <w:color w:val="000000"/>
              </w:rPr>
            </w:pPr>
          </w:p>
        </w:tc>
        <w:tc>
          <w:tcPr>
            <w:tcW w:w="505" w:type="pct"/>
            <w:vAlign w:val="center"/>
          </w:tcPr>
          <w:p>
            <w:pPr>
              <w:pStyle w:val="62"/>
              <w:adjustRightInd w:val="0"/>
              <w:snapToGrid w:val="0"/>
              <w:ind w:firstLine="0" w:firstLineChars="0"/>
              <w:jc w:val="center"/>
              <w:rPr>
                <w:rFonts w:ascii="Times New Roman" w:hAnsi="Times New Roman"/>
                <w:szCs w:val="21"/>
              </w:rPr>
            </w:pPr>
            <w:r>
              <w:rPr>
                <w:rFonts w:ascii="Times New Roman" w:hAnsi="Times New Roman"/>
                <w:szCs w:val="21"/>
              </w:rPr>
              <w:t>0.204</w:t>
            </w:r>
          </w:p>
        </w:tc>
        <w:tc>
          <w:tcPr>
            <w:tcW w:w="502" w:type="pct"/>
            <w:vAlign w:val="center"/>
          </w:tcPr>
          <w:p>
            <w:pPr>
              <w:widowControl w:val="0"/>
              <w:jc w:val="center"/>
              <w:rPr>
                <w:rFonts w:ascii="Times New Roman" w:hAnsi="Times New Roman" w:cs="Times New Roman"/>
                <w:szCs w:val="24"/>
              </w:rPr>
            </w:pPr>
            <w:r>
              <w:rPr>
                <w:rFonts w:ascii="Times New Roman" w:hAnsi="Times New Roman" w:cs="Times New Roman"/>
              </w:rPr>
              <w:t>300</w:t>
            </w:r>
          </w:p>
        </w:tc>
        <w:tc>
          <w:tcPr>
            <w:tcW w:w="468" w:type="pct"/>
            <w:vAlign w:val="center"/>
          </w:tcPr>
          <w:p>
            <w:pPr>
              <w:widowControl w:val="0"/>
              <w:jc w:val="center"/>
              <w:rPr>
                <w:rFonts w:ascii="Times New Roman" w:hAnsi="Times New Roman" w:cs="Times New Roman"/>
                <w:szCs w:val="24"/>
              </w:rPr>
            </w:pPr>
            <w:r>
              <w:rPr>
                <w:rFonts w:ascii="Times New Roman" w:hAnsi="Times New Roman" w:cs="Times New Roman"/>
                <w:color w:val="000000"/>
              </w:rPr>
              <w:t>/</w:t>
            </w:r>
          </w:p>
        </w:tc>
        <w:tc>
          <w:tcPr>
            <w:tcW w:w="359"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84" w:type="pct"/>
            <w:vMerge w:val="continue"/>
            <w:vAlign w:val="center"/>
          </w:tcPr>
          <w:p>
            <w:pPr>
              <w:jc w:val="center"/>
              <w:rPr>
                <w:rFonts w:ascii="Times New Roman" w:hAnsi="Times New Roman" w:cs="Times New Roman"/>
                <w:color w:val="000000"/>
              </w:rPr>
            </w:pPr>
          </w:p>
        </w:tc>
        <w:tc>
          <w:tcPr>
            <w:tcW w:w="394"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NO</w:t>
            </w:r>
            <w:r>
              <w:rPr>
                <w:rFonts w:ascii="Times New Roman" w:hAnsi="Times New Roman" w:cs="Times New Roman"/>
                <w:color w:val="000000"/>
                <w:vertAlign w:val="subscript"/>
              </w:rPr>
              <w:t>X</w:t>
            </w:r>
          </w:p>
        </w:tc>
        <w:tc>
          <w:tcPr>
            <w:tcW w:w="582" w:type="pct"/>
            <w:vMerge w:val="continue"/>
            <w:vAlign w:val="center"/>
          </w:tcPr>
          <w:p>
            <w:pPr>
              <w:jc w:val="center"/>
              <w:rPr>
                <w:rFonts w:ascii="Times New Roman" w:hAnsi="Times New Roman" w:cs="Times New Roman"/>
                <w:color w:val="000000"/>
              </w:rPr>
            </w:pPr>
          </w:p>
        </w:tc>
        <w:tc>
          <w:tcPr>
            <w:tcW w:w="493"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85</w:t>
            </w:r>
          </w:p>
        </w:tc>
        <w:tc>
          <w:tcPr>
            <w:tcW w:w="413"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0.255</w:t>
            </w:r>
          </w:p>
        </w:tc>
        <w:tc>
          <w:tcPr>
            <w:tcW w:w="600" w:type="pct"/>
            <w:vMerge w:val="continue"/>
            <w:vAlign w:val="center"/>
          </w:tcPr>
          <w:p>
            <w:pPr>
              <w:jc w:val="center"/>
              <w:rPr>
                <w:rFonts w:ascii="Times New Roman" w:hAnsi="Times New Roman" w:cs="Times New Roman"/>
                <w:color w:val="000000"/>
              </w:rPr>
            </w:pPr>
          </w:p>
        </w:tc>
        <w:tc>
          <w:tcPr>
            <w:tcW w:w="505" w:type="pct"/>
            <w:vAlign w:val="center"/>
          </w:tcPr>
          <w:p>
            <w:pPr>
              <w:pStyle w:val="62"/>
              <w:adjustRightInd w:val="0"/>
              <w:snapToGrid w:val="0"/>
              <w:ind w:firstLine="0" w:firstLineChars="0"/>
              <w:jc w:val="center"/>
              <w:rPr>
                <w:rFonts w:ascii="Times New Roman" w:hAnsi="Times New Roman"/>
                <w:szCs w:val="21"/>
              </w:rPr>
            </w:pPr>
            <w:r>
              <w:rPr>
                <w:rFonts w:ascii="Times New Roman" w:hAnsi="Times New Roman"/>
                <w:szCs w:val="21"/>
              </w:rPr>
              <w:t>0.612</w:t>
            </w:r>
          </w:p>
        </w:tc>
        <w:tc>
          <w:tcPr>
            <w:tcW w:w="502" w:type="pct"/>
            <w:vAlign w:val="center"/>
          </w:tcPr>
          <w:p>
            <w:pPr>
              <w:widowControl w:val="0"/>
              <w:jc w:val="center"/>
              <w:rPr>
                <w:rFonts w:ascii="Times New Roman" w:hAnsi="Times New Roman" w:cs="Times New Roman"/>
                <w:szCs w:val="24"/>
              </w:rPr>
            </w:pPr>
            <w:r>
              <w:rPr>
                <w:rFonts w:ascii="Times New Roman" w:hAnsi="Times New Roman" w:cs="Times New Roman"/>
              </w:rPr>
              <w:t>300</w:t>
            </w:r>
          </w:p>
        </w:tc>
        <w:tc>
          <w:tcPr>
            <w:tcW w:w="468" w:type="pct"/>
            <w:vAlign w:val="center"/>
          </w:tcPr>
          <w:p>
            <w:pPr>
              <w:widowControl w:val="0"/>
              <w:jc w:val="center"/>
              <w:rPr>
                <w:rFonts w:ascii="Times New Roman" w:hAnsi="Times New Roman" w:cs="Times New Roman"/>
                <w:szCs w:val="24"/>
              </w:rPr>
            </w:pPr>
            <w:r>
              <w:rPr>
                <w:rFonts w:ascii="Times New Roman" w:hAnsi="Times New Roman" w:cs="Times New Roman"/>
                <w:color w:val="000000"/>
              </w:rPr>
              <w:t>/</w:t>
            </w:r>
          </w:p>
        </w:tc>
        <w:tc>
          <w:tcPr>
            <w:tcW w:w="359" w:type="pct"/>
            <w:vAlign w:val="center"/>
          </w:tcPr>
          <w:p>
            <w:pPr>
              <w:widowControl w:val="0"/>
              <w:jc w:val="center"/>
              <w:rPr>
                <w:rFonts w:ascii="Times New Roman" w:hAnsi="Times New Roman" w:cs="Times New Roman"/>
                <w:color w:val="000000"/>
                <w:szCs w:val="24"/>
              </w:rPr>
            </w:pPr>
            <w:r>
              <w:rPr>
                <w:rFonts w:ascii="Times New Roman" w:hAnsi="Times New Roman" w:cs="Times New Roman"/>
                <w:color w:val="000000"/>
              </w:rPr>
              <w:t>达标</w:t>
            </w:r>
          </w:p>
        </w:tc>
      </w:tr>
    </w:tbl>
    <w:p>
      <w:pPr>
        <w:pStyle w:val="3"/>
        <w:ind w:firstLine="480"/>
        <w:rPr>
          <w:color w:val="000000"/>
        </w:rPr>
      </w:pPr>
      <w:r>
        <w:rPr>
          <w:rFonts w:hint="eastAsia"/>
          <w:color w:val="000000"/>
        </w:rPr>
        <w:t>由上表可知，非正常工况下，</w:t>
      </w:r>
      <w:r>
        <w:rPr>
          <w:color w:val="000000"/>
        </w:rPr>
        <w:t>DA001</w:t>
      </w:r>
      <w:r>
        <w:rPr>
          <w:rFonts w:hint="eastAsia"/>
          <w:color w:val="000000"/>
        </w:rPr>
        <w:t>排气筒排放的各污染物均能达标排放，但排放浓度较高，影响较大。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pStyle w:val="3"/>
        <w:ind w:firstLine="480"/>
        <w:rPr>
          <w:color w:val="000000"/>
        </w:rPr>
      </w:pPr>
      <w:r>
        <w:rPr>
          <w:rFonts w:hint="eastAsia"/>
          <w:color w:val="000000"/>
        </w:rPr>
        <w:t>①安排专人负责环保设备的日常维护和管理，每个固定时间检查、汇报情况，及时发现废气处理设备的隐患，确保废气处理系统正常运行；</w:t>
      </w:r>
    </w:p>
    <w:p>
      <w:pPr>
        <w:pStyle w:val="3"/>
        <w:ind w:firstLine="480"/>
        <w:rPr>
          <w:color w:val="000000"/>
        </w:rPr>
      </w:pPr>
      <w:r>
        <w:rPr>
          <w:rFonts w:hint="eastAsia"/>
          <w:color w:val="000000"/>
        </w:rPr>
        <w:t>②定期更换布袋，布袋一年更换一次；</w:t>
      </w:r>
    </w:p>
    <w:p>
      <w:pPr>
        <w:pStyle w:val="3"/>
        <w:ind w:firstLine="480"/>
        <w:rPr>
          <w:color w:val="000000"/>
        </w:rPr>
      </w:pPr>
      <w:r>
        <w:rPr>
          <w:rFonts w:hint="eastAsia"/>
          <w:color w:val="000000"/>
        </w:rPr>
        <w:t>③建立健全的环保管理机构，对环保管理人员和技术人员进行岗位培训，委托具有专业资质的环境检测单位对项目排放的各类污染物进行定期检测；</w:t>
      </w:r>
    </w:p>
    <w:p>
      <w:pPr>
        <w:pStyle w:val="3"/>
        <w:ind w:firstLine="480"/>
        <w:rPr>
          <w:color w:val="000000"/>
        </w:rPr>
      </w:pPr>
      <w:r>
        <w:rPr>
          <w:rFonts w:hint="eastAsia"/>
          <w:color w:val="000000"/>
        </w:rPr>
        <w:t>④定期维护、检修废气净化装置，以保持废气处理装置的净化能力和净化容量。</w:t>
      </w:r>
    </w:p>
    <w:p>
      <w:pPr>
        <w:pStyle w:val="3"/>
        <w:ind w:firstLine="0" w:firstLineChars="0"/>
        <w:outlineLvl w:val="3"/>
        <w:rPr>
          <w:rFonts w:eastAsia="黑体" w:cstheme="majorBidi"/>
          <w:bCs/>
          <w:szCs w:val="32"/>
        </w:rPr>
      </w:pPr>
      <w:r>
        <w:rPr>
          <w:rFonts w:hint="eastAsia" w:eastAsia="黑体" w:cstheme="majorBidi"/>
          <w:bCs/>
          <w:szCs w:val="32"/>
        </w:rPr>
        <w:t>6.2.2.3 环境防护距离</w:t>
      </w:r>
    </w:p>
    <w:p>
      <w:pPr>
        <w:pStyle w:val="3"/>
        <w:ind w:firstLine="480"/>
        <w:rPr>
          <w:kern w:val="0"/>
        </w:rPr>
      </w:pPr>
      <w:r>
        <w:rPr>
          <w:rFonts w:hint="eastAsia"/>
          <w:color w:val="000000"/>
        </w:rPr>
        <w:t>1、</w:t>
      </w:r>
      <w:r>
        <w:rPr>
          <w:rFonts w:hint="eastAsia"/>
          <w:kern w:val="0"/>
        </w:rPr>
        <w:t>大气防护距离</w:t>
      </w:r>
    </w:p>
    <w:p>
      <w:pPr>
        <w:pStyle w:val="3"/>
        <w:ind w:firstLine="480"/>
      </w:pPr>
      <w:r>
        <w:rPr>
          <w:rFonts w:hint="eastAsia"/>
        </w:rPr>
        <w:t>根据《环境影响评价技术导则大气环境》（</w:t>
      </w:r>
      <w:r>
        <w:t>HJ2.2-2018</w:t>
      </w:r>
      <w:r>
        <w:rPr>
          <w:rFonts w:hint="eastAsia"/>
        </w:rPr>
        <w:t>）中的</w:t>
      </w:r>
      <w:r>
        <w:t xml:space="preserve">“8.7.5 </w:t>
      </w:r>
      <w:r>
        <w:rPr>
          <w:rFonts w:hint="eastAsia"/>
        </w:rPr>
        <w:t>大气环境防护距离</w:t>
      </w:r>
      <w:r>
        <w:t>”</w:t>
      </w:r>
      <w:r>
        <w:rPr>
          <w:rFonts w:hint="eastAsia"/>
        </w:rPr>
        <w:t>的有关规定，厂界浓度达标，但厂界外大气污染物短期贡献浓度超标时，可以自厂界外设置至污染物浓度达标的范围内设置大气环境防护距离。防护距离内不应有长期居住的人群。根据</w:t>
      </w:r>
      <w:r>
        <w:t>“</w:t>
      </w:r>
      <w:r>
        <w:rPr>
          <w:rFonts w:hint="eastAsia"/>
        </w:rPr>
        <w:t>大气导则</w:t>
      </w:r>
      <w:r>
        <w:t>”</w:t>
      </w:r>
      <w:r>
        <w:rPr>
          <w:rFonts w:hint="eastAsia"/>
        </w:rPr>
        <w:t>中的</w:t>
      </w:r>
      <w:r>
        <w:t xml:space="preserve">“8.8.5 </w:t>
      </w:r>
      <w:r>
        <w:rPr>
          <w:rFonts w:hint="eastAsia"/>
        </w:rPr>
        <w:t>大气环境防护距离确定</w:t>
      </w:r>
      <w:r>
        <w:t>”</w:t>
      </w:r>
      <w:r>
        <w:rPr>
          <w:rFonts w:hint="eastAsia"/>
        </w:rPr>
        <w:t>的有关规定，采用进一步预测模型模拟评价基准年内的大气污染物短期贡献浓度分布，确定超标区域和大气防护距离范围。由此可知大气环境防护距离的确定，是在厂界浓度达标，且厂界外大气污染物短期贡献浓度超标的情况下，再采用进一步预测模型预测厂界外主要污染物的短期贡献浓度分布，确定项目的大气环境防护距离。</w:t>
      </w:r>
    </w:p>
    <w:p>
      <w:pPr>
        <w:pStyle w:val="3"/>
        <w:ind w:firstLine="480"/>
        <w:rPr>
          <w:kern w:val="0"/>
        </w:rPr>
      </w:pPr>
      <w:r>
        <w:rPr>
          <w:rFonts w:hint="eastAsia"/>
          <w:kern w:val="0"/>
        </w:rPr>
        <w:t>本项目大气环境影响评价等级为二级，二级评价项目不进行进一步预测与评价，只对污染物排放量进行核算。运行期大气污染物厂界浓度可实现达标排放，厂界外主要大气污染物短期浓度贡献值满足其对应的环境质量标准要求，即厂界外不存在超标，因此，本项目无需设置大气环境防护距离。</w:t>
      </w:r>
    </w:p>
    <w:p>
      <w:pPr>
        <w:pStyle w:val="3"/>
        <w:ind w:firstLine="480"/>
        <w:rPr>
          <w:kern w:val="0"/>
        </w:rPr>
      </w:pPr>
      <w:r>
        <w:rPr>
          <w:rFonts w:hint="eastAsia"/>
          <w:kern w:val="0"/>
        </w:rPr>
        <w:t>2、卫生防护距离</w:t>
      </w:r>
    </w:p>
    <w:p>
      <w:pPr>
        <w:pStyle w:val="3"/>
        <w:ind w:firstLine="480"/>
        <w:rPr>
          <w:kern w:val="0"/>
        </w:rPr>
      </w:pPr>
      <w:r>
        <w:rPr>
          <w:rFonts w:hint="eastAsia"/>
          <w:kern w:val="0"/>
        </w:rPr>
        <w:t>根据项目特点，生产中存在无组织废气排放，主要污染物为</w:t>
      </w:r>
      <w:r>
        <w:rPr>
          <w:kern w:val="0"/>
        </w:rPr>
        <w:t>NH</w:t>
      </w:r>
      <w:r>
        <w:rPr>
          <w:kern w:val="0"/>
          <w:vertAlign w:val="subscript"/>
        </w:rPr>
        <w:t>3</w:t>
      </w:r>
      <w:r>
        <w:rPr>
          <w:rFonts w:hint="eastAsia"/>
          <w:kern w:val="0"/>
        </w:rPr>
        <w:t>、</w:t>
      </w:r>
      <w:r>
        <w:rPr>
          <w:kern w:val="0"/>
        </w:rPr>
        <w:t>H</w:t>
      </w:r>
      <w:r>
        <w:rPr>
          <w:kern w:val="0"/>
          <w:vertAlign w:val="subscript"/>
        </w:rPr>
        <w:t>2</w:t>
      </w:r>
      <w:r>
        <w:rPr>
          <w:kern w:val="0"/>
        </w:rPr>
        <w:t>S</w:t>
      </w:r>
      <w:r>
        <w:rPr>
          <w:rFonts w:hint="eastAsia"/>
          <w:kern w:val="0"/>
        </w:rPr>
        <w:t>，根据《大气有害物质无组织排放卫生防护距离推导技术导则》（</w:t>
      </w:r>
      <w:r>
        <w:rPr>
          <w:kern w:val="0"/>
        </w:rPr>
        <w:t>GB/T39499-2020</w:t>
      </w:r>
      <w:r>
        <w:rPr>
          <w:rFonts w:hint="eastAsia"/>
          <w:kern w:val="0"/>
        </w:rPr>
        <w:t>）中的规定，采用</w:t>
      </w:r>
      <w:r>
        <w:rPr>
          <w:kern w:val="0"/>
        </w:rPr>
        <w:t xml:space="preserve">GB/T3840-1991 </w:t>
      </w:r>
      <w:r>
        <w:rPr>
          <w:rFonts w:hint="eastAsia"/>
          <w:kern w:val="0"/>
        </w:rPr>
        <w:t>中</w:t>
      </w:r>
      <w:r>
        <w:rPr>
          <w:kern w:val="0"/>
        </w:rPr>
        <w:t xml:space="preserve">7.4 </w:t>
      </w:r>
      <w:r>
        <w:rPr>
          <w:rFonts w:hint="eastAsia"/>
          <w:kern w:val="0"/>
        </w:rPr>
        <w:t>推荐的估算方法进行计算，具体计算公式见下式：</w:t>
      </w:r>
    </w:p>
    <w:p>
      <w:pPr>
        <w:pStyle w:val="3"/>
        <w:ind w:firstLine="420"/>
        <w:jc w:val="center"/>
        <w:rPr>
          <w:rFonts w:asciiTheme="minorHAnsi" w:hAnsiTheme="minorHAnsi" w:eastAsiaTheme="minorEastAsia"/>
          <w:kern w:val="0"/>
          <w:sz w:val="21"/>
        </w:rPr>
      </w:pPr>
      <w:r>
        <w:rPr>
          <w:rFonts w:asciiTheme="minorHAnsi" w:hAnsiTheme="minorHAnsi" w:eastAsiaTheme="minorEastAsia"/>
          <w:kern w:val="0"/>
          <w:sz w:val="21"/>
        </w:rPr>
        <w:object>
          <v:shape id="_x0000_i1030" o:spt="75" type="#_x0000_t75" style="height:33pt;width:144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pPr>
        <w:pStyle w:val="3"/>
        <w:ind w:firstLine="480"/>
      </w:pPr>
      <w:r>
        <w:rPr>
          <w:rFonts w:hint="eastAsia"/>
        </w:rPr>
        <w:t>式中：</w:t>
      </w:r>
      <w:r>
        <w:t>C</w:t>
      </w:r>
      <w:r>
        <w:rPr>
          <w:vertAlign w:val="subscript"/>
        </w:rPr>
        <w:t>m</w:t>
      </w:r>
      <w:r>
        <w:t>—</w:t>
      </w:r>
      <w:r>
        <w:rPr>
          <w:rFonts w:hint="eastAsia"/>
        </w:rPr>
        <w:t>标准浓度限值，</w:t>
      </w:r>
      <w:r>
        <w:t>mg/m</w:t>
      </w:r>
      <w:r>
        <w:rPr>
          <w:vertAlign w:val="superscript"/>
        </w:rPr>
        <w:t>3</w:t>
      </w:r>
      <w:r>
        <w:rPr>
          <w:rFonts w:hint="eastAsia"/>
        </w:rPr>
        <w:t>；</w:t>
      </w:r>
    </w:p>
    <w:p>
      <w:pPr>
        <w:pStyle w:val="3"/>
        <w:ind w:firstLine="1200" w:firstLineChars="500"/>
      </w:pPr>
      <w:r>
        <w:t>L—</w:t>
      </w:r>
      <w:r>
        <w:rPr>
          <w:rFonts w:hint="eastAsia"/>
        </w:rPr>
        <w:t>工业企业所需卫生防护距离，</w:t>
      </w:r>
      <w:r>
        <w:t>m</w:t>
      </w:r>
      <w:r>
        <w:rPr>
          <w:rFonts w:hint="eastAsia"/>
        </w:rPr>
        <w:t>；</w:t>
      </w:r>
    </w:p>
    <w:p>
      <w:pPr>
        <w:pStyle w:val="3"/>
        <w:ind w:firstLine="1200" w:firstLineChars="500"/>
      </w:pPr>
      <w:r>
        <w:t>r—</w:t>
      </w:r>
      <w:r>
        <w:rPr>
          <w:rFonts w:hint="eastAsia"/>
        </w:rPr>
        <w:t>有害气体无组织排放源所在生产单位的等效半径，</w:t>
      </w:r>
      <w:r>
        <w:t>m</w:t>
      </w:r>
      <w:r>
        <w:rPr>
          <w:rFonts w:hint="eastAsia"/>
        </w:rPr>
        <w:t>，根据该生产单元占地面积</w:t>
      </w:r>
      <w:r>
        <w:t>S</w:t>
      </w:r>
      <w:r>
        <w:rPr>
          <w:rFonts w:hint="eastAsia"/>
        </w:rPr>
        <w:t>（</w:t>
      </w:r>
      <w:r>
        <w:t>m</w:t>
      </w:r>
      <w:r>
        <w:rPr>
          <w:vertAlign w:val="superscript"/>
        </w:rPr>
        <w:t>2</w:t>
      </w:r>
      <w:r>
        <w:rPr>
          <w:rFonts w:hint="eastAsia"/>
        </w:rPr>
        <w:t>）计算，</w:t>
      </w:r>
      <w:r>
        <w:t>r = ( S/π )</w:t>
      </w:r>
      <w:r>
        <w:rPr>
          <w:vertAlign w:val="superscript"/>
        </w:rPr>
        <w:t>0.5</w:t>
      </w:r>
      <w:r>
        <w:rPr>
          <w:rFonts w:hint="eastAsia"/>
        </w:rPr>
        <w:t>；</w:t>
      </w:r>
    </w:p>
    <w:p>
      <w:pPr>
        <w:pStyle w:val="3"/>
        <w:ind w:firstLine="1200" w:firstLineChars="500"/>
      </w:pPr>
      <w:r>
        <w:t>A</w:t>
      </w:r>
      <w:r>
        <w:rPr>
          <w:rFonts w:hint="eastAsia"/>
        </w:rPr>
        <w:t>、</w:t>
      </w:r>
      <w:r>
        <w:t>B</w:t>
      </w:r>
      <w:r>
        <w:rPr>
          <w:rFonts w:hint="eastAsia"/>
        </w:rPr>
        <w:t>、</w:t>
      </w:r>
      <w:r>
        <w:t>C</w:t>
      </w:r>
      <w:r>
        <w:rPr>
          <w:rFonts w:hint="eastAsia"/>
        </w:rPr>
        <w:t>、</w:t>
      </w:r>
      <w:r>
        <w:t>D—</w:t>
      </w:r>
      <w:r>
        <w:rPr>
          <w:rFonts w:hint="eastAsia"/>
        </w:rPr>
        <w:t>卫生防护距离计算系数；无因次，根据工业企业所在地区近五年来平均内速及工业企业大气污染源构成类别从表6.2-11中查取。</w:t>
      </w:r>
    </w:p>
    <w:p>
      <w:pPr>
        <w:pStyle w:val="3"/>
        <w:ind w:firstLine="480"/>
        <w:rPr>
          <w:kern w:val="0"/>
        </w:rPr>
        <w:sectPr>
          <w:pgSz w:w="11906" w:h="16838"/>
          <w:pgMar w:top="1474" w:right="1361" w:bottom="1474" w:left="1588" w:header="851" w:footer="992" w:gutter="0"/>
          <w:cols w:space="425" w:num="1"/>
          <w:docGrid w:type="lines" w:linePitch="312" w:charSpace="0"/>
        </w:sectPr>
      </w:pPr>
      <w:r>
        <w:rPr>
          <w:kern w:val="0"/>
        </w:rPr>
        <w:t>Q</w:t>
      </w:r>
      <w:r>
        <w:rPr>
          <w:kern w:val="0"/>
          <w:vertAlign w:val="subscript"/>
        </w:rPr>
        <w:t>c</w:t>
      </w:r>
      <w:r>
        <w:rPr>
          <w:kern w:val="0"/>
        </w:rPr>
        <w:t>—</w:t>
      </w:r>
      <w:r>
        <w:rPr>
          <w:rFonts w:hint="eastAsia"/>
          <w:kern w:val="0"/>
        </w:rPr>
        <w:t>工业企业有害气体无组织排放量可以达到的控制水平，</w:t>
      </w:r>
      <w:r>
        <w:rPr>
          <w:kern w:val="0"/>
        </w:rPr>
        <w:t>kg/h</w:t>
      </w:r>
      <w:r>
        <w:rPr>
          <w:rFonts w:hint="eastAsia"/>
          <w:kern w:val="0"/>
        </w:rPr>
        <w:t>。</w:t>
      </w:r>
    </w:p>
    <w:p>
      <w:pPr>
        <w:pStyle w:val="3"/>
        <w:spacing w:line="240" w:lineRule="auto"/>
        <w:ind w:firstLine="0" w:firstLineChars="0"/>
        <w:jc w:val="center"/>
        <w:rPr>
          <w:rFonts w:cs="Times New Roman"/>
        </w:rPr>
      </w:pPr>
      <w:r>
        <w:rPr>
          <w:rFonts w:hint="eastAsia" w:cs="Times New Roman" w:eastAsiaTheme="minorEastAsia"/>
          <w:b/>
        </w:rPr>
        <w:t xml:space="preserve">表6.2-11  </w:t>
      </w:r>
      <w:r>
        <w:rPr>
          <w:rFonts w:hint="eastAsia"/>
          <w:b/>
          <w:color w:val="000000"/>
        </w:rPr>
        <w:t>卫生防护距离计算系数</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9"/>
        <w:gridCol w:w="1038"/>
        <w:gridCol w:w="726"/>
        <w:gridCol w:w="728"/>
        <w:gridCol w:w="784"/>
        <w:gridCol w:w="818"/>
        <w:gridCol w:w="818"/>
        <w:gridCol w:w="820"/>
        <w:gridCol w:w="818"/>
        <w:gridCol w:w="818"/>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455" w:type="pct"/>
            <w:vMerge w:val="restart"/>
            <w:vAlign w:val="center"/>
          </w:tcPr>
          <w:p>
            <w:pPr>
              <w:widowControl w:val="0"/>
              <w:jc w:val="center"/>
              <w:rPr>
                <w:rFonts w:ascii="Times New Roman" w:hAnsi="Times New Roman" w:cs="Times New Roman"/>
                <w:color w:val="000000"/>
              </w:rPr>
            </w:pPr>
            <w:r>
              <w:rPr>
                <w:rFonts w:hint="eastAsia" w:ascii="Times New Roman" w:hAnsi="Times New Roman"/>
                <w:color w:val="000000"/>
              </w:rPr>
              <w:t>计算系数</w:t>
            </w:r>
          </w:p>
        </w:tc>
        <w:tc>
          <w:tcPr>
            <w:tcW w:w="576" w:type="pct"/>
            <w:vMerge w:val="restart"/>
            <w:vAlign w:val="center"/>
          </w:tcPr>
          <w:p>
            <w:pPr>
              <w:widowControl w:val="0"/>
              <w:jc w:val="center"/>
              <w:rPr>
                <w:rFonts w:ascii="Times New Roman" w:hAnsi="Times New Roman" w:cs="Times New Roman"/>
                <w:color w:val="000000"/>
              </w:rPr>
            </w:pPr>
            <w:r>
              <w:rPr>
                <w:rFonts w:hint="eastAsia" w:ascii="Times New Roman" w:hAnsi="Times New Roman"/>
                <w:color w:val="000000"/>
              </w:rPr>
              <w:t>企业所在地区近五年平均风速</w:t>
            </w:r>
            <w:r>
              <w:rPr>
                <w:rFonts w:ascii="Times New Roman" w:hAnsi="Times New Roman"/>
                <w:color w:val="000000"/>
              </w:rPr>
              <w:t>m/s</w:t>
            </w:r>
          </w:p>
        </w:tc>
        <w:tc>
          <w:tcPr>
            <w:tcW w:w="3970" w:type="pct"/>
            <w:gridSpan w:val="9"/>
            <w:vAlign w:val="center"/>
          </w:tcPr>
          <w:p>
            <w:pPr>
              <w:widowControl w:val="0"/>
              <w:jc w:val="center"/>
              <w:rPr>
                <w:rFonts w:ascii="Times New Roman" w:hAnsi="Times New Roman" w:cs="Times New Roman"/>
                <w:color w:val="000000"/>
              </w:rPr>
            </w:pPr>
            <w:r>
              <w:rPr>
                <w:rFonts w:hint="eastAsia" w:ascii="Times New Roman" w:hAnsi="Times New Roman"/>
                <w:color w:val="000000"/>
              </w:rPr>
              <w:t>卫生防护距离</w:t>
            </w:r>
            <w:r>
              <w:rPr>
                <w:rFonts w:ascii="Times New Roman" w:hAnsi="Times New Roman"/>
                <w:color w:val="000000"/>
              </w:rPr>
              <w:t>L</w:t>
            </w:r>
            <w:r>
              <w:rPr>
                <w:rFonts w:hint="eastAsia" w:ascii="Times New Roman" w:hAnsi="Times New Roman"/>
                <w:color w:val="000000"/>
              </w:rPr>
              <w:t>，</w:t>
            </w:r>
            <w:r>
              <w:rPr>
                <w:rFonts w:ascii="Times New Roman" w:hAnsi="Times New Roman"/>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0" w:type="auto"/>
            <w:vMerge w:val="continue"/>
            <w:vAlign w:val="center"/>
          </w:tcPr>
          <w:p>
            <w:pPr>
              <w:jc w:val="left"/>
              <w:rPr>
                <w:rFonts w:ascii="Times New Roman" w:hAnsi="Times New Roman" w:cs="Times New Roman"/>
                <w:color w:val="000000"/>
              </w:rPr>
            </w:pP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L≤1000</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1000</w:t>
            </w:r>
            <w:r>
              <w:rPr>
                <w:rFonts w:hint="eastAsia" w:ascii="Times New Roman" w:hAnsi="Times New Roman"/>
                <w:color w:val="000000"/>
              </w:rPr>
              <w:t>＜</w:t>
            </w:r>
            <w:r>
              <w:rPr>
                <w:rFonts w:ascii="Times New Roman" w:hAnsi="Times New Roman"/>
                <w:color w:val="000000"/>
              </w:rPr>
              <w:t>L≤2000</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L</w:t>
            </w:r>
            <w:r>
              <w:rPr>
                <w:rFonts w:hint="eastAsia" w:ascii="Times New Roman" w:hAnsi="Times New Roman"/>
                <w:color w:val="000000"/>
              </w:rPr>
              <w:t>＞</w:t>
            </w:r>
            <w:r>
              <w:rPr>
                <w:rFonts w:ascii="Times New Roman" w:hAnsi="Times New Roman"/>
                <w:color w:val="00000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0" w:type="auto"/>
            <w:vMerge w:val="continue"/>
            <w:vAlign w:val="center"/>
          </w:tcPr>
          <w:p>
            <w:pPr>
              <w:jc w:val="left"/>
              <w:rPr>
                <w:rFonts w:ascii="Times New Roman" w:hAnsi="Times New Roman" w:cs="Times New Roman"/>
                <w:color w:val="000000"/>
              </w:rPr>
            </w:pPr>
          </w:p>
        </w:tc>
        <w:tc>
          <w:tcPr>
            <w:tcW w:w="3970" w:type="pct"/>
            <w:gridSpan w:val="9"/>
            <w:vAlign w:val="center"/>
          </w:tcPr>
          <w:p>
            <w:pPr>
              <w:widowControl w:val="0"/>
              <w:jc w:val="center"/>
              <w:rPr>
                <w:rFonts w:ascii="Times New Roman" w:hAnsi="Times New Roman" w:cs="Times New Roman"/>
                <w:color w:val="000000"/>
              </w:rPr>
            </w:pPr>
            <w:r>
              <w:rPr>
                <w:rFonts w:hint="eastAsia" w:ascii="Times New Roman" w:hAnsi="Times New Roman"/>
                <w:color w:val="000000"/>
              </w:rPr>
              <w:t>企业大气污染源构成类别</w:t>
            </w:r>
            <w:r>
              <w:rPr>
                <w:rFonts w:hint="eastAsia" w:ascii="Times New Roman" w:hAnsi="Times New Roman"/>
                <w:color w:val="000000"/>
                <w:vertAlign w:val="superscript"/>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0" w:type="auto"/>
            <w:vMerge w:val="continue"/>
            <w:vAlign w:val="center"/>
          </w:tcPr>
          <w:p>
            <w:pPr>
              <w:jc w:val="left"/>
              <w:rPr>
                <w:rFonts w:ascii="Times New Roman" w:hAnsi="Times New Roman" w:cs="Times New Roman"/>
                <w:color w:val="000000"/>
              </w:rPr>
            </w:pPr>
          </w:p>
        </w:tc>
        <w:tc>
          <w:tcPr>
            <w:tcW w:w="403" w:type="pct"/>
            <w:vAlign w:val="center"/>
          </w:tcPr>
          <w:p>
            <w:pPr>
              <w:widowControl w:val="0"/>
              <w:jc w:val="center"/>
              <w:rPr>
                <w:rFonts w:ascii="Times New Roman" w:hAnsi="Times New Roman" w:cs="Times New Roman"/>
                <w:color w:val="000000"/>
              </w:rPr>
            </w:pPr>
            <w:r>
              <w:rPr>
                <w:rFonts w:hint="eastAsia" w:ascii="宋体" w:hAnsi="宋体" w:cs="宋体"/>
                <w:color w:val="000000"/>
              </w:rPr>
              <w:t>Ⅰ</w:t>
            </w:r>
          </w:p>
        </w:tc>
        <w:tc>
          <w:tcPr>
            <w:tcW w:w="404" w:type="pct"/>
            <w:vAlign w:val="center"/>
          </w:tcPr>
          <w:p>
            <w:pPr>
              <w:widowControl w:val="0"/>
              <w:jc w:val="center"/>
              <w:rPr>
                <w:rFonts w:ascii="Times New Roman" w:hAnsi="Times New Roman" w:cs="Times New Roman"/>
                <w:color w:val="000000"/>
              </w:rPr>
            </w:pPr>
            <w:r>
              <w:rPr>
                <w:rFonts w:hint="eastAsia" w:ascii="宋体" w:hAnsi="宋体" w:cs="宋体"/>
                <w:color w:val="000000"/>
              </w:rPr>
              <w:t>Ⅱ</w:t>
            </w:r>
          </w:p>
        </w:tc>
        <w:tc>
          <w:tcPr>
            <w:tcW w:w="435" w:type="pct"/>
            <w:vAlign w:val="center"/>
          </w:tcPr>
          <w:p>
            <w:pPr>
              <w:widowControl w:val="0"/>
              <w:jc w:val="center"/>
              <w:rPr>
                <w:rFonts w:ascii="Times New Roman" w:hAnsi="Times New Roman" w:cs="Times New Roman"/>
                <w:color w:val="000000"/>
              </w:rPr>
            </w:pPr>
            <w:r>
              <w:rPr>
                <w:rFonts w:hint="eastAsia" w:ascii="宋体" w:hAnsi="宋体" w:cs="宋体"/>
                <w:color w:val="000000"/>
              </w:rPr>
              <w:t>Ⅲ</w:t>
            </w:r>
          </w:p>
        </w:tc>
        <w:tc>
          <w:tcPr>
            <w:tcW w:w="454" w:type="pct"/>
            <w:vAlign w:val="center"/>
          </w:tcPr>
          <w:p>
            <w:pPr>
              <w:widowControl w:val="0"/>
              <w:jc w:val="center"/>
              <w:rPr>
                <w:rFonts w:ascii="Times New Roman" w:hAnsi="Times New Roman" w:cs="Times New Roman"/>
                <w:color w:val="000000"/>
              </w:rPr>
            </w:pPr>
            <w:r>
              <w:rPr>
                <w:rFonts w:hint="eastAsia" w:ascii="宋体" w:hAnsi="宋体" w:cs="宋体"/>
                <w:color w:val="000000"/>
              </w:rPr>
              <w:t>Ⅰ</w:t>
            </w:r>
          </w:p>
        </w:tc>
        <w:tc>
          <w:tcPr>
            <w:tcW w:w="454" w:type="pct"/>
            <w:vAlign w:val="center"/>
          </w:tcPr>
          <w:p>
            <w:pPr>
              <w:widowControl w:val="0"/>
              <w:jc w:val="center"/>
              <w:rPr>
                <w:rFonts w:ascii="Times New Roman" w:hAnsi="Times New Roman" w:cs="Times New Roman"/>
                <w:color w:val="000000"/>
              </w:rPr>
            </w:pPr>
            <w:r>
              <w:rPr>
                <w:rFonts w:hint="eastAsia" w:ascii="宋体" w:hAnsi="宋体" w:cs="宋体"/>
                <w:color w:val="000000"/>
              </w:rPr>
              <w:t>Ⅱ</w:t>
            </w:r>
          </w:p>
        </w:tc>
        <w:tc>
          <w:tcPr>
            <w:tcW w:w="455" w:type="pct"/>
            <w:vAlign w:val="center"/>
          </w:tcPr>
          <w:p>
            <w:pPr>
              <w:widowControl w:val="0"/>
              <w:jc w:val="center"/>
              <w:rPr>
                <w:rFonts w:ascii="Times New Roman" w:hAnsi="Times New Roman" w:cs="Times New Roman"/>
                <w:color w:val="000000"/>
              </w:rPr>
            </w:pPr>
            <w:r>
              <w:rPr>
                <w:rFonts w:hint="eastAsia" w:ascii="宋体" w:hAnsi="宋体" w:cs="宋体"/>
                <w:color w:val="000000"/>
              </w:rPr>
              <w:t>Ⅲ</w:t>
            </w:r>
          </w:p>
        </w:tc>
        <w:tc>
          <w:tcPr>
            <w:tcW w:w="454" w:type="pct"/>
            <w:vAlign w:val="center"/>
          </w:tcPr>
          <w:p>
            <w:pPr>
              <w:widowControl w:val="0"/>
              <w:jc w:val="center"/>
              <w:rPr>
                <w:rFonts w:ascii="Times New Roman" w:hAnsi="Times New Roman" w:cs="Times New Roman"/>
                <w:color w:val="000000"/>
              </w:rPr>
            </w:pPr>
            <w:r>
              <w:rPr>
                <w:rFonts w:hint="eastAsia" w:ascii="宋体" w:hAnsi="宋体" w:cs="宋体"/>
                <w:color w:val="000000"/>
              </w:rPr>
              <w:t>Ⅰ</w:t>
            </w:r>
          </w:p>
        </w:tc>
        <w:tc>
          <w:tcPr>
            <w:tcW w:w="454" w:type="pct"/>
            <w:vAlign w:val="center"/>
          </w:tcPr>
          <w:p>
            <w:pPr>
              <w:widowControl w:val="0"/>
              <w:jc w:val="center"/>
              <w:rPr>
                <w:rFonts w:ascii="Times New Roman" w:hAnsi="Times New Roman" w:cs="Times New Roman"/>
                <w:color w:val="000000"/>
              </w:rPr>
            </w:pPr>
            <w:r>
              <w:rPr>
                <w:rFonts w:hint="eastAsia" w:ascii="宋体" w:hAnsi="宋体" w:cs="宋体"/>
                <w:color w:val="000000"/>
              </w:rPr>
              <w:t>Ⅱ</w:t>
            </w:r>
          </w:p>
        </w:tc>
        <w:tc>
          <w:tcPr>
            <w:tcW w:w="457" w:type="pct"/>
            <w:vAlign w:val="center"/>
          </w:tcPr>
          <w:p>
            <w:pPr>
              <w:widowControl w:val="0"/>
              <w:jc w:val="center"/>
              <w:rPr>
                <w:rFonts w:ascii="Times New Roman" w:hAnsi="Times New Roman" w:cs="Times New Roman"/>
                <w:color w:val="000000"/>
              </w:rPr>
            </w:pPr>
            <w:r>
              <w:rPr>
                <w:rFonts w:hint="eastAsia" w:ascii="宋体" w:hAnsi="宋体" w:cs="宋体"/>
                <w:color w:val="000000"/>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455" w:type="pct"/>
            <w:vMerge w:val="restart"/>
            <w:vAlign w:val="center"/>
          </w:tcPr>
          <w:p>
            <w:pPr>
              <w:widowControl w:val="0"/>
              <w:jc w:val="center"/>
              <w:rPr>
                <w:rFonts w:ascii="Times New Roman" w:hAnsi="Times New Roman" w:cs="Times New Roman"/>
                <w:color w:val="000000"/>
              </w:rPr>
            </w:pPr>
            <w:r>
              <w:rPr>
                <w:rFonts w:ascii="Times New Roman" w:hAnsi="Times New Roman"/>
                <w:color w:val="000000"/>
              </w:rPr>
              <w:t>A</w:t>
            </w: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403"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04"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35"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55" w:type="pct"/>
            <w:vAlign w:val="center"/>
          </w:tcPr>
          <w:p>
            <w:pPr>
              <w:widowControl w:val="0"/>
              <w:jc w:val="center"/>
              <w:rPr>
                <w:rFonts w:ascii="Times New Roman" w:hAnsi="Times New Roman" w:cs="Times New Roman"/>
                <w:color w:val="000000"/>
              </w:rPr>
            </w:pPr>
            <w:r>
              <w:rPr>
                <w:rFonts w:ascii="Times New Roman" w:hAnsi="Times New Roman"/>
                <w:color w:val="000000"/>
              </w:rPr>
              <w:t>400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80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80</w:t>
            </w:r>
          </w:p>
        </w:tc>
        <w:tc>
          <w:tcPr>
            <w:tcW w:w="457" w:type="pct"/>
            <w:vAlign w:val="center"/>
          </w:tcPr>
          <w:p>
            <w:pPr>
              <w:widowControl w:val="0"/>
              <w:jc w:val="center"/>
              <w:rPr>
                <w:rFonts w:ascii="Times New Roman" w:hAnsi="Times New Roman" w:cs="Times New Roman"/>
                <w:color w:val="000000"/>
              </w:rPr>
            </w:pPr>
            <w:r>
              <w:rPr>
                <w:rFonts w:ascii="Times New Roman" w:hAnsi="Times New Roman"/>
                <w:color w:val="00000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576" w:type="pct"/>
            <w:vAlign w:val="center"/>
          </w:tcPr>
          <w:p>
            <w:pPr>
              <w:widowControl w:val="0"/>
              <w:jc w:val="center"/>
              <w:rPr>
                <w:rFonts w:ascii="Times New Roman" w:hAnsi="Times New Roman" w:cs="Times New Roman"/>
                <w:color w:val="000000"/>
              </w:rPr>
            </w:pPr>
            <w:r>
              <w:rPr>
                <w:rFonts w:ascii="Times New Roman" w:hAnsi="Times New Roman"/>
                <w:color w:val="000000"/>
              </w:rPr>
              <w:t>2-4</w:t>
            </w:r>
          </w:p>
        </w:tc>
        <w:tc>
          <w:tcPr>
            <w:tcW w:w="403" w:type="pct"/>
            <w:vAlign w:val="center"/>
          </w:tcPr>
          <w:p>
            <w:pPr>
              <w:widowControl w:val="0"/>
              <w:jc w:val="center"/>
              <w:rPr>
                <w:rFonts w:ascii="Times New Roman" w:hAnsi="Times New Roman" w:cs="Times New Roman"/>
                <w:color w:val="000000"/>
              </w:rPr>
            </w:pPr>
            <w:r>
              <w:rPr>
                <w:rFonts w:ascii="Times New Roman" w:hAnsi="Times New Roman"/>
                <w:color w:val="000000"/>
              </w:rPr>
              <w:t>700</w:t>
            </w:r>
          </w:p>
        </w:tc>
        <w:tc>
          <w:tcPr>
            <w:tcW w:w="404" w:type="pct"/>
            <w:vAlign w:val="center"/>
          </w:tcPr>
          <w:p>
            <w:pPr>
              <w:widowControl w:val="0"/>
              <w:jc w:val="center"/>
              <w:rPr>
                <w:rFonts w:ascii="Times New Roman" w:hAnsi="Times New Roman" w:cs="Times New Roman"/>
                <w:color w:val="000000"/>
              </w:rPr>
            </w:pPr>
            <w:r>
              <w:rPr>
                <w:rFonts w:ascii="Times New Roman" w:hAnsi="Times New Roman"/>
                <w:color w:val="000000"/>
              </w:rPr>
              <w:t>470</w:t>
            </w:r>
          </w:p>
        </w:tc>
        <w:tc>
          <w:tcPr>
            <w:tcW w:w="435" w:type="pct"/>
            <w:vAlign w:val="center"/>
          </w:tcPr>
          <w:p>
            <w:pPr>
              <w:widowControl w:val="0"/>
              <w:jc w:val="center"/>
              <w:rPr>
                <w:rFonts w:ascii="Times New Roman" w:hAnsi="Times New Roman" w:cs="Times New Roman"/>
                <w:color w:val="000000"/>
              </w:rPr>
            </w:pPr>
            <w:r>
              <w:rPr>
                <w:rFonts w:ascii="Times New Roman" w:hAnsi="Times New Roman"/>
                <w:color w:val="000000"/>
              </w:rPr>
              <w:t>350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700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470</w:t>
            </w:r>
          </w:p>
        </w:tc>
        <w:tc>
          <w:tcPr>
            <w:tcW w:w="455" w:type="pct"/>
            <w:vAlign w:val="center"/>
          </w:tcPr>
          <w:p>
            <w:pPr>
              <w:widowControl w:val="0"/>
              <w:jc w:val="center"/>
              <w:rPr>
                <w:rFonts w:ascii="Times New Roman" w:hAnsi="Times New Roman" w:cs="Times New Roman"/>
                <w:color w:val="000000"/>
              </w:rPr>
            </w:pPr>
            <w:r>
              <w:rPr>
                <w:rFonts w:ascii="Times New Roman" w:hAnsi="Times New Roman"/>
                <w:color w:val="000000"/>
              </w:rPr>
              <w:t>350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380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250</w:t>
            </w:r>
          </w:p>
        </w:tc>
        <w:tc>
          <w:tcPr>
            <w:tcW w:w="457" w:type="pct"/>
            <w:vAlign w:val="center"/>
          </w:tcPr>
          <w:p>
            <w:pPr>
              <w:widowControl w:val="0"/>
              <w:jc w:val="center"/>
              <w:rPr>
                <w:rFonts w:ascii="Times New Roman" w:hAnsi="Times New Roman" w:cs="Times New Roman"/>
                <w:color w:val="000000"/>
              </w:rPr>
            </w:pPr>
            <w:r>
              <w:rPr>
                <w:rFonts w:ascii="Times New Roman" w:hAnsi="Times New Roman"/>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4</w:t>
            </w:r>
          </w:p>
        </w:tc>
        <w:tc>
          <w:tcPr>
            <w:tcW w:w="403" w:type="pct"/>
            <w:vAlign w:val="center"/>
          </w:tcPr>
          <w:p>
            <w:pPr>
              <w:widowControl w:val="0"/>
              <w:jc w:val="center"/>
              <w:rPr>
                <w:rFonts w:ascii="Times New Roman" w:hAnsi="Times New Roman" w:cs="Times New Roman"/>
                <w:color w:val="000000"/>
              </w:rPr>
            </w:pPr>
            <w:r>
              <w:rPr>
                <w:rFonts w:ascii="Times New Roman" w:hAnsi="Times New Roman"/>
                <w:color w:val="000000"/>
              </w:rPr>
              <w:t>530</w:t>
            </w:r>
          </w:p>
        </w:tc>
        <w:tc>
          <w:tcPr>
            <w:tcW w:w="404" w:type="pct"/>
            <w:vAlign w:val="center"/>
          </w:tcPr>
          <w:p>
            <w:pPr>
              <w:widowControl w:val="0"/>
              <w:jc w:val="center"/>
              <w:rPr>
                <w:rFonts w:ascii="Times New Roman" w:hAnsi="Times New Roman" w:cs="Times New Roman"/>
                <w:color w:val="000000"/>
              </w:rPr>
            </w:pPr>
            <w:r>
              <w:rPr>
                <w:rFonts w:ascii="Times New Roman" w:hAnsi="Times New Roman"/>
                <w:color w:val="000000"/>
              </w:rPr>
              <w:t>350</w:t>
            </w:r>
          </w:p>
        </w:tc>
        <w:tc>
          <w:tcPr>
            <w:tcW w:w="435" w:type="pct"/>
            <w:vAlign w:val="center"/>
          </w:tcPr>
          <w:p>
            <w:pPr>
              <w:widowControl w:val="0"/>
              <w:jc w:val="center"/>
              <w:rPr>
                <w:rFonts w:ascii="Times New Roman" w:hAnsi="Times New Roman" w:cs="Times New Roman"/>
                <w:color w:val="000000"/>
              </w:rPr>
            </w:pPr>
            <w:r>
              <w:rPr>
                <w:rFonts w:ascii="Times New Roman" w:hAnsi="Times New Roman"/>
                <w:color w:val="000000"/>
              </w:rPr>
              <w:t>260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530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350</w:t>
            </w:r>
          </w:p>
        </w:tc>
        <w:tc>
          <w:tcPr>
            <w:tcW w:w="455" w:type="pct"/>
            <w:vAlign w:val="center"/>
          </w:tcPr>
          <w:p>
            <w:pPr>
              <w:widowControl w:val="0"/>
              <w:jc w:val="center"/>
              <w:rPr>
                <w:rFonts w:ascii="Times New Roman" w:hAnsi="Times New Roman" w:cs="Times New Roman"/>
                <w:color w:val="000000"/>
              </w:rPr>
            </w:pPr>
            <w:r>
              <w:rPr>
                <w:rFonts w:ascii="Times New Roman" w:hAnsi="Times New Roman"/>
                <w:color w:val="000000"/>
              </w:rPr>
              <w:t>260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290</w:t>
            </w:r>
          </w:p>
        </w:tc>
        <w:tc>
          <w:tcPr>
            <w:tcW w:w="454" w:type="pct"/>
            <w:vAlign w:val="center"/>
          </w:tcPr>
          <w:p>
            <w:pPr>
              <w:widowControl w:val="0"/>
              <w:jc w:val="center"/>
              <w:rPr>
                <w:rFonts w:ascii="Times New Roman" w:hAnsi="Times New Roman" w:cs="Times New Roman"/>
                <w:color w:val="000000"/>
              </w:rPr>
            </w:pPr>
            <w:r>
              <w:rPr>
                <w:rFonts w:ascii="Times New Roman" w:hAnsi="Times New Roman"/>
                <w:color w:val="000000"/>
              </w:rPr>
              <w:t>190</w:t>
            </w:r>
          </w:p>
        </w:tc>
        <w:tc>
          <w:tcPr>
            <w:tcW w:w="457" w:type="pct"/>
            <w:vAlign w:val="center"/>
          </w:tcPr>
          <w:p>
            <w:pPr>
              <w:widowControl w:val="0"/>
              <w:jc w:val="center"/>
              <w:rPr>
                <w:rFonts w:ascii="Times New Roman" w:hAnsi="Times New Roman" w:cs="Times New Roman"/>
                <w:color w:val="000000"/>
              </w:rPr>
            </w:pPr>
            <w:r>
              <w:rPr>
                <w:rFonts w:ascii="Times New Roman" w:hAnsi="Times New Roman"/>
                <w:color w:val="00000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455" w:type="pct"/>
            <w:vMerge w:val="restart"/>
            <w:vAlign w:val="center"/>
          </w:tcPr>
          <w:p>
            <w:pPr>
              <w:widowControl w:val="0"/>
              <w:jc w:val="center"/>
              <w:rPr>
                <w:rFonts w:ascii="Times New Roman" w:hAnsi="Times New Roman" w:cs="Times New Roman"/>
                <w:color w:val="000000"/>
              </w:rPr>
            </w:pPr>
            <w:r>
              <w:rPr>
                <w:rFonts w:ascii="Times New Roman" w:hAnsi="Times New Roman"/>
                <w:color w:val="000000"/>
              </w:rPr>
              <w:t>B</w:t>
            </w: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0.01</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0.015</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0.021</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0.036</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455" w:type="pct"/>
            <w:vMerge w:val="restart"/>
            <w:vAlign w:val="center"/>
          </w:tcPr>
          <w:p>
            <w:pPr>
              <w:widowControl w:val="0"/>
              <w:jc w:val="center"/>
              <w:rPr>
                <w:rFonts w:ascii="Times New Roman" w:hAnsi="Times New Roman" w:cs="Times New Roman"/>
                <w:color w:val="000000"/>
              </w:rPr>
            </w:pPr>
            <w:r>
              <w:rPr>
                <w:rFonts w:ascii="Times New Roman" w:hAnsi="Times New Roman"/>
                <w:color w:val="000000"/>
              </w:rPr>
              <w:t>C</w:t>
            </w: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1.85</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1.79</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1.85</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1.77</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455" w:type="pct"/>
            <w:vMerge w:val="restart"/>
            <w:vAlign w:val="center"/>
          </w:tcPr>
          <w:p>
            <w:pPr>
              <w:widowControl w:val="0"/>
              <w:jc w:val="center"/>
              <w:rPr>
                <w:rFonts w:ascii="Times New Roman" w:hAnsi="Times New Roman" w:cs="Times New Roman"/>
                <w:color w:val="000000"/>
              </w:rPr>
            </w:pPr>
            <w:r>
              <w:rPr>
                <w:rFonts w:ascii="Times New Roman" w:hAnsi="Times New Roman"/>
                <w:color w:val="000000"/>
              </w:rPr>
              <w:t>D</w:t>
            </w: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0.78</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0.78</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0" w:type="auto"/>
            <w:vMerge w:val="continue"/>
            <w:vAlign w:val="center"/>
          </w:tcPr>
          <w:p>
            <w:pPr>
              <w:jc w:val="left"/>
              <w:rPr>
                <w:rFonts w:ascii="Times New Roman" w:hAnsi="Times New Roman" w:cs="Times New Roman"/>
                <w:color w:val="000000"/>
              </w:rPr>
            </w:pPr>
          </w:p>
        </w:tc>
        <w:tc>
          <w:tcPr>
            <w:tcW w:w="576" w:type="pct"/>
            <w:vAlign w:val="center"/>
          </w:tcPr>
          <w:p>
            <w:pPr>
              <w:widowControl w:val="0"/>
              <w:jc w:val="center"/>
              <w:rPr>
                <w:rFonts w:ascii="Times New Roman" w:hAnsi="Times New Roman" w:cs="Times New Roman"/>
                <w:color w:val="000000"/>
              </w:rPr>
            </w:pPr>
            <w:r>
              <w:rPr>
                <w:rFonts w:hint="eastAsia" w:ascii="Times New Roman" w:hAnsi="Times New Roman"/>
                <w:color w:val="000000"/>
              </w:rPr>
              <w:t>＞</w:t>
            </w:r>
            <w:r>
              <w:rPr>
                <w:rFonts w:ascii="Times New Roman" w:hAnsi="Times New Roman"/>
                <w:color w:val="000000"/>
              </w:rPr>
              <w:t>2</w:t>
            </w:r>
          </w:p>
        </w:tc>
        <w:tc>
          <w:tcPr>
            <w:tcW w:w="1242"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0.84</w:t>
            </w:r>
          </w:p>
        </w:tc>
        <w:tc>
          <w:tcPr>
            <w:tcW w:w="1363"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0.84</w:t>
            </w:r>
          </w:p>
        </w:tc>
        <w:tc>
          <w:tcPr>
            <w:tcW w:w="1365" w:type="pct"/>
            <w:gridSpan w:val="3"/>
            <w:vAlign w:val="center"/>
          </w:tcPr>
          <w:p>
            <w:pPr>
              <w:widowControl w:val="0"/>
              <w:jc w:val="center"/>
              <w:rPr>
                <w:rFonts w:ascii="Times New Roman" w:hAnsi="Times New Roman" w:cs="Times New Roman"/>
                <w:color w:val="000000"/>
              </w:rPr>
            </w:pPr>
            <w:r>
              <w:rPr>
                <w:rFonts w:ascii="Times New Roman" w:hAnsi="Times New Roman"/>
                <w:color w:val="000000"/>
              </w:rPr>
              <w:t>0.76</w:t>
            </w:r>
          </w:p>
        </w:tc>
      </w:tr>
    </w:tbl>
    <w:p>
      <w:pPr>
        <w:pStyle w:val="3"/>
        <w:ind w:firstLine="480"/>
        <w:rPr>
          <w:kern w:val="0"/>
        </w:rPr>
      </w:pPr>
      <w:r>
        <w:rPr>
          <w:rFonts w:hint="eastAsia"/>
          <w:kern w:val="0"/>
        </w:rPr>
        <w:t>根据《大气有害物质无组织排放卫生防护距离推导技术导则》（</w:t>
      </w:r>
      <w:r>
        <w:rPr>
          <w:kern w:val="0"/>
        </w:rPr>
        <w:t>GB/T39499-2020</w:t>
      </w:r>
      <w:r>
        <w:rPr>
          <w:rFonts w:hint="eastAsia"/>
          <w:kern w:val="0"/>
        </w:rPr>
        <w:t>）的规定（卫生防护距离在</w:t>
      </w:r>
      <w:r>
        <w:rPr>
          <w:kern w:val="0"/>
        </w:rPr>
        <w:t>100m</w:t>
      </w:r>
      <w:r>
        <w:rPr>
          <w:rFonts w:hint="eastAsia"/>
          <w:kern w:val="0"/>
        </w:rPr>
        <w:t>以内，级差为</w:t>
      </w:r>
      <w:r>
        <w:rPr>
          <w:kern w:val="0"/>
        </w:rPr>
        <w:t>50m</w:t>
      </w:r>
      <w:r>
        <w:rPr>
          <w:rFonts w:hint="eastAsia"/>
          <w:kern w:val="0"/>
        </w:rPr>
        <w:t>；超过</w:t>
      </w:r>
      <w:r>
        <w:rPr>
          <w:kern w:val="0"/>
        </w:rPr>
        <w:t>100m</w:t>
      </w:r>
      <w:r>
        <w:rPr>
          <w:rFonts w:hint="eastAsia"/>
          <w:kern w:val="0"/>
        </w:rPr>
        <w:t>但小于</w:t>
      </w:r>
      <w:r>
        <w:rPr>
          <w:kern w:val="0"/>
        </w:rPr>
        <w:t>1000m</w:t>
      </w:r>
      <w:r>
        <w:rPr>
          <w:rFonts w:hint="eastAsia"/>
          <w:kern w:val="0"/>
        </w:rPr>
        <w:t>时，级差为</w:t>
      </w:r>
      <w:r>
        <w:rPr>
          <w:kern w:val="0"/>
        </w:rPr>
        <w:t>100m</w:t>
      </w:r>
      <w:r>
        <w:rPr>
          <w:rFonts w:hint="eastAsia"/>
          <w:kern w:val="0"/>
        </w:rPr>
        <w:t>；超过</w:t>
      </w:r>
      <w:r>
        <w:rPr>
          <w:kern w:val="0"/>
        </w:rPr>
        <w:t>1000m</w:t>
      </w:r>
      <w:r>
        <w:rPr>
          <w:rFonts w:hint="eastAsia"/>
          <w:kern w:val="0"/>
        </w:rPr>
        <w:t>以上时，级差为</w:t>
      </w:r>
      <w:r>
        <w:rPr>
          <w:kern w:val="0"/>
        </w:rPr>
        <w:t>200m</w:t>
      </w:r>
      <w:r>
        <w:rPr>
          <w:rFonts w:hint="eastAsia"/>
          <w:kern w:val="0"/>
        </w:rPr>
        <w:t>。）将卫生防护距离的计算结果取整。本项目所在地的多年平均风速为</w:t>
      </w:r>
      <w:r>
        <w:rPr>
          <w:kern w:val="0"/>
        </w:rPr>
        <w:t>2.2m/s</w:t>
      </w:r>
      <w:r>
        <w:rPr>
          <w:rFonts w:hint="eastAsia"/>
          <w:kern w:val="0"/>
        </w:rPr>
        <w:t>，卫生防护距离计算公式中源强及参数取值、计算结果如表6.2-12所示。</w:t>
      </w:r>
    </w:p>
    <w:p>
      <w:pPr>
        <w:pStyle w:val="3"/>
        <w:spacing w:line="240" w:lineRule="auto"/>
        <w:ind w:firstLine="482"/>
        <w:jc w:val="center"/>
        <w:rPr>
          <w:b/>
          <w:color w:val="000000"/>
        </w:rPr>
      </w:pPr>
      <w:r>
        <w:rPr>
          <w:rFonts w:hint="eastAsia" w:cs="Times New Roman" w:eastAsiaTheme="minorEastAsia"/>
          <w:b/>
        </w:rPr>
        <w:t xml:space="preserve">表6.2-11  </w:t>
      </w:r>
      <w:r>
        <w:rPr>
          <w:rFonts w:hint="eastAsia"/>
          <w:b/>
          <w:color w:val="000000"/>
        </w:rPr>
        <w:t>卫生防护距离计算系数</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0"/>
        <w:gridCol w:w="717"/>
        <w:gridCol w:w="948"/>
        <w:gridCol w:w="802"/>
        <w:gridCol w:w="874"/>
        <w:gridCol w:w="982"/>
        <w:gridCol w:w="811"/>
        <w:gridCol w:w="799"/>
        <w:gridCol w:w="946"/>
        <w:gridCol w:w="711"/>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94" w:type="pct"/>
            <w:vMerge w:val="restar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污染源</w:t>
            </w:r>
          </w:p>
        </w:tc>
        <w:tc>
          <w:tcPr>
            <w:tcW w:w="398" w:type="pct"/>
            <w:vMerge w:val="restar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污染物</w:t>
            </w:r>
          </w:p>
        </w:tc>
        <w:tc>
          <w:tcPr>
            <w:tcW w:w="526" w:type="pct"/>
            <w:vMerge w:val="restar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排放速率（</w:t>
            </w:r>
            <w:r>
              <w:rPr>
                <w:rFonts w:ascii="Times New Roman" w:hAnsi="Times New Roman"/>
                <w:color w:val="000000"/>
              </w:rPr>
              <w:t>kg/h</w:t>
            </w:r>
            <w:r>
              <w:rPr>
                <w:rFonts w:hint="eastAsia" w:ascii="Times New Roman" w:hAnsi="Times New Roman"/>
                <w:color w:val="000000"/>
              </w:rPr>
              <w:t>）</w:t>
            </w:r>
          </w:p>
        </w:tc>
        <w:tc>
          <w:tcPr>
            <w:tcW w:w="445" w:type="pct"/>
            <w:vMerge w:val="restar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面源面积（</w:t>
            </w:r>
            <w:r>
              <w:rPr>
                <w:rFonts w:ascii="Times New Roman" w:hAnsi="Times New Roman"/>
                <w:color w:val="000000"/>
              </w:rPr>
              <w:t>m</w:t>
            </w:r>
            <w:r>
              <w:rPr>
                <w:rFonts w:ascii="Times New Roman" w:hAnsi="Times New Roman"/>
                <w:color w:val="000000"/>
                <w:vertAlign w:val="superscript"/>
              </w:rPr>
              <w:t>2</w:t>
            </w:r>
            <w:r>
              <w:rPr>
                <w:rFonts w:hint="eastAsia" w:ascii="Times New Roman" w:hAnsi="Times New Roman"/>
                <w:color w:val="000000"/>
              </w:rPr>
              <w:t>）</w:t>
            </w:r>
          </w:p>
        </w:tc>
        <w:tc>
          <w:tcPr>
            <w:tcW w:w="1923" w:type="pct"/>
            <w:gridSpan w:val="4"/>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计算参数</w:t>
            </w:r>
          </w:p>
        </w:tc>
        <w:tc>
          <w:tcPr>
            <w:tcW w:w="1314" w:type="pct"/>
            <w:gridSpan w:val="3"/>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卫生防护距离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vMerge w:val="continue"/>
            <w:vAlign w:val="center"/>
          </w:tcPr>
          <w:p>
            <w:pPr>
              <w:jc w:val="center"/>
              <w:rPr>
                <w:rFonts w:ascii="Times New Roman" w:hAnsi="Times New Roman" w:cs="Times New Roman"/>
                <w:color w:val="000000"/>
              </w:rPr>
            </w:pPr>
          </w:p>
        </w:tc>
        <w:tc>
          <w:tcPr>
            <w:tcW w:w="0" w:type="auto"/>
            <w:vMerge w:val="continue"/>
            <w:vAlign w:val="center"/>
          </w:tcPr>
          <w:p>
            <w:pPr>
              <w:jc w:val="center"/>
              <w:rPr>
                <w:rFonts w:ascii="Times New Roman" w:hAnsi="Times New Roman" w:cs="Times New Roman"/>
                <w:color w:val="000000"/>
              </w:rPr>
            </w:pPr>
          </w:p>
        </w:tc>
        <w:tc>
          <w:tcPr>
            <w:tcW w:w="0" w:type="auto"/>
            <w:vMerge w:val="continue"/>
            <w:vAlign w:val="center"/>
          </w:tcPr>
          <w:p>
            <w:pPr>
              <w:jc w:val="center"/>
              <w:rPr>
                <w:rFonts w:ascii="Times New Roman" w:hAnsi="Times New Roman" w:cs="Times New Roman"/>
                <w:color w:val="000000"/>
              </w:rPr>
            </w:pPr>
          </w:p>
        </w:tc>
        <w:tc>
          <w:tcPr>
            <w:tcW w:w="0" w:type="auto"/>
            <w:vMerge w:val="continue"/>
            <w:vAlign w:val="center"/>
          </w:tcPr>
          <w:p>
            <w:pPr>
              <w:jc w:val="center"/>
              <w:rPr>
                <w:rFonts w:ascii="Times New Roman" w:hAnsi="Times New Roman" w:cs="Times New Roman"/>
                <w:color w:val="000000"/>
              </w:rPr>
            </w:pPr>
          </w:p>
        </w:tc>
        <w:tc>
          <w:tcPr>
            <w:tcW w:w="48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A</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B</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C</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D</w:t>
            </w:r>
          </w:p>
        </w:tc>
        <w:tc>
          <w:tcPr>
            <w:tcW w:w="52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L</w:t>
            </w:r>
          </w:p>
        </w:tc>
        <w:tc>
          <w:tcPr>
            <w:tcW w:w="394"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级差</w:t>
            </w:r>
          </w:p>
        </w:tc>
        <w:tc>
          <w:tcPr>
            <w:tcW w:w="39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提级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94" w:type="pct"/>
            <w:vMerge w:val="restart"/>
            <w:vAlign w:val="center"/>
          </w:tcPr>
          <w:p>
            <w:pPr>
              <w:jc w:val="center"/>
              <w:rPr>
                <w:rFonts w:ascii="Times New Roman" w:hAnsi="Times New Roman"/>
              </w:rPr>
            </w:pPr>
            <w:r>
              <w:rPr>
                <w:rFonts w:hint="eastAsia" w:ascii="Times New Roman" w:hAnsi="Times New Roman"/>
              </w:rPr>
              <w:t>牛屠宰区（待宰区）</w:t>
            </w:r>
          </w:p>
        </w:tc>
        <w:tc>
          <w:tcPr>
            <w:tcW w:w="398" w:type="pct"/>
            <w:vAlign w:val="center"/>
          </w:tcPr>
          <w:p>
            <w:pPr>
              <w:widowControl w:val="0"/>
              <w:jc w:val="center"/>
              <w:rPr>
                <w:rFonts w:ascii="Times New Roman" w:hAnsi="Times New Roman" w:cs="Times New Roman"/>
              </w:rPr>
            </w:pPr>
            <w:r>
              <w:rPr>
                <w:rFonts w:ascii="Times New Roman" w:hAnsi="Times New Roman"/>
              </w:rPr>
              <w:t>NH</w:t>
            </w:r>
            <w:r>
              <w:rPr>
                <w:rFonts w:ascii="Times New Roman" w:hAnsi="Times New Roman"/>
                <w:vertAlign w:val="subscript"/>
              </w:rPr>
              <w:t>3</w:t>
            </w:r>
          </w:p>
        </w:tc>
        <w:tc>
          <w:tcPr>
            <w:tcW w:w="526" w:type="pct"/>
            <w:vAlign w:val="center"/>
          </w:tcPr>
          <w:p>
            <w:pPr>
              <w:widowControl w:val="0"/>
              <w:spacing w:line="300" w:lineRule="exact"/>
              <w:jc w:val="center"/>
              <w:rPr>
                <w:rFonts w:ascii="Times New Roman" w:hAnsi="Times New Roman" w:cs="Times New Roman"/>
                <w:color w:val="000000"/>
              </w:rPr>
            </w:pPr>
            <w:r>
              <w:rPr>
                <w:rFonts w:ascii="Times New Roman" w:hAnsi="Times New Roman"/>
              </w:rPr>
              <w:t>0.012</w:t>
            </w:r>
          </w:p>
        </w:tc>
        <w:tc>
          <w:tcPr>
            <w:tcW w:w="445" w:type="pct"/>
            <w:vMerge w:val="restar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olor w:val="000000"/>
              </w:rPr>
              <w:t>1820</w:t>
            </w: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0.385</w:t>
            </w:r>
          </w:p>
        </w:tc>
        <w:tc>
          <w:tcPr>
            <w:tcW w:w="394"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50</w:t>
            </w:r>
          </w:p>
        </w:tc>
        <w:tc>
          <w:tcPr>
            <w:tcW w:w="395" w:type="pct"/>
            <w:vMerge w:val="restar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vMerge w:val="continue"/>
            <w:vAlign w:val="center"/>
          </w:tcPr>
          <w:p>
            <w:pPr>
              <w:jc w:val="center"/>
              <w:rPr>
                <w:rFonts w:ascii="Times New Roman" w:hAnsi="Times New Roman" w:cs="Times New Roman"/>
                <w:kern w:val="0"/>
                <w:highlight w:val="yellow"/>
              </w:rPr>
            </w:pPr>
          </w:p>
        </w:tc>
        <w:tc>
          <w:tcPr>
            <w:tcW w:w="398" w:type="pct"/>
            <w:vAlign w:val="center"/>
          </w:tcPr>
          <w:p>
            <w:pPr>
              <w:widowControl w:val="0"/>
              <w:spacing w:line="300" w:lineRule="exact"/>
              <w:jc w:val="center"/>
              <w:rPr>
                <w:rFonts w:ascii="Times New Roman" w:hAnsi="Times New Roman" w:cs="Times New Roman"/>
                <w:color w:val="000000"/>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526" w:type="pct"/>
            <w:vAlign w:val="center"/>
          </w:tcPr>
          <w:p>
            <w:pPr>
              <w:widowControl w:val="0"/>
              <w:spacing w:line="300" w:lineRule="exact"/>
              <w:jc w:val="center"/>
              <w:rPr>
                <w:rFonts w:ascii="Times New Roman" w:hAnsi="Times New Roman" w:cs="Times New Roman"/>
                <w:color w:val="000000"/>
              </w:rPr>
            </w:pPr>
            <w:r>
              <w:rPr>
                <w:rFonts w:ascii="Times New Roman" w:hAnsi="Times New Roman"/>
              </w:rPr>
              <w:t>0.00024</w:t>
            </w:r>
          </w:p>
        </w:tc>
        <w:tc>
          <w:tcPr>
            <w:tcW w:w="0" w:type="auto"/>
            <w:vMerge w:val="continue"/>
            <w:vAlign w:val="center"/>
          </w:tcPr>
          <w:p>
            <w:pPr>
              <w:jc w:val="center"/>
              <w:rPr>
                <w:rFonts w:ascii="Times New Roman" w:hAnsi="Times New Roman" w:cs="Times New Roman"/>
                <w:color w:val="000000"/>
              </w:rPr>
            </w:pP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0.129</w:t>
            </w:r>
          </w:p>
        </w:tc>
        <w:tc>
          <w:tcPr>
            <w:tcW w:w="394"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50</w:t>
            </w:r>
          </w:p>
        </w:tc>
        <w:tc>
          <w:tcPr>
            <w:tcW w:w="0" w:type="auto"/>
            <w:vMerge w:val="continue"/>
            <w:vAlign w:val="center"/>
          </w:tcPr>
          <w:p>
            <w:pPr>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94" w:type="pct"/>
            <w:vMerge w:val="restart"/>
            <w:vAlign w:val="center"/>
          </w:tcPr>
          <w:p>
            <w:pPr>
              <w:jc w:val="center"/>
              <w:rPr>
                <w:rFonts w:ascii="Times New Roman" w:hAnsi="Times New Roman"/>
              </w:rPr>
            </w:pPr>
            <w:r>
              <w:rPr>
                <w:rFonts w:hint="eastAsia" w:ascii="Times New Roman" w:hAnsi="Times New Roman"/>
              </w:rPr>
              <w:t>禽类屠宰区（待宰区）</w:t>
            </w:r>
          </w:p>
        </w:tc>
        <w:tc>
          <w:tcPr>
            <w:tcW w:w="398" w:type="pct"/>
            <w:vAlign w:val="center"/>
          </w:tcPr>
          <w:p>
            <w:pPr>
              <w:widowControl w:val="0"/>
              <w:jc w:val="center"/>
              <w:rPr>
                <w:rFonts w:ascii="Times New Roman" w:hAnsi="Times New Roman" w:cs="Times New Roman"/>
              </w:rPr>
            </w:pPr>
            <w:r>
              <w:rPr>
                <w:rFonts w:ascii="Times New Roman" w:hAnsi="Times New Roman"/>
              </w:rPr>
              <w:t>NH</w:t>
            </w:r>
            <w:r>
              <w:rPr>
                <w:rFonts w:ascii="Times New Roman" w:hAnsi="Times New Roman"/>
                <w:vertAlign w:val="subscript"/>
              </w:rPr>
              <w:t>3</w:t>
            </w:r>
          </w:p>
        </w:tc>
        <w:tc>
          <w:tcPr>
            <w:tcW w:w="526" w:type="pct"/>
            <w:vAlign w:val="center"/>
          </w:tcPr>
          <w:p>
            <w:pPr>
              <w:jc w:val="center"/>
              <w:textAlignment w:val="center"/>
              <w:rPr>
                <w:rFonts w:ascii="Times New Roman" w:hAnsi="Times New Roman" w:cs="Times New Roman"/>
                <w:color w:val="000000"/>
                <w:kern w:val="0"/>
              </w:rPr>
            </w:pPr>
            <w:r>
              <w:rPr>
                <w:rFonts w:ascii="Times New Roman" w:hAnsi="Times New Roman"/>
              </w:rPr>
              <w:t>0.0063</w:t>
            </w:r>
          </w:p>
        </w:tc>
        <w:tc>
          <w:tcPr>
            <w:tcW w:w="445" w:type="pct"/>
            <w:vMerge w:val="restart"/>
            <w:vAlign w:val="center"/>
          </w:tcPr>
          <w:p>
            <w:pPr>
              <w:jc w:val="center"/>
              <w:rPr>
                <w:rFonts w:ascii="Times New Roman" w:hAnsi="Times New Roman" w:cs="Times New Roman"/>
                <w:color w:val="000000"/>
              </w:rPr>
            </w:pPr>
            <w:r>
              <w:rPr>
                <w:rFonts w:hint="eastAsia" w:ascii="Times New Roman" w:hAnsi="Times New Roman"/>
                <w:color w:val="000000"/>
              </w:rPr>
              <w:t>1875</w:t>
            </w: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0.235</w:t>
            </w:r>
          </w:p>
        </w:tc>
        <w:tc>
          <w:tcPr>
            <w:tcW w:w="394"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50</w:t>
            </w:r>
          </w:p>
        </w:tc>
        <w:tc>
          <w:tcPr>
            <w:tcW w:w="395" w:type="pct"/>
            <w:vMerge w:val="restart"/>
            <w:vAlign w:val="center"/>
          </w:tcPr>
          <w:p>
            <w:pPr>
              <w:jc w:val="center"/>
              <w:rPr>
                <w:rFonts w:ascii="Times New Roman" w:hAnsi="Times New Roman" w:cs="Times New Roman"/>
                <w:color w:val="000000"/>
              </w:rPr>
            </w:pPr>
            <w:r>
              <w:rPr>
                <w:rFonts w:ascii="Times New Roman" w:hAnsi="Times New Roman"/>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vMerge w:val="continue"/>
            <w:vAlign w:val="center"/>
          </w:tcPr>
          <w:p>
            <w:pPr>
              <w:jc w:val="center"/>
              <w:rPr>
                <w:rFonts w:ascii="Times New Roman" w:hAnsi="Times New Roman" w:cs="Times New Roman"/>
                <w:color w:val="000000"/>
              </w:rPr>
            </w:pPr>
          </w:p>
        </w:tc>
        <w:tc>
          <w:tcPr>
            <w:tcW w:w="398" w:type="pct"/>
            <w:vAlign w:val="center"/>
          </w:tcPr>
          <w:p>
            <w:pPr>
              <w:widowControl w:val="0"/>
              <w:spacing w:line="300" w:lineRule="exact"/>
              <w:jc w:val="center"/>
              <w:rPr>
                <w:rFonts w:ascii="Times New Roman" w:hAnsi="Times New Roman" w:cs="Times New Roman"/>
                <w:color w:val="000000"/>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526" w:type="pct"/>
            <w:vAlign w:val="center"/>
          </w:tcPr>
          <w:p>
            <w:pPr>
              <w:jc w:val="center"/>
              <w:textAlignment w:val="center"/>
              <w:rPr>
                <w:rFonts w:ascii="Times New Roman" w:hAnsi="Times New Roman" w:cs="Times New Roman"/>
                <w:color w:val="000000"/>
                <w:kern w:val="0"/>
              </w:rPr>
            </w:pPr>
            <w:r>
              <w:rPr>
                <w:rFonts w:ascii="Times New Roman" w:hAnsi="Times New Roman"/>
              </w:rPr>
              <w:t>0.000076</w:t>
            </w:r>
          </w:p>
        </w:tc>
        <w:tc>
          <w:tcPr>
            <w:tcW w:w="0" w:type="auto"/>
            <w:vMerge w:val="continue"/>
            <w:vAlign w:val="center"/>
          </w:tcPr>
          <w:p>
            <w:pPr>
              <w:jc w:val="center"/>
              <w:rPr>
                <w:rFonts w:ascii="Times New Roman" w:hAnsi="Times New Roman" w:cs="Times New Roman"/>
                <w:color w:val="000000"/>
              </w:rPr>
            </w:pP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0.079</w:t>
            </w:r>
          </w:p>
        </w:tc>
        <w:tc>
          <w:tcPr>
            <w:tcW w:w="394"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50</w:t>
            </w:r>
          </w:p>
        </w:tc>
        <w:tc>
          <w:tcPr>
            <w:tcW w:w="0" w:type="auto"/>
            <w:vMerge w:val="continue"/>
            <w:vAlign w:val="center"/>
          </w:tcPr>
          <w:p>
            <w:pPr>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vMerge w:val="restart"/>
            <w:vAlign w:val="center"/>
          </w:tcPr>
          <w:p>
            <w:pPr>
              <w:jc w:val="center"/>
              <w:rPr>
                <w:rFonts w:ascii="Times New Roman" w:hAnsi="Times New Roman"/>
              </w:rPr>
            </w:pPr>
            <w:r>
              <w:rPr>
                <w:rFonts w:hint="eastAsia" w:ascii="Times New Roman" w:hAnsi="Times New Roman"/>
              </w:rPr>
              <w:t>粪污处理系统</w:t>
            </w:r>
          </w:p>
        </w:tc>
        <w:tc>
          <w:tcPr>
            <w:tcW w:w="398" w:type="pct"/>
            <w:vAlign w:val="center"/>
          </w:tcPr>
          <w:p>
            <w:pPr>
              <w:widowControl w:val="0"/>
              <w:jc w:val="center"/>
              <w:rPr>
                <w:rFonts w:ascii="Times New Roman" w:hAnsi="Times New Roman" w:cs="Times New Roman"/>
              </w:rPr>
            </w:pPr>
            <w:r>
              <w:rPr>
                <w:rFonts w:ascii="Times New Roman" w:hAnsi="Times New Roman"/>
              </w:rPr>
              <w:t>NH</w:t>
            </w:r>
            <w:r>
              <w:rPr>
                <w:rFonts w:ascii="Times New Roman" w:hAnsi="Times New Roman"/>
                <w:vertAlign w:val="subscript"/>
              </w:rPr>
              <w:t>3</w:t>
            </w:r>
          </w:p>
        </w:tc>
        <w:tc>
          <w:tcPr>
            <w:tcW w:w="526" w:type="pct"/>
            <w:vAlign w:val="center"/>
          </w:tcPr>
          <w:p>
            <w:pPr>
              <w:jc w:val="center"/>
              <w:textAlignment w:val="center"/>
              <w:rPr>
                <w:rFonts w:ascii="Times New Roman" w:hAnsi="Times New Roman"/>
                <w:color w:val="000000"/>
                <w:kern w:val="0"/>
              </w:rPr>
            </w:pPr>
            <w:r>
              <w:rPr>
                <w:rFonts w:ascii="Times New Roman" w:hAnsi="Times New Roman"/>
              </w:rPr>
              <w:t>0.01215</w:t>
            </w:r>
          </w:p>
        </w:tc>
        <w:tc>
          <w:tcPr>
            <w:tcW w:w="0" w:type="auto"/>
            <w:vMerge w:val="restart"/>
            <w:vAlign w:val="center"/>
          </w:tcPr>
          <w:p>
            <w:pPr>
              <w:jc w:val="center"/>
              <w:rPr>
                <w:rFonts w:ascii="Times New Roman" w:hAnsi="Times New Roman" w:cs="Times New Roman"/>
                <w:color w:val="000000"/>
              </w:rPr>
            </w:pPr>
            <w:r>
              <w:rPr>
                <w:rFonts w:hint="eastAsia" w:ascii="Times New Roman" w:hAnsi="Times New Roman" w:cs="Times New Roman"/>
                <w:color w:val="000000"/>
              </w:rPr>
              <w:t>1750</w:t>
            </w: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olor w:val="000000"/>
              </w:rPr>
            </w:pPr>
            <w:r>
              <w:rPr>
                <w:rFonts w:hint="eastAsia" w:ascii="Times New Roman" w:hAnsi="Times New Roman"/>
                <w:color w:val="000000"/>
              </w:rPr>
              <w:t>2.395</w:t>
            </w:r>
          </w:p>
        </w:tc>
        <w:tc>
          <w:tcPr>
            <w:tcW w:w="394" w:type="pct"/>
            <w:vAlign w:val="center"/>
          </w:tcPr>
          <w:p>
            <w:pPr>
              <w:widowControl w:val="0"/>
              <w:spacing w:line="300" w:lineRule="exact"/>
              <w:jc w:val="center"/>
              <w:rPr>
                <w:rFonts w:ascii="Times New Roman" w:hAnsi="Times New Roman"/>
                <w:color w:val="000000"/>
              </w:rPr>
            </w:pPr>
            <w:r>
              <w:rPr>
                <w:rFonts w:hint="eastAsia" w:ascii="Times New Roman" w:hAnsi="Times New Roman"/>
                <w:color w:val="000000"/>
              </w:rPr>
              <w:t>50</w:t>
            </w:r>
          </w:p>
        </w:tc>
        <w:tc>
          <w:tcPr>
            <w:tcW w:w="0" w:type="auto"/>
            <w:vMerge w:val="restart"/>
            <w:vAlign w:val="center"/>
          </w:tcPr>
          <w:p>
            <w:pPr>
              <w:jc w:val="center"/>
              <w:rPr>
                <w:rFonts w:ascii="Times New Roman" w:hAnsi="Times New Roman" w:cs="Times New Roman"/>
                <w:color w:val="000000"/>
              </w:rPr>
            </w:pPr>
            <w:r>
              <w:rPr>
                <w:rFonts w:hint="eastAsia" w:ascii="Times New Roman" w:hAnsi="Times New Roman" w:cs="Times New Roman"/>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vMerge w:val="continue"/>
            <w:vAlign w:val="center"/>
          </w:tcPr>
          <w:p>
            <w:pPr>
              <w:jc w:val="center"/>
              <w:rPr>
                <w:rFonts w:ascii="Times New Roman" w:hAnsi="Times New Roman" w:cs="Times New Roman"/>
                <w:color w:val="000000"/>
              </w:rPr>
            </w:pPr>
          </w:p>
        </w:tc>
        <w:tc>
          <w:tcPr>
            <w:tcW w:w="398" w:type="pct"/>
            <w:vAlign w:val="center"/>
          </w:tcPr>
          <w:p>
            <w:pPr>
              <w:widowControl w:val="0"/>
              <w:spacing w:line="300" w:lineRule="exact"/>
              <w:jc w:val="center"/>
              <w:rPr>
                <w:rFonts w:ascii="Times New Roman" w:hAnsi="Times New Roman" w:cs="Times New Roman"/>
                <w:color w:val="000000"/>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526" w:type="pct"/>
            <w:vAlign w:val="center"/>
          </w:tcPr>
          <w:p>
            <w:pPr>
              <w:jc w:val="center"/>
              <w:textAlignment w:val="center"/>
              <w:rPr>
                <w:rFonts w:ascii="Times New Roman" w:hAnsi="Times New Roman"/>
                <w:color w:val="000000"/>
                <w:kern w:val="0"/>
              </w:rPr>
            </w:pPr>
            <w:r>
              <w:rPr>
                <w:rFonts w:ascii="Times New Roman" w:hAnsi="Times New Roman"/>
              </w:rPr>
              <w:t>0.000468</w:t>
            </w:r>
          </w:p>
        </w:tc>
        <w:tc>
          <w:tcPr>
            <w:tcW w:w="0" w:type="auto"/>
            <w:vMerge w:val="continue"/>
            <w:vAlign w:val="center"/>
          </w:tcPr>
          <w:p>
            <w:pPr>
              <w:jc w:val="center"/>
              <w:rPr>
                <w:rFonts w:ascii="Times New Roman" w:hAnsi="Times New Roman" w:cs="Times New Roman"/>
                <w:color w:val="000000"/>
              </w:rPr>
            </w:pPr>
          </w:p>
        </w:tc>
        <w:tc>
          <w:tcPr>
            <w:tcW w:w="485" w:type="pct"/>
            <w:vAlign w:val="center"/>
          </w:tcPr>
          <w:p>
            <w:pPr>
              <w:widowControl w:val="0"/>
              <w:spacing w:line="300" w:lineRule="exact"/>
              <w:jc w:val="center"/>
              <w:rPr>
                <w:rFonts w:ascii="Times New Roman" w:hAnsi="Times New Roman" w:cs="Times New Roman"/>
                <w:color w:val="000000"/>
              </w:rPr>
            </w:pPr>
            <w:r>
              <w:rPr>
                <w:rFonts w:hint="eastAsia" w:ascii="Times New Roman" w:hAnsi="Times New Roman" w:cs="Times New Roman"/>
                <w:color w:val="000000"/>
              </w:rPr>
              <w:t>470</w:t>
            </w:r>
          </w:p>
        </w:tc>
        <w:tc>
          <w:tcPr>
            <w:tcW w:w="545"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0.021</w:t>
            </w:r>
          </w:p>
        </w:tc>
        <w:tc>
          <w:tcPr>
            <w:tcW w:w="450"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1.85</w:t>
            </w:r>
          </w:p>
        </w:tc>
        <w:tc>
          <w:tcPr>
            <w:tcW w:w="443" w:type="pct"/>
            <w:vAlign w:val="center"/>
          </w:tcPr>
          <w:p>
            <w:pPr>
              <w:widowControl w:val="0"/>
              <w:spacing w:line="300" w:lineRule="exact"/>
              <w:jc w:val="center"/>
              <w:rPr>
                <w:rFonts w:ascii="Times New Roman" w:hAnsi="Times New Roman" w:cs="Times New Roman"/>
                <w:color w:val="000000"/>
              </w:rPr>
            </w:pPr>
            <w:r>
              <w:rPr>
                <w:rFonts w:ascii="Times New Roman" w:hAnsi="Times New Roman"/>
                <w:color w:val="000000"/>
              </w:rPr>
              <w:t>0.84</w:t>
            </w:r>
          </w:p>
        </w:tc>
        <w:tc>
          <w:tcPr>
            <w:tcW w:w="525" w:type="pct"/>
            <w:vAlign w:val="center"/>
          </w:tcPr>
          <w:p>
            <w:pPr>
              <w:widowControl w:val="0"/>
              <w:spacing w:line="300" w:lineRule="exact"/>
              <w:jc w:val="center"/>
              <w:rPr>
                <w:rFonts w:ascii="Times New Roman" w:hAnsi="Times New Roman"/>
                <w:color w:val="000000"/>
              </w:rPr>
            </w:pPr>
            <w:r>
              <w:rPr>
                <w:rFonts w:hint="eastAsia" w:ascii="Times New Roman" w:hAnsi="Times New Roman"/>
                <w:color w:val="000000"/>
              </w:rPr>
              <w:t>25.130</w:t>
            </w:r>
          </w:p>
        </w:tc>
        <w:tc>
          <w:tcPr>
            <w:tcW w:w="394" w:type="pct"/>
            <w:vAlign w:val="center"/>
          </w:tcPr>
          <w:p>
            <w:pPr>
              <w:widowControl w:val="0"/>
              <w:spacing w:line="300" w:lineRule="exact"/>
              <w:jc w:val="center"/>
              <w:rPr>
                <w:rFonts w:ascii="Times New Roman" w:hAnsi="Times New Roman"/>
                <w:color w:val="000000"/>
              </w:rPr>
            </w:pPr>
            <w:r>
              <w:rPr>
                <w:rFonts w:hint="eastAsia" w:ascii="Times New Roman" w:hAnsi="Times New Roman"/>
                <w:color w:val="000000"/>
              </w:rPr>
              <w:t>50</w:t>
            </w:r>
          </w:p>
        </w:tc>
        <w:tc>
          <w:tcPr>
            <w:tcW w:w="0" w:type="auto"/>
            <w:vMerge w:val="continue"/>
            <w:vAlign w:val="center"/>
          </w:tcPr>
          <w:p>
            <w:pPr>
              <w:jc w:val="center"/>
              <w:rPr>
                <w:rFonts w:ascii="Times New Roman" w:hAnsi="Times New Roman" w:cs="Times New Roman"/>
                <w:color w:val="000000"/>
              </w:rPr>
            </w:pPr>
          </w:p>
        </w:tc>
      </w:tr>
    </w:tbl>
    <w:p>
      <w:pPr>
        <w:pStyle w:val="3"/>
        <w:ind w:firstLine="0" w:firstLineChars="0"/>
        <w:jc w:val="center"/>
        <w:rPr>
          <w:kern w:val="0"/>
        </w:rPr>
      </w:pPr>
      <w:r>
        <w:drawing>
          <wp:inline distT="0" distB="0" distL="0" distR="0">
            <wp:extent cx="5486400" cy="3113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486400" cy="3113405"/>
                    </a:xfrm>
                    <a:prstGeom prst="rect">
                      <a:avLst/>
                    </a:prstGeom>
                  </pic:spPr>
                </pic:pic>
              </a:graphicData>
            </a:graphic>
          </wp:inline>
        </w:drawing>
      </w:r>
    </w:p>
    <w:p>
      <w:pPr>
        <w:pStyle w:val="3"/>
        <w:spacing w:line="240" w:lineRule="auto"/>
        <w:ind w:firstLine="482"/>
        <w:jc w:val="center"/>
        <w:rPr>
          <w:b/>
          <w:color w:val="000000"/>
        </w:rPr>
      </w:pPr>
      <w:r>
        <w:rPr>
          <w:rFonts w:hint="eastAsia" w:cs="Times New Roman" w:eastAsiaTheme="minorEastAsia"/>
          <w:b/>
        </w:rPr>
        <w:t xml:space="preserve">表6.2-1  </w:t>
      </w:r>
      <w:r>
        <w:rPr>
          <w:rFonts w:hint="eastAsia"/>
          <w:b/>
          <w:color w:val="000000"/>
        </w:rPr>
        <w:t>项目恶臭排放卫生防护距离运算结果图</w:t>
      </w:r>
    </w:p>
    <w:p>
      <w:pPr>
        <w:pStyle w:val="3"/>
        <w:ind w:firstLine="480"/>
        <w:rPr>
          <w:color w:val="FF0000"/>
          <w:kern w:val="0"/>
          <w:u w:val="single"/>
        </w:rPr>
      </w:pPr>
      <w:r>
        <w:rPr>
          <w:rFonts w:hint="eastAsia"/>
          <w:color w:val="FF0000"/>
          <w:kern w:val="0"/>
          <w:u w:val="single"/>
        </w:rPr>
        <w:t>根据《大气有害物质无组织排放卫生防护距离推导技术导则》（</w:t>
      </w:r>
      <w:r>
        <w:rPr>
          <w:color w:val="FF0000"/>
          <w:kern w:val="0"/>
          <w:u w:val="single"/>
        </w:rPr>
        <w:t>GB/T39499-2020</w:t>
      </w:r>
      <w:r>
        <w:rPr>
          <w:rFonts w:hint="eastAsia"/>
          <w:color w:val="FF0000"/>
          <w:kern w:val="0"/>
          <w:u w:val="single"/>
        </w:rPr>
        <w:t>）中的规定得，本项目的卫生防护距离为</w:t>
      </w:r>
      <w:r>
        <w:rPr>
          <w:color w:val="FF0000"/>
          <w:kern w:val="0"/>
          <w:u w:val="single"/>
        </w:rPr>
        <w:t>100m</w:t>
      </w:r>
      <w:r>
        <w:rPr>
          <w:rFonts w:hint="eastAsia"/>
          <w:color w:val="FF0000"/>
          <w:kern w:val="0"/>
          <w:u w:val="single"/>
        </w:rPr>
        <w:t>范围；具体详见附图</w:t>
      </w:r>
      <w:r>
        <w:rPr>
          <w:color w:val="FF0000"/>
          <w:kern w:val="0"/>
          <w:u w:val="single"/>
        </w:rPr>
        <w:t>6</w:t>
      </w:r>
      <w:r>
        <w:rPr>
          <w:rFonts w:hint="eastAsia"/>
          <w:color w:val="FF0000"/>
          <w:kern w:val="0"/>
          <w:u w:val="single"/>
        </w:rPr>
        <w:t>项目卫生防护距离包络图。</w:t>
      </w:r>
    </w:p>
    <w:p>
      <w:pPr>
        <w:pStyle w:val="3"/>
        <w:ind w:firstLine="480"/>
        <w:rPr>
          <w:color w:val="FF0000"/>
          <w:kern w:val="0"/>
          <w:u w:val="single"/>
        </w:rPr>
      </w:pPr>
      <w:r>
        <w:rPr>
          <w:rFonts w:hint="eastAsia"/>
          <w:color w:val="FF0000"/>
          <w:kern w:val="0"/>
          <w:u w:val="single"/>
        </w:rPr>
        <w:t>根据项目卫生防护距离包络图，本项目距污染源边界</w:t>
      </w:r>
      <w:r>
        <w:rPr>
          <w:color w:val="FF0000"/>
          <w:kern w:val="0"/>
          <w:u w:val="single"/>
        </w:rPr>
        <w:t>100m</w:t>
      </w:r>
      <w:r>
        <w:rPr>
          <w:rFonts w:hint="eastAsia"/>
          <w:color w:val="FF0000"/>
          <w:kern w:val="0"/>
          <w:u w:val="single"/>
        </w:rPr>
        <w:t>内居民点有三户，均被建设单位租赁，并作为项目员工休息宿舍。故本项目卫生防护距离范围内无敏感点分布，符合要求。</w:t>
      </w:r>
    </w:p>
    <w:p>
      <w:pPr>
        <w:pStyle w:val="3"/>
        <w:ind w:firstLine="480"/>
        <w:rPr>
          <w:kern w:val="0"/>
        </w:rPr>
        <w:sectPr>
          <w:pgSz w:w="11906" w:h="16838"/>
          <w:pgMar w:top="1474" w:right="1361" w:bottom="1474" w:left="1588" w:header="851" w:footer="992" w:gutter="0"/>
          <w:cols w:space="425" w:num="1"/>
          <w:docGrid w:type="lines" w:linePitch="312" w:charSpace="0"/>
        </w:sectPr>
      </w:pPr>
      <w:r>
        <w:rPr>
          <w:rFonts w:hint="eastAsia"/>
          <w:color w:val="FF0000"/>
          <w:kern w:val="0"/>
          <w:u w:val="single"/>
        </w:rPr>
        <w:t>建议当地政府及规划部门，严格控制该范围内的项目审批和建设，特别是要杜绝建设住宅、学校、敬老院、医院等设施，确保项目涉及的卫生防护距离范围内不增加新的环境敏感点</w:t>
      </w:r>
      <w:r>
        <w:rPr>
          <w:rFonts w:hint="eastAsia"/>
          <w:kern w:val="0"/>
        </w:rPr>
        <w:t>。</w:t>
      </w:r>
    </w:p>
    <w:p>
      <w:pPr>
        <w:pStyle w:val="3"/>
        <w:ind w:firstLine="0" w:firstLineChars="0"/>
        <w:outlineLvl w:val="3"/>
        <w:rPr>
          <w:rFonts w:eastAsia="黑体" w:cstheme="majorBidi"/>
          <w:bCs/>
          <w:szCs w:val="32"/>
        </w:rPr>
      </w:pPr>
      <w:r>
        <w:rPr>
          <w:rFonts w:hint="eastAsia" w:eastAsia="黑体" w:cstheme="majorBidi"/>
          <w:bCs/>
          <w:szCs w:val="32"/>
        </w:rPr>
        <w:t>6.2.2.4 污染物排放总量核算</w:t>
      </w:r>
    </w:p>
    <w:p>
      <w:pPr>
        <w:pStyle w:val="3"/>
        <w:ind w:firstLine="480"/>
        <w:rPr>
          <w:kern w:val="0"/>
        </w:rPr>
      </w:pPr>
      <w:r>
        <w:rPr>
          <w:rFonts w:hint="eastAsia"/>
          <w:kern w:val="0"/>
        </w:rPr>
        <w:t>1、正常排放核算</w:t>
      </w:r>
    </w:p>
    <w:p>
      <w:pPr>
        <w:pStyle w:val="3"/>
        <w:spacing w:line="240" w:lineRule="auto"/>
        <w:ind w:firstLine="482"/>
        <w:jc w:val="center"/>
        <w:rPr>
          <w:rFonts w:cs="Times New Roman" w:eastAsiaTheme="minorEastAsia"/>
          <w:b/>
        </w:rPr>
      </w:pPr>
      <w:r>
        <w:rPr>
          <w:rFonts w:hint="eastAsia" w:cs="Times New Roman" w:eastAsiaTheme="minorEastAsia"/>
          <w:b/>
        </w:rPr>
        <w:t>表6.2-12</w:t>
      </w:r>
      <w:r>
        <w:rPr>
          <w:rFonts w:cs="Times New Roman" w:eastAsiaTheme="minorEastAsia"/>
          <w:b/>
        </w:rPr>
        <w:t xml:space="preserve">  </w:t>
      </w:r>
      <w:r>
        <w:rPr>
          <w:rFonts w:hint="eastAsia" w:cs="Times New Roman" w:eastAsiaTheme="minorEastAsia"/>
          <w:b/>
        </w:rPr>
        <w:t>大气污染物排放核算表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71"/>
        <w:gridCol w:w="621"/>
        <w:gridCol w:w="626"/>
        <w:gridCol w:w="959"/>
        <w:gridCol w:w="993"/>
        <w:gridCol w:w="1134"/>
        <w:gridCol w:w="1134"/>
        <w:gridCol w:w="990"/>
        <w:gridCol w:w="711"/>
        <w:gridCol w:w="567"/>
        <w:gridCol w:w="990"/>
        <w:gridCol w:w="1134"/>
        <w:gridCol w:w="1134"/>
        <w:gridCol w:w="567"/>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污染排放源</w:t>
            </w:r>
          </w:p>
        </w:tc>
        <w:tc>
          <w:tcPr>
            <w:tcW w:w="273"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产污节点编号</w:t>
            </w:r>
          </w:p>
        </w:tc>
        <w:tc>
          <w:tcPr>
            <w:tcW w:w="22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位置</w:t>
            </w:r>
          </w:p>
        </w:tc>
        <w:tc>
          <w:tcPr>
            <w:tcW w:w="222"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污染物</w:t>
            </w:r>
          </w:p>
        </w:tc>
        <w:tc>
          <w:tcPr>
            <w:tcW w:w="1496" w:type="pct"/>
            <w:gridSpan w:val="4"/>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污染物产生</w:t>
            </w:r>
          </w:p>
        </w:tc>
        <w:tc>
          <w:tcPr>
            <w:tcW w:w="804" w:type="pct"/>
            <w:gridSpan w:val="3"/>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治理措施</w:t>
            </w:r>
          </w:p>
        </w:tc>
        <w:tc>
          <w:tcPr>
            <w:tcW w:w="1595" w:type="pct"/>
            <w:gridSpan w:val="5"/>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273" w:type="pct"/>
            <w:vMerge w:val="continue"/>
            <w:vAlign w:val="center"/>
          </w:tcPr>
          <w:p>
            <w:pPr>
              <w:widowControl w:val="0"/>
              <w:spacing w:line="300" w:lineRule="exact"/>
              <w:jc w:val="center"/>
              <w:rPr>
                <w:rFonts w:ascii="Times New Roman" w:hAnsi="Times New Roman" w:cs="Times New Roman"/>
                <w:color w:val="FF0000"/>
                <w:u w:val="single"/>
              </w:rPr>
            </w:pPr>
          </w:p>
        </w:tc>
        <w:tc>
          <w:tcPr>
            <w:tcW w:w="220" w:type="pct"/>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Merge w:val="continue"/>
            <w:vAlign w:val="center"/>
          </w:tcPr>
          <w:p>
            <w:pPr>
              <w:widowControl w:val="0"/>
              <w:spacing w:line="300" w:lineRule="exact"/>
              <w:jc w:val="center"/>
              <w:rPr>
                <w:rFonts w:ascii="Times New Roman" w:hAnsi="Times New Roman" w:cs="Times New Roman"/>
                <w:color w:val="FF0000"/>
                <w:u w:val="single"/>
              </w:rPr>
            </w:pP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废气量</w:t>
            </w:r>
          </w:p>
        </w:tc>
        <w:tc>
          <w:tcPr>
            <w:tcW w:w="35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产生浓度</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产生速率</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产生量</w:t>
            </w:r>
          </w:p>
        </w:tc>
        <w:tc>
          <w:tcPr>
            <w:tcW w:w="351"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工艺</w:t>
            </w:r>
          </w:p>
        </w:tc>
        <w:tc>
          <w:tcPr>
            <w:tcW w:w="252"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污染物</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效率</w:t>
            </w:r>
          </w:p>
        </w:tc>
        <w:tc>
          <w:tcPr>
            <w:tcW w:w="35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排放浓度</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排放速率</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排放量</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排放高度</w:t>
            </w:r>
          </w:p>
        </w:tc>
        <w:tc>
          <w:tcPr>
            <w:tcW w:w="239"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273" w:type="pct"/>
            <w:vMerge w:val="continue"/>
            <w:vAlign w:val="center"/>
          </w:tcPr>
          <w:p>
            <w:pPr>
              <w:widowControl w:val="0"/>
              <w:spacing w:line="300" w:lineRule="exact"/>
              <w:jc w:val="center"/>
              <w:rPr>
                <w:rFonts w:ascii="Times New Roman" w:hAnsi="Times New Roman" w:cs="Times New Roman"/>
                <w:color w:val="FF0000"/>
                <w:u w:val="single"/>
              </w:rPr>
            </w:pPr>
          </w:p>
        </w:tc>
        <w:tc>
          <w:tcPr>
            <w:tcW w:w="220" w:type="pct"/>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Merge w:val="continue"/>
            <w:vAlign w:val="center"/>
          </w:tcPr>
          <w:p>
            <w:pPr>
              <w:widowControl w:val="0"/>
              <w:spacing w:line="300" w:lineRule="exact"/>
              <w:jc w:val="center"/>
              <w:rPr>
                <w:rFonts w:ascii="Times New Roman" w:hAnsi="Times New Roman" w:cs="Times New Roman"/>
                <w:color w:val="FF0000"/>
                <w:u w:val="single"/>
              </w:rPr>
            </w:pP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m</w:t>
            </w:r>
            <w:r>
              <w:rPr>
                <w:rFonts w:ascii="Times New Roman" w:hAnsi="Times New Roman" w:cs="Times New Roman"/>
                <w:color w:val="FF0000"/>
                <w:u w:val="single"/>
                <w:vertAlign w:val="superscript"/>
              </w:rPr>
              <w:t>3</w:t>
            </w:r>
            <w:r>
              <w:rPr>
                <w:rFonts w:ascii="Times New Roman" w:hAnsi="Times New Roman" w:cs="Times New Roman"/>
                <w:color w:val="FF0000"/>
                <w:u w:val="single"/>
              </w:rPr>
              <w:t>/h</w:t>
            </w:r>
          </w:p>
        </w:tc>
        <w:tc>
          <w:tcPr>
            <w:tcW w:w="35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mg/m</w:t>
            </w:r>
            <w:r>
              <w:rPr>
                <w:rFonts w:ascii="Times New Roman" w:hAnsi="Times New Roman" w:cs="Times New Roman"/>
                <w:color w:val="FF0000"/>
                <w:u w:val="single"/>
                <w:vertAlign w:val="superscript"/>
              </w:rPr>
              <w:t>3</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kg/h</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t/a</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Merge w:val="continue"/>
            <w:vAlign w:val="center"/>
          </w:tcPr>
          <w:p>
            <w:pPr>
              <w:widowControl w:val="0"/>
              <w:spacing w:line="300" w:lineRule="exact"/>
              <w:jc w:val="center"/>
              <w:rPr>
                <w:rFonts w:ascii="Times New Roman" w:hAnsi="Times New Roman" w:cs="Times New Roman"/>
                <w:color w:val="FF0000"/>
                <w:u w:val="single"/>
              </w:rPr>
            </w:pP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mg/m</w:t>
            </w:r>
            <w:r>
              <w:rPr>
                <w:rFonts w:ascii="Times New Roman" w:hAnsi="Times New Roman" w:cs="Times New Roman"/>
                <w:color w:val="FF0000"/>
                <w:u w:val="single"/>
                <w:vertAlign w:val="superscript"/>
              </w:rPr>
              <w:t>3</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kg/h</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t/a</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m</w:t>
            </w:r>
          </w:p>
        </w:tc>
        <w:tc>
          <w:tcPr>
            <w:tcW w:w="239"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1#排气筒DA001</w:t>
            </w:r>
          </w:p>
        </w:tc>
        <w:tc>
          <w:tcPr>
            <w:tcW w:w="273"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锅炉废气</w:t>
            </w:r>
          </w:p>
        </w:tc>
        <w:tc>
          <w:tcPr>
            <w:tcW w:w="22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锅炉</w:t>
            </w:r>
          </w:p>
        </w:tc>
        <w:tc>
          <w:tcPr>
            <w:tcW w:w="22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烟尘</w:t>
            </w:r>
          </w:p>
        </w:tc>
        <w:tc>
          <w:tcPr>
            <w:tcW w:w="34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374.4万</w:t>
            </w: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41.7</w:t>
            </w:r>
          </w:p>
        </w:tc>
        <w:tc>
          <w:tcPr>
            <w:tcW w:w="40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0.125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0.3</w:t>
            </w:r>
          </w:p>
        </w:tc>
        <w:tc>
          <w:tcPr>
            <w:tcW w:w="351"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布袋除尘处理+25m高排气筒</w:t>
            </w:r>
          </w:p>
        </w:tc>
        <w:tc>
          <w:tcPr>
            <w:tcW w:w="25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烟尘</w:t>
            </w:r>
          </w:p>
        </w:tc>
        <w:tc>
          <w:tcPr>
            <w:tcW w:w="201" w:type="pct"/>
            <w:vAlign w:val="center"/>
          </w:tcPr>
          <w:p>
            <w:pPr>
              <w:widowControl w:val="0"/>
              <w:spacing w:line="300" w:lineRule="exact"/>
              <w:jc w:val="center"/>
              <w:rPr>
                <w:rFonts w:ascii="Times New Roman" w:hAnsi="Times New Roman" w:cs="Times New Roman"/>
                <w:color w:val="FF0000"/>
                <w:u w:val="single"/>
              </w:rPr>
            </w:pPr>
            <w:r>
              <w:rPr>
                <w:rFonts w:hint="eastAsia" w:ascii="Times New Roman" w:hAnsi="Times New Roman" w:cs="Times New Roman"/>
                <w:color w:val="FF0000"/>
                <w:u w:val="single"/>
              </w:rPr>
              <w:t>99</w:t>
            </w:r>
          </w:p>
        </w:tc>
        <w:tc>
          <w:tcPr>
            <w:tcW w:w="351" w:type="pct"/>
            <w:vAlign w:val="center"/>
          </w:tcPr>
          <w:p>
            <w:pPr>
              <w:widowControl w:val="0"/>
              <w:jc w:val="center"/>
              <w:rPr>
                <w:rFonts w:ascii="Times New Roman" w:hAnsi="Times New Roman" w:cs="Times New Roman"/>
                <w:color w:val="FF0000"/>
                <w:u w:val="single"/>
              </w:rPr>
            </w:pPr>
            <w:r>
              <w:rPr>
                <w:rFonts w:hint="eastAsia" w:ascii="Times New Roman" w:hAnsi="Times New Roman" w:cs="Times New Roman"/>
                <w:color w:val="FF0000"/>
                <w:u w:val="single"/>
              </w:rPr>
              <w:t>0.417</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0.0</w:t>
            </w:r>
            <w:r>
              <w:rPr>
                <w:rFonts w:hint="eastAsia" w:ascii="Times New Roman" w:hAnsi="Times New Roman" w:cs="Times New Roman"/>
                <w:color w:val="FF0000"/>
                <w:u w:val="single"/>
              </w:rPr>
              <w:t>0</w:t>
            </w:r>
            <w:r>
              <w:rPr>
                <w:rFonts w:ascii="Times New Roman" w:hAnsi="Times New Roman" w:cs="Times New Roman"/>
                <w:color w:val="FF0000"/>
                <w:u w:val="single"/>
              </w:rPr>
              <w:t>125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0.0</w:t>
            </w:r>
            <w:r>
              <w:rPr>
                <w:rFonts w:hint="eastAsia" w:ascii="Times New Roman" w:hAnsi="Times New Roman" w:cs="Times New Roman"/>
                <w:color w:val="FF0000"/>
                <w:u w:val="single"/>
              </w:rPr>
              <w:t>0</w:t>
            </w:r>
            <w:r>
              <w:rPr>
                <w:rFonts w:ascii="Times New Roman" w:hAnsi="Times New Roman" w:cs="Times New Roman"/>
                <w:color w:val="FF0000"/>
                <w:u w:val="single"/>
              </w:rPr>
              <w:t>3</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25</w:t>
            </w:r>
          </w:p>
        </w:tc>
        <w:tc>
          <w:tcPr>
            <w:tcW w:w="239"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273" w:type="pct"/>
            <w:vMerge w:val="continue"/>
            <w:vAlign w:val="center"/>
          </w:tcPr>
          <w:p>
            <w:pPr>
              <w:widowControl w:val="0"/>
              <w:spacing w:line="300" w:lineRule="exact"/>
              <w:jc w:val="center"/>
              <w:rPr>
                <w:rFonts w:ascii="Times New Roman" w:hAnsi="Times New Roman" w:cs="Times New Roman"/>
                <w:color w:val="FF0000"/>
                <w:u w:val="single"/>
              </w:rPr>
            </w:pPr>
          </w:p>
        </w:tc>
        <w:tc>
          <w:tcPr>
            <w:tcW w:w="220" w:type="pct"/>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SO</w:t>
            </w:r>
            <w:r>
              <w:rPr>
                <w:rFonts w:ascii="Times New Roman" w:hAnsi="Times New Roman" w:eastAsiaTheme="minorEastAsia"/>
                <w:color w:val="FF0000"/>
                <w:szCs w:val="21"/>
                <w:u w:val="single"/>
                <w:vertAlign w:val="subscript"/>
              </w:rPr>
              <w:t>2</w:t>
            </w:r>
          </w:p>
        </w:tc>
        <w:tc>
          <w:tcPr>
            <w:tcW w:w="340" w:type="pct"/>
            <w:vMerge w:val="continue"/>
            <w:vAlign w:val="center"/>
          </w:tcPr>
          <w:p>
            <w:pPr>
              <w:widowControl w:val="0"/>
              <w:spacing w:line="300" w:lineRule="exact"/>
              <w:jc w:val="center"/>
              <w:rPr>
                <w:rFonts w:ascii="Times New Roman" w:hAnsi="Times New Roman" w:cs="Times New Roman"/>
                <w:color w:val="FF0000"/>
                <w:u w:val="single"/>
              </w:rPr>
            </w:pP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28.3</w:t>
            </w:r>
          </w:p>
        </w:tc>
        <w:tc>
          <w:tcPr>
            <w:tcW w:w="40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0.085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0.204</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SO</w:t>
            </w:r>
            <w:r>
              <w:rPr>
                <w:rFonts w:ascii="Times New Roman" w:hAnsi="Times New Roman" w:eastAsiaTheme="minorEastAsia"/>
                <w:color w:val="FF0000"/>
                <w:szCs w:val="21"/>
                <w:u w:val="single"/>
                <w:vertAlign w:val="subscript"/>
              </w:rPr>
              <w:t>2</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28.3</w:t>
            </w:r>
          </w:p>
        </w:tc>
        <w:tc>
          <w:tcPr>
            <w:tcW w:w="40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0.085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0.204</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25</w:t>
            </w:r>
          </w:p>
        </w:tc>
        <w:tc>
          <w:tcPr>
            <w:tcW w:w="239" w:type="pct"/>
            <w:vMerge w:val="continue"/>
            <w:vAlign w:val="center"/>
          </w:tcPr>
          <w:p>
            <w:pPr>
              <w:widowControl w:val="0"/>
              <w:spacing w:line="300" w:lineRule="exact"/>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273" w:type="pct"/>
            <w:vMerge w:val="continue"/>
            <w:vAlign w:val="center"/>
          </w:tcPr>
          <w:p>
            <w:pPr>
              <w:widowControl w:val="0"/>
              <w:spacing w:line="300" w:lineRule="exact"/>
              <w:jc w:val="center"/>
              <w:rPr>
                <w:rFonts w:ascii="Times New Roman" w:hAnsi="Times New Roman" w:cs="Times New Roman"/>
                <w:color w:val="FF0000"/>
                <w:u w:val="single"/>
              </w:rPr>
            </w:pPr>
          </w:p>
        </w:tc>
        <w:tc>
          <w:tcPr>
            <w:tcW w:w="220" w:type="pct"/>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NOx</w:t>
            </w:r>
          </w:p>
        </w:tc>
        <w:tc>
          <w:tcPr>
            <w:tcW w:w="340" w:type="pct"/>
            <w:vMerge w:val="continue"/>
            <w:vAlign w:val="center"/>
          </w:tcPr>
          <w:p>
            <w:pPr>
              <w:widowControl w:val="0"/>
              <w:spacing w:line="300" w:lineRule="exact"/>
              <w:jc w:val="center"/>
              <w:rPr>
                <w:rFonts w:ascii="Times New Roman" w:hAnsi="Times New Roman" w:cs="Times New Roman"/>
                <w:color w:val="FF0000"/>
                <w:u w:val="single"/>
              </w:rPr>
            </w:pP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85</w:t>
            </w:r>
          </w:p>
        </w:tc>
        <w:tc>
          <w:tcPr>
            <w:tcW w:w="40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0.255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0.612</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62"/>
              <w:adjustRightInd w:val="0"/>
              <w:snapToGrid w:val="0"/>
              <w:ind w:firstLine="0" w:firstLineChars="0"/>
              <w:jc w:val="center"/>
              <w:rPr>
                <w:rFonts w:ascii="Times New Roman" w:hAnsi="Times New Roman" w:eastAsiaTheme="minorEastAsia"/>
                <w:color w:val="FF0000"/>
                <w:szCs w:val="21"/>
                <w:u w:val="single"/>
              </w:rPr>
            </w:pPr>
            <w:r>
              <w:rPr>
                <w:rFonts w:ascii="Times New Roman" w:hAnsi="Times New Roman" w:eastAsiaTheme="minorEastAsia"/>
                <w:color w:val="FF0000"/>
                <w:szCs w:val="21"/>
                <w:u w:val="single"/>
              </w:rPr>
              <w:t>NOx</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85</w:t>
            </w:r>
          </w:p>
        </w:tc>
        <w:tc>
          <w:tcPr>
            <w:tcW w:w="402" w:type="pct"/>
            <w:vAlign w:val="center"/>
          </w:tcPr>
          <w:p>
            <w:pPr>
              <w:pStyle w:val="62"/>
              <w:adjustRightInd w:val="0"/>
              <w:snapToGrid w:val="0"/>
              <w:ind w:firstLine="0" w:firstLineChars="0"/>
              <w:jc w:val="center"/>
              <w:rPr>
                <w:rFonts w:ascii="Times New Roman" w:hAnsi="Times New Roman"/>
                <w:color w:val="FF0000"/>
                <w:szCs w:val="21"/>
                <w:u w:val="single"/>
              </w:rPr>
            </w:pPr>
            <w:r>
              <w:rPr>
                <w:rFonts w:ascii="Times New Roman" w:hAnsi="Times New Roman"/>
                <w:color w:val="FF0000"/>
                <w:szCs w:val="21"/>
                <w:u w:val="single"/>
              </w:rPr>
              <w:t>0.255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s="Times New Roman"/>
                <w:color w:val="FF0000"/>
                <w:u w:val="single"/>
              </w:rPr>
              <w:t>0.612</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25</w:t>
            </w:r>
          </w:p>
        </w:tc>
        <w:tc>
          <w:tcPr>
            <w:tcW w:w="239" w:type="pct"/>
            <w:vMerge w:val="continue"/>
            <w:vAlign w:val="center"/>
          </w:tcPr>
          <w:p>
            <w:pPr>
              <w:widowControl w:val="0"/>
              <w:spacing w:line="300" w:lineRule="exact"/>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无组织</w:t>
            </w:r>
          </w:p>
        </w:tc>
        <w:tc>
          <w:tcPr>
            <w:tcW w:w="493" w:type="pct"/>
            <w:gridSpan w:val="2"/>
            <w:vMerge w:val="restart"/>
            <w:vAlign w:val="center"/>
          </w:tcPr>
          <w:p>
            <w:pPr>
              <w:pStyle w:val="49"/>
              <w:rPr>
                <w:rFonts w:cs="Times New Roman"/>
                <w:color w:val="FF0000"/>
                <w:u w:val="single"/>
              </w:rPr>
            </w:pPr>
            <w:r>
              <w:rPr>
                <w:rFonts w:cs="Times New Roman"/>
                <w:color w:val="FF0000"/>
                <w:u w:val="single"/>
              </w:rPr>
              <w:t>牛屠宰区</w:t>
            </w:r>
          </w:p>
          <w:p>
            <w:pPr>
              <w:pStyle w:val="49"/>
              <w:rPr>
                <w:rFonts w:cs="Times New Roman"/>
                <w:color w:val="FF0000"/>
                <w:u w:val="single"/>
              </w:rPr>
            </w:pPr>
            <w:r>
              <w:rPr>
                <w:rFonts w:cs="Times New Roman"/>
                <w:color w:val="FF0000"/>
                <w:u w:val="single"/>
              </w:rPr>
              <w:t>（待宰区）</w:t>
            </w:r>
          </w:p>
        </w:tc>
        <w:tc>
          <w:tcPr>
            <w:tcW w:w="22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1</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olor w:val="FF0000"/>
                <w:u w:val="single"/>
              </w:rPr>
              <w:t>0.04</w:t>
            </w:r>
          </w:p>
        </w:tc>
        <w:tc>
          <w:tcPr>
            <w:tcW w:w="402" w:type="pct"/>
            <w:vAlign w:val="center"/>
          </w:tcPr>
          <w:p>
            <w:pPr>
              <w:pStyle w:val="49"/>
              <w:rPr>
                <w:rFonts w:cs="Times New Roman"/>
                <w:color w:val="FF0000"/>
                <w:sz w:val="22"/>
                <w:u w:val="single"/>
              </w:rPr>
            </w:pPr>
            <w:r>
              <w:rPr>
                <w:color w:val="FF0000"/>
                <w:u w:val="single"/>
              </w:rPr>
              <w:t>0.096</w:t>
            </w:r>
          </w:p>
        </w:tc>
        <w:tc>
          <w:tcPr>
            <w:tcW w:w="351"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设置绿化带，通风换气，车间清洗，及时清理废弃物，使用除臭剂</w:t>
            </w:r>
          </w:p>
        </w:tc>
        <w:tc>
          <w:tcPr>
            <w:tcW w:w="25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0.3</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0.012</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w:t>
            </w:r>
            <w:r>
              <w:rPr>
                <w:rFonts w:hint="eastAsia" w:ascii="Times New Roman" w:hAnsi="Times New Roman"/>
                <w:color w:val="FF0000"/>
                <w:u w:val="single"/>
              </w:rPr>
              <w:t>0</w:t>
            </w:r>
            <w:r>
              <w:rPr>
                <w:rFonts w:ascii="Times New Roman" w:hAnsi="Times New Roman"/>
                <w:color w:val="FF0000"/>
                <w:u w:val="single"/>
              </w:rPr>
              <w:t>288</w:t>
            </w:r>
          </w:p>
        </w:tc>
        <w:tc>
          <w:tcPr>
            <w:tcW w:w="440" w:type="pct"/>
            <w:gridSpan w:val="2"/>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493" w:type="pct"/>
            <w:gridSpan w:val="2"/>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0.02</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olor w:val="FF0000"/>
                <w:u w:val="single"/>
              </w:rPr>
              <w:t>0.0008</w:t>
            </w:r>
          </w:p>
        </w:tc>
        <w:tc>
          <w:tcPr>
            <w:tcW w:w="402" w:type="pct"/>
            <w:vAlign w:val="center"/>
          </w:tcPr>
          <w:p>
            <w:pPr>
              <w:pStyle w:val="49"/>
              <w:rPr>
                <w:rFonts w:cs="Times New Roman"/>
                <w:color w:val="FF0000"/>
                <w:sz w:val="22"/>
                <w:u w:val="single"/>
              </w:rPr>
            </w:pPr>
            <w:r>
              <w:rPr>
                <w:color w:val="FF0000"/>
                <w:u w:val="single"/>
              </w:rPr>
              <w:t>0.00192</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0.006</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0.00024</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0.000576</w:t>
            </w:r>
          </w:p>
        </w:tc>
        <w:tc>
          <w:tcPr>
            <w:tcW w:w="440" w:type="pct"/>
            <w:gridSpan w:val="2"/>
            <w:vMerge w:val="continue"/>
            <w:vAlign w:val="center"/>
          </w:tcPr>
          <w:p>
            <w:pPr>
              <w:widowControl w:val="0"/>
              <w:spacing w:line="300" w:lineRule="exact"/>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493" w:type="pct"/>
            <w:gridSpan w:val="2"/>
            <w:vMerge w:val="restart"/>
            <w:vAlign w:val="center"/>
          </w:tcPr>
          <w:p>
            <w:pPr>
              <w:adjustRightInd/>
              <w:snapToGrid/>
              <w:jc w:val="center"/>
              <w:rPr>
                <w:rFonts w:ascii="Times New Roman" w:hAnsi="Times New Roman" w:cs="Times New Roman"/>
                <w:color w:val="FF0000"/>
                <w:u w:val="single"/>
              </w:rPr>
            </w:pPr>
            <w:r>
              <w:rPr>
                <w:rFonts w:ascii="Times New Roman" w:hAnsi="Times New Roman" w:cs="Times New Roman"/>
                <w:color w:val="FF0000"/>
                <w:u w:val="single"/>
              </w:rPr>
              <w:t>禽类屠宰区（待宰区）</w:t>
            </w:r>
          </w:p>
        </w:tc>
        <w:tc>
          <w:tcPr>
            <w:tcW w:w="22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0.5</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olor w:val="FF0000"/>
                <w:u w:val="single"/>
              </w:rPr>
              <w:t>0.021</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0.0504</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0.15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0.0063</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0.01512</w:t>
            </w:r>
          </w:p>
        </w:tc>
        <w:tc>
          <w:tcPr>
            <w:tcW w:w="440" w:type="pct"/>
            <w:gridSpan w:val="2"/>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493" w:type="pct"/>
            <w:gridSpan w:val="2"/>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0.006</w:t>
            </w:r>
          </w:p>
        </w:tc>
        <w:tc>
          <w:tcPr>
            <w:tcW w:w="402"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olor w:val="FF0000"/>
                <w:u w:val="single"/>
              </w:rPr>
              <w:t>0.000252</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0.000605</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0.0018</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0.000076</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0.000181</w:t>
            </w:r>
          </w:p>
        </w:tc>
        <w:tc>
          <w:tcPr>
            <w:tcW w:w="440" w:type="pct"/>
            <w:gridSpan w:val="2"/>
            <w:vMerge w:val="continue"/>
            <w:vAlign w:val="center"/>
          </w:tcPr>
          <w:p>
            <w:pPr>
              <w:widowControl w:val="0"/>
              <w:spacing w:line="300" w:lineRule="exact"/>
              <w:jc w:val="center"/>
              <w:rPr>
                <w:rFonts w:ascii="Times New Roman" w:hAnsi="Times New Roman"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493" w:type="pct"/>
            <w:gridSpan w:val="2"/>
            <w:vMerge w:val="restart"/>
            <w:vAlign w:val="center"/>
          </w:tcPr>
          <w:p>
            <w:pPr>
              <w:pStyle w:val="49"/>
              <w:rPr>
                <w:rFonts w:cs="Times New Roman"/>
                <w:color w:val="FF0000"/>
                <w:u w:val="single"/>
              </w:rPr>
            </w:pPr>
            <w:r>
              <w:rPr>
                <w:rFonts w:cs="Times New Roman"/>
                <w:color w:val="FF0000"/>
                <w:u w:val="single"/>
              </w:rPr>
              <w:t>粪污处理系统</w:t>
            </w:r>
          </w:p>
        </w:tc>
        <w:tc>
          <w:tcPr>
            <w:tcW w:w="22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0.0405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0.355</w:t>
            </w:r>
          </w:p>
        </w:tc>
        <w:tc>
          <w:tcPr>
            <w:tcW w:w="351" w:type="pct"/>
            <w:vMerge w:val="restar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设置绿化带、喷洒除臭剂</w:t>
            </w:r>
          </w:p>
        </w:tc>
        <w:tc>
          <w:tcPr>
            <w:tcW w:w="252" w:type="pct"/>
            <w:vAlign w:val="center"/>
          </w:tcPr>
          <w:p>
            <w:pPr>
              <w:pStyle w:val="49"/>
              <w:rPr>
                <w:rFonts w:cs="Times New Roman"/>
                <w:color w:val="FF0000"/>
                <w:u w:val="single"/>
              </w:rPr>
            </w:pPr>
            <w:r>
              <w:rPr>
                <w:rFonts w:cs="Times New Roman"/>
                <w:color w:val="FF0000"/>
                <w:u w:val="single"/>
              </w:rPr>
              <w:t>NH</w:t>
            </w:r>
            <w:r>
              <w:rPr>
                <w:rFonts w:cs="Times New Roman"/>
                <w:color w:val="FF0000"/>
                <w:u w:val="single"/>
                <w:vertAlign w:val="subscript"/>
              </w:rPr>
              <w:t>3</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0.01215</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0.1065</w:t>
            </w:r>
          </w:p>
        </w:tc>
        <w:tc>
          <w:tcPr>
            <w:tcW w:w="440" w:type="pct"/>
            <w:gridSpan w:val="2"/>
            <w:vMerge w:val="restart"/>
            <w:vAlign w:val="center"/>
          </w:tcPr>
          <w:p>
            <w:pPr>
              <w:widowControl w:val="0"/>
              <w:spacing w:line="300" w:lineRule="exact"/>
              <w:jc w:val="center"/>
              <w:rPr>
                <w:rFonts w:ascii="Times New Roman" w:hAnsi="Times New Roman" w:cs="Times New Roman"/>
                <w:color w:val="FF0000"/>
                <w:u w:val="single"/>
              </w:rPr>
            </w:pPr>
            <w:r>
              <w:rPr>
                <w:rFonts w:hint="eastAsia" w:ascii="Times New Roman" w:hAnsi="Times New Roman" w:cs="Times New Roman"/>
                <w:color w:val="FF0000"/>
                <w:u w:val="single"/>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pPr>
              <w:widowControl w:val="0"/>
              <w:spacing w:line="300" w:lineRule="exact"/>
              <w:jc w:val="center"/>
              <w:rPr>
                <w:rFonts w:ascii="Times New Roman" w:hAnsi="Times New Roman" w:cs="Times New Roman"/>
                <w:color w:val="FF0000"/>
                <w:u w:val="single"/>
              </w:rPr>
            </w:pPr>
          </w:p>
        </w:tc>
        <w:tc>
          <w:tcPr>
            <w:tcW w:w="493" w:type="pct"/>
            <w:gridSpan w:val="2"/>
            <w:vMerge w:val="continue"/>
            <w:vAlign w:val="center"/>
          </w:tcPr>
          <w:p>
            <w:pPr>
              <w:widowControl w:val="0"/>
              <w:spacing w:line="300" w:lineRule="exact"/>
              <w:jc w:val="center"/>
              <w:rPr>
                <w:rFonts w:ascii="Times New Roman" w:hAnsi="Times New Roman" w:cs="Times New Roman"/>
                <w:color w:val="FF0000"/>
                <w:u w:val="single"/>
              </w:rPr>
            </w:pPr>
          </w:p>
        </w:tc>
        <w:tc>
          <w:tcPr>
            <w:tcW w:w="22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340"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352" w:type="pct"/>
            <w:vAlign w:val="center"/>
          </w:tcPr>
          <w:p>
            <w:pPr>
              <w:jc w:val="center"/>
              <w:rPr>
                <w:rFonts w:ascii="Times New Roman" w:hAnsi="Times New Roman" w:eastAsia="等线" w:cs="Times New Roman"/>
                <w:color w:val="FF0000"/>
                <w:u w:val="single"/>
              </w:rPr>
            </w:pPr>
            <w:r>
              <w:rPr>
                <w:rFonts w:ascii="Times New Roman" w:hAnsi="Times New Roman" w:eastAsia="等线" w:cs="Times New Roman"/>
                <w:color w:val="FF0000"/>
                <w:u w:val="single"/>
              </w:rPr>
              <w:t>/</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0.00156</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0.0137</w:t>
            </w:r>
          </w:p>
        </w:tc>
        <w:tc>
          <w:tcPr>
            <w:tcW w:w="351" w:type="pct"/>
            <w:vMerge w:val="continue"/>
            <w:vAlign w:val="center"/>
          </w:tcPr>
          <w:p>
            <w:pPr>
              <w:widowControl w:val="0"/>
              <w:spacing w:line="300" w:lineRule="exact"/>
              <w:jc w:val="center"/>
              <w:rPr>
                <w:rFonts w:ascii="Times New Roman" w:hAnsi="Times New Roman" w:cs="Times New Roman"/>
                <w:color w:val="FF0000"/>
                <w:u w:val="single"/>
              </w:rPr>
            </w:pPr>
          </w:p>
        </w:tc>
        <w:tc>
          <w:tcPr>
            <w:tcW w:w="252" w:type="pct"/>
            <w:vAlign w:val="center"/>
          </w:tcPr>
          <w:p>
            <w:pPr>
              <w:pStyle w:val="49"/>
              <w:rPr>
                <w:rFonts w:cs="Times New Roman"/>
                <w:color w:val="FF0000"/>
                <w:u w:val="single"/>
              </w:rPr>
            </w:pPr>
            <w:r>
              <w:rPr>
                <w:rFonts w:cs="Times New Roman"/>
                <w:color w:val="FF0000"/>
                <w:u w:val="single"/>
              </w:rPr>
              <w:t>H</w:t>
            </w:r>
            <w:r>
              <w:rPr>
                <w:rFonts w:cs="Times New Roman"/>
                <w:color w:val="FF0000"/>
                <w:u w:val="single"/>
                <w:vertAlign w:val="subscript"/>
              </w:rPr>
              <w:t>2</w:t>
            </w:r>
            <w:r>
              <w:rPr>
                <w:rFonts w:cs="Times New Roman"/>
                <w:color w:val="FF0000"/>
                <w:u w:val="single"/>
              </w:rPr>
              <w:t>S</w:t>
            </w:r>
          </w:p>
        </w:tc>
        <w:tc>
          <w:tcPr>
            <w:tcW w:w="20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70</w:t>
            </w:r>
          </w:p>
        </w:tc>
        <w:tc>
          <w:tcPr>
            <w:tcW w:w="351" w:type="pct"/>
            <w:vAlign w:val="center"/>
          </w:tcPr>
          <w:p>
            <w:pPr>
              <w:widowControl w:val="0"/>
              <w:spacing w:line="300" w:lineRule="exact"/>
              <w:jc w:val="center"/>
              <w:rPr>
                <w:rFonts w:ascii="Times New Roman" w:hAnsi="Times New Roman" w:cs="Times New Roman"/>
                <w:color w:val="FF0000"/>
                <w:u w:val="single"/>
              </w:rPr>
            </w:pPr>
            <w:r>
              <w:rPr>
                <w:rFonts w:ascii="Times New Roman" w:hAnsi="Times New Roman" w:cs="Times New Roman"/>
                <w:color w:val="FF0000"/>
                <w:u w:val="single"/>
              </w:rPr>
              <w:t>/</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0.000468</w:t>
            </w:r>
          </w:p>
        </w:tc>
        <w:tc>
          <w:tcPr>
            <w:tcW w:w="402" w:type="pct"/>
            <w:vAlign w:val="center"/>
          </w:tcPr>
          <w:p>
            <w:pPr>
              <w:widowControl w:val="0"/>
              <w:jc w:val="center"/>
              <w:rPr>
                <w:rFonts w:ascii="Times New Roman" w:hAnsi="Times New Roman" w:cs="Times New Roman"/>
                <w:color w:val="FF0000"/>
                <w:u w:val="single"/>
              </w:rPr>
            </w:pPr>
            <w:r>
              <w:rPr>
                <w:rFonts w:ascii="Times New Roman" w:hAnsi="Times New Roman"/>
                <w:color w:val="FF0000"/>
                <w:u w:val="single"/>
              </w:rPr>
              <w:t>0.00411</w:t>
            </w:r>
          </w:p>
        </w:tc>
        <w:tc>
          <w:tcPr>
            <w:tcW w:w="440" w:type="pct"/>
            <w:gridSpan w:val="2"/>
            <w:vMerge w:val="continue"/>
            <w:vAlign w:val="center"/>
          </w:tcPr>
          <w:p>
            <w:pPr>
              <w:widowControl w:val="0"/>
              <w:spacing w:line="300" w:lineRule="exact"/>
              <w:jc w:val="center"/>
              <w:rPr>
                <w:rFonts w:ascii="Times New Roman" w:hAnsi="Times New Roman" w:cs="Times New Roman"/>
                <w:color w:val="FF0000"/>
                <w:u w:val="single"/>
              </w:rPr>
            </w:pPr>
          </w:p>
        </w:tc>
      </w:tr>
    </w:tbl>
    <w:p>
      <w:pPr>
        <w:pStyle w:val="49"/>
      </w:pPr>
    </w:p>
    <w:p>
      <w:pPr>
        <w:pStyle w:val="3"/>
        <w:ind w:firstLine="480"/>
        <w:rPr>
          <w:kern w:val="0"/>
        </w:rPr>
        <w:sectPr>
          <w:pgSz w:w="16838" w:h="11906" w:orient="landscape"/>
          <w:pgMar w:top="1588" w:right="1474" w:bottom="1361" w:left="1474" w:header="851" w:footer="992" w:gutter="0"/>
          <w:cols w:space="425" w:num="1"/>
          <w:docGrid w:type="lines" w:linePitch="312" w:charSpace="0"/>
        </w:sectPr>
      </w:pPr>
    </w:p>
    <w:p>
      <w:pPr>
        <w:pStyle w:val="3"/>
        <w:ind w:firstLine="0" w:firstLineChars="0"/>
        <w:outlineLvl w:val="2"/>
        <w:rPr>
          <w:rFonts w:eastAsia="黑体" w:cstheme="majorBidi"/>
          <w:bCs/>
          <w:szCs w:val="32"/>
        </w:rPr>
      </w:pPr>
      <w:r>
        <w:rPr>
          <w:rFonts w:hint="eastAsia"/>
        </w:rPr>
        <w:t>6.2.3</w:t>
      </w:r>
      <w:r>
        <w:rPr>
          <w:rFonts w:hint="eastAsia"/>
        </w:rPr>
        <w:tab/>
      </w:r>
      <w:r>
        <w:rPr>
          <w:rFonts w:hint="eastAsia" w:eastAsia="黑体" w:cstheme="majorBidi"/>
          <w:bCs/>
          <w:szCs w:val="32"/>
        </w:rPr>
        <w:t>营运期声环境影响分析</w:t>
      </w:r>
    </w:p>
    <w:p>
      <w:pPr>
        <w:pStyle w:val="3"/>
        <w:ind w:firstLine="480"/>
        <w:rPr>
          <w:kern w:val="0"/>
        </w:rPr>
      </w:pPr>
      <w:r>
        <w:rPr>
          <w:rFonts w:hint="eastAsia"/>
          <w:kern w:val="0"/>
        </w:rPr>
        <w:t>项目噪声影响预测内容为各场界的等效声级。项目屠宰场噪声主要来源于待宰区牛、鸡、鸭叫声、屠宰区设备、水泵、锅炉等产生的噪声。</w:t>
      </w:r>
      <w:r>
        <w:rPr>
          <w:rFonts w:hint="eastAsia"/>
          <w:kern w:val="0"/>
          <w:lang w:val="zh-CN"/>
        </w:rPr>
        <w:t>各个噪声源及其源强见表</w:t>
      </w:r>
      <w:r>
        <w:rPr>
          <w:rFonts w:hint="eastAsia"/>
          <w:kern w:val="0"/>
        </w:rPr>
        <w:t>6.2-13。</w:t>
      </w:r>
    </w:p>
    <w:p>
      <w:pPr>
        <w:pStyle w:val="3"/>
        <w:spacing w:line="240" w:lineRule="auto"/>
        <w:ind w:firstLine="482"/>
        <w:jc w:val="center"/>
        <w:rPr>
          <w:kern w:val="0"/>
        </w:rPr>
      </w:pPr>
      <w:r>
        <w:rPr>
          <w:rFonts w:hint="eastAsia" w:cs="Times New Roman" w:eastAsiaTheme="minorEastAsia"/>
          <w:b/>
        </w:rPr>
        <w:t>表6.2-13</w:t>
      </w:r>
      <w:r>
        <w:rPr>
          <w:rFonts w:cs="Times New Roman" w:eastAsiaTheme="minorEastAsia"/>
          <w:b/>
        </w:rPr>
        <w:t xml:space="preserve">  </w:t>
      </w:r>
      <w:r>
        <w:rPr>
          <w:rFonts w:hint="eastAsia" w:cs="Times New Roman" w:eastAsiaTheme="minorEastAsia"/>
          <w:b/>
        </w:rPr>
        <w:t xml:space="preserve"> 噪声源在车间外的源强表  单位：dB(A)</w:t>
      </w:r>
    </w:p>
    <w:tbl>
      <w:tblPr>
        <w:tblStyle w:val="30"/>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5"/>
        <w:gridCol w:w="709"/>
        <w:gridCol w:w="850"/>
        <w:gridCol w:w="709"/>
        <w:gridCol w:w="1561"/>
        <w:gridCol w:w="567"/>
        <w:gridCol w:w="850"/>
        <w:gridCol w:w="993"/>
        <w:gridCol w:w="708"/>
        <w:gridCol w:w="851"/>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序号</w:t>
            </w:r>
          </w:p>
        </w:tc>
        <w:tc>
          <w:tcPr>
            <w:tcW w:w="709"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污染源</w:t>
            </w:r>
          </w:p>
        </w:tc>
        <w:tc>
          <w:tcPr>
            <w:tcW w:w="850"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所在位置</w:t>
            </w:r>
          </w:p>
        </w:tc>
        <w:tc>
          <w:tcPr>
            <w:tcW w:w="709"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最大声级值</w:t>
            </w:r>
          </w:p>
        </w:tc>
        <w:tc>
          <w:tcPr>
            <w:tcW w:w="156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治理措施</w:t>
            </w:r>
          </w:p>
        </w:tc>
        <w:tc>
          <w:tcPr>
            <w:tcW w:w="567"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降噪效果</w:t>
            </w:r>
          </w:p>
        </w:tc>
        <w:tc>
          <w:tcPr>
            <w:tcW w:w="850"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降噪后的噪声值</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距场界最近距离(m)</w:t>
            </w:r>
          </w:p>
        </w:tc>
        <w:tc>
          <w:tcPr>
            <w:tcW w:w="1643" w:type="dxa"/>
            <w:gridSpan w:val="2"/>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厂界处的噪声值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bottom w:val="single" w:color="auto" w:sz="4" w:space="0"/>
              <w:right w:val="single" w:color="auto" w:sz="4" w:space="0"/>
            </w:tcBorders>
            <w:vAlign w:val="center"/>
          </w:tcPr>
          <w:p>
            <w:pPr>
              <w:pStyle w:val="49"/>
            </w:pPr>
            <w: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牛叫</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牛待宰区</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85</w:t>
            </w:r>
          </w:p>
        </w:tc>
        <w:tc>
          <w:tcPr>
            <w:tcW w:w="1561"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ascii="宋体" w:cs="宋体"/>
              </w:rPr>
              <w:t>隔声、喂水管理</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10</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75</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110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50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90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right w:val="single" w:color="auto" w:sz="4" w:space="0"/>
            </w:tcBorders>
            <w:vAlign w:val="center"/>
          </w:tcPr>
          <w:p>
            <w:pPr>
              <w:pStyle w:val="49"/>
            </w:pPr>
            <w:r>
              <w:rPr>
                <w:rFonts w:hint="eastAsia"/>
              </w:rPr>
              <w:t>2</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屠宰设备</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牛屠宰车间</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80</w:t>
            </w:r>
          </w:p>
        </w:tc>
        <w:tc>
          <w:tcPr>
            <w:tcW w:w="1561" w:type="dxa"/>
            <w:vMerge w:val="restart"/>
            <w:tcBorders>
              <w:top w:val="single" w:color="auto" w:sz="4" w:space="0"/>
              <w:left w:val="single" w:color="auto" w:sz="4" w:space="0"/>
              <w:right w:val="single" w:color="auto" w:sz="4" w:space="0"/>
            </w:tcBorders>
            <w:vAlign w:val="center"/>
          </w:tcPr>
          <w:p>
            <w:pPr>
              <w:pStyle w:val="49"/>
            </w:pPr>
            <w:r>
              <w:rPr>
                <w:rFonts w:hint="eastAsia"/>
              </w:rPr>
              <w:t>选用低噪声设备，采取减振隔声</w:t>
            </w:r>
          </w:p>
        </w:tc>
        <w:tc>
          <w:tcPr>
            <w:tcW w:w="567" w:type="dxa"/>
            <w:vMerge w:val="restart"/>
            <w:tcBorders>
              <w:top w:val="single" w:color="auto" w:sz="4" w:space="0"/>
              <w:left w:val="single" w:color="auto" w:sz="4" w:space="0"/>
              <w:right w:val="single" w:color="auto" w:sz="4" w:space="0"/>
            </w:tcBorders>
            <w:vAlign w:val="center"/>
          </w:tcPr>
          <w:p>
            <w:pPr>
              <w:pStyle w:val="49"/>
            </w:pPr>
            <w:r>
              <w:rPr>
                <w:rFonts w:hint="eastAsia"/>
              </w:rPr>
              <w:t>15</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65</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90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88</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1561" w:type="dxa"/>
            <w:vMerge w:val="continue"/>
            <w:tcBorders>
              <w:left w:val="single" w:color="auto" w:sz="4" w:space="0"/>
              <w:bottom w:val="single" w:color="auto" w:sz="4" w:space="0"/>
              <w:right w:val="single" w:color="auto" w:sz="4" w:space="0"/>
            </w:tcBorders>
            <w:vAlign w:val="center"/>
          </w:tcPr>
          <w:p>
            <w:pPr>
              <w:pStyle w:val="49"/>
            </w:pPr>
          </w:p>
        </w:tc>
        <w:tc>
          <w:tcPr>
            <w:tcW w:w="567"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90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right w:val="single" w:color="auto" w:sz="4" w:space="0"/>
            </w:tcBorders>
            <w:vAlign w:val="center"/>
          </w:tcPr>
          <w:p>
            <w:pPr>
              <w:pStyle w:val="49"/>
            </w:pPr>
            <w:r>
              <w:rPr>
                <w:rFonts w:hint="eastAsia"/>
              </w:rPr>
              <w:t>3</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鸡、鸭叫</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禽类待宰区</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85</w:t>
            </w:r>
          </w:p>
        </w:tc>
        <w:tc>
          <w:tcPr>
            <w:tcW w:w="1561" w:type="dxa"/>
            <w:vMerge w:val="restart"/>
            <w:tcBorders>
              <w:top w:val="single" w:color="auto" w:sz="4" w:space="0"/>
              <w:left w:val="single" w:color="auto" w:sz="4" w:space="0"/>
              <w:right w:val="single" w:color="auto" w:sz="4" w:space="0"/>
            </w:tcBorders>
            <w:vAlign w:val="center"/>
          </w:tcPr>
          <w:p>
            <w:pPr>
              <w:pStyle w:val="49"/>
            </w:pPr>
            <w:r>
              <w:rPr>
                <w:rFonts w:hint="eastAsia" w:ascii="宋体" w:cs="宋体"/>
              </w:rPr>
              <w:t>隔声、喂水管理</w:t>
            </w:r>
          </w:p>
        </w:tc>
        <w:tc>
          <w:tcPr>
            <w:tcW w:w="567" w:type="dxa"/>
            <w:vMerge w:val="restart"/>
            <w:tcBorders>
              <w:top w:val="single" w:color="auto" w:sz="4" w:space="0"/>
              <w:left w:val="single" w:color="auto" w:sz="4" w:space="0"/>
              <w:right w:val="single" w:color="auto" w:sz="4" w:space="0"/>
            </w:tcBorders>
            <w:vAlign w:val="center"/>
          </w:tcPr>
          <w:p>
            <w:pPr>
              <w:pStyle w:val="49"/>
            </w:pPr>
            <w:r>
              <w:rPr>
                <w:rFonts w:hint="eastAsia"/>
              </w:rPr>
              <w:t>10</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75</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60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45.46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150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1561" w:type="dxa"/>
            <w:vMerge w:val="continue"/>
            <w:tcBorders>
              <w:left w:val="single" w:color="auto" w:sz="4" w:space="0"/>
              <w:bottom w:val="single" w:color="auto" w:sz="4" w:space="0"/>
              <w:right w:val="single" w:color="auto" w:sz="4" w:space="0"/>
            </w:tcBorders>
            <w:vAlign w:val="center"/>
          </w:tcPr>
          <w:p>
            <w:pPr>
              <w:pStyle w:val="49"/>
            </w:pPr>
          </w:p>
        </w:tc>
        <w:tc>
          <w:tcPr>
            <w:tcW w:w="567"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87</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right w:val="single" w:color="auto" w:sz="4" w:space="0"/>
            </w:tcBorders>
            <w:vAlign w:val="center"/>
          </w:tcPr>
          <w:p>
            <w:pPr>
              <w:pStyle w:val="49"/>
            </w:pPr>
            <w:r>
              <w:rPr>
                <w:rFonts w:hint="eastAsia"/>
              </w:rPr>
              <w:t>4</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屠宰设备</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禽类屠宰车间</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80</w:t>
            </w:r>
          </w:p>
        </w:tc>
        <w:tc>
          <w:tcPr>
            <w:tcW w:w="1561" w:type="dxa"/>
            <w:vMerge w:val="restart"/>
            <w:tcBorders>
              <w:top w:val="single" w:color="auto" w:sz="4" w:space="0"/>
              <w:left w:val="single" w:color="auto" w:sz="4" w:space="0"/>
              <w:right w:val="single" w:color="auto" w:sz="4" w:space="0"/>
            </w:tcBorders>
            <w:vAlign w:val="center"/>
          </w:tcPr>
          <w:p>
            <w:pPr>
              <w:pStyle w:val="49"/>
            </w:pPr>
            <w:r>
              <w:rPr>
                <w:rFonts w:hint="eastAsia"/>
              </w:rPr>
              <w:t>选用低噪声设备，采取减振隔声</w:t>
            </w:r>
          </w:p>
        </w:tc>
        <w:tc>
          <w:tcPr>
            <w:tcW w:w="567" w:type="dxa"/>
            <w:vMerge w:val="restart"/>
            <w:tcBorders>
              <w:top w:val="single" w:color="auto" w:sz="4" w:space="0"/>
              <w:left w:val="single" w:color="auto" w:sz="4" w:space="0"/>
              <w:right w:val="single" w:color="auto" w:sz="4" w:space="0"/>
            </w:tcBorders>
            <w:vAlign w:val="center"/>
          </w:tcPr>
          <w:p>
            <w:pPr>
              <w:pStyle w:val="49"/>
            </w:pPr>
            <w:r>
              <w:rPr>
                <w:rFonts w:hint="eastAsia"/>
              </w:rPr>
              <w:t>15</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65</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160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1561" w:type="dxa"/>
            <w:vMerge w:val="continue"/>
            <w:tcBorders>
              <w:left w:val="single" w:color="auto" w:sz="4" w:space="0"/>
              <w:bottom w:val="single" w:color="auto" w:sz="4" w:space="0"/>
              <w:right w:val="single" w:color="auto" w:sz="4" w:space="0"/>
            </w:tcBorders>
            <w:vAlign w:val="center"/>
          </w:tcPr>
          <w:p>
            <w:pPr>
              <w:pStyle w:val="49"/>
            </w:pPr>
          </w:p>
        </w:tc>
        <w:tc>
          <w:tcPr>
            <w:tcW w:w="567"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95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right w:val="single" w:color="auto" w:sz="4" w:space="0"/>
            </w:tcBorders>
            <w:vAlign w:val="center"/>
          </w:tcPr>
          <w:p>
            <w:pPr>
              <w:pStyle w:val="49"/>
            </w:pPr>
            <w:r>
              <w:rPr>
                <w:rFonts w:hint="eastAsia"/>
              </w:rPr>
              <w:t>5</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锅炉</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锅炉房</w:t>
            </w:r>
          </w:p>
        </w:tc>
        <w:tc>
          <w:tcPr>
            <w:tcW w:w="709" w:type="dxa"/>
            <w:vMerge w:val="restart"/>
            <w:tcBorders>
              <w:top w:val="single" w:color="auto" w:sz="4" w:space="0"/>
              <w:left w:val="single" w:color="auto" w:sz="4" w:space="0"/>
              <w:right w:val="single" w:color="auto" w:sz="4" w:space="0"/>
            </w:tcBorders>
            <w:vAlign w:val="center"/>
          </w:tcPr>
          <w:p>
            <w:pPr>
              <w:pStyle w:val="49"/>
            </w:pPr>
            <w:r>
              <w:rPr>
                <w:rFonts w:hint="eastAsia"/>
              </w:rPr>
              <w:t>75</w:t>
            </w:r>
          </w:p>
        </w:tc>
        <w:tc>
          <w:tcPr>
            <w:tcW w:w="1561" w:type="dxa"/>
            <w:vMerge w:val="restart"/>
            <w:tcBorders>
              <w:top w:val="single" w:color="auto" w:sz="4" w:space="0"/>
              <w:left w:val="single" w:color="auto" w:sz="4" w:space="0"/>
              <w:right w:val="single" w:color="auto" w:sz="4" w:space="0"/>
            </w:tcBorders>
            <w:vAlign w:val="center"/>
          </w:tcPr>
          <w:p>
            <w:pPr>
              <w:pStyle w:val="49"/>
            </w:pPr>
            <w:r>
              <w:rPr>
                <w:rFonts w:hint="eastAsia"/>
              </w:rPr>
              <w:t>选用低噪声设备，采取减振隔声</w:t>
            </w:r>
          </w:p>
        </w:tc>
        <w:tc>
          <w:tcPr>
            <w:tcW w:w="567" w:type="dxa"/>
            <w:vMerge w:val="restart"/>
            <w:tcBorders>
              <w:top w:val="single" w:color="auto" w:sz="4" w:space="0"/>
              <w:left w:val="single" w:color="auto" w:sz="4" w:space="0"/>
              <w:right w:val="single" w:color="auto" w:sz="4" w:space="0"/>
            </w:tcBorders>
            <w:vAlign w:val="center"/>
          </w:tcPr>
          <w:p>
            <w:pPr>
              <w:pStyle w:val="49"/>
            </w:pPr>
            <w:r>
              <w:rPr>
                <w:rFonts w:hint="eastAsia"/>
              </w:rPr>
              <w:t>15</w:t>
            </w:r>
          </w:p>
        </w:tc>
        <w:tc>
          <w:tcPr>
            <w:tcW w:w="850" w:type="dxa"/>
            <w:vMerge w:val="restart"/>
            <w:tcBorders>
              <w:top w:val="single" w:color="auto" w:sz="4" w:space="0"/>
              <w:left w:val="single" w:color="auto" w:sz="4" w:space="0"/>
              <w:right w:val="single" w:color="auto" w:sz="4" w:space="0"/>
            </w:tcBorders>
            <w:vAlign w:val="center"/>
          </w:tcPr>
          <w:p>
            <w:pPr>
              <w:pStyle w:val="49"/>
            </w:pPr>
            <w:r>
              <w:rPr>
                <w:rFonts w:hint="eastAsia"/>
              </w:rPr>
              <w:t>60</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709" w:type="dxa"/>
            <w:vMerge w:val="continue"/>
            <w:tcBorders>
              <w:left w:val="single" w:color="auto" w:sz="4" w:space="0"/>
              <w:right w:val="single" w:color="auto" w:sz="4" w:space="0"/>
            </w:tcBorders>
            <w:vAlign w:val="center"/>
          </w:tcPr>
          <w:p>
            <w:pPr>
              <w:pStyle w:val="49"/>
            </w:pPr>
          </w:p>
        </w:tc>
        <w:tc>
          <w:tcPr>
            <w:tcW w:w="1561" w:type="dxa"/>
            <w:vMerge w:val="continue"/>
            <w:tcBorders>
              <w:left w:val="single" w:color="auto" w:sz="4" w:space="0"/>
              <w:right w:val="single" w:color="auto" w:sz="4" w:space="0"/>
            </w:tcBorders>
            <w:vAlign w:val="center"/>
          </w:tcPr>
          <w:p>
            <w:pPr>
              <w:pStyle w:val="49"/>
            </w:pPr>
          </w:p>
        </w:tc>
        <w:tc>
          <w:tcPr>
            <w:tcW w:w="567" w:type="dxa"/>
            <w:vMerge w:val="continue"/>
            <w:tcBorders>
              <w:left w:val="single" w:color="auto" w:sz="4" w:space="0"/>
              <w:right w:val="single" w:color="auto" w:sz="4" w:space="0"/>
            </w:tcBorders>
            <w:vAlign w:val="center"/>
          </w:tcPr>
          <w:p>
            <w:pPr>
              <w:pStyle w:val="49"/>
            </w:pPr>
          </w:p>
        </w:tc>
        <w:tc>
          <w:tcPr>
            <w:tcW w:w="850" w:type="dxa"/>
            <w:vMerge w:val="continue"/>
            <w:tcBorders>
              <w:left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180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709" w:type="dxa"/>
            <w:vMerge w:val="continue"/>
            <w:tcBorders>
              <w:left w:val="single" w:color="auto" w:sz="4" w:space="0"/>
              <w:bottom w:val="single" w:color="auto" w:sz="4" w:space="0"/>
              <w:right w:val="single" w:color="auto" w:sz="4" w:space="0"/>
            </w:tcBorders>
            <w:vAlign w:val="center"/>
          </w:tcPr>
          <w:p>
            <w:pPr>
              <w:pStyle w:val="49"/>
            </w:pPr>
          </w:p>
        </w:tc>
        <w:tc>
          <w:tcPr>
            <w:tcW w:w="1561" w:type="dxa"/>
            <w:vMerge w:val="continue"/>
            <w:tcBorders>
              <w:left w:val="single" w:color="auto" w:sz="4" w:space="0"/>
              <w:bottom w:val="single" w:color="auto" w:sz="4" w:space="0"/>
              <w:right w:val="single" w:color="auto" w:sz="4" w:space="0"/>
            </w:tcBorders>
            <w:vAlign w:val="center"/>
          </w:tcPr>
          <w:p>
            <w:pPr>
              <w:pStyle w:val="49"/>
            </w:pPr>
          </w:p>
        </w:tc>
        <w:tc>
          <w:tcPr>
            <w:tcW w:w="567" w:type="dxa"/>
            <w:vMerge w:val="continue"/>
            <w:tcBorders>
              <w:left w:val="single" w:color="auto" w:sz="4" w:space="0"/>
              <w:bottom w:val="single" w:color="auto" w:sz="4" w:space="0"/>
              <w:right w:val="single" w:color="auto" w:sz="4" w:space="0"/>
            </w:tcBorders>
            <w:vAlign w:val="center"/>
          </w:tcPr>
          <w:p>
            <w:pPr>
              <w:pStyle w:val="49"/>
            </w:pPr>
          </w:p>
        </w:tc>
        <w:tc>
          <w:tcPr>
            <w:tcW w:w="850" w:type="dxa"/>
            <w:vMerge w:val="continue"/>
            <w:tcBorders>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85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6</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冷库</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压缩机</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85</w:t>
            </w:r>
          </w:p>
        </w:tc>
        <w:tc>
          <w:tcPr>
            <w:tcW w:w="1561"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选用低噪声设备，采取减振隔声</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15</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70</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66</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53</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152</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60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水泵</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泵房</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75</w:t>
            </w:r>
          </w:p>
        </w:tc>
        <w:tc>
          <w:tcPr>
            <w:tcW w:w="1561"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选用低噪声设备，采取加装减震垫、房屋隔声</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15</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60</w:t>
            </w: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70</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135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75</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561"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93"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08"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24</w:t>
            </w:r>
          </w:p>
        </w:tc>
        <w:tc>
          <w:tcPr>
            <w:tcW w:w="851"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w:t>
            </w:r>
          </w:p>
        </w:tc>
        <w:tc>
          <w:tcPr>
            <w:tcW w:w="792" w:type="dxa"/>
            <w:tcBorders>
              <w:top w:val="single" w:color="auto" w:sz="4" w:space="0"/>
              <w:left w:val="single" w:color="auto" w:sz="4" w:space="0"/>
              <w:bottom w:val="single" w:color="auto" w:sz="4" w:space="0"/>
              <w:right w:val="single" w:color="auto" w:sz="4" w:space="0"/>
            </w:tcBorders>
            <w:vAlign w:val="center"/>
          </w:tcPr>
          <w:p>
            <w:pPr>
              <w:pStyle w:val="49"/>
            </w:pPr>
            <w:r>
              <w:rPr>
                <w:rFonts w:hint="eastAsia"/>
              </w:rPr>
              <w:t>32.40</w:t>
            </w:r>
          </w:p>
        </w:tc>
      </w:tr>
    </w:tbl>
    <w:p>
      <w:pPr>
        <w:pStyle w:val="3"/>
        <w:ind w:firstLine="0" w:firstLineChars="0"/>
        <w:outlineLvl w:val="3"/>
        <w:rPr>
          <w:rFonts w:eastAsia="黑体" w:cstheme="majorBidi"/>
          <w:bCs/>
          <w:szCs w:val="32"/>
        </w:rPr>
      </w:pPr>
      <w:r>
        <w:rPr>
          <w:rFonts w:hint="eastAsia" w:eastAsia="黑体" w:cstheme="majorBidi"/>
          <w:bCs/>
          <w:szCs w:val="32"/>
        </w:rPr>
        <w:t>6.2.3.1</w:t>
      </w:r>
      <w:r>
        <w:rPr>
          <w:rFonts w:hint="eastAsia" w:eastAsia="黑体" w:cstheme="majorBidi"/>
          <w:bCs/>
          <w:szCs w:val="32"/>
        </w:rPr>
        <w:tab/>
      </w:r>
      <w:r>
        <w:rPr>
          <w:rFonts w:hint="eastAsia" w:eastAsia="黑体" w:cstheme="majorBidi"/>
          <w:bCs/>
          <w:szCs w:val="32"/>
        </w:rPr>
        <w:t>预测模式</w:t>
      </w:r>
    </w:p>
    <w:p>
      <w:pPr>
        <w:pStyle w:val="3"/>
        <w:ind w:firstLine="480"/>
        <w:rPr>
          <w:kern w:val="0"/>
        </w:rPr>
      </w:pPr>
      <w:r>
        <w:rPr>
          <w:rFonts w:hint="eastAsia"/>
          <w:kern w:val="0"/>
        </w:rPr>
        <w:t>根据建设项目的噪声排放特点，结合《环境影响评价技术导则</w:t>
      </w:r>
      <w:r>
        <w:rPr>
          <w:kern w:val="0"/>
        </w:rPr>
        <w:t xml:space="preserve"> </w:t>
      </w:r>
      <w:r>
        <w:rPr>
          <w:rFonts w:hint="eastAsia"/>
          <w:kern w:val="0"/>
        </w:rPr>
        <w:t>声环境》（</w:t>
      </w:r>
      <w:r>
        <w:rPr>
          <w:kern w:val="0"/>
        </w:rPr>
        <w:t>HJ2.4-2021</w:t>
      </w:r>
      <w:r>
        <w:rPr>
          <w:rFonts w:hint="eastAsia"/>
          <w:kern w:val="0"/>
        </w:rPr>
        <w:t>）的要求，可选择点声源预测模式模拟预测噪声源排放噪声随距离的衰减变化规律。</w:t>
      </w:r>
    </w:p>
    <w:p>
      <w:pPr>
        <w:pStyle w:val="3"/>
        <w:ind w:firstLine="480"/>
        <w:rPr>
          <w:kern w:val="0"/>
        </w:rPr>
      </w:pPr>
      <w:r>
        <w:rPr>
          <w:rFonts w:hint="eastAsia"/>
          <w:kern w:val="0"/>
        </w:rPr>
        <w:t>1、对室外噪声源主要考虑噪声的几何发散衰减及环境因素衰减：</w:t>
      </w:r>
    </w:p>
    <w:p>
      <w:pPr>
        <w:pStyle w:val="3"/>
        <w:ind w:firstLine="420"/>
        <w:jc w:val="center"/>
        <w:rPr>
          <w:rFonts w:asciiTheme="minorHAnsi" w:hAnsiTheme="minorHAnsi" w:eastAsiaTheme="minorEastAsia"/>
          <w:kern w:val="0"/>
          <w:sz w:val="21"/>
        </w:rPr>
      </w:pPr>
      <w:r>
        <w:rPr>
          <w:rFonts w:asciiTheme="minorHAnsi" w:hAnsiTheme="minorHAnsi" w:eastAsiaTheme="minorEastAsia"/>
          <w:kern w:val="0"/>
          <w:sz w:val="21"/>
        </w:rPr>
        <w:object>
          <v:shape id="_x0000_i1031" o:spt="75" type="#_x0000_t75" style="height:22.5pt;width:114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p>
    <w:p>
      <w:pPr>
        <w:pStyle w:val="3"/>
        <w:ind w:firstLine="420"/>
        <w:jc w:val="center"/>
        <w:rPr>
          <w:rFonts w:asciiTheme="minorHAnsi" w:hAnsiTheme="minorHAnsi" w:eastAsiaTheme="minorEastAsia"/>
          <w:kern w:val="0"/>
          <w:sz w:val="21"/>
        </w:rPr>
      </w:pPr>
      <w:r>
        <w:rPr>
          <w:rFonts w:asciiTheme="minorHAnsi" w:hAnsiTheme="minorHAnsi" w:eastAsiaTheme="minorEastAsia"/>
          <w:kern w:val="0"/>
          <w:sz w:val="21"/>
        </w:rPr>
        <w:object>
          <v:shape id="_x0000_i1032" o:spt="75" type="#_x0000_t75" style="height:22.5pt;width:61.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p>
    <w:p>
      <w:pPr>
        <w:pStyle w:val="3"/>
        <w:ind w:firstLine="480"/>
        <w:rPr>
          <w:kern w:val="0"/>
        </w:rPr>
      </w:pPr>
      <w:r>
        <w:rPr>
          <w:rFonts w:hint="eastAsia"/>
          <w:kern w:val="0"/>
        </w:rPr>
        <w:t>式中：</w:t>
      </w:r>
      <w:r>
        <w:rPr>
          <w:kern w:val="0"/>
        </w:rPr>
        <w:t>LP</w:t>
      </w:r>
      <w:r>
        <w:rPr>
          <w:rFonts w:hint="eastAsia"/>
          <w:kern w:val="0"/>
        </w:rPr>
        <w:t>—距离声源</w:t>
      </w:r>
      <w:r>
        <w:rPr>
          <w:kern w:val="0"/>
        </w:rPr>
        <w:t>rm</w:t>
      </w:r>
      <w:r>
        <w:rPr>
          <w:rFonts w:hint="eastAsia"/>
          <w:kern w:val="0"/>
        </w:rPr>
        <w:t>处的声压级；</w:t>
      </w:r>
    </w:p>
    <w:p>
      <w:pPr>
        <w:pStyle w:val="3"/>
        <w:ind w:firstLine="1200" w:firstLineChars="500"/>
      </w:pPr>
      <w:r>
        <w:t xml:space="preserve">r </w:t>
      </w:r>
      <w:r>
        <w:rPr>
          <w:rFonts w:hint="eastAsia"/>
        </w:rPr>
        <w:t>—</w:t>
      </w:r>
      <w:r>
        <w:t xml:space="preserve"> </w:t>
      </w:r>
      <w:r>
        <w:rPr>
          <w:rFonts w:hint="eastAsia"/>
        </w:rPr>
        <w:t>预测点与声源的距离；</w:t>
      </w:r>
    </w:p>
    <w:p>
      <w:pPr>
        <w:pStyle w:val="3"/>
        <w:ind w:firstLine="1200" w:firstLineChars="500"/>
      </w:pPr>
      <w:r>
        <w:t>r</w:t>
      </w:r>
      <w:r>
        <w:rPr>
          <w:vertAlign w:val="subscript"/>
        </w:rPr>
        <w:t>0</w:t>
      </w:r>
      <w:r>
        <w:rPr>
          <w:rFonts w:hint="eastAsia"/>
        </w:rPr>
        <w:t>—距离声源</w:t>
      </w:r>
      <w:r>
        <w:t>r0m</w:t>
      </w:r>
      <w:r>
        <w:rPr>
          <w:rFonts w:hint="eastAsia"/>
        </w:rPr>
        <w:t>处的距离；</w:t>
      </w:r>
    </w:p>
    <w:p>
      <w:pPr>
        <w:pStyle w:val="3"/>
        <w:ind w:firstLine="1200" w:firstLineChars="500"/>
      </w:pPr>
      <w:r>
        <w:t>a</w:t>
      </w:r>
      <w:r>
        <w:rPr>
          <w:rFonts w:hint="eastAsia"/>
        </w:rPr>
        <w:t>—空气衰减系数；</w:t>
      </w:r>
    </w:p>
    <w:p>
      <w:pPr>
        <w:pStyle w:val="3"/>
        <w:ind w:firstLine="1200" w:firstLineChars="500"/>
      </w:pPr>
      <w:r>
        <w:rPr>
          <w:rFonts w:hint="eastAsia"/>
        </w:rPr>
        <w:t>△</w:t>
      </w:r>
      <w:r>
        <w:t>L</w:t>
      </w:r>
      <w:r>
        <w:rPr>
          <w:rFonts w:hint="eastAsia"/>
        </w:rPr>
        <w:t>—各种因素引起的衰减量（包括声屏障、空气吸收等）。</w:t>
      </w:r>
    </w:p>
    <w:p>
      <w:pPr>
        <w:pStyle w:val="3"/>
        <w:ind w:firstLine="480"/>
        <w:rPr>
          <w:kern w:val="0"/>
        </w:rPr>
      </w:pPr>
      <w:r>
        <w:rPr>
          <w:rFonts w:hint="eastAsia"/>
          <w:kern w:val="0"/>
        </w:rPr>
        <w:t>2、对室内噪声源采用室内声源噪声模式并换算成等效的室外声源：</w:t>
      </w:r>
    </w:p>
    <w:p>
      <w:pPr>
        <w:pStyle w:val="3"/>
        <w:ind w:firstLine="420"/>
        <w:jc w:val="center"/>
        <w:rPr>
          <w:rFonts w:asciiTheme="minorHAnsi" w:hAnsiTheme="minorHAnsi" w:eastAsiaTheme="minorEastAsia"/>
          <w:kern w:val="0"/>
          <w:sz w:val="21"/>
        </w:rPr>
      </w:pPr>
      <w:r>
        <w:rPr>
          <w:rFonts w:asciiTheme="minorHAnsi" w:hAnsiTheme="minorHAnsi" w:eastAsiaTheme="minorEastAsia"/>
          <w:kern w:val="0"/>
          <w:sz w:val="21"/>
        </w:rPr>
        <w:object>
          <v:shape id="_x0000_i1033" o:spt="75" type="#_x0000_t75" style="height:39pt;width:129pt;" o:ole="t" fillcolor="#6D6D6D" filled="t" o:preferrelative="t" stroked="f" coordsize="21600,21600">
            <v:path/>
            <v:fill on="t"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pStyle w:val="3"/>
        <w:ind w:firstLine="420"/>
        <w:jc w:val="center"/>
        <w:rPr>
          <w:rFonts w:asciiTheme="minorHAnsi" w:hAnsiTheme="minorHAnsi" w:eastAsiaTheme="minorEastAsia"/>
          <w:kern w:val="0"/>
          <w:sz w:val="21"/>
        </w:rPr>
      </w:pPr>
      <w:r>
        <w:rPr>
          <w:rFonts w:asciiTheme="minorHAnsi" w:hAnsiTheme="minorHAnsi" w:eastAsiaTheme="minorEastAsia"/>
          <w:kern w:val="0"/>
          <w:sz w:val="21"/>
        </w:rPr>
        <w:object>
          <v:shape id="_x0000_i1034" o:spt="75" type="#_x0000_t75" style="height:22.5pt;width:129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p>
    <w:p>
      <w:pPr>
        <w:pStyle w:val="3"/>
        <w:ind w:firstLine="480"/>
      </w:pPr>
      <w:r>
        <w:rPr>
          <w:rFonts w:hint="eastAsia"/>
        </w:rPr>
        <w:t>式中：</w:t>
      </w:r>
      <w:r>
        <w:t>Ln</w:t>
      </w:r>
      <w:r>
        <w:rPr>
          <w:rFonts w:hint="eastAsia"/>
        </w:rPr>
        <w:t>—室内靠近围护结构处产生的声压级；</w:t>
      </w:r>
    </w:p>
    <w:p>
      <w:pPr>
        <w:pStyle w:val="3"/>
        <w:ind w:firstLine="1200" w:firstLineChars="500"/>
      </w:pPr>
      <w:r>
        <w:t>Lw</w:t>
      </w:r>
      <w:r>
        <w:rPr>
          <w:rFonts w:hint="eastAsia"/>
        </w:rPr>
        <w:t>—室外靠近维护结构处产生的声压级；</w:t>
      </w:r>
    </w:p>
    <w:p>
      <w:pPr>
        <w:pStyle w:val="3"/>
        <w:ind w:firstLine="1200" w:firstLineChars="500"/>
      </w:pPr>
      <w:r>
        <w:t>Le</w:t>
      </w:r>
      <w:r>
        <w:rPr>
          <w:rFonts w:hint="eastAsia"/>
        </w:rPr>
        <w:t>—声源的声压级；</w:t>
      </w:r>
    </w:p>
    <w:p>
      <w:pPr>
        <w:pStyle w:val="3"/>
        <w:ind w:firstLine="1200" w:firstLineChars="500"/>
      </w:pPr>
      <w:r>
        <w:t>r</w:t>
      </w:r>
      <w:r>
        <w:rPr>
          <w:rFonts w:hint="eastAsia"/>
        </w:rPr>
        <w:t>—声源与室内靠近围护结构处的距离；</w:t>
      </w:r>
    </w:p>
    <w:p>
      <w:pPr>
        <w:pStyle w:val="3"/>
        <w:ind w:firstLine="1200" w:firstLineChars="500"/>
      </w:pPr>
      <w:r>
        <w:t>R</w:t>
      </w:r>
      <w:r>
        <w:rPr>
          <w:rFonts w:hint="eastAsia"/>
        </w:rPr>
        <w:t>—房间常数；</w:t>
      </w:r>
    </w:p>
    <w:p>
      <w:pPr>
        <w:pStyle w:val="3"/>
        <w:ind w:firstLine="1200" w:firstLineChars="500"/>
      </w:pPr>
      <w:r>
        <w:t>Q</w:t>
      </w:r>
      <w:r>
        <w:rPr>
          <w:rFonts w:hint="eastAsia"/>
        </w:rPr>
        <w:t>—方向性因子；</w:t>
      </w:r>
    </w:p>
    <w:p>
      <w:pPr>
        <w:pStyle w:val="3"/>
        <w:ind w:firstLine="1200" w:firstLineChars="500"/>
      </w:pPr>
      <w:r>
        <w:t>TL</w:t>
      </w:r>
      <w:r>
        <w:rPr>
          <w:rFonts w:hint="eastAsia"/>
        </w:rPr>
        <w:t>—围护结构处的传输损失；</w:t>
      </w:r>
    </w:p>
    <w:p>
      <w:pPr>
        <w:pStyle w:val="3"/>
        <w:ind w:firstLine="1200" w:firstLineChars="500"/>
      </w:pPr>
      <w:r>
        <w:t>S</w:t>
      </w:r>
      <w:r>
        <w:rPr>
          <w:rFonts w:hint="eastAsia"/>
        </w:rPr>
        <w:t>—透声面积（</w:t>
      </w:r>
      <w:r>
        <w:t>m</w:t>
      </w:r>
      <w:r>
        <w:rPr>
          <w:vertAlign w:val="superscript"/>
        </w:rPr>
        <w:t>2</w:t>
      </w:r>
      <w:r>
        <w:rPr>
          <w:rFonts w:hint="eastAsia"/>
        </w:rPr>
        <w:t>）。</w:t>
      </w:r>
    </w:p>
    <w:p>
      <w:pPr>
        <w:pStyle w:val="3"/>
        <w:ind w:firstLine="480"/>
        <w:rPr>
          <w:kern w:val="0"/>
        </w:rPr>
      </w:pPr>
      <w:r>
        <w:rPr>
          <w:rFonts w:hint="eastAsia"/>
          <w:kern w:val="0"/>
        </w:rPr>
        <w:t>3、对两个以上多个声源同时存在时，多点源叠加计算总源强，采用如下公式：</w:t>
      </w:r>
    </w:p>
    <w:p>
      <w:pPr>
        <w:pStyle w:val="3"/>
        <w:ind w:firstLine="420"/>
        <w:jc w:val="center"/>
        <w:rPr>
          <w:rFonts w:eastAsiaTheme="minorEastAsia"/>
          <w:kern w:val="0"/>
          <w:sz w:val="21"/>
          <w:u w:val="single"/>
        </w:rPr>
      </w:pPr>
      <w:r>
        <w:rPr>
          <w:rFonts w:eastAsiaTheme="minorEastAsia"/>
          <w:kern w:val="0"/>
          <w:sz w:val="21"/>
          <w:u w:val="single"/>
        </w:rPr>
        <w:object>
          <v:shape id="_x0000_i1035" o:spt="75" type="#_x0000_t75" style="height:25.5pt;width:97.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p>
    <w:p>
      <w:pPr>
        <w:pStyle w:val="3"/>
        <w:ind w:firstLine="480"/>
      </w:pPr>
      <w:r>
        <w:rPr>
          <w:rFonts w:hint="eastAsia"/>
        </w:rPr>
        <w:t>式中：</w:t>
      </w:r>
      <w:r>
        <w:t>Leq</w:t>
      </w:r>
      <w:r>
        <w:rPr>
          <w:rFonts w:hint="eastAsia"/>
        </w:rPr>
        <w:t>—预测点的总等效声级，</w:t>
      </w:r>
      <w:r>
        <w:t>dB</w:t>
      </w:r>
      <w:r>
        <w:rPr>
          <w:rFonts w:hint="eastAsia"/>
        </w:rPr>
        <w:t>；</w:t>
      </w:r>
    </w:p>
    <w:p>
      <w:pPr>
        <w:pStyle w:val="3"/>
        <w:ind w:firstLine="1200" w:firstLineChars="500"/>
      </w:pPr>
      <w:r>
        <w:t>Li</w:t>
      </w:r>
      <w:r>
        <w:rPr>
          <w:rFonts w:hint="eastAsia"/>
        </w:rPr>
        <w:t>—第</w:t>
      </w:r>
      <w:r>
        <w:t>i</w:t>
      </w:r>
      <w:r>
        <w:rPr>
          <w:rFonts w:hint="eastAsia"/>
        </w:rPr>
        <w:t>个声源对预测点的声级影响，</w:t>
      </w:r>
      <w:r>
        <w:t>dB</w:t>
      </w:r>
      <w:r>
        <w:rPr>
          <w:rFonts w:hint="eastAsia"/>
        </w:rPr>
        <w:t>。</w:t>
      </w:r>
    </w:p>
    <w:p>
      <w:pPr>
        <w:pStyle w:val="3"/>
        <w:ind w:firstLine="0" w:firstLineChars="0"/>
        <w:outlineLvl w:val="3"/>
        <w:rPr>
          <w:rFonts w:eastAsia="黑体" w:cstheme="majorBidi"/>
          <w:bCs/>
          <w:szCs w:val="32"/>
        </w:rPr>
      </w:pPr>
      <w:r>
        <w:rPr>
          <w:rFonts w:hint="eastAsia" w:eastAsia="黑体" w:cstheme="majorBidi"/>
          <w:bCs/>
          <w:szCs w:val="32"/>
        </w:rPr>
        <w:t>6.2.3.2</w:t>
      </w:r>
      <w:r>
        <w:rPr>
          <w:rFonts w:hint="eastAsia" w:eastAsia="黑体" w:cstheme="majorBidi"/>
          <w:bCs/>
          <w:szCs w:val="32"/>
        </w:rPr>
        <w:tab/>
      </w:r>
      <w:r>
        <w:rPr>
          <w:rFonts w:hint="eastAsia" w:eastAsia="黑体" w:cstheme="majorBidi"/>
          <w:bCs/>
          <w:szCs w:val="32"/>
        </w:rPr>
        <w:t>预测结果</w:t>
      </w:r>
    </w:p>
    <w:p>
      <w:pPr>
        <w:pStyle w:val="3"/>
        <w:ind w:firstLine="480"/>
      </w:pPr>
      <w:r>
        <w:rPr>
          <w:rFonts w:hint="eastAsia"/>
        </w:rPr>
        <w:t>根据建设项目高噪声设备声级所处位置，利用工业企业噪声预测模式和方法，对场界外的声环境进行预测计算，得到项目建成后各场界处的贡献值，建设项目噪声预测结果见表6.2-14。</w:t>
      </w:r>
    </w:p>
    <w:p>
      <w:pPr>
        <w:pStyle w:val="3"/>
        <w:spacing w:line="240" w:lineRule="auto"/>
        <w:ind w:firstLine="482"/>
        <w:jc w:val="center"/>
        <w:rPr>
          <w:kern w:val="0"/>
        </w:rPr>
      </w:pPr>
      <w:r>
        <w:rPr>
          <w:rFonts w:hint="eastAsia" w:cs="Times New Roman" w:eastAsiaTheme="minorEastAsia"/>
          <w:b/>
        </w:rPr>
        <w:t>表6.2-14</w:t>
      </w:r>
      <w:r>
        <w:rPr>
          <w:rFonts w:cs="Times New Roman" w:eastAsiaTheme="minorEastAsia"/>
          <w:b/>
        </w:rPr>
        <w:t xml:space="preserve">  </w:t>
      </w:r>
      <w:r>
        <w:rPr>
          <w:rFonts w:hint="eastAsia" w:cs="Times New Roman" w:eastAsiaTheme="minorEastAsia"/>
          <w:b/>
        </w:rPr>
        <w:t xml:space="preserve"> 本建设项目场界噪声预测结果表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550"/>
        <w:gridCol w:w="1303"/>
        <w:gridCol w:w="1956"/>
        <w:gridCol w:w="1677"/>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5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序号</w:t>
            </w:r>
          </w:p>
        </w:tc>
        <w:tc>
          <w:tcPr>
            <w:tcW w:w="8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位置</w:t>
            </w:r>
          </w:p>
        </w:tc>
        <w:tc>
          <w:tcPr>
            <w:tcW w:w="7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时间</w:t>
            </w:r>
          </w:p>
        </w:tc>
        <w:tc>
          <w:tcPr>
            <w:tcW w:w="106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贡献值</w:t>
            </w:r>
          </w:p>
        </w:tc>
        <w:tc>
          <w:tcPr>
            <w:tcW w:w="9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标准限值</w:t>
            </w:r>
          </w:p>
        </w:tc>
        <w:tc>
          <w:tcPr>
            <w:tcW w:w="9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3" w:type="pct"/>
            <w:tcBorders>
              <w:top w:val="single" w:color="auto" w:sz="4" w:space="0"/>
              <w:left w:val="single" w:color="auto" w:sz="4" w:space="0"/>
              <w:bottom w:val="single" w:color="auto" w:sz="4" w:space="0"/>
              <w:right w:val="single" w:color="auto" w:sz="4" w:space="0"/>
            </w:tcBorders>
            <w:vAlign w:val="center"/>
          </w:tcPr>
          <w:p>
            <w:pPr>
              <w:pStyle w:val="49"/>
            </w:pPr>
            <w:r>
              <w:t>1</w:t>
            </w:r>
          </w:p>
        </w:tc>
        <w:tc>
          <w:tcPr>
            <w:tcW w:w="8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东场界</w:t>
            </w:r>
          </w:p>
        </w:tc>
        <w:tc>
          <w:tcPr>
            <w:tcW w:w="7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昼间</w:t>
            </w:r>
          </w:p>
        </w:tc>
        <w:tc>
          <w:tcPr>
            <w:tcW w:w="1066" w:type="pct"/>
            <w:tcBorders>
              <w:top w:val="single" w:color="auto" w:sz="4" w:space="0"/>
              <w:left w:val="single" w:color="auto" w:sz="4" w:space="0"/>
              <w:bottom w:val="single" w:color="auto" w:sz="4" w:space="0"/>
              <w:right w:val="single" w:color="auto" w:sz="4" w:space="0"/>
            </w:tcBorders>
            <w:vAlign w:val="center"/>
          </w:tcPr>
          <w:p>
            <w:pPr>
              <w:pStyle w:val="49"/>
            </w:pPr>
            <w:r>
              <w:t>43.48</w:t>
            </w:r>
          </w:p>
        </w:tc>
        <w:tc>
          <w:tcPr>
            <w:tcW w:w="914" w:type="pct"/>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昼间</w:t>
            </w:r>
            <w:r>
              <w:t>≤</w:t>
            </w:r>
            <w:r>
              <w:rPr>
                <w:rFonts w:hint="eastAsia"/>
              </w:rPr>
              <w:t>60；</w:t>
            </w:r>
          </w:p>
        </w:tc>
        <w:tc>
          <w:tcPr>
            <w:tcW w:w="9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3" w:type="pct"/>
            <w:tcBorders>
              <w:top w:val="single" w:color="auto" w:sz="4" w:space="0"/>
              <w:left w:val="single" w:color="auto" w:sz="4" w:space="0"/>
              <w:bottom w:val="single" w:color="auto" w:sz="4" w:space="0"/>
              <w:right w:val="single" w:color="auto" w:sz="4" w:space="0"/>
            </w:tcBorders>
            <w:vAlign w:val="center"/>
          </w:tcPr>
          <w:p>
            <w:pPr>
              <w:pStyle w:val="49"/>
            </w:pPr>
            <w:r>
              <w:t>2</w:t>
            </w:r>
          </w:p>
        </w:tc>
        <w:tc>
          <w:tcPr>
            <w:tcW w:w="8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南场界</w:t>
            </w:r>
          </w:p>
        </w:tc>
        <w:tc>
          <w:tcPr>
            <w:tcW w:w="7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昼间</w:t>
            </w:r>
          </w:p>
        </w:tc>
        <w:tc>
          <w:tcPr>
            <w:tcW w:w="106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48</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rPr>
            </w:pPr>
          </w:p>
        </w:tc>
        <w:tc>
          <w:tcPr>
            <w:tcW w:w="9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3" w:type="pct"/>
            <w:tcBorders>
              <w:top w:val="single" w:color="auto" w:sz="4" w:space="0"/>
              <w:left w:val="single" w:color="auto" w:sz="4" w:space="0"/>
              <w:bottom w:val="single" w:color="auto" w:sz="4" w:space="0"/>
              <w:right w:val="single" w:color="auto" w:sz="4" w:space="0"/>
            </w:tcBorders>
            <w:vAlign w:val="center"/>
          </w:tcPr>
          <w:p>
            <w:pPr>
              <w:pStyle w:val="49"/>
            </w:pPr>
            <w:r>
              <w:t>3</w:t>
            </w:r>
          </w:p>
        </w:tc>
        <w:tc>
          <w:tcPr>
            <w:tcW w:w="8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西场界</w:t>
            </w:r>
          </w:p>
        </w:tc>
        <w:tc>
          <w:tcPr>
            <w:tcW w:w="7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昼间</w:t>
            </w:r>
          </w:p>
        </w:tc>
        <w:tc>
          <w:tcPr>
            <w:tcW w:w="106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41.83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rPr>
            </w:pPr>
          </w:p>
        </w:tc>
        <w:tc>
          <w:tcPr>
            <w:tcW w:w="9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3" w:type="pct"/>
            <w:tcBorders>
              <w:top w:val="single" w:color="auto" w:sz="4" w:space="0"/>
              <w:left w:val="single" w:color="auto" w:sz="4" w:space="0"/>
              <w:bottom w:val="single" w:color="auto" w:sz="4" w:space="0"/>
              <w:right w:val="single" w:color="auto" w:sz="4" w:space="0"/>
            </w:tcBorders>
            <w:vAlign w:val="center"/>
          </w:tcPr>
          <w:p>
            <w:pPr>
              <w:pStyle w:val="49"/>
            </w:pPr>
            <w:r>
              <w:t>4</w:t>
            </w:r>
          </w:p>
        </w:tc>
        <w:tc>
          <w:tcPr>
            <w:tcW w:w="8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北场界</w:t>
            </w:r>
          </w:p>
        </w:tc>
        <w:tc>
          <w:tcPr>
            <w:tcW w:w="7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昼间</w:t>
            </w:r>
          </w:p>
        </w:tc>
        <w:tc>
          <w:tcPr>
            <w:tcW w:w="106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41.3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rPr>
            </w:pPr>
          </w:p>
        </w:tc>
        <w:tc>
          <w:tcPr>
            <w:tcW w:w="9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达标</w:t>
            </w:r>
          </w:p>
        </w:tc>
      </w:tr>
    </w:tbl>
    <w:p>
      <w:pPr>
        <w:pStyle w:val="3"/>
        <w:ind w:firstLine="480"/>
      </w:pPr>
      <w:r>
        <w:rPr>
          <w:rFonts w:hint="eastAsia"/>
        </w:rPr>
        <w:t>根据噪声预测分析，本项目各噪声源在加强采取相应的噪声污染治理措施后，经过几何发散衰减和距离衰减，各厂界最大噪声贡献值约48</w:t>
      </w:r>
      <w:r>
        <w:t>dB(A)</w:t>
      </w:r>
      <w:r>
        <w:rPr>
          <w:rFonts w:hint="eastAsia"/>
        </w:rPr>
        <w:t>，厂界噪声能符合《工业企业厂界环境噪声排放标准》（</w:t>
      </w:r>
      <w:r>
        <w:t>GB12348-2008</w:t>
      </w:r>
      <w:r>
        <w:rPr>
          <w:rFonts w:hint="eastAsia"/>
        </w:rPr>
        <w:t>）中</w:t>
      </w:r>
      <w:r>
        <w:t>2</w:t>
      </w:r>
      <w:r>
        <w:rPr>
          <w:rFonts w:hint="eastAsia"/>
        </w:rPr>
        <w:t>类区标准（即昼间</w:t>
      </w:r>
      <w:r>
        <w:t>≤6</w:t>
      </w:r>
      <w:r>
        <w:rPr>
          <w:rFonts w:hint="eastAsia"/>
        </w:rPr>
        <w:t>0</w:t>
      </w:r>
      <w:r>
        <w:t>dB(A)</w:t>
      </w:r>
      <w:r>
        <w:rPr>
          <w:rFonts w:hint="eastAsia"/>
        </w:rPr>
        <w:t>），夜间不生产，不会对周围环境产生超标影响。</w:t>
      </w:r>
    </w:p>
    <w:p>
      <w:pPr>
        <w:pStyle w:val="3"/>
        <w:ind w:firstLine="0" w:firstLineChars="0"/>
        <w:outlineLvl w:val="2"/>
        <w:rPr>
          <w:rFonts w:eastAsia="黑体" w:cstheme="majorBidi"/>
          <w:bCs/>
          <w:szCs w:val="32"/>
        </w:rPr>
      </w:pPr>
      <w:r>
        <w:rPr>
          <w:rFonts w:hint="eastAsia"/>
        </w:rPr>
        <w:t>6.2.4</w:t>
      </w:r>
      <w:r>
        <w:rPr>
          <w:rFonts w:hint="eastAsia"/>
        </w:rPr>
        <w:tab/>
      </w:r>
      <w:r>
        <w:rPr>
          <w:rFonts w:hint="eastAsia" w:eastAsia="黑体" w:cstheme="majorBidi"/>
          <w:bCs/>
          <w:szCs w:val="32"/>
        </w:rPr>
        <w:t>营运期地下水环境影响分析</w:t>
      </w:r>
    </w:p>
    <w:p>
      <w:pPr>
        <w:pStyle w:val="3"/>
        <w:ind w:firstLine="0" w:firstLineChars="0"/>
        <w:outlineLvl w:val="3"/>
        <w:rPr>
          <w:rFonts w:eastAsia="黑体" w:cstheme="majorBidi"/>
          <w:bCs/>
          <w:szCs w:val="32"/>
        </w:rPr>
      </w:pPr>
      <w:r>
        <w:rPr>
          <w:rFonts w:hint="eastAsia" w:eastAsia="黑体" w:cstheme="majorBidi"/>
          <w:bCs/>
          <w:szCs w:val="32"/>
        </w:rPr>
        <w:t>6.2.4.1</w:t>
      </w:r>
      <w:r>
        <w:rPr>
          <w:rFonts w:hint="eastAsia" w:eastAsia="黑体" w:cstheme="majorBidi"/>
          <w:bCs/>
          <w:szCs w:val="32"/>
        </w:rPr>
        <w:tab/>
      </w:r>
      <w:r>
        <w:rPr>
          <w:rFonts w:hint="eastAsia" w:eastAsia="黑体" w:cstheme="majorBidi"/>
          <w:bCs/>
          <w:szCs w:val="32"/>
        </w:rPr>
        <w:t>地下水文地质条件分析</w:t>
      </w:r>
    </w:p>
    <w:p>
      <w:pPr>
        <w:pStyle w:val="3"/>
        <w:ind w:firstLine="480"/>
        <w:rPr>
          <w:rFonts w:cs="Times New Roman"/>
        </w:rPr>
      </w:pPr>
      <w:r>
        <w:rPr>
          <w:rFonts w:hint="eastAsia" w:cs="Times New Roman"/>
        </w:rPr>
        <w:t>1、场区岩土层结构</w:t>
      </w:r>
    </w:p>
    <w:p>
      <w:pPr>
        <w:pStyle w:val="3"/>
        <w:ind w:firstLine="480"/>
        <w:rPr>
          <w:rFonts w:cs="Times New Roman"/>
        </w:rPr>
      </w:pPr>
      <w:r>
        <w:rPr>
          <w:rFonts w:hint="eastAsia" w:cs="Times New Roman"/>
        </w:rPr>
        <w:t>根据以往的勘察资料，场地范围内岩土层可划分为：耕植土</w:t>
      </w:r>
      <w:r>
        <w:rPr>
          <w:rFonts w:cs="Times New Roman"/>
        </w:rPr>
        <w:t>1</w:t>
      </w:r>
      <w:r>
        <w:rPr>
          <w:rFonts w:hint="eastAsia" w:cs="Times New Roman"/>
        </w:rPr>
        <w:t>层和残积粘土</w:t>
      </w:r>
      <w:r>
        <w:rPr>
          <w:rFonts w:cs="Times New Roman"/>
        </w:rPr>
        <w:t>2</w:t>
      </w:r>
      <w:r>
        <w:rPr>
          <w:rFonts w:hint="eastAsia" w:cs="Times New Roman"/>
        </w:rPr>
        <w:t>层、含卵石粘土</w:t>
      </w:r>
      <w:r>
        <w:rPr>
          <w:rFonts w:cs="Times New Roman"/>
        </w:rPr>
        <w:t>3</w:t>
      </w:r>
      <w:r>
        <w:rPr>
          <w:rFonts w:hint="eastAsia" w:cs="Times New Roman"/>
        </w:rPr>
        <w:t>层以及含粘土卵石砾</w:t>
      </w:r>
      <w:r>
        <w:rPr>
          <w:rFonts w:cs="Times New Roman"/>
        </w:rPr>
        <w:t>4</w:t>
      </w:r>
      <w:r>
        <w:rPr>
          <w:rFonts w:hint="eastAsia" w:cs="Times New Roman"/>
        </w:rPr>
        <w:t>层等。各层工程地质特性简述如下：</w:t>
      </w:r>
    </w:p>
    <w:p>
      <w:pPr>
        <w:pStyle w:val="3"/>
        <w:ind w:firstLine="480"/>
        <w:rPr>
          <w:rFonts w:cs="Times New Roman"/>
        </w:rPr>
      </w:pPr>
      <w:r>
        <w:rPr>
          <w:rFonts w:hint="eastAsia" w:ascii="宋体" w:hAnsi="宋体" w:cs="宋体"/>
        </w:rPr>
        <w:t>①</w:t>
      </w:r>
      <w:r>
        <w:rPr>
          <w:rFonts w:hint="eastAsia" w:cs="Times New Roman"/>
        </w:rPr>
        <w:t>耕植土</w:t>
      </w:r>
      <w:r>
        <w:rPr>
          <w:rFonts w:cs="Times New Roman"/>
        </w:rPr>
        <w:t>1</w:t>
      </w:r>
      <w:r>
        <w:rPr>
          <w:rFonts w:hint="eastAsia" w:cs="Times New Roman"/>
        </w:rPr>
        <w:t>层：褐黄色</w:t>
      </w:r>
      <w:r>
        <w:rPr>
          <w:rFonts w:cs="Times New Roman"/>
        </w:rPr>
        <w:t>~</w:t>
      </w:r>
      <w:r>
        <w:rPr>
          <w:rFonts w:hint="eastAsia" w:cs="Times New Roman"/>
        </w:rPr>
        <w:t>灰褐色、杂色；稍湿；松散。该层主要成分为粘性土，包含腐殖质、杂草、树枝及砂石等。为高压缩性土，极不均匀，欠固结。层厚约</w:t>
      </w:r>
      <w:r>
        <w:rPr>
          <w:rFonts w:cs="Times New Roman"/>
        </w:rPr>
        <w:t>0.4~0.6m</w:t>
      </w:r>
      <w:r>
        <w:rPr>
          <w:rFonts w:hint="eastAsia" w:cs="Times New Roman"/>
        </w:rPr>
        <w:t>，不均匀分布于场地范围内地表。</w:t>
      </w:r>
    </w:p>
    <w:p>
      <w:pPr>
        <w:pStyle w:val="3"/>
        <w:ind w:firstLine="480"/>
        <w:rPr>
          <w:rFonts w:cs="Times New Roman"/>
        </w:rPr>
      </w:pPr>
      <w:r>
        <w:rPr>
          <w:rFonts w:hint="eastAsia" w:ascii="宋体" w:hAnsi="宋体" w:cs="宋体"/>
        </w:rPr>
        <w:t>②</w:t>
      </w:r>
      <w:r>
        <w:rPr>
          <w:rFonts w:hint="eastAsia" w:cs="Times New Roman"/>
        </w:rPr>
        <w:t>粘土</w:t>
      </w:r>
      <w:r>
        <w:rPr>
          <w:rFonts w:cs="Times New Roman"/>
        </w:rPr>
        <w:t>2</w:t>
      </w:r>
      <w:r>
        <w:rPr>
          <w:rFonts w:hint="eastAsia" w:cs="Times New Roman"/>
        </w:rPr>
        <w:t>层：褐黄色</w:t>
      </w:r>
      <w:r>
        <w:rPr>
          <w:rFonts w:cs="Times New Roman"/>
        </w:rPr>
        <w:t>~</w:t>
      </w:r>
      <w:r>
        <w:rPr>
          <w:rFonts w:hint="eastAsia" w:cs="Times New Roman"/>
        </w:rPr>
        <w:t>黄色，稍湿，可塑</w:t>
      </w:r>
      <w:r>
        <w:rPr>
          <w:rFonts w:cs="Times New Roman"/>
        </w:rPr>
        <w:t>~</w:t>
      </w:r>
      <w:r>
        <w:rPr>
          <w:rFonts w:hint="eastAsia" w:cs="Times New Roman"/>
        </w:rPr>
        <w:t>硬塑状，土质较均匀，局部含少量风化砾石。土体切面较光滑，韧性中等，粘性中等，干强度较高；无摇震反应。标准贯入试验锤击数为</w:t>
      </w:r>
      <w:r>
        <w:rPr>
          <w:rFonts w:cs="Times New Roman"/>
        </w:rPr>
        <w:t>7.0~10.0</w:t>
      </w:r>
      <w:r>
        <w:rPr>
          <w:rFonts w:hint="eastAsia" w:cs="Times New Roman"/>
        </w:rPr>
        <w:t>击</w:t>
      </w:r>
      <w:r>
        <w:rPr>
          <w:rFonts w:cs="Times New Roman"/>
        </w:rPr>
        <w:t>/30cm</w:t>
      </w:r>
      <w:r>
        <w:rPr>
          <w:rFonts w:hint="eastAsia" w:cs="Times New Roman"/>
        </w:rPr>
        <w:t>，具中等压缩性。层厚</w:t>
      </w:r>
      <w:r>
        <w:rPr>
          <w:rFonts w:cs="Times New Roman"/>
        </w:rPr>
        <w:t>1.0~2.5m</w:t>
      </w:r>
      <w:r>
        <w:rPr>
          <w:rFonts w:hint="eastAsia" w:cs="Times New Roman"/>
        </w:rPr>
        <w:t>不等，</w:t>
      </w:r>
      <w:r>
        <w:rPr>
          <w:rFonts w:cs="Times New Roman"/>
        </w:rPr>
        <w:t>ρ≈1.88~1.94</w:t>
      </w:r>
      <w:r>
        <w:rPr>
          <w:rFonts w:hint="eastAsia" w:cs="Times New Roman"/>
        </w:rPr>
        <w:t>，</w:t>
      </w:r>
      <w:r>
        <w:rPr>
          <w:rFonts w:cs="Times New Roman"/>
        </w:rPr>
        <w:t>n≈0.72~0.90</w:t>
      </w:r>
      <w:r>
        <w:rPr>
          <w:rFonts w:hint="eastAsia" w:cs="Times New Roman"/>
        </w:rPr>
        <w:t>。</w:t>
      </w:r>
    </w:p>
    <w:p>
      <w:pPr>
        <w:pStyle w:val="3"/>
        <w:ind w:firstLine="480"/>
        <w:rPr>
          <w:rFonts w:cs="Times New Roman"/>
        </w:rPr>
      </w:pPr>
      <w:r>
        <w:rPr>
          <w:rFonts w:hint="eastAsia" w:ascii="宋体" w:hAnsi="宋体" w:cs="宋体"/>
        </w:rPr>
        <w:t>③</w:t>
      </w:r>
      <w:r>
        <w:rPr>
          <w:rFonts w:hint="eastAsia" w:cs="Times New Roman"/>
        </w:rPr>
        <w:t>含卵石粘土</w:t>
      </w:r>
      <w:r>
        <w:rPr>
          <w:rFonts w:cs="Times New Roman"/>
        </w:rPr>
        <w:t>3</w:t>
      </w:r>
      <w:r>
        <w:rPr>
          <w:rFonts w:hint="eastAsia" w:cs="Times New Roman"/>
        </w:rPr>
        <w:t>：黄色、黄白、灰白色；稍湿；硬塑状；土质不均匀，其中含较多的风化卵、砾石，含量约</w:t>
      </w:r>
      <w:r>
        <w:rPr>
          <w:rFonts w:cs="Times New Roman"/>
        </w:rPr>
        <w:t>15~40%</w:t>
      </w:r>
      <w:r>
        <w:rPr>
          <w:rFonts w:hint="eastAsia" w:cs="Times New Roman"/>
        </w:rPr>
        <w:t>不等，卵石扁圆形，卵砾石直径一般约</w:t>
      </w:r>
      <w:r>
        <w:rPr>
          <w:rFonts w:cs="Times New Roman"/>
        </w:rPr>
        <w:t>3~8cm</w:t>
      </w:r>
      <w:r>
        <w:rPr>
          <w:rFonts w:hint="eastAsia" w:cs="Times New Roman"/>
        </w:rPr>
        <w:t>，土体韧性中等，粘性中等，干强度中等；无摇震反应。该层重型动力触探试验锤击数在</w:t>
      </w:r>
      <w:r>
        <w:rPr>
          <w:rFonts w:cs="Times New Roman"/>
        </w:rPr>
        <w:t>4.0~7.0</w:t>
      </w:r>
      <w:r>
        <w:rPr>
          <w:rFonts w:hint="eastAsia" w:cs="Times New Roman"/>
        </w:rPr>
        <w:t>击</w:t>
      </w:r>
      <w:r>
        <w:rPr>
          <w:rFonts w:cs="Times New Roman"/>
        </w:rPr>
        <w:t>/10cm</w:t>
      </w:r>
      <w:r>
        <w:rPr>
          <w:rFonts w:hint="eastAsia" w:cs="Times New Roman"/>
        </w:rPr>
        <w:t>，具中等压缩性。层厚</w:t>
      </w:r>
      <w:r>
        <w:rPr>
          <w:rFonts w:cs="Times New Roman"/>
        </w:rPr>
        <w:t>3.1~4.5m</w:t>
      </w:r>
      <w:r>
        <w:rPr>
          <w:rFonts w:hint="eastAsia" w:cs="Times New Roman"/>
        </w:rPr>
        <w:t>，</w:t>
      </w:r>
      <w:r>
        <w:rPr>
          <w:rFonts w:cs="Times New Roman"/>
        </w:rPr>
        <w:t>ρ≈1.89~2.00</w:t>
      </w:r>
      <w:r>
        <w:rPr>
          <w:rFonts w:hint="eastAsia" w:cs="Times New Roman"/>
        </w:rPr>
        <w:t>，</w:t>
      </w:r>
      <w:r>
        <w:rPr>
          <w:rFonts w:cs="Times New Roman"/>
        </w:rPr>
        <w:t>n≈0.85~1.02</w:t>
      </w:r>
      <w:r>
        <w:rPr>
          <w:rFonts w:hint="eastAsia" w:cs="Times New Roman"/>
        </w:rPr>
        <w:t>。</w:t>
      </w:r>
    </w:p>
    <w:p>
      <w:pPr>
        <w:pStyle w:val="3"/>
        <w:ind w:firstLine="480"/>
        <w:rPr>
          <w:rFonts w:cs="Times New Roman"/>
        </w:rPr>
      </w:pPr>
      <w:r>
        <w:rPr>
          <w:rFonts w:hint="eastAsia" w:ascii="宋体" w:hAnsi="宋体" w:cs="宋体"/>
        </w:rPr>
        <w:t>④</w:t>
      </w:r>
      <w:r>
        <w:rPr>
          <w:rFonts w:hint="eastAsia" w:cs="Times New Roman"/>
        </w:rPr>
        <w:t>含粘土卵砾石</w:t>
      </w:r>
      <w:r>
        <w:rPr>
          <w:rFonts w:cs="Times New Roman"/>
        </w:rPr>
        <w:t>4</w:t>
      </w:r>
      <w:r>
        <w:rPr>
          <w:rFonts w:hint="eastAsia" w:cs="Times New Roman"/>
        </w:rPr>
        <w:t>：青灰、黄白、杂色，根据钻孔揭露，卵、砾石呈扁圆形</w:t>
      </w:r>
      <w:r>
        <w:rPr>
          <w:rFonts w:cs="Times New Roman"/>
        </w:rPr>
        <w:t>~</w:t>
      </w:r>
      <w:r>
        <w:rPr>
          <w:rFonts w:hint="eastAsia" w:cs="Times New Roman"/>
        </w:rPr>
        <w:t>亚圆形，磨圆度较好，一般粒径在</w:t>
      </w:r>
      <w:r>
        <w:rPr>
          <w:rFonts w:cs="Times New Roman"/>
        </w:rPr>
        <w:t>2</w:t>
      </w:r>
      <w:r>
        <w:rPr>
          <w:rFonts w:hint="eastAsia" w:cs="Times New Roman"/>
        </w:rPr>
        <w:t>～</w:t>
      </w:r>
      <w:r>
        <w:rPr>
          <w:rFonts w:cs="Times New Roman"/>
        </w:rPr>
        <w:t>8cm</w:t>
      </w:r>
      <w:r>
        <w:rPr>
          <w:rFonts w:hint="eastAsia" w:cs="Times New Roman"/>
        </w:rPr>
        <w:t>，大者可达</w:t>
      </w:r>
      <w:r>
        <w:rPr>
          <w:rFonts w:cs="Times New Roman"/>
        </w:rPr>
        <w:t>10</w:t>
      </w:r>
      <w:r>
        <w:rPr>
          <w:rFonts w:hint="eastAsia" w:cs="Times New Roman"/>
        </w:rPr>
        <w:t>～</w:t>
      </w:r>
      <w:r>
        <w:rPr>
          <w:rFonts w:cs="Times New Roman"/>
        </w:rPr>
        <w:t>15cm</w:t>
      </w:r>
      <w:r>
        <w:rPr>
          <w:rFonts w:hint="eastAsia" w:cs="Times New Roman"/>
        </w:rPr>
        <w:t>，砾石含量约</w:t>
      </w:r>
      <w:r>
        <w:rPr>
          <w:rFonts w:cs="Times New Roman"/>
        </w:rPr>
        <w:t>55</w:t>
      </w:r>
      <w:r>
        <w:rPr>
          <w:rFonts w:hint="eastAsia" w:cs="Times New Roman"/>
        </w:rPr>
        <w:t>～</w:t>
      </w:r>
      <w:r>
        <w:rPr>
          <w:rFonts w:cs="Times New Roman"/>
        </w:rPr>
        <w:t>80%</w:t>
      </w:r>
      <w:r>
        <w:rPr>
          <w:rFonts w:hint="eastAsia" w:cs="Times New Roman"/>
        </w:rPr>
        <w:t>，</w:t>
      </w:r>
      <w:r>
        <w:rPr>
          <w:rFonts w:cs="Times New Roman"/>
        </w:rPr>
        <w:t>9.0-10m</w:t>
      </w:r>
      <w:r>
        <w:rPr>
          <w:rFonts w:hint="eastAsia" w:cs="Times New Roman"/>
        </w:rPr>
        <w:t>以下含有漂砾，且有向下增多的趋势。卵石骨粒大部分交错排列，连续接触，级配较差，空隙间被粘土，部分砂土、小砾石充填，含量约在</w:t>
      </w:r>
      <w:r>
        <w:rPr>
          <w:rFonts w:cs="Times New Roman"/>
        </w:rPr>
        <w:t>20~45%</w:t>
      </w:r>
      <w:r>
        <w:rPr>
          <w:rFonts w:hint="eastAsia" w:cs="Times New Roman"/>
        </w:rPr>
        <w:t>。超重型动力触探试验锤击数为</w:t>
      </w:r>
      <w:r>
        <w:rPr>
          <w:rFonts w:cs="Times New Roman"/>
        </w:rPr>
        <w:t>3.0~6.0</w:t>
      </w:r>
      <w:r>
        <w:rPr>
          <w:rFonts w:hint="eastAsia" w:cs="Times New Roman"/>
        </w:rPr>
        <w:t>击</w:t>
      </w:r>
      <w:r>
        <w:rPr>
          <w:rFonts w:cs="Times New Roman"/>
        </w:rPr>
        <w:t>/10cm</w:t>
      </w:r>
      <w:r>
        <w:rPr>
          <w:rFonts w:hint="eastAsia" w:cs="Times New Roman"/>
        </w:rPr>
        <w:t>，具稍密</w:t>
      </w:r>
      <w:r>
        <w:rPr>
          <w:rFonts w:cs="Times New Roman"/>
        </w:rPr>
        <w:t>~</w:t>
      </w:r>
      <w:r>
        <w:rPr>
          <w:rFonts w:hint="eastAsia" w:cs="Times New Roman"/>
        </w:rPr>
        <w:t>中密结构。层厚</w:t>
      </w:r>
      <w:r>
        <w:rPr>
          <w:rFonts w:cs="Times New Roman"/>
        </w:rPr>
        <w:t>20~53.0m</w:t>
      </w:r>
      <w:r>
        <w:rPr>
          <w:rFonts w:hint="eastAsia" w:cs="Times New Roman"/>
        </w:rPr>
        <w:t>不等。</w:t>
      </w:r>
      <w:r>
        <w:rPr>
          <w:rFonts w:cs="Times New Roman"/>
        </w:rPr>
        <w:t>ρ≈1.97~2.05</w:t>
      </w:r>
      <w:r>
        <w:rPr>
          <w:rFonts w:hint="eastAsia" w:cs="Times New Roman"/>
        </w:rPr>
        <w:t>，</w:t>
      </w:r>
      <w:r>
        <w:rPr>
          <w:rFonts w:cs="Times New Roman"/>
        </w:rPr>
        <w:t>n≈1.15~1.25</w:t>
      </w:r>
      <w:r>
        <w:rPr>
          <w:rFonts w:hint="eastAsia" w:cs="Times New Roman"/>
        </w:rPr>
        <w:t>。</w:t>
      </w:r>
      <w:r>
        <w:rPr>
          <w:rFonts w:cs="Times New Roman"/>
        </w:rPr>
        <w:t xml:space="preserve"> </w:t>
      </w:r>
    </w:p>
    <w:p>
      <w:pPr>
        <w:pStyle w:val="3"/>
        <w:ind w:firstLine="480"/>
        <w:rPr>
          <w:rFonts w:cs="Times New Roman"/>
        </w:rPr>
      </w:pPr>
      <w:r>
        <w:rPr>
          <w:rFonts w:hint="eastAsia" w:cs="Times New Roman"/>
        </w:rPr>
        <w:t>2、场区岩土层渗透特性</w:t>
      </w:r>
    </w:p>
    <w:p>
      <w:pPr>
        <w:pStyle w:val="3"/>
        <w:ind w:firstLine="480"/>
        <w:rPr>
          <w:rFonts w:cs="Times New Roman"/>
        </w:rPr>
      </w:pPr>
      <w:r>
        <w:rPr>
          <w:rFonts w:hint="eastAsia" w:cs="Times New Roman"/>
        </w:rPr>
        <w:t>本次调查，未对上述各（岩）土层做分层渗透性试验，根据相关工程经验数据，提出本场地内各（岩）土层的渗透性参数大致如下：</w:t>
      </w:r>
    </w:p>
    <w:p>
      <w:pPr>
        <w:pStyle w:val="3"/>
        <w:ind w:firstLine="480"/>
        <w:rPr>
          <w:rFonts w:cs="Times New Roman"/>
        </w:rPr>
      </w:pPr>
      <w:r>
        <w:rPr>
          <w:rFonts w:hint="eastAsia" w:ascii="宋体" w:hAnsi="宋体" w:cs="宋体"/>
        </w:rPr>
        <w:t>①</w:t>
      </w:r>
      <w:r>
        <w:rPr>
          <w:rFonts w:hint="eastAsia" w:cs="Times New Roman"/>
        </w:rPr>
        <w:t>粘土</w:t>
      </w:r>
      <w:r>
        <w:rPr>
          <w:rFonts w:cs="Times New Roman"/>
        </w:rPr>
        <w:t>2</w:t>
      </w:r>
      <w:r>
        <w:rPr>
          <w:rFonts w:hint="eastAsia" w:cs="Times New Roman"/>
        </w:rPr>
        <w:t>，渗透系数</w:t>
      </w:r>
      <w:r>
        <w:rPr>
          <w:rFonts w:cs="Times New Roman"/>
        </w:rPr>
        <w:t>K</w:t>
      </w:r>
      <w:r>
        <w:rPr>
          <w:rFonts w:hint="eastAsia" w:cs="Times New Roman"/>
        </w:rPr>
        <w:t>值在</w:t>
      </w:r>
      <w:r>
        <w:rPr>
          <w:rFonts w:cs="Times New Roman"/>
        </w:rPr>
        <w:t>2.5×10</w:t>
      </w:r>
      <w:r>
        <w:rPr>
          <w:rFonts w:cs="Times New Roman"/>
          <w:vertAlign w:val="superscript"/>
        </w:rPr>
        <w:t>-6</w:t>
      </w:r>
      <w:r>
        <w:rPr>
          <w:rFonts w:cs="Times New Roman"/>
        </w:rPr>
        <w:t xml:space="preserve">cm/s </w:t>
      </w:r>
      <w:r>
        <w:rPr>
          <w:rFonts w:hint="eastAsia" w:cs="Times New Roman"/>
        </w:rPr>
        <w:t>～</w:t>
      </w:r>
      <w:r>
        <w:rPr>
          <w:rFonts w:cs="Times New Roman"/>
        </w:rPr>
        <w:t>6.5×10</w:t>
      </w:r>
      <w:r>
        <w:rPr>
          <w:rFonts w:cs="Times New Roman"/>
          <w:vertAlign w:val="superscript"/>
        </w:rPr>
        <w:t>-5</w:t>
      </w:r>
      <w:r>
        <w:rPr>
          <w:rFonts w:cs="Times New Roman"/>
        </w:rPr>
        <w:t>cm/s</w:t>
      </w:r>
      <w:r>
        <w:rPr>
          <w:rFonts w:hint="eastAsia" w:cs="Times New Roman"/>
        </w:rPr>
        <w:t>之间，渗透性等级为微透水级；</w:t>
      </w:r>
      <w:r>
        <w:rPr>
          <w:rFonts w:cs="Times New Roman"/>
        </w:rPr>
        <w:t xml:space="preserve"> </w:t>
      </w:r>
    </w:p>
    <w:p>
      <w:pPr>
        <w:pStyle w:val="3"/>
        <w:ind w:firstLine="480"/>
        <w:rPr>
          <w:rFonts w:cs="Times New Roman"/>
        </w:rPr>
      </w:pPr>
      <w:r>
        <w:rPr>
          <w:rFonts w:hint="eastAsia" w:ascii="宋体" w:hAnsi="宋体" w:cs="宋体"/>
        </w:rPr>
        <w:t>②</w:t>
      </w:r>
      <w:r>
        <w:rPr>
          <w:rFonts w:hint="eastAsia" w:cs="Times New Roman"/>
        </w:rPr>
        <w:t>含卵砾石粘土</w:t>
      </w:r>
      <w:r>
        <w:rPr>
          <w:rFonts w:cs="Times New Roman"/>
        </w:rPr>
        <w:t>3</w:t>
      </w:r>
      <w:r>
        <w:rPr>
          <w:rFonts w:hint="eastAsia" w:cs="Times New Roman"/>
        </w:rPr>
        <w:t>层，渗透系数</w:t>
      </w:r>
      <w:r>
        <w:rPr>
          <w:rFonts w:cs="Times New Roman"/>
        </w:rPr>
        <w:t>K</w:t>
      </w:r>
      <w:r>
        <w:rPr>
          <w:rFonts w:hint="eastAsia" w:cs="Times New Roman"/>
        </w:rPr>
        <w:t>值在</w:t>
      </w:r>
      <w:r>
        <w:rPr>
          <w:rFonts w:cs="Times New Roman"/>
        </w:rPr>
        <w:t>4.45×10</w:t>
      </w:r>
      <w:r>
        <w:rPr>
          <w:rFonts w:cs="Times New Roman"/>
          <w:vertAlign w:val="superscript"/>
        </w:rPr>
        <w:t>-5</w:t>
      </w:r>
      <w:r>
        <w:rPr>
          <w:rFonts w:cs="Times New Roman"/>
        </w:rPr>
        <w:t xml:space="preserve">cm/s </w:t>
      </w:r>
      <w:r>
        <w:rPr>
          <w:rFonts w:hint="eastAsia" w:cs="Times New Roman"/>
        </w:rPr>
        <w:t>～</w:t>
      </w:r>
      <w:r>
        <w:rPr>
          <w:rFonts w:cs="Times New Roman"/>
        </w:rPr>
        <w:t>6.5×10</w:t>
      </w:r>
      <w:r>
        <w:rPr>
          <w:rFonts w:cs="Times New Roman"/>
          <w:vertAlign w:val="superscript"/>
        </w:rPr>
        <w:t>-4</w:t>
      </w:r>
      <w:r>
        <w:rPr>
          <w:rFonts w:cs="Times New Roman"/>
        </w:rPr>
        <w:t>cm/s</w:t>
      </w:r>
      <w:r>
        <w:rPr>
          <w:rFonts w:hint="eastAsia" w:cs="Times New Roman"/>
        </w:rPr>
        <w:t>之间，渗透性等级为弱透水级；</w:t>
      </w:r>
      <w:r>
        <w:rPr>
          <w:rFonts w:cs="Times New Roman"/>
        </w:rPr>
        <w:t xml:space="preserve"> </w:t>
      </w:r>
    </w:p>
    <w:p>
      <w:pPr>
        <w:pStyle w:val="3"/>
        <w:ind w:firstLine="480"/>
        <w:rPr>
          <w:rFonts w:cs="Times New Roman"/>
        </w:rPr>
      </w:pPr>
      <w:r>
        <w:rPr>
          <w:rFonts w:hint="eastAsia" w:ascii="宋体" w:hAnsi="宋体" w:cs="宋体"/>
        </w:rPr>
        <w:t>③</w:t>
      </w:r>
      <w:r>
        <w:rPr>
          <w:rFonts w:hint="eastAsia" w:cs="Times New Roman"/>
        </w:rPr>
        <w:t>含粘土卵、砾石</w:t>
      </w:r>
      <w:r>
        <w:rPr>
          <w:rFonts w:cs="Times New Roman"/>
        </w:rPr>
        <w:t>4</w:t>
      </w:r>
      <w:r>
        <w:rPr>
          <w:rFonts w:hint="eastAsia" w:cs="Times New Roman"/>
        </w:rPr>
        <w:t>层综合渗透系数</w:t>
      </w:r>
      <w:r>
        <w:rPr>
          <w:rFonts w:cs="Times New Roman"/>
        </w:rPr>
        <w:t>K</w:t>
      </w:r>
      <w:r>
        <w:rPr>
          <w:rFonts w:hint="eastAsia" w:cs="Times New Roman"/>
        </w:rPr>
        <w:t>在</w:t>
      </w:r>
      <w:r>
        <w:rPr>
          <w:rFonts w:cs="Times New Roman"/>
        </w:rPr>
        <w:t>6.05×10</w:t>
      </w:r>
      <w:r>
        <w:rPr>
          <w:rFonts w:cs="Times New Roman"/>
          <w:vertAlign w:val="superscript"/>
        </w:rPr>
        <w:t>-3</w:t>
      </w:r>
      <w:r>
        <w:rPr>
          <w:rFonts w:cs="Times New Roman"/>
        </w:rPr>
        <w:t>cm/s</w:t>
      </w:r>
      <w:r>
        <w:rPr>
          <w:rFonts w:hint="eastAsia" w:cs="Times New Roman"/>
        </w:rPr>
        <w:t>～</w:t>
      </w:r>
      <w:r>
        <w:rPr>
          <w:rFonts w:cs="Times New Roman"/>
        </w:rPr>
        <w:t>7.46×10</w:t>
      </w:r>
      <w:r>
        <w:rPr>
          <w:rFonts w:cs="Times New Roman"/>
          <w:vertAlign w:val="superscript"/>
        </w:rPr>
        <w:t>-3</w:t>
      </w:r>
      <w:r>
        <w:rPr>
          <w:rFonts w:cs="Times New Roman"/>
        </w:rPr>
        <w:t xml:space="preserve">cm/s </w:t>
      </w:r>
      <w:r>
        <w:rPr>
          <w:rFonts w:hint="eastAsia" w:cs="Times New Roman"/>
        </w:rPr>
        <w:t>之间，透水等级为中等透水级。地下水降落影响半径在</w:t>
      </w:r>
      <w:r>
        <w:rPr>
          <w:rFonts w:cs="Times New Roman"/>
        </w:rPr>
        <w:t>48</w:t>
      </w:r>
      <w:r>
        <w:rPr>
          <w:rFonts w:hint="eastAsia" w:cs="Times New Roman"/>
        </w:rPr>
        <w:t>～</w:t>
      </w:r>
      <w:r>
        <w:rPr>
          <w:rFonts w:cs="Times New Roman"/>
        </w:rPr>
        <w:t xml:space="preserve">50m </w:t>
      </w:r>
      <w:r>
        <w:rPr>
          <w:rFonts w:hint="eastAsia" w:cs="Times New Roman"/>
        </w:rPr>
        <w:t>左右。</w:t>
      </w:r>
      <w:r>
        <w:rPr>
          <w:rFonts w:cs="Times New Roman"/>
        </w:rPr>
        <w:t xml:space="preserve"> </w:t>
      </w:r>
    </w:p>
    <w:p>
      <w:pPr>
        <w:pStyle w:val="3"/>
        <w:ind w:firstLine="480"/>
        <w:rPr>
          <w:rFonts w:cs="Times New Roman"/>
        </w:rPr>
      </w:pPr>
      <w:r>
        <w:rPr>
          <w:rFonts w:hint="eastAsia" w:cs="Times New Roman"/>
        </w:rPr>
        <w:t>3、地下水类型及其富水性</w:t>
      </w:r>
    </w:p>
    <w:p>
      <w:pPr>
        <w:pStyle w:val="3"/>
        <w:ind w:firstLine="480"/>
        <w:rPr>
          <w:rFonts w:cs="Times New Roman"/>
          <w:u w:val="single"/>
        </w:rPr>
      </w:pPr>
      <w:r>
        <w:rPr>
          <w:rFonts w:hint="eastAsia" w:cs="Times New Roman"/>
        </w:rPr>
        <w:t>根据场地内地层的岩性组合特征、地下水赋存条件的差异以及含水介质的不同，该区地下水浅、深层均较发育，属潜水类型。</w:t>
      </w:r>
    </w:p>
    <w:p>
      <w:pPr>
        <w:pStyle w:val="3"/>
        <w:ind w:firstLine="480"/>
        <w:rPr>
          <w:rFonts w:cs="Times New Roman"/>
        </w:rPr>
      </w:pPr>
      <w:r>
        <w:rPr>
          <w:rFonts w:hint="eastAsia" w:cs="Times New Roman"/>
        </w:rPr>
        <w:t>该类型地下水分布于第四系阶地洪冲积及山前坡洪积层中，含水岩组具双元结构，其下部由于颗粒粗大的卵、砾石及亚粘土、砂土构成，结构松散、孔隙度大、透水性强，成为地下水赋存运移的主要层位，也是本区孔隙潜水的主要含水层。含水层厚度在</w:t>
      </w:r>
      <w:r>
        <w:rPr>
          <w:rFonts w:cs="Times New Roman"/>
        </w:rPr>
        <w:t>20</w:t>
      </w:r>
      <w:r>
        <w:rPr>
          <w:rFonts w:hint="eastAsia" w:cs="Times New Roman"/>
        </w:rPr>
        <w:t>～</w:t>
      </w:r>
      <w:r>
        <w:rPr>
          <w:rFonts w:cs="Times New Roman"/>
        </w:rPr>
        <w:t>58m</w:t>
      </w:r>
      <w:r>
        <w:rPr>
          <w:rFonts w:hint="eastAsia" w:cs="Times New Roman"/>
        </w:rPr>
        <w:t>，渗透系数</w:t>
      </w:r>
      <w:r>
        <w:rPr>
          <w:rFonts w:cs="Times New Roman"/>
        </w:rPr>
        <w:t>K</w:t>
      </w:r>
      <w:r>
        <w:rPr>
          <w:rFonts w:hint="eastAsia" w:cs="Times New Roman"/>
        </w:rPr>
        <w:t>在</w:t>
      </w:r>
      <w:r>
        <w:rPr>
          <w:rFonts w:cs="Times New Roman"/>
        </w:rPr>
        <w:t>4.8×10</w:t>
      </w:r>
      <w:r>
        <w:rPr>
          <w:rFonts w:cs="Times New Roman"/>
          <w:vertAlign w:val="superscript"/>
        </w:rPr>
        <w:t>-3</w:t>
      </w:r>
      <w:r>
        <w:rPr>
          <w:rFonts w:cs="Times New Roman"/>
        </w:rPr>
        <w:t>cm/s</w:t>
      </w:r>
      <w:r>
        <w:rPr>
          <w:rFonts w:hint="eastAsia" w:cs="Times New Roman"/>
        </w:rPr>
        <w:t>～</w:t>
      </w:r>
      <w:r>
        <w:rPr>
          <w:rFonts w:cs="Times New Roman"/>
        </w:rPr>
        <w:t>7.5×10</w:t>
      </w:r>
      <w:r>
        <w:rPr>
          <w:rFonts w:cs="Times New Roman"/>
          <w:vertAlign w:val="superscript"/>
        </w:rPr>
        <w:t>-3</w:t>
      </w:r>
      <w:r>
        <w:rPr>
          <w:rFonts w:cs="Times New Roman"/>
        </w:rPr>
        <w:t>cm/s</w:t>
      </w:r>
      <w:r>
        <w:rPr>
          <w:rFonts w:hint="eastAsia" w:cs="Times New Roman"/>
        </w:rPr>
        <w:t>之间，水量贫乏。地下水主要接受大气降水和侧向基岩层间裂隙水向盆补给，具较稳定的潜水面，以层流形式运移。根据本次野外调查及钻孔勘察成果，区内泉流量在</w:t>
      </w:r>
      <w:r>
        <w:rPr>
          <w:rFonts w:cs="Times New Roman"/>
        </w:rPr>
        <w:t>0.08L/s</w:t>
      </w:r>
      <w:r>
        <w:rPr>
          <w:rFonts w:hint="eastAsia" w:cs="Times New Roman"/>
        </w:rPr>
        <w:t>～</w:t>
      </w:r>
      <w:r>
        <w:rPr>
          <w:rFonts w:cs="Times New Roman"/>
        </w:rPr>
        <w:t>0.79L/s</w:t>
      </w:r>
      <w:r>
        <w:rPr>
          <w:rFonts w:hint="eastAsia" w:cs="Times New Roman"/>
        </w:rPr>
        <w:t>，个别</w:t>
      </w:r>
      <w:r>
        <w:rPr>
          <w:rFonts w:cs="Times New Roman"/>
        </w:rPr>
        <w:t>1.91L/s</w:t>
      </w:r>
      <w:r>
        <w:rPr>
          <w:rFonts w:hint="eastAsia" w:cs="Times New Roman"/>
        </w:rPr>
        <w:t>，钻孔单孔涌水量在</w:t>
      </w:r>
      <w:r>
        <w:rPr>
          <w:rFonts w:cs="Times New Roman"/>
        </w:rPr>
        <w:t>1.40L/s</w:t>
      </w:r>
      <w:r>
        <w:rPr>
          <w:rFonts w:hint="eastAsia" w:cs="Times New Roman"/>
        </w:rPr>
        <w:t>（</w:t>
      </w:r>
      <w:r>
        <w:rPr>
          <w:rFonts w:cs="Times New Roman"/>
        </w:rPr>
        <w:t>120.0t/d</w:t>
      </w:r>
      <w:r>
        <w:rPr>
          <w:rFonts w:hint="eastAsia" w:cs="Times New Roman"/>
        </w:rPr>
        <w:t>），水量小</w:t>
      </w:r>
      <w:r>
        <w:rPr>
          <w:rFonts w:cs="Times New Roman"/>
        </w:rPr>
        <w:t>—</w:t>
      </w:r>
      <w:r>
        <w:rPr>
          <w:rFonts w:hint="eastAsia" w:cs="Times New Roman"/>
        </w:rPr>
        <w:t>中等，区内地下水水位埋深</w:t>
      </w:r>
      <w:r>
        <w:rPr>
          <w:rFonts w:cs="Times New Roman"/>
        </w:rPr>
        <w:t>5.6</w:t>
      </w:r>
      <w:r>
        <w:rPr>
          <w:rFonts w:hint="eastAsia" w:cs="Times New Roman"/>
        </w:rPr>
        <w:t>～</w:t>
      </w:r>
      <w:r>
        <w:rPr>
          <w:rFonts w:cs="Times New Roman"/>
        </w:rPr>
        <w:t>32.0m</w:t>
      </w:r>
      <w:r>
        <w:rPr>
          <w:rFonts w:hint="eastAsia" w:cs="Times New Roman"/>
        </w:rPr>
        <w:t>不等，相应标高</w:t>
      </w:r>
      <w:r>
        <w:rPr>
          <w:rFonts w:cs="Times New Roman"/>
        </w:rPr>
        <w:t>235.0</w:t>
      </w:r>
      <w:r>
        <w:rPr>
          <w:rFonts w:hint="eastAsia" w:cs="Times New Roman"/>
        </w:rPr>
        <w:t>～</w:t>
      </w:r>
      <w:r>
        <w:rPr>
          <w:rFonts w:cs="Times New Roman"/>
        </w:rPr>
        <w:t>241.0m</w:t>
      </w:r>
      <w:r>
        <w:rPr>
          <w:rFonts w:hint="eastAsia" w:cs="Times New Roman"/>
        </w:rPr>
        <w:t>。区域地下水迳流模数</w:t>
      </w:r>
      <w:r>
        <w:rPr>
          <w:rFonts w:cs="Times New Roman"/>
        </w:rPr>
        <w:t>1-3L/s·km</w:t>
      </w:r>
      <w:r>
        <w:rPr>
          <w:rFonts w:cs="Times New Roman"/>
          <w:vertAlign w:val="superscript"/>
        </w:rPr>
        <w:t>2</w:t>
      </w:r>
      <w:r>
        <w:rPr>
          <w:rFonts w:hint="eastAsia" w:cs="Times New Roman"/>
        </w:rPr>
        <w:t>。</w:t>
      </w:r>
      <w:r>
        <w:rPr>
          <w:rFonts w:cs="Times New Roman"/>
        </w:rPr>
        <w:t xml:space="preserve"> </w:t>
      </w:r>
    </w:p>
    <w:p>
      <w:pPr>
        <w:pStyle w:val="3"/>
        <w:ind w:firstLine="480"/>
        <w:rPr>
          <w:rFonts w:cs="Times New Roman"/>
        </w:rPr>
      </w:pPr>
      <w:r>
        <w:rPr>
          <w:rFonts w:hint="eastAsia" w:cs="Times New Roman"/>
        </w:rPr>
        <w:t>4、地下水的补给、迳流、排泄及其转化关系</w:t>
      </w:r>
      <w:r>
        <w:rPr>
          <w:rFonts w:cs="Times New Roman"/>
        </w:rPr>
        <w:t xml:space="preserve"> </w:t>
      </w:r>
    </w:p>
    <w:p>
      <w:pPr>
        <w:pStyle w:val="3"/>
        <w:ind w:firstLine="480"/>
        <w:rPr>
          <w:rFonts w:cs="Times New Roman"/>
        </w:rPr>
      </w:pPr>
      <w:r>
        <w:rPr>
          <w:rFonts w:hint="eastAsia" w:cs="Times New Roman"/>
        </w:rPr>
        <w:t>地下水的补给：区内地下水主要接受大气降雨的垂向入渗补给。</w:t>
      </w:r>
      <w:r>
        <w:rPr>
          <w:rFonts w:cs="Times New Roman"/>
        </w:rPr>
        <w:t xml:space="preserve"> </w:t>
      </w:r>
    </w:p>
    <w:p>
      <w:pPr>
        <w:pStyle w:val="3"/>
        <w:ind w:firstLine="480"/>
      </w:pPr>
      <w:r>
        <w:rPr>
          <w:rFonts w:hint="eastAsia" w:cs="Times New Roman"/>
        </w:rPr>
        <w:t>地下水的迳流、排泄方式：调查区处于低缓的丘陵、山岭区，区内地形起伏较小，区内地下水系统基本不受地形的控制，不存在明显的隔水边界，厂区处于区域地下水径流带上。</w:t>
      </w:r>
    </w:p>
    <w:p>
      <w:pPr>
        <w:pStyle w:val="3"/>
        <w:ind w:firstLine="480"/>
      </w:pPr>
      <w:r>
        <w:rPr>
          <w:rFonts w:hint="eastAsia"/>
        </w:rPr>
        <w:t>5、地下水动态特征</w:t>
      </w:r>
      <w:r>
        <w:t xml:space="preserve"> </w:t>
      </w:r>
    </w:p>
    <w:p>
      <w:pPr>
        <w:pStyle w:val="3"/>
        <w:ind w:firstLine="480"/>
      </w:pPr>
      <w:r>
        <w:rPr>
          <w:rFonts w:hint="eastAsia"/>
        </w:rPr>
        <w:t>场地地下水的补给主要来源于大气降雨，地下水主要赋存在第四系含粘土卵、砾石层中，其动态变化与降雨量关系十分密切，地下水动态具有随着降雨量的变化而变化的特点。由于上伏第四系松散岩类土体透水性较强，故地下水动态变幅度一般也较大，大气降雨通过覆盖层（包气带的渗透）向深部循环补给地下水过程中，地下水动态明显，一般一场大雨后，地下水的最大洪峰值随即可到达。</w:t>
      </w:r>
      <w:r>
        <w:t xml:space="preserve"> </w:t>
      </w:r>
    </w:p>
    <w:p>
      <w:pPr>
        <w:pStyle w:val="3"/>
        <w:ind w:firstLine="480"/>
      </w:pPr>
      <w:r>
        <w:rPr>
          <w:rFonts w:hint="eastAsia"/>
        </w:rPr>
        <w:t>项目所在地浅层地下水补给来源主要为大气降水与地表水补给，根据当地气象资料，项目所在区域年平均降雨量</w:t>
      </w:r>
      <w:r>
        <w:rPr>
          <w:rFonts w:cs="Times New Roman"/>
          <w:kern w:val="0"/>
          <w:szCs w:val="24"/>
        </w:rPr>
        <w:t>1441.9</w:t>
      </w:r>
      <w:r>
        <w:t>mm</w:t>
      </w:r>
      <w:r>
        <w:rPr>
          <w:rFonts w:hint="eastAsia"/>
        </w:rPr>
        <w:t>，大气降水量丰富，大气降水补充地下水充足；地下水自西南向东北径流。排泄主要是蒸发，其次是人工开采、河流排泄和少量侧向径流排泄。本项目所在地深层含水层与上层地下水水力联系微弱，主要接受上游地下水的径流补给。项目地块整体是东北高西南低，地下水方向与地形基本一致，东高地汇流至西面底部沟渠。</w:t>
      </w:r>
    </w:p>
    <w:p>
      <w:pPr>
        <w:pStyle w:val="3"/>
        <w:ind w:firstLine="480"/>
      </w:pPr>
      <w:r>
        <w:rPr>
          <w:rFonts w:hint="eastAsia"/>
        </w:rPr>
        <w:t>（</w:t>
      </w:r>
      <w:r>
        <w:t>6</w:t>
      </w:r>
      <w:r>
        <w:rPr>
          <w:rFonts w:hint="eastAsia"/>
        </w:rPr>
        <w:t>）项目周边地下水开采利用现状</w:t>
      </w:r>
    </w:p>
    <w:p>
      <w:pPr>
        <w:pStyle w:val="3"/>
        <w:ind w:firstLine="480"/>
      </w:pPr>
      <w:r>
        <w:rPr>
          <w:rFonts w:hint="eastAsia"/>
        </w:rPr>
        <w:t xml:space="preserve">项目周边地下水较丰富，项目建成后自打水井取水。项目拟建地周边地下水井均分布在居民较为聚集的位置，周边地下水开采主要为周边村民生活用水，目前村民取水为主要为自来水，极少量居民地下水取水，无集中取水。项目所在地无集中、分散式饮用水水源地保护区。 </w:t>
      </w:r>
    </w:p>
    <w:p>
      <w:pPr>
        <w:pStyle w:val="3"/>
        <w:ind w:firstLine="0" w:firstLineChars="0"/>
        <w:outlineLvl w:val="3"/>
        <w:rPr>
          <w:rFonts w:eastAsia="黑体" w:cstheme="majorBidi"/>
          <w:bCs/>
          <w:szCs w:val="32"/>
        </w:rPr>
      </w:pPr>
      <w:r>
        <w:rPr>
          <w:rFonts w:hint="eastAsia" w:eastAsia="黑体" w:cstheme="majorBidi"/>
          <w:bCs/>
          <w:szCs w:val="32"/>
        </w:rPr>
        <w:t>6.2.4.2</w:t>
      </w:r>
      <w:r>
        <w:rPr>
          <w:rFonts w:hint="eastAsia" w:eastAsia="黑体" w:cstheme="majorBidi"/>
          <w:bCs/>
          <w:szCs w:val="32"/>
        </w:rPr>
        <w:tab/>
      </w:r>
      <w:r>
        <w:rPr>
          <w:rFonts w:hint="eastAsia" w:eastAsia="黑体" w:cstheme="majorBidi"/>
          <w:bCs/>
          <w:szCs w:val="32"/>
        </w:rPr>
        <w:t>地下水污染的类型及途径</w:t>
      </w:r>
    </w:p>
    <w:p>
      <w:pPr>
        <w:pStyle w:val="3"/>
        <w:ind w:firstLine="480"/>
      </w:pPr>
      <w:r>
        <w:rPr>
          <w:rFonts w:hint="eastAsia"/>
        </w:rPr>
        <w:t>最常见的潜水污染是污染物通过包气带渗入而形成的。浅层地下水和承压水的污染是通过各种井孔、坑洞和断层等发生的，它们作为一种通道把其所揭露的含水层同地面污染源或已被污染的含水层联系起来，造成深层地下水的污染，随着地下水的运动，形成地下水污染扩散带。结合本项目特点，本项目可能造成的地下水污染途径有以下几种途径：</w:t>
      </w:r>
    </w:p>
    <w:p>
      <w:pPr>
        <w:pStyle w:val="3"/>
        <w:ind w:firstLine="480"/>
      </w:pPr>
      <w:r>
        <w:rPr>
          <w:rFonts w:hint="eastAsia"/>
        </w:rPr>
        <w:t>（</w:t>
      </w:r>
      <w:r>
        <w:t>1</w:t>
      </w:r>
      <w:r>
        <w:rPr>
          <w:rFonts w:hint="eastAsia"/>
        </w:rPr>
        <w:t>）屠宰区设施防渗措施不足，导致粪便、屠宰废水通过裂隙渗入地下造成污染；</w:t>
      </w:r>
    </w:p>
    <w:p>
      <w:pPr>
        <w:pStyle w:val="3"/>
        <w:ind w:firstLine="480"/>
      </w:pPr>
      <w:r>
        <w:rPr>
          <w:rFonts w:hint="eastAsia"/>
        </w:rPr>
        <w:t>（</w:t>
      </w:r>
      <w:r>
        <w:t>2</w:t>
      </w:r>
      <w:r>
        <w:rPr>
          <w:rFonts w:hint="eastAsia"/>
        </w:rPr>
        <w:t>）因管理不善而造成人为事故排放可能对污染项目区域的地下水环境。</w:t>
      </w:r>
    </w:p>
    <w:p>
      <w:pPr>
        <w:pStyle w:val="3"/>
        <w:ind w:firstLine="480"/>
      </w:pPr>
      <w:r>
        <w:rPr>
          <w:rFonts w:hint="eastAsia"/>
        </w:rPr>
        <w:t>（</w:t>
      </w:r>
      <w:r>
        <w:t>3</w:t>
      </w:r>
      <w:r>
        <w:rPr>
          <w:rFonts w:hint="eastAsia"/>
        </w:rPr>
        <w:t>）粪污处理系统中的废水池、污水管道防渗措施不足，而造成废水渗漏污染地下水；</w:t>
      </w:r>
    </w:p>
    <w:p>
      <w:pPr>
        <w:pStyle w:val="3"/>
        <w:ind w:firstLine="480"/>
      </w:pPr>
      <w:r>
        <w:rPr>
          <w:rFonts w:hint="eastAsia"/>
        </w:rPr>
        <w:t>（</w:t>
      </w:r>
      <w:r>
        <w:t>4</w:t>
      </w:r>
      <w:r>
        <w:rPr>
          <w:rFonts w:hint="eastAsia"/>
        </w:rPr>
        <w:t>）本项目打井取水可能会使地下水资源受到影响，造成区域地下水位下降和水资源减少，打井取水对地下水环境系统的影响主要表现在水资源量和水质两个方面，其一，由于打井排水改变了地下水系统原有的水动力平衡条件，造成局部地下水水位下降、可利用的水资源量减少，这是负面和不利的影响；其二，排水改善了地下水系统的径流条件，使原本缓慢流动的地下水运动加快，这对改善地下水水质又具有积极的意义。</w:t>
      </w:r>
    </w:p>
    <w:p>
      <w:pPr>
        <w:pStyle w:val="3"/>
        <w:ind w:firstLine="0" w:firstLineChars="0"/>
        <w:outlineLvl w:val="3"/>
        <w:rPr>
          <w:rFonts w:eastAsia="黑体" w:cstheme="majorBidi"/>
          <w:bCs/>
          <w:szCs w:val="32"/>
        </w:rPr>
      </w:pPr>
      <w:r>
        <w:rPr>
          <w:rFonts w:hint="eastAsia" w:eastAsia="黑体" w:cstheme="majorBidi"/>
          <w:bCs/>
          <w:szCs w:val="32"/>
        </w:rPr>
        <w:t>6.2.4.3</w:t>
      </w:r>
      <w:r>
        <w:rPr>
          <w:rFonts w:hint="eastAsia" w:eastAsia="黑体" w:cstheme="majorBidi"/>
          <w:bCs/>
          <w:szCs w:val="32"/>
        </w:rPr>
        <w:tab/>
      </w:r>
      <w:r>
        <w:rPr>
          <w:rFonts w:hint="eastAsia" w:eastAsia="黑体" w:cstheme="majorBidi"/>
          <w:bCs/>
          <w:szCs w:val="32"/>
        </w:rPr>
        <w:t>地下水环境影响分析</w:t>
      </w:r>
    </w:p>
    <w:p>
      <w:pPr>
        <w:pStyle w:val="3"/>
        <w:ind w:firstLine="480"/>
      </w:pPr>
      <w:r>
        <w:rPr>
          <w:rFonts w:hint="eastAsia"/>
        </w:rPr>
        <w:t>1、预测原则</w:t>
      </w:r>
    </w:p>
    <w:p>
      <w:pPr>
        <w:pStyle w:val="3"/>
        <w:ind w:firstLine="480"/>
      </w:pPr>
      <w:r>
        <w:rPr>
          <w:rFonts w:hint="eastAsia"/>
        </w:rPr>
        <w:t>考虑到地下水环境污染的隐蔽性和难恢复性，项目的地下水环境影响评价遵循环境安全性原则，为评价各方案的环境安全和环境保护措施的合理性提供依据，本次工作对建设项目可能对地下水水质可能产生的影响进行预测。</w:t>
      </w:r>
    </w:p>
    <w:p>
      <w:pPr>
        <w:pStyle w:val="3"/>
        <w:ind w:firstLine="480"/>
        <w:rPr>
          <w:rFonts w:ascii="宋体" w:cs="宋体"/>
          <w:kern w:val="0"/>
          <w:szCs w:val="24"/>
        </w:rPr>
      </w:pPr>
      <w:r>
        <w:rPr>
          <w:rFonts w:hint="eastAsia"/>
        </w:rPr>
        <w:t>2、</w:t>
      </w:r>
      <w:r>
        <w:rPr>
          <w:rFonts w:hint="eastAsia" w:ascii="宋体" w:cs="宋体"/>
          <w:kern w:val="0"/>
          <w:szCs w:val="24"/>
        </w:rPr>
        <w:t>预测范围</w:t>
      </w:r>
    </w:p>
    <w:p>
      <w:pPr>
        <w:pStyle w:val="3"/>
        <w:ind w:firstLine="480"/>
        <w:rPr>
          <w:rFonts w:ascii="宋体" w:cs="宋体"/>
          <w:kern w:val="0"/>
          <w:szCs w:val="24"/>
        </w:rPr>
      </w:pPr>
      <w:r>
        <w:rPr>
          <w:rFonts w:hint="eastAsia"/>
          <w:kern w:val="0"/>
        </w:rPr>
        <w:t>根据《环境影响评价技术导则地下水环境》（</w:t>
      </w:r>
      <w:r>
        <w:rPr>
          <w:rFonts w:eastAsia="TimesNewRomanPSMT"/>
          <w:kern w:val="0"/>
        </w:rPr>
        <w:t>HJ610-2016</w:t>
      </w:r>
      <w:r>
        <w:rPr>
          <w:rFonts w:hint="eastAsia"/>
          <w:kern w:val="0"/>
        </w:rPr>
        <w:t>），本项目属于</w:t>
      </w:r>
      <w:r>
        <w:rPr>
          <w:rFonts w:hint="eastAsia" w:ascii="宋体" w:hAnsi="宋体" w:cs="宋体"/>
          <w:kern w:val="0"/>
        </w:rPr>
        <w:t>Ⅲ</w:t>
      </w:r>
      <w:r>
        <w:rPr>
          <w:rFonts w:hint="eastAsia"/>
          <w:kern w:val="0"/>
        </w:rPr>
        <w:t>类建设项目，本次地下水环境影响评价预测范围与地下水现状调查范围一致，预测层位为地下水的潜水含水层</w:t>
      </w:r>
      <w:r>
        <w:rPr>
          <w:rFonts w:hint="eastAsia" w:ascii="宋体" w:cs="宋体"/>
          <w:kern w:val="0"/>
          <w:szCs w:val="24"/>
        </w:rPr>
        <w:t>。</w:t>
      </w:r>
    </w:p>
    <w:p>
      <w:pPr>
        <w:pStyle w:val="3"/>
        <w:ind w:firstLine="480"/>
      </w:pPr>
      <w:r>
        <w:rPr>
          <w:rFonts w:hint="eastAsia"/>
        </w:rPr>
        <w:t>3、预测时段</w:t>
      </w:r>
    </w:p>
    <w:p>
      <w:pPr>
        <w:pStyle w:val="3"/>
        <w:ind w:firstLine="480"/>
        <w:rPr>
          <w:kern w:val="0"/>
        </w:rPr>
      </w:pPr>
      <w:r>
        <w:rPr>
          <w:rFonts w:hint="eastAsia"/>
          <w:kern w:val="0"/>
        </w:rPr>
        <w:t>根据导则要求，对泄露污染物扩散的第</w:t>
      </w:r>
      <w:r>
        <w:rPr>
          <w:kern w:val="0"/>
        </w:rPr>
        <w:t>5</w:t>
      </w:r>
      <w:r>
        <w:rPr>
          <w:rFonts w:hint="eastAsia"/>
          <w:kern w:val="0"/>
        </w:rPr>
        <w:t>、</w:t>
      </w:r>
      <w:r>
        <w:rPr>
          <w:kern w:val="0"/>
        </w:rPr>
        <w:t>10</w:t>
      </w:r>
      <w:r>
        <w:rPr>
          <w:rFonts w:hint="eastAsia"/>
          <w:kern w:val="0"/>
        </w:rPr>
        <w:t>、</w:t>
      </w:r>
      <w:r>
        <w:rPr>
          <w:kern w:val="0"/>
        </w:rPr>
        <w:t>20</w:t>
      </w:r>
      <w:r>
        <w:rPr>
          <w:rFonts w:hint="eastAsia"/>
          <w:kern w:val="0"/>
        </w:rPr>
        <w:t>、</w:t>
      </w:r>
      <w:r>
        <w:rPr>
          <w:kern w:val="0"/>
        </w:rPr>
        <w:t>50</w:t>
      </w:r>
      <w:r>
        <w:rPr>
          <w:rFonts w:hint="eastAsia"/>
          <w:kern w:val="0"/>
        </w:rPr>
        <w:t>、</w:t>
      </w:r>
      <w:r>
        <w:rPr>
          <w:kern w:val="0"/>
        </w:rPr>
        <w:t>100</w:t>
      </w:r>
      <w:r>
        <w:rPr>
          <w:rFonts w:hint="eastAsia"/>
          <w:kern w:val="0"/>
        </w:rPr>
        <w:t>、</w:t>
      </w:r>
      <w:r>
        <w:rPr>
          <w:kern w:val="0"/>
        </w:rPr>
        <w:t>150</w:t>
      </w:r>
      <w:r>
        <w:rPr>
          <w:rFonts w:hint="eastAsia"/>
          <w:kern w:val="0"/>
        </w:rPr>
        <w:t>、</w:t>
      </w:r>
      <w:r>
        <w:rPr>
          <w:kern w:val="0"/>
        </w:rPr>
        <w:t>300</w:t>
      </w:r>
      <w:r>
        <w:rPr>
          <w:rFonts w:hint="eastAsia"/>
          <w:kern w:val="0"/>
        </w:rPr>
        <w:t>天进行预测。</w:t>
      </w:r>
    </w:p>
    <w:p>
      <w:pPr>
        <w:pStyle w:val="3"/>
        <w:ind w:firstLine="480"/>
        <w:rPr>
          <w:rFonts w:ascii="宋体" w:cs="宋体"/>
          <w:kern w:val="0"/>
          <w:szCs w:val="24"/>
        </w:rPr>
      </w:pPr>
      <w:r>
        <w:rPr>
          <w:rFonts w:hint="eastAsia"/>
          <w:kern w:val="0"/>
        </w:rPr>
        <w:t>4、</w:t>
      </w:r>
      <w:r>
        <w:rPr>
          <w:rFonts w:hint="eastAsia" w:ascii="宋体" w:cs="宋体"/>
          <w:kern w:val="0"/>
          <w:szCs w:val="24"/>
        </w:rPr>
        <w:t>地下水污染预测情景设定</w:t>
      </w:r>
    </w:p>
    <w:p>
      <w:pPr>
        <w:pStyle w:val="3"/>
        <w:ind w:firstLine="480"/>
        <w:rPr>
          <w:kern w:val="0"/>
        </w:rPr>
      </w:pPr>
      <w:r>
        <w:rPr>
          <w:rFonts w:hint="eastAsia"/>
          <w:kern w:val="0"/>
        </w:rPr>
        <w:t>污染物从污染源进入地下水所经过路径称为地下水污染途径，地下水污染途径是多种多样的，根据工程所处区域的地质情况，本项目可能对地下水造成污染的途径主要有：屠宰车间、污水处理站等污染物下渗造成地下水的污染。本项目不设置露天堆场，不存在因大气降水产生的固废淋滤液，固体废物临时贮存场、仓库、屠宰车间采取了规范的防渗措施，污水下渗的可能性极小。因此地下水可能的污染情景主要为：粪污处理系统污水下渗造成的地下水污染。</w:t>
      </w:r>
    </w:p>
    <w:p>
      <w:pPr>
        <w:pStyle w:val="3"/>
        <w:ind w:firstLine="480"/>
        <w:rPr>
          <w:kern w:val="0"/>
        </w:rPr>
      </w:pPr>
      <w:r>
        <w:rPr>
          <w:rFonts w:hint="eastAsia"/>
          <w:kern w:val="0"/>
        </w:rPr>
        <w:t>（1）正常工况</w:t>
      </w:r>
    </w:p>
    <w:p>
      <w:pPr>
        <w:pStyle w:val="3"/>
        <w:ind w:firstLine="480"/>
        <w:rPr>
          <w:kern w:val="0"/>
        </w:rPr>
      </w:pPr>
      <w:r>
        <w:rPr>
          <w:rFonts w:hint="eastAsia"/>
          <w:kern w:val="0"/>
        </w:rPr>
        <w:t>项目营运期排放的废水主要包括屠宰废水和职工生活污水。</w:t>
      </w:r>
    </w:p>
    <w:p>
      <w:pPr>
        <w:pStyle w:val="3"/>
        <w:ind w:firstLine="480"/>
        <w:rPr>
          <w:kern w:val="0"/>
        </w:rPr>
      </w:pPr>
      <w:r>
        <w:rPr>
          <w:rFonts w:hint="eastAsia"/>
          <w:kern w:val="0"/>
        </w:rPr>
        <w:t>正常情况下，屠宰废水入粪污处理系统经“</w:t>
      </w:r>
      <w:r>
        <w:rPr>
          <w:rFonts w:cs="Times New Roman"/>
        </w:rPr>
        <w:t>隔栅→粪污调节池→固液分离→污水→沼气池→</w:t>
      </w:r>
      <w:r>
        <w:rPr>
          <w:rFonts w:hint="eastAsia" w:cs="Times New Roman"/>
        </w:rPr>
        <w:t>三级曝气</w:t>
      </w:r>
      <w:r>
        <w:rPr>
          <w:rFonts w:cs="Times New Roman"/>
        </w:rPr>
        <w:t>沉淀池→杀菌除臭</w:t>
      </w:r>
      <w:r>
        <w:rPr>
          <w:rFonts w:hint="eastAsia"/>
          <w:kern w:val="0"/>
        </w:rPr>
        <w:t>”污水处理工艺处理达标后满足相应标准后作为农田灌溉。在正常情况下企业设计采用高标号水泥对地面及基础硬化防渗，防渗性能满足</w:t>
      </w:r>
      <w:r>
        <w:rPr>
          <w:kern w:val="0"/>
        </w:rPr>
        <w:t>GB18588</w:t>
      </w:r>
      <w:r>
        <w:rPr>
          <w:rFonts w:hint="eastAsia"/>
          <w:kern w:val="0"/>
        </w:rPr>
        <w:t>中渗透系数</w:t>
      </w:r>
      <w:r>
        <w:rPr>
          <w:kern w:val="0"/>
        </w:rPr>
        <w:t>1</w:t>
      </w:r>
      <w:r>
        <w:rPr>
          <w:rFonts w:hint="eastAsia"/>
          <w:kern w:val="0"/>
        </w:rPr>
        <w:t>×</w:t>
      </w:r>
      <w:r>
        <w:rPr>
          <w:kern w:val="0"/>
        </w:rPr>
        <w:t>10</w:t>
      </w:r>
      <w:r>
        <w:rPr>
          <w:kern w:val="0"/>
          <w:vertAlign w:val="superscript"/>
        </w:rPr>
        <w:t>-7</w:t>
      </w:r>
      <w:r>
        <w:rPr>
          <w:kern w:val="0"/>
        </w:rPr>
        <w:t>cm/s</w:t>
      </w:r>
      <w:r>
        <w:rPr>
          <w:rFonts w:hint="eastAsia"/>
          <w:kern w:val="0"/>
        </w:rPr>
        <w:t>和厚度</w:t>
      </w:r>
      <w:r>
        <w:rPr>
          <w:kern w:val="0"/>
        </w:rPr>
        <w:t>1.5m</w:t>
      </w:r>
      <w:r>
        <w:rPr>
          <w:rFonts w:hint="eastAsia"/>
          <w:kern w:val="0"/>
        </w:rPr>
        <w:t>的粘土层的防渗性能。正常情况下，污水不会渗漏和进入地下水，对地下水不会造成污染，因此不再进行正常情况下的预测。</w:t>
      </w:r>
    </w:p>
    <w:p>
      <w:pPr>
        <w:pStyle w:val="3"/>
        <w:ind w:firstLine="480"/>
        <w:rPr>
          <w:rFonts w:ascii="宋体" w:cs="宋体"/>
          <w:kern w:val="0"/>
          <w:szCs w:val="24"/>
        </w:rPr>
      </w:pPr>
      <w:r>
        <w:rPr>
          <w:rFonts w:hint="eastAsia"/>
          <w:kern w:val="0"/>
        </w:rPr>
        <w:t>（2）</w:t>
      </w:r>
      <w:r>
        <w:rPr>
          <w:rFonts w:hint="eastAsia" w:ascii="宋体" w:cs="宋体"/>
          <w:kern w:val="0"/>
          <w:szCs w:val="24"/>
        </w:rPr>
        <w:t>非正常工况</w:t>
      </w:r>
    </w:p>
    <w:p>
      <w:pPr>
        <w:pStyle w:val="3"/>
        <w:ind w:firstLine="480"/>
        <w:rPr>
          <w:kern w:val="0"/>
        </w:rPr>
      </w:pPr>
      <w:r>
        <w:rPr>
          <w:rFonts w:hint="eastAsia"/>
          <w:kern w:val="0"/>
        </w:rPr>
        <w:t>预测主要针对持续的非正常状况下对地下水的影响进行，根据工程分析，本次评价非正常状况下对地下水的影响主要为：非正常状况下，粪污处理池壁、底发生腐蚀、破裂导致污水渗入地下影响地下水水质。根据《地下水质量标准》（</w:t>
      </w:r>
      <w:r>
        <w:rPr>
          <w:kern w:val="0"/>
        </w:rPr>
        <w:t>GB/T14848-2017</w:t>
      </w:r>
      <w:r>
        <w:rPr>
          <w:rFonts w:hint="eastAsia"/>
          <w:kern w:val="0"/>
        </w:rPr>
        <w:t>）中Ⅲ类水标准限值作为界定污染物浓度标准，设定污染物浓度大于Ⅲ类水标准的为受污染区域。</w:t>
      </w:r>
    </w:p>
    <w:p>
      <w:pPr>
        <w:pStyle w:val="3"/>
        <w:ind w:firstLine="480"/>
        <w:rPr>
          <w:kern w:val="0"/>
        </w:rPr>
      </w:pPr>
      <w:r>
        <w:rPr>
          <w:rFonts w:hint="eastAsia"/>
          <w:kern w:val="0"/>
        </w:rPr>
        <w:t>5、预测因子筛选</w:t>
      </w:r>
    </w:p>
    <w:p>
      <w:pPr>
        <w:pStyle w:val="3"/>
        <w:ind w:firstLine="480"/>
        <w:rPr>
          <w:kern w:val="0"/>
        </w:rPr>
      </w:pPr>
      <w:r>
        <w:rPr>
          <w:rFonts w:hint="eastAsia"/>
          <w:kern w:val="0"/>
        </w:rPr>
        <w:t>据工程分析，本项目废水农灌量为167450</w:t>
      </w:r>
      <w:r>
        <w:rPr>
          <w:kern w:val="0"/>
        </w:rPr>
        <w:t>m</w:t>
      </w:r>
      <w:r>
        <w:rPr>
          <w:kern w:val="0"/>
          <w:vertAlign w:val="superscript"/>
        </w:rPr>
        <w:t>3</w:t>
      </w:r>
      <w:r>
        <w:rPr>
          <w:kern w:val="0"/>
        </w:rPr>
        <w:t>/a</w:t>
      </w:r>
      <w:r>
        <w:rPr>
          <w:rFonts w:hint="eastAsia"/>
          <w:kern w:val="0"/>
        </w:rPr>
        <w:t>，主要污染因子</w:t>
      </w:r>
      <w:r>
        <w:rPr>
          <w:kern w:val="0"/>
        </w:rPr>
        <w:t>COD</w:t>
      </w:r>
      <w:r>
        <w:rPr>
          <w:rFonts w:hint="eastAsia"/>
          <w:kern w:val="0"/>
        </w:rPr>
        <w:t>、</w:t>
      </w:r>
      <w:r>
        <w:rPr>
          <w:kern w:val="0"/>
        </w:rPr>
        <w:t>BOD</w:t>
      </w:r>
      <w:r>
        <w:rPr>
          <w:rFonts w:hint="eastAsia"/>
          <w:kern w:val="0"/>
        </w:rPr>
        <w:t>、</w:t>
      </w:r>
      <w:r>
        <w:rPr>
          <w:kern w:val="0"/>
        </w:rPr>
        <w:t>NH</w:t>
      </w:r>
      <w:r>
        <w:rPr>
          <w:kern w:val="0"/>
          <w:vertAlign w:val="subscript"/>
        </w:rPr>
        <w:t>3</w:t>
      </w:r>
      <w:r>
        <w:rPr>
          <w:kern w:val="0"/>
        </w:rPr>
        <w:t>-N</w:t>
      </w:r>
      <w:r>
        <w:rPr>
          <w:rFonts w:hint="eastAsia"/>
          <w:kern w:val="0"/>
        </w:rPr>
        <w:t>、</w:t>
      </w:r>
      <w:r>
        <w:rPr>
          <w:kern w:val="0"/>
        </w:rPr>
        <w:t>SS</w:t>
      </w:r>
      <w:r>
        <w:rPr>
          <w:rFonts w:hint="eastAsia"/>
          <w:kern w:val="0"/>
        </w:rPr>
        <w:t>、动植物油、总磷、总氮。根据《环境影响评价技术导则地下水环境》（</w:t>
      </w:r>
      <w:r>
        <w:rPr>
          <w:kern w:val="0"/>
        </w:rPr>
        <w:t>HJ610-2016</w:t>
      </w:r>
      <w:r>
        <w:rPr>
          <w:rFonts w:hint="eastAsia"/>
          <w:kern w:val="0"/>
        </w:rPr>
        <w:t>）中</w:t>
      </w:r>
      <w:r>
        <w:rPr>
          <w:kern w:val="0"/>
        </w:rPr>
        <w:t>9.5</w:t>
      </w:r>
      <w:r>
        <w:rPr>
          <w:rFonts w:hint="eastAsia"/>
          <w:kern w:val="0"/>
        </w:rPr>
        <w:t>要求，本次评价采用标准指数排序选取最大值作为预测因子。</w:t>
      </w:r>
    </w:p>
    <w:p>
      <w:pPr>
        <w:pStyle w:val="3"/>
        <w:spacing w:line="240" w:lineRule="auto"/>
        <w:ind w:firstLine="482"/>
        <w:jc w:val="center"/>
        <w:rPr>
          <w:kern w:val="0"/>
        </w:rPr>
      </w:pPr>
      <w:r>
        <w:rPr>
          <w:rFonts w:hint="eastAsia" w:cs="Times New Roman" w:eastAsiaTheme="minorEastAsia"/>
          <w:b/>
        </w:rPr>
        <w:t>表6.2-15</w:t>
      </w:r>
      <w:r>
        <w:rPr>
          <w:rFonts w:cs="Times New Roman" w:eastAsiaTheme="minorEastAsia"/>
          <w:b/>
        </w:rPr>
        <w:t xml:space="preserve">  </w:t>
      </w:r>
      <w:r>
        <w:rPr>
          <w:rFonts w:hint="eastAsia" w:cs="Times New Roman" w:eastAsiaTheme="minorEastAsia"/>
          <w:b/>
        </w:rPr>
        <w:t xml:space="preserve"> 预测因子筛选一览表   单位：mg/L</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46"/>
        <w:gridCol w:w="1146"/>
        <w:gridCol w:w="1147"/>
        <w:gridCol w:w="1147"/>
        <w:gridCol w:w="1147"/>
        <w:gridCol w:w="1147"/>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6" w:type="dxa"/>
            <w:vAlign w:val="center"/>
          </w:tcPr>
          <w:p>
            <w:pPr>
              <w:pStyle w:val="49"/>
            </w:pPr>
            <w:r>
              <w:rPr>
                <w:rFonts w:hint="eastAsia"/>
              </w:rPr>
              <w:t>污染因子</w:t>
            </w:r>
          </w:p>
        </w:tc>
        <w:tc>
          <w:tcPr>
            <w:tcW w:w="1146" w:type="dxa"/>
            <w:vAlign w:val="center"/>
          </w:tcPr>
          <w:p>
            <w:pPr>
              <w:pStyle w:val="49"/>
            </w:pPr>
            <w:r>
              <w:rPr>
                <w:kern w:val="0"/>
              </w:rPr>
              <w:t>COD</w:t>
            </w:r>
          </w:p>
        </w:tc>
        <w:tc>
          <w:tcPr>
            <w:tcW w:w="1146" w:type="dxa"/>
            <w:vAlign w:val="center"/>
          </w:tcPr>
          <w:p>
            <w:pPr>
              <w:pStyle w:val="49"/>
            </w:pPr>
            <w:r>
              <w:rPr>
                <w:kern w:val="0"/>
              </w:rPr>
              <w:t>BOD</w:t>
            </w:r>
          </w:p>
        </w:tc>
        <w:tc>
          <w:tcPr>
            <w:tcW w:w="1147" w:type="dxa"/>
            <w:vAlign w:val="center"/>
          </w:tcPr>
          <w:p>
            <w:pPr>
              <w:pStyle w:val="49"/>
            </w:pPr>
            <w:r>
              <w:rPr>
                <w:kern w:val="0"/>
              </w:rPr>
              <w:t>SS</w:t>
            </w:r>
          </w:p>
        </w:tc>
        <w:tc>
          <w:tcPr>
            <w:tcW w:w="1147" w:type="dxa"/>
            <w:vAlign w:val="center"/>
          </w:tcPr>
          <w:p>
            <w:pPr>
              <w:pStyle w:val="49"/>
            </w:pPr>
            <w:r>
              <w:rPr>
                <w:kern w:val="0"/>
              </w:rPr>
              <w:t>NH</w:t>
            </w:r>
            <w:r>
              <w:rPr>
                <w:kern w:val="0"/>
                <w:vertAlign w:val="subscript"/>
              </w:rPr>
              <w:t>3</w:t>
            </w:r>
            <w:r>
              <w:rPr>
                <w:kern w:val="0"/>
              </w:rPr>
              <w:t>-N</w:t>
            </w:r>
          </w:p>
        </w:tc>
        <w:tc>
          <w:tcPr>
            <w:tcW w:w="1147" w:type="dxa"/>
            <w:vAlign w:val="center"/>
          </w:tcPr>
          <w:p>
            <w:pPr>
              <w:pStyle w:val="49"/>
            </w:pPr>
            <w:r>
              <w:rPr>
                <w:rFonts w:hint="eastAsia"/>
                <w:kern w:val="0"/>
              </w:rPr>
              <w:t>总磷</w:t>
            </w:r>
          </w:p>
        </w:tc>
        <w:tc>
          <w:tcPr>
            <w:tcW w:w="1147" w:type="dxa"/>
            <w:vAlign w:val="center"/>
          </w:tcPr>
          <w:p>
            <w:pPr>
              <w:pStyle w:val="49"/>
            </w:pPr>
            <w:r>
              <w:rPr>
                <w:rFonts w:hint="eastAsia"/>
                <w:kern w:val="0"/>
              </w:rPr>
              <w:t>总氮</w:t>
            </w:r>
          </w:p>
        </w:tc>
        <w:tc>
          <w:tcPr>
            <w:tcW w:w="1147" w:type="dxa"/>
            <w:vAlign w:val="center"/>
          </w:tcPr>
          <w:p>
            <w:pPr>
              <w:pStyle w:val="49"/>
            </w:pPr>
            <w:r>
              <w:rPr>
                <w:rFonts w:hint="eastAsia"/>
                <w:kern w:val="0"/>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6" w:type="dxa"/>
            <w:vAlign w:val="center"/>
          </w:tcPr>
          <w:p>
            <w:pPr>
              <w:pStyle w:val="49"/>
            </w:pPr>
            <w:r>
              <w:rPr>
                <w:rFonts w:hint="eastAsia"/>
              </w:rPr>
              <w:t>废水浓度</w:t>
            </w:r>
          </w:p>
        </w:tc>
        <w:tc>
          <w:tcPr>
            <w:tcW w:w="1146" w:type="dxa"/>
            <w:vAlign w:val="center"/>
          </w:tcPr>
          <w:p>
            <w:pPr>
              <w:pStyle w:val="49"/>
            </w:pPr>
            <w:r>
              <w:rPr>
                <w:rFonts w:hint="eastAsia"/>
              </w:rPr>
              <w:t>2000</w:t>
            </w:r>
          </w:p>
        </w:tc>
        <w:tc>
          <w:tcPr>
            <w:tcW w:w="1146" w:type="dxa"/>
            <w:vAlign w:val="center"/>
          </w:tcPr>
          <w:p>
            <w:pPr>
              <w:pStyle w:val="49"/>
            </w:pPr>
            <w:r>
              <w:rPr>
                <w:rFonts w:hint="eastAsia"/>
              </w:rPr>
              <w:t>760</w:t>
            </w:r>
          </w:p>
        </w:tc>
        <w:tc>
          <w:tcPr>
            <w:tcW w:w="1147" w:type="dxa"/>
            <w:vAlign w:val="center"/>
          </w:tcPr>
          <w:p>
            <w:pPr>
              <w:pStyle w:val="49"/>
            </w:pPr>
            <w:r>
              <w:rPr>
                <w:rFonts w:hint="eastAsia"/>
              </w:rPr>
              <w:t>1000</w:t>
            </w:r>
          </w:p>
        </w:tc>
        <w:tc>
          <w:tcPr>
            <w:tcW w:w="1147" w:type="dxa"/>
            <w:vAlign w:val="center"/>
          </w:tcPr>
          <w:p>
            <w:pPr>
              <w:pStyle w:val="49"/>
            </w:pPr>
            <w:r>
              <w:rPr>
                <w:rFonts w:hint="eastAsia"/>
              </w:rPr>
              <w:t>150</w:t>
            </w:r>
          </w:p>
        </w:tc>
        <w:tc>
          <w:tcPr>
            <w:tcW w:w="1147" w:type="dxa"/>
            <w:vAlign w:val="center"/>
          </w:tcPr>
          <w:p>
            <w:pPr>
              <w:pStyle w:val="49"/>
            </w:pPr>
            <w:r>
              <w:rPr>
                <w:rFonts w:hint="eastAsia"/>
              </w:rPr>
              <w:t>7.15</w:t>
            </w:r>
          </w:p>
        </w:tc>
        <w:tc>
          <w:tcPr>
            <w:tcW w:w="1147" w:type="dxa"/>
            <w:vAlign w:val="center"/>
          </w:tcPr>
          <w:p>
            <w:pPr>
              <w:pStyle w:val="49"/>
            </w:pPr>
            <w:r>
              <w:rPr>
                <w:rFonts w:hint="eastAsia"/>
              </w:rPr>
              <w:t>176</w:t>
            </w:r>
          </w:p>
        </w:tc>
        <w:tc>
          <w:tcPr>
            <w:tcW w:w="1147" w:type="dxa"/>
            <w:vAlign w:val="center"/>
          </w:tcPr>
          <w:p>
            <w:pPr>
              <w:pStyle w:val="49"/>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6" w:type="dxa"/>
            <w:vAlign w:val="center"/>
          </w:tcPr>
          <w:p>
            <w:pPr>
              <w:pStyle w:val="49"/>
            </w:pPr>
            <w:r>
              <w:rPr>
                <w:rFonts w:hint="eastAsia"/>
              </w:rPr>
              <w:t>质量标准</w:t>
            </w:r>
          </w:p>
        </w:tc>
        <w:tc>
          <w:tcPr>
            <w:tcW w:w="1146" w:type="dxa"/>
            <w:vAlign w:val="center"/>
          </w:tcPr>
          <w:p>
            <w:pPr>
              <w:pStyle w:val="49"/>
            </w:pPr>
            <w:r>
              <w:rPr>
                <w:rFonts w:hint="eastAsia"/>
              </w:rPr>
              <w:t>3</w:t>
            </w:r>
          </w:p>
        </w:tc>
        <w:tc>
          <w:tcPr>
            <w:tcW w:w="1146" w:type="dxa"/>
            <w:vAlign w:val="center"/>
          </w:tcPr>
          <w:p>
            <w:pPr>
              <w:pStyle w:val="49"/>
            </w:pPr>
            <w:r>
              <w:rPr>
                <w:rFonts w:hint="eastAsia"/>
              </w:rPr>
              <w:t>/</w:t>
            </w:r>
          </w:p>
        </w:tc>
        <w:tc>
          <w:tcPr>
            <w:tcW w:w="1147" w:type="dxa"/>
            <w:vAlign w:val="center"/>
          </w:tcPr>
          <w:p>
            <w:pPr>
              <w:pStyle w:val="49"/>
            </w:pPr>
            <w:r>
              <w:rPr>
                <w:rFonts w:hint="eastAsia"/>
              </w:rPr>
              <w:t>/</w:t>
            </w:r>
          </w:p>
        </w:tc>
        <w:tc>
          <w:tcPr>
            <w:tcW w:w="1147" w:type="dxa"/>
            <w:vAlign w:val="center"/>
          </w:tcPr>
          <w:p>
            <w:pPr>
              <w:pStyle w:val="49"/>
            </w:pPr>
            <w:r>
              <w:rPr>
                <w:rFonts w:hint="eastAsia"/>
              </w:rPr>
              <w:t>0.5</w:t>
            </w:r>
          </w:p>
        </w:tc>
        <w:tc>
          <w:tcPr>
            <w:tcW w:w="1147" w:type="dxa"/>
            <w:vAlign w:val="center"/>
          </w:tcPr>
          <w:p>
            <w:pPr>
              <w:pStyle w:val="49"/>
            </w:pPr>
            <w:r>
              <w:rPr>
                <w:rFonts w:hint="eastAsia"/>
              </w:rPr>
              <w:t>0.2</w:t>
            </w:r>
          </w:p>
        </w:tc>
        <w:tc>
          <w:tcPr>
            <w:tcW w:w="1147" w:type="dxa"/>
            <w:vAlign w:val="center"/>
          </w:tcPr>
          <w:p>
            <w:pPr>
              <w:pStyle w:val="49"/>
            </w:pPr>
            <w:r>
              <w:rPr>
                <w:rFonts w:hint="eastAsia"/>
              </w:rPr>
              <w:t>1</w:t>
            </w:r>
          </w:p>
        </w:tc>
        <w:tc>
          <w:tcPr>
            <w:tcW w:w="1147" w:type="dxa"/>
            <w:vAlign w:val="center"/>
          </w:tcPr>
          <w:p>
            <w:pPr>
              <w:pStyle w:val="4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6" w:type="dxa"/>
            <w:vAlign w:val="center"/>
          </w:tcPr>
          <w:p>
            <w:pPr>
              <w:pStyle w:val="49"/>
            </w:pPr>
            <w:r>
              <w:rPr>
                <w:rFonts w:hint="eastAsia"/>
              </w:rPr>
              <w:t>标准指数</w:t>
            </w:r>
          </w:p>
        </w:tc>
        <w:tc>
          <w:tcPr>
            <w:tcW w:w="1146" w:type="dxa"/>
            <w:vAlign w:val="center"/>
          </w:tcPr>
          <w:p>
            <w:pPr>
              <w:pStyle w:val="49"/>
            </w:pPr>
            <w:r>
              <w:rPr>
                <w:rFonts w:hint="eastAsia"/>
              </w:rPr>
              <w:t>666.67</w:t>
            </w:r>
          </w:p>
        </w:tc>
        <w:tc>
          <w:tcPr>
            <w:tcW w:w="1146" w:type="dxa"/>
            <w:vAlign w:val="center"/>
          </w:tcPr>
          <w:p>
            <w:pPr>
              <w:pStyle w:val="49"/>
            </w:pPr>
            <w:r>
              <w:rPr>
                <w:rFonts w:hint="eastAsia"/>
              </w:rPr>
              <w:t>/</w:t>
            </w:r>
          </w:p>
        </w:tc>
        <w:tc>
          <w:tcPr>
            <w:tcW w:w="1147" w:type="dxa"/>
            <w:vAlign w:val="center"/>
          </w:tcPr>
          <w:p>
            <w:pPr>
              <w:pStyle w:val="49"/>
            </w:pPr>
            <w:r>
              <w:rPr>
                <w:rFonts w:hint="eastAsia"/>
              </w:rPr>
              <w:t>/</w:t>
            </w:r>
          </w:p>
        </w:tc>
        <w:tc>
          <w:tcPr>
            <w:tcW w:w="1147" w:type="dxa"/>
            <w:vAlign w:val="center"/>
          </w:tcPr>
          <w:p>
            <w:pPr>
              <w:pStyle w:val="49"/>
            </w:pPr>
            <w:r>
              <w:rPr>
                <w:rFonts w:hint="eastAsia"/>
              </w:rPr>
              <w:t>300</w:t>
            </w:r>
          </w:p>
        </w:tc>
        <w:tc>
          <w:tcPr>
            <w:tcW w:w="1147" w:type="dxa"/>
            <w:vAlign w:val="center"/>
          </w:tcPr>
          <w:p>
            <w:pPr>
              <w:pStyle w:val="49"/>
            </w:pPr>
            <w:r>
              <w:rPr>
                <w:rFonts w:hint="eastAsia"/>
              </w:rPr>
              <w:t>35.75</w:t>
            </w:r>
          </w:p>
        </w:tc>
        <w:tc>
          <w:tcPr>
            <w:tcW w:w="1147" w:type="dxa"/>
            <w:vAlign w:val="center"/>
          </w:tcPr>
          <w:p>
            <w:pPr>
              <w:pStyle w:val="49"/>
            </w:pPr>
            <w:r>
              <w:rPr>
                <w:rFonts w:hint="eastAsia"/>
              </w:rPr>
              <w:t>176</w:t>
            </w:r>
          </w:p>
        </w:tc>
        <w:tc>
          <w:tcPr>
            <w:tcW w:w="1147" w:type="dxa"/>
            <w:vAlign w:val="center"/>
          </w:tcPr>
          <w:p>
            <w:pPr>
              <w:pStyle w:val="49"/>
            </w:pPr>
            <w:r>
              <w:rPr>
                <w:rFonts w:hint="eastAsia"/>
              </w:rPr>
              <w:t>/</w:t>
            </w:r>
          </w:p>
        </w:tc>
      </w:tr>
    </w:tbl>
    <w:p>
      <w:pPr>
        <w:pStyle w:val="3"/>
        <w:ind w:firstLine="422"/>
        <w:rPr>
          <w:b/>
          <w:kern w:val="0"/>
          <w:sz w:val="21"/>
        </w:rPr>
      </w:pPr>
      <w:r>
        <w:rPr>
          <w:rFonts w:hint="eastAsia"/>
          <w:b/>
          <w:kern w:val="0"/>
          <w:sz w:val="21"/>
        </w:rPr>
        <w:t>注：总磷、总氮质量标准参照</w:t>
      </w:r>
      <w:r>
        <w:rPr>
          <w:b/>
          <w:kern w:val="0"/>
          <w:sz w:val="21"/>
        </w:rPr>
        <w:t>GB3838-2002</w:t>
      </w:r>
      <w:r>
        <w:rPr>
          <w:rFonts w:hint="eastAsia"/>
          <w:b/>
          <w:kern w:val="0"/>
          <w:sz w:val="21"/>
        </w:rPr>
        <w:t>中Ⅲ类标准。</w:t>
      </w:r>
    </w:p>
    <w:p>
      <w:pPr>
        <w:pStyle w:val="3"/>
        <w:ind w:firstLine="480"/>
        <w:rPr>
          <w:kern w:val="0"/>
        </w:rPr>
      </w:pPr>
      <w:r>
        <w:rPr>
          <w:rFonts w:hint="eastAsia"/>
          <w:kern w:val="0"/>
        </w:rPr>
        <w:t>通过表6.2-15标准指数对比，其中</w:t>
      </w:r>
      <w:r>
        <w:rPr>
          <w:kern w:val="0"/>
        </w:rPr>
        <w:t>COD</w:t>
      </w:r>
      <w:r>
        <w:rPr>
          <w:rFonts w:hint="eastAsia"/>
          <w:kern w:val="0"/>
        </w:rPr>
        <w:t>、</w:t>
      </w:r>
      <w:r>
        <w:rPr>
          <w:kern w:val="0"/>
        </w:rPr>
        <w:t>NH</w:t>
      </w:r>
      <w:r>
        <w:rPr>
          <w:kern w:val="0"/>
          <w:vertAlign w:val="subscript"/>
        </w:rPr>
        <w:t>3</w:t>
      </w:r>
      <w:r>
        <w:rPr>
          <w:kern w:val="0"/>
        </w:rPr>
        <w:t>-N</w:t>
      </w:r>
      <w:r>
        <w:rPr>
          <w:rFonts w:hint="eastAsia"/>
          <w:kern w:val="0"/>
        </w:rPr>
        <w:t>标准指数最大，因此本次评价选取</w:t>
      </w:r>
      <w:r>
        <w:rPr>
          <w:kern w:val="0"/>
        </w:rPr>
        <w:t>COD</w:t>
      </w:r>
      <w:r>
        <w:rPr>
          <w:rFonts w:hint="eastAsia"/>
          <w:kern w:val="0"/>
        </w:rPr>
        <w:t>、</w:t>
      </w:r>
      <w:r>
        <w:rPr>
          <w:kern w:val="0"/>
        </w:rPr>
        <w:t>NH</w:t>
      </w:r>
      <w:r>
        <w:rPr>
          <w:kern w:val="0"/>
          <w:vertAlign w:val="subscript"/>
        </w:rPr>
        <w:t>3</w:t>
      </w:r>
      <w:r>
        <w:rPr>
          <w:kern w:val="0"/>
        </w:rPr>
        <w:t>-N</w:t>
      </w:r>
      <w:r>
        <w:rPr>
          <w:rFonts w:hint="eastAsia"/>
          <w:kern w:val="0"/>
        </w:rPr>
        <w:t>作为预测因子。</w:t>
      </w:r>
    </w:p>
    <w:p>
      <w:pPr>
        <w:pStyle w:val="3"/>
        <w:ind w:firstLine="480"/>
        <w:rPr>
          <w:kern w:val="0"/>
        </w:rPr>
      </w:pPr>
      <w:r>
        <w:rPr>
          <w:rFonts w:hint="eastAsia"/>
          <w:kern w:val="0"/>
        </w:rPr>
        <w:t>6、预测源强的计算</w:t>
      </w:r>
    </w:p>
    <w:p>
      <w:pPr>
        <w:pStyle w:val="3"/>
        <w:ind w:firstLine="480"/>
        <w:rPr>
          <w:kern w:val="0"/>
        </w:rPr>
      </w:pPr>
      <w:r>
        <w:rPr>
          <w:rFonts w:hint="eastAsia"/>
          <w:kern w:val="0"/>
        </w:rPr>
        <w:t>污水收集调节池防渗层发生破坏，未经处理的最高浓度原废水渗入地下水中进行预测。污水处理站设施下部分布有素填土和碎石土层，透水性较差。污水收集池设计</w:t>
      </w:r>
      <w:r>
        <w:rPr>
          <w:kern w:val="0"/>
        </w:rPr>
        <w:t>B</w:t>
      </w:r>
      <w:r>
        <w:rPr>
          <w:rFonts w:hint="eastAsia"/>
          <w:kern w:val="0"/>
        </w:rPr>
        <w:t>×</w:t>
      </w:r>
      <w:r>
        <w:rPr>
          <w:kern w:val="0"/>
        </w:rPr>
        <w:t>L</w:t>
      </w:r>
      <w:r>
        <w:rPr>
          <w:rFonts w:hint="eastAsia"/>
          <w:kern w:val="0"/>
        </w:rPr>
        <w:t>×</w:t>
      </w:r>
      <w:r>
        <w:rPr>
          <w:kern w:val="0"/>
        </w:rPr>
        <w:t xml:space="preserve">H </w:t>
      </w:r>
      <w:r>
        <w:rPr>
          <w:rFonts w:hint="eastAsia"/>
          <w:kern w:val="0"/>
        </w:rPr>
        <w:t>为15×20×</w:t>
      </w:r>
      <w:r>
        <w:rPr>
          <w:kern w:val="0"/>
        </w:rPr>
        <w:t>2m</w:t>
      </w:r>
      <w:r>
        <w:rPr>
          <w:rFonts w:hint="eastAsia"/>
          <w:kern w:val="0"/>
        </w:rPr>
        <w:t>，接触面积为：</w:t>
      </w:r>
      <w:r>
        <w:rPr>
          <w:kern w:val="0"/>
        </w:rPr>
        <w:t>30</w:t>
      </w:r>
      <w:r>
        <w:rPr>
          <w:rFonts w:hint="eastAsia"/>
          <w:kern w:val="0"/>
        </w:rPr>
        <w:t>0</w:t>
      </w:r>
      <w:r>
        <w:rPr>
          <w:kern w:val="0"/>
        </w:rPr>
        <w:t>m</w:t>
      </w:r>
      <w:r>
        <w:rPr>
          <w:kern w:val="0"/>
          <w:vertAlign w:val="superscript"/>
        </w:rPr>
        <w:t>2</w:t>
      </w:r>
      <w:r>
        <w:rPr>
          <w:rFonts w:hint="eastAsia"/>
          <w:kern w:val="0"/>
        </w:rPr>
        <w:t>。破裂面积按</w:t>
      </w:r>
      <w:r>
        <w:rPr>
          <w:kern w:val="0"/>
        </w:rPr>
        <w:t>3</w:t>
      </w:r>
      <w:r>
        <w:rPr>
          <w:rFonts w:hint="eastAsia"/>
          <w:kern w:val="0"/>
        </w:rPr>
        <w:t>‰考虑：</w:t>
      </w:r>
      <w:r>
        <w:rPr>
          <w:kern w:val="0"/>
        </w:rPr>
        <w:t>30</w:t>
      </w:r>
      <w:r>
        <w:rPr>
          <w:rFonts w:hint="eastAsia"/>
          <w:kern w:val="0"/>
        </w:rPr>
        <w:t>0×</w:t>
      </w:r>
      <w:r>
        <w:rPr>
          <w:kern w:val="0"/>
        </w:rPr>
        <w:t>3</w:t>
      </w:r>
      <w:r>
        <w:rPr>
          <w:rFonts w:hint="eastAsia"/>
          <w:kern w:val="0"/>
        </w:rPr>
        <w:t>‰</w:t>
      </w:r>
      <w:r>
        <w:rPr>
          <w:kern w:val="0"/>
        </w:rPr>
        <w:t>=0.9m</w:t>
      </w:r>
      <w:r>
        <w:rPr>
          <w:kern w:val="0"/>
          <w:vertAlign w:val="superscript"/>
        </w:rPr>
        <w:t>2</w:t>
      </w:r>
      <w:r>
        <w:rPr>
          <w:rFonts w:hint="eastAsia"/>
          <w:kern w:val="0"/>
        </w:rPr>
        <w:t>。根据建设单位提供的试验资料，含水层渗透系数为</w:t>
      </w:r>
      <w:r>
        <w:rPr>
          <w:kern w:val="0"/>
        </w:rPr>
        <w:t>0.185m/d</w:t>
      </w:r>
      <w:r>
        <w:rPr>
          <w:rFonts w:hint="eastAsia"/>
          <w:kern w:val="0"/>
        </w:rPr>
        <w:t xml:space="preserve">。水池有水，池水进入地下属于有压渗透，这里按达西公式计算源强，计算公式： </w:t>
      </w:r>
    </w:p>
    <w:p>
      <w:pPr>
        <w:pStyle w:val="3"/>
        <w:ind w:firstLine="480"/>
        <w:jc w:val="center"/>
        <w:rPr>
          <w:kern w:val="0"/>
        </w:rPr>
      </w:pPr>
      <w:r>
        <w:drawing>
          <wp:inline distT="0" distB="0" distL="0" distR="0">
            <wp:extent cx="1495425" cy="4000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1495425" cy="400050"/>
                    </a:xfrm>
                    <a:prstGeom prst="rect">
                      <a:avLst/>
                    </a:prstGeom>
                  </pic:spPr>
                </pic:pic>
              </a:graphicData>
            </a:graphic>
          </wp:inline>
        </w:drawing>
      </w:r>
    </w:p>
    <w:p>
      <w:pPr>
        <w:pStyle w:val="3"/>
        <w:ind w:firstLine="1080" w:firstLineChars="450"/>
      </w:pPr>
      <w:r>
        <w:rPr>
          <w:rFonts w:hint="eastAsia"/>
        </w:rPr>
        <w:t>式中：</w:t>
      </w:r>
      <w:r>
        <w:t>Q</w:t>
      </w:r>
      <w:r>
        <w:rPr>
          <w:rFonts w:hint="eastAsia"/>
        </w:rPr>
        <w:t>为渗入到地下的污水量</w:t>
      </w:r>
      <w:r>
        <w:t>m</w:t>
      </w:r>
      <w:r>
        <w:rPr>
          <w:vertAlign w:val="superscript"/>
        </w:rPr>
        <w:t>3</w:t>
      </w:r>
      <w:r>
        <w:t>/d</w:t>
      </w:r>
      <w:r>
        <w:rPr>
          <w:rFonts w:hint="eastAsia"/>
        </w:rPr>
        <w:t>；</w:t>
      </w:r>
    </w:p>
    <w:p>
      <w:pPr>
        <w:pStyle w:val="3"/>
        <w:ind w:firstLine="1080" w:firstLineChars="450"/>
      </w:pPr>
      <w:r>
        <w:t>Ka</w:t>
      </w:r>
      <w:r>
        <w:rPr>
          <w:rFonts w:hint="eastAsia"/>
        </w:rPr>
        <w:t>为地面垂向渗透系数，</w:t>
      </w:r>
      <w:r>
        <w:t>m/d</w:t>
      </w:r>
      <w:r>
        <w:rPr>
          <w:rFonts w:hint="eastAsia"/>
        </w:rPr>
        <w:t>；</w:t>
      </w:r>
    </w:p>
    <w:p>
      <w:pPr>
        <w:pStyle w:val="3"/>
        <w:ind w:firstLine="1080" w:firstLineChars="450"/>
      </w:pPr>
      <w:r>
        <w:t>H</w:t>
      </w:r>
      <w:r>
        <w:rPr>
          <w:rFonts w:hint="eastAsia"/>
        </w:rPr>
        <w:t>为池内水深，</w:t>
      </w:r>
      <w:r>
        <w:t>m</w:t>
      </w:r>
      <w:r>
        <w:rPr>
          <w:rFonts w:hint="eastAsia"/>
        </w:rPr>
        <w:t>；</w:t>
      </w:r>
    </w:p>
    <w:p>
      <w:pPr>
        <w:pStyle w:val="3"/>
        <w:ind w:firstLine="1080" w:firstLineChars="450"/>
      </w:pPr>
      <w:r>
        <w:t>D</w:t>
      </w:r>
      <w:r>
        <w:rPr>
          <w:rFonts w:hint="eastAsia"/>
        </w:rPr>
        <w:t>为地下水埋深，</w:t>
      </w:r>
      <w:r>
        <w:t>m</w:t>
      </w:r>
      <w:r>
        <w:rPr>
          <w:rFonts w:hint="eastAsia"/>
        </w:rPr>
        <w:t>；</w:t>
      </w:r>
    </w:p>
    <w:p>
      <w:pPr>
        <w:pStyle w:val="3"/>
        <w:ind w:firstLine="1080" w:firstLineChars="450"/>
      </w:pPr>
      <w:r>
        <w:t xml:space="preserve">A </w:t>
      </w:r>
      <w:r>
        <w:rPr>
          <w:rFonts w:hint="eastAsia"/>
        </w:rPr>
        <w:t>裂缝为池底裂缝总面积</w:t>
      </w:r>
      <w:r>
        <w:t>m</w:t>
      </w:r>
      <w:r>
        <w:rPr>
          <w:vertAlign w:val="superscript"/>
        </w:rPr>
        <w:t>2</w:t>
      </w:r>
      <w:r>
        <w:rPr>
          <w:rFonts w:hint="eastAsia"/>
        </w:rPr>
        <w:t>。</w:t>
      </w:r>
    </w:p>
    <w:p>
      <w:pPr>
        <w:pStyle w:val="3"/>
        <w:ind w:firstLine="480"/>
        <w:rPr>
          <w:kern w:val="0"/>
        </w:rPr>
      </w:pPr>
      <w:r>
        <w:rPr>
          <w:rFonts w:hint="eastAsia"/>
          <w:kern w:val="0"/>
        </w:rPr>
        <w:t>计算结果见表6.1</w:t>
      </w:r>
      <w:r>
        <w:rPr>
          <w:kern w:val="0"/>
        </w:rPr>
        <w:t>-</w:t>
      </w:r>
      <w:r>
        <w:rPr>
          <w:rFonts w:hint="eastAsia"/>
          <w:kern w:val="0"/>
        </w:rPr>
        <w:t>16。</w:t>
      </w:r>
    </w:p>
    <w:p>
      <w:pPr>
        <w:pStyle w:val="3"/>
        <w:spacing w:line="240" w:lineRule="auto"/>
        <w:ind w:firstLine="482"/>
        <w:jc w:val="center"/>
        <w:rPr>
          <w:kern w:val="0"/>
        </w:rPr>
      </w:pPr>
      <w:r>
        <w:rPr>
          <w:rFonts w:hint="eastAsia" w:cs="Times New Roman" w:eastAsiaTheme="minorEastAsia"/>
          <w:b/>
        </w:rPr>
        <w:t>表6.2-16</w:t>
      </w:r>
      <w:r>
        <w:rPr>
          <w:rFonts w:cs="Times New Roman" w:eastAsiaTheme="minorEastAsia"/>
          <w:b/>
        </w:rPr>
        <w:t xml:space="preserve">  </w:t>
      </w:r>
      <w:r>
        <w:rPr>
          <w:rFonts w:hint="eastAsia" w:cs="Times New Roman" w:eastAsiaTheme="minorEastAsia"/>
          <w:b/>
        </w:rPr>
        <w:t xml:space="preserve"> 污水渗漏量计算结果</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851"/>
        <w:gridCol w:w="850"/>
        <w:gridCol w:w="851"/>
        <w:gridCol w:w="992"/>
        <w:gridCol w:w="1843"/>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Align w:val="center"/>
          </w:tcPr>
          <w:p>
            <w:pPr>
              <w:pStyle w:val="49"/>
            </w:pPr>
            <w:r>
              <w:rPr>
                <w:rFonts w:hint="eastAsia"/>
              </w:rPr>
              <w:t>项目</w:t>
            </w:r>
          </w:p>
        </w:tc>
        <w:tc>
          <w:tcPr>
            <w:tcW w:w="992" w:type="dxa"/>
            <w:vAlign w:val="center"/>
          </w:tcPr>
          <w:p>
            <w:pPr>
              <w:pStyle w:val="49"/>
              <w:rPr>
                <w:sz w:val="24"/>
              </w:rPr>
            </w:pPr>
            <w:r>
              <w:rPr>
                <w:sz w:val="24"/>
              </w:rPr>
              <w:t>Ka</w:t>
            </w:r>
          </w:p>
          <w:p>
            <w:pPr>
              <w:pStyle w:val="49"/>
            </w:pPr>
            <w:r>
              <w:rPr>
                <w:rFonts w:hint="eastAsia"/>
                <w:sz w:val="24"/>
              </w:rPr>
              <w:t>（</w:t>
            </w:r>
            <w:r>
              <w:rPr>
                <w:sz w:val="24"/>
              </w:rPr>
              <w:t>m/d</w:t>
            </w:r>
            <w:r>
              <w:rPr>
                <w:rFonts w:hint="eastAsia"/>
                <w:sz w:val="24"/>
              </w:rPr>
              <w:t>）</w:t>
            </w:r>
          </w:p>
        </w:tc>
        <w:tc>
          <w:tcPr>
            <w:tcW w:w="851" w:type="dxa"/>
            <w:vAlign w:val="center"/>
          </w:tcPr>
          <w:p>
            <w:pPr>
              <w:pStyle w:val="49"/>
              <w:rPr>
                <w:sz w:val="24"/>
              </w:rPr>
            </w:pPr>
            <w:r>
              <w:rPr>
                <w:sz w:val="24"/>
              </w:rPr>
              <w:t>H</w:t>
            </w:r>
          </w:p>
          <w:p>
            <w:pPr>
              <w:pStyle w:val="49"/>
            </w:pPr>
            <w:r>
              <w:rPr>
                <w:rFonts w:hint="eastAsia"/>
                <w:sz w:val="24"/>
              </w:rPr>
              <w:t>（m）</w:t>
            </w:r>
          </w:p>
        </w:tc>
        <w:tc>
          <w:tcPr>
            <w:tcW w:w="850" w:type="dxa"/>
            <w:vAlign w:val="center"/>
          </w:tcPr>
          <w:p>
            <w:pPr>
              <w:pStyle w:val="49"/>
            </w:pPr>
            <w:r>
              <w:rPr>
                <w:rFonts w:hint="eastAsia"/>
              </w:rPr>
              <w:t>D</w:t>
            </w:r>
          </w:p>
          <w:p>
            <w:pPr>
              <w:pStyle w:val="49"/>
            </w:pPr>
            <w:r>
              <w:rPr>
                <w:rFonts w:hint="eastAsia"/>
                <w:sz w:val="24"/>
              </w:rPr>
              <w:t>（m）</w:t>
            </w:r>
          </w:p>
        </w:tc>
        <w:tc>
          <w:tcPr>
            <w:tcW w:w="851" w:type="dxa"/>
            <w:vAlign w:val="center"/>
          </w:tcPr>
          <w:p>
            <w:pPr>
              <w:pStyle w:val="49"/>
            </w:pPr>
            <w:r>
              <w:rPr>
                <w:rFonts w:hint="eastAsia"/>
              </w:rPr>
              <w:t>A</w:t>
            </w:r>
          </w:p>
          <w:p>
            <w:pPr>
              <w:pStyle w:val="49"/>
            </w:pPr>
            <w:r>
              <w:rPr>
                <w:rFonts w:hint="eastAsia"/>
              </w:rPr>
              <w:t>（</w:t>
            </w:r>
            <w:r>
              <w:rPr>
                <w:sz w:val="24"/>
              </w:rPr>
              <w:t>m</w:t>
            </w:r>
            <w:r>
              <w:rPr>
                <w:sz w:val="24"/>
                <w:vertAlign w:val="superscript"/>
              </w:rPr>
              <w:t>2</w:t>
            </w:r>
            <w:r>
              <w:rPr>
                <w:rFonts w:hint="eastAsia"/>
              </w:rPr>
              <w:t>）</w:t>
            </w:r>
          </w:p>
        </w:tc>
        <w:tc>
          <w:tcPr>
            <w:tcW w:w="992" w:type="dxa"/>
            <w:vAlign w:val="center"/>
          </w:tcPr>
          <w:p>
            <w:pPr>
              <w:pStyle w:val="49"/>
            </w:pPr>
            <w:r>
              <w:rPr>
                <w:rFonts w:hint="eastAsia"/>
              </w:rPr>
              <w:t>Q</w:t>
            </w:r>
          </w:p>
          <w:p>
            <w:pPr>
              <w:pStyle w:val="49"/>
            </w:pPr>
            <w:r>
              <w:rPr>
                <w:rFonts w:hint="eastAsia"/>
              </w:rPr>
              <w:t>（m</w:t>
            </w:r>
            <w:r>
              <w:rPr>
                <w:rFonts w:hint="eastAsia"/>
                <w:vertAlign w:val="superscript"/>
              </w:rPr>
              <w:t>3</w:t>
            </w:r>
            <w:r>
              <w:rPr>
                <w:rFonts w:hint="eastAsia"/>
              </w:rPr>
              <w:t>/d）</w:t>
            </w:r>
          </w:p>
        </w:tc>
        <w:tc>
          <w:tcPr>
            <w:tcW w:w="1843" w:type="dxa"/>
            <w:vAlign w:val="center"/>
          </w:tcPr>
          <w:p>
            <w:pPr>
              <w:pStyle w:val="49"/>
            </w:pPr>
            <w:r>
              <w:rPr>
                <w:rFonts w:hint="eastAsia"/>
              </w:rPr>
              <w:t>污染物浓度C</w:t>
            </w:r>
          </w:p>
          <w:p>
            <w:pPr>
              <w:pStyle w:val="49"/>
            </w:pPr>
            <w:r>
              <w:rPr>
                <w:rFonts w:hint="eastAsia"/>
              </w:rPr>
              <w:t>（mg/L）</w:t>
            </w:r>
          </w:p>
        </w:tc>
        <w:tc>
          <w:tcPr>
            <w:tcW w:w="1835" w:type="dxa"/>
            <w:vAlign w:val="center"/>
          </w:tcPr>
          <w:p>
            <w:pPr>
              <w:pStyle w:val="49"/>
            </w:pPr>
            <w:r>
              <w:rPr>
                <w:rFonts w:hint="eastAsia"/>
              </w:rPr>
              <w:t>污染物泄露量</w:t>
            </w:r>
          </w:p>
          <w:p>
            <w:pPr>
              <w:pStyle w:val="49"/>
            </w:pPr>
            <w:r>
              <w:rPr>
                <w:rFonts w:hint="eastAsia"/>
              </w:rPr>
              <w:t>M</w:t>
            </w:r>
            <w:r>
              <w:rPr>
                <w:rFonts w:hint="eastAsia"/>
                <w:vertAlign w:val="subscript"/>
              </w:rPr>
              <w:t>污染</w:t>
            </w:r>
            <w:r>
              <w:rPr>
                <w:rFonts w:hint="eastAsia"/>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Align w:val="center"/>
          </w:tcPr>
          <w:p>
            <w:pPr>
              <w:pStyle w:val="49"/>
            </w:pPr>
            <w:r>
              <w:rPr>
                <w:rFonts w:hint="eastAsia"/>
              </w:rPr>
              <w:t>COD</w:t>
            </w:r>
          </w:p>
        </w:tc>
        <w:tc>
          <w:tcPr>
            <w:tcW w:w="992" w:type="dxa"/>
            <w:vMerge w:val="restart"/>
            <w:vAlign w:val="center"/>
          </w:tcPr>
          <w:p>
            <w:pPr>
              <w:pStyle w:val="49"/>
            </w:pPr>
            <w:r>
              <w:rPr>
                <w:rFonts w:hint="eastAsia"/>
              </w:rPr>
              <w:t>0.185</w:t>
            </w:r>
          </w:p>
        </w:tc>
        <w:tc>
          <w:tcPr>
            <w:tcW w:w="851" w:type="dxa"/>
            <w:vMerge w:val="restart"/>
            <w:vAlign w:val="center"/>
          </w:tcPr>
          <w:p>
            <w:pPr>
              <w:pStyle w:val="49"/>
            </w:pPr>
            <w:r>
              <w:rPr>
                <w:rFonts w:hint="eastAsia"/>
              </w:rPr>
              <w:t>2</w:t>
            </w:r>
          </w:p>
        </w:tc>
        <w:tc>
          <w:tcPr>
            <w:tcW w:w="850" w:type="dxa"/>
            <w:vMerge w:val="restart"/>
            <w:vAlign w:val="center"/>
          </w:tcPr>
          <w:p>
            <w:pPr>
              <w:pStyle w:val="49"/>
            </w:pPr>
            <w:r>
              <w:rPr>
                <w:rFonts w:hint="eastAsia"/>
              </w:rPr>
              <w:t>2.8</w:t>
            </w:r>
          </w:p>
        </w:tc>
        <w:tc>
          <w:tcPr>
            <w:tcW w:w="851" w:type="dxa"/>
            <w:vMerge w:val="restart"/>
            <w:vAlign w:val="center"/>
          </w:tcPr>
          <w:p>
            <w:pPr>
              <w:pStyle w:val="49"/>
            </w:pPr>
            <w:r>
              <w:rPr>
                <w:rFonts w:hint="eastAsia"/>
              </w:rPr>
              <w:t>0.9</w:t>
            </w:r>
          </w:p>
        </w:tc>
        <w:tc>
          <w:tcPr>
            <w:tcW w:w="992" w:type="dxa"/>
            <w:vMerge w:val="restart"/>
            <w:vAlign w:val="center"/>
          </w:tcPr>
          <w:p>
            <w:pPr>
              <w:pStyle w:val="49"/>
            </w:pPr>
            <w:r>
              <w:rPr>
                <w:rFonts w:hint="eastAsia"/>
              </w:rPr>
              <w:t>0.285</w:t>
            </w:r>
          </w:p>
        </w:tc>
        <w:tc>
          <w:tcPr>
            <w:tcW w:w="1843" w:type="dxa"/>
            <w:vAlign w:val="center"/>
          </w:tcPr>
          <w:p>
            <w:pPr>
              <w:pStyle w:val="49"/>
            </w:pPr>
            <w:r>
              <w:rPr>
                <w:rFonts w:hint="eastAsia"/>
              </w:rPr>
              <w:t>2000</w:t>
            </w:r>
          </w:p>
        </w:tc>
        <w:tc>
          <w:tcPr>
            <w:tcW w:w="1835" w:type="dxa"/>
            <w:vAlign w:val="center"/>
          </w:tcPr>
          <w:p>
            <w:pPr>
              <w:pStyle w:val="49"/>
            </w:pPr>
            <w:r>
              <w:rPr>
                <w:rFonts w:hint="eastAsia"/>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Align w:val="center"/>
          </w:tcPr>
          <w:p>
            <w:pPr>
              <w:pStyle w:val="49"/>
            </w:pPr>
            <w:r>
              <w:t>NH</w:t>
            </w:r>
            <w:r>
              <w:rPr>
                <w:vertAlign w:val="subscript"/>
              </w:rPr>
              <w:t>3</w:t>
            </w:r>
            <w:r>
              <w:t>-N</w:t>
            </w:r>
          </w:p>
        </w:tc>
        <w:tc>
          <w:tcPr>
            <w:tcW w:w="992" w:type="dxa"/>
            <w:vMerge w:val="continue"/>
            <w:vAlign w:val="center"/>
          </w:tcPr>
          <w:p>
            <w:pPr>
              <w:pStyle w:val="49"/>
            </w:pPr>
          </w:p>
        </w:tc>
        <w:tc>
          <w:tcPr>
            <w:tcW w:w="851" w:type="dxa"/>
            <w:vMerge w:val="continue"/>
            <w:vAlign w:val="center"/>
          </w:tcPr>
          <w:p>
            <w:pPr>
              <w:pStyle w:val="49"/>
            </w:pPr>
          </w:p>
        </w:tc>
        <w:tc>
          <w:tcPr>
            <w:tcW w:w="850" w:type="dxa"/>
            <w:vMerge w:val="continue"/>
            <w:vAlign w:val="center"/>
          </w:tcPr>
          <w:p>
            <w:pPr>
              <w:pStyle w:val="49"/>
            </w:pPr>
          </w:p>
        </w:tc>
        <w:tc>
          <w:tcPr>
            <w:tcW w:w="851" w:type="dxa"/>
            <w:vMerge w:val="continue"/>
            <w:vAlign w:val="center"/>
          </w:tcPr>
          <w:p>
            <w:pPr>
              <w:pStyle w:val="49"/>
            </w:pPr>
          </w:p>
        </w:tc>
        <w:tc>
          <w:tcPr>
            <w:tcW w:w="992" w:type="dxa"/>
            <w:vMerge w:val="continue"/>
            <w:vAlign w:val="center"/>
          </w:tcPr>
          <w:p>
            <w:pPr>
              <w:pStyle w:val="49"/>
            </w:pPr>
          </w:p>
        </w:tc>
        <w:tc>
          <w:tcPr>
            <w:tcW w:w="1843" w:type="dxa"/>
            <w:vAlign w:val="center"/>
          </w:tcPr>
          <w:p>
            <w:pPr>
              <w:pStyle w:val="49"/>
            </w:pPr>
            <w:r>
              <w:rPr>
                <w:rFonts w:hint="eastAsia"/>
              </w:rPr>
              <w:t>150</w:t>
            </w:r>
          </w:p>
        </w:tc>
        <w:tc>
          <w:tcPr>
            <w:tcW w:w="1835" w:type="dxa"/>
            <w:vAlign w:val="center"/>
          </w:tcPr>
          <w:p>
            <w:pPr>
              <w:pStyle w:val="49"/>
            </w:pPr>
            <w:r>
              <w:rPr>
                <w:rFonts w:hint="eastAsia"/>
              </w:rPr>
              <w:t>0.043</w:t>
            </w:r>
          </w:p>
        </w:tc>
      </w:tr>
    </w:tbl>
    <w:p>
      <w:pPr>
        <w:pStyle w:val="3"/>
        <w:ind w:firstLine="480"/>
        <w:rPr>
          <w:kern w:val="0"/>
        </w:rPr>
      </w:pPr>
      <w:r>
        <w:rPr>
          <w:rFonts w:hint="eastAsia"/>
          <w:kern w:val="0"/>
        </w:rPr>
        <w:t>7、预测模式</w:t>
      </w:r>
    </w:p>
    <w:p>
      <w:pPr>
        <w:pStyle w:val="3"/>
        <w:ind w:firstLine="480"/>
        <w:rPr>
          <w:kern w:val="0"/>
        </w:rPr>
      </w:pPr>
      <w:r>
        <w:rPr>
          <w:rFonts w:hint="eastAsia"/>
          <w:kern w:val="0"/>
        </w:rPr>
        <w:t>根据《环境影响评价技术导则地下水环境》（</w:t>
      </w:r>
      <w:r>
        <w:rPr>
          <w:kern w:val="0"/>
        </w:rPr>
        <w:t>HJ610-2016</w:t>
      </w:r>
      <w:r>
        <w:rPr>
          <w:rFonts w:hint="eastAsia"/>
          <w:kern w:val="0"/>
        </w:rPr>
        <w:t>）要求，地下水环境影响评价三级评价预测方法可以选用解析法。根据本项目地下水的污染特性选用“一维水动力弥散解析法”，计算瞬时污染源对地下水形成的污染影响，具体模式公式如下。</w:t>
      </w:r>
    </w:p>
    <w:p>
      <w:pPr>
        <w:pStyle w:val="3"/>
        <w:ind w:firstLine="480"/>
        <w:jc w:val="center"/>
        <w:rPr>
          <w:kern w:val="0"/>
        </w:rPr>
      </w:pPr>
      <w:r>
        <w:drawing>
          <wp:inline distT="0" distB="0" distL="0" distR="0">
            <wp:extent cx="2619375" cy="838200"/>
            <wp:effectExtent l="0" t="0" r="9525" b="0"/>
            <wp:docPr id="212" name="图片 212"/>
            <wp:cNvGraphicFramePr/>
            <a:graphic xmlns:a="http://schemas.openxmlformats.org/drawingml/2006/main">
              <a:graphicData uri="http://schemas.openxmlformats.org/drawingml/2006/picture">
                <pic:pic xmlns:pic="http://schemas.openxmlformats.org/drawingml/2006/picture">
                  <pic:nvPicPr>
                    <pic:cNvPr id="212" name="图片 212"/>
                    <pic:cNvPicPr/>
                  </pic:nvPicPr>
                  <pic:blipFill>
                    <a:blip r:embed="rId40"/>
                    <a:srcRect t="20699"/>
                    <a:stretch>
                      <a:fillRect/>
                    </a:stretch>
                  </pic:blipFill>
                  <pic:spPr>
                    <a:xfrm>
                      <a:off x="0" y="0"/>
                      <a:ext cx="2621367" cy="838837"/>
                    </a:xfrm>
                    <a:prstGeom prst="rect">
                      <a:avLst/>
                    </a:prstGeom>
                    <a:ln>
                      <a:noFill/>
                    </a:ln>
                  </pic:spPr>
                </pic:pic>
              </a:graphicData>
            </a:graphic>
          </wp:inline>
        </w:drawing>
      </w:r>
    </w:p>
    <w:p>
      <w:pPr>
        <w:pStyle w:val="3"/>
        <w:ind w:firstLine="480"/>
      </w:pPr>
      <w:r>
        <w:rPr>
          <w:rFonts w:hint="eastAsia"/>
        </w:rPr>
        <w:t>式中：</w:t>
      </w:r>
    </w:p>
    <w:p>
      <w:pPr>
        <w:pStyle w:val="3"/>
        <w:ind w:firstLine="1080" w:firstLineChars="450"/>
      </w:pPr>
      <w:r>
        <w:rPr>
          <w:i/>
        </w:rPr>
        <w:t>X</w:t>
      </w:r>
      <w:r>
        <w:rPr>
          <w:rFonts w:hint="eastAsia"/>
        </w:rPr>
        <w:t>—距注入点的距离，</w:t>
      </w:r>
      <w:r>
        <w:t>m</w:t>
      </w:r>
      <w:r>
        <w:rPr>
          <w:rFonts w:hint="eastAsia"/>
        </w:rPr>
        <w:t>；</w:t>
      </w:r>
    </w:p>
    <w:p>
      <w:pPr>
        <w:pStyle w:val="3"/>
        <w:ind w:firstLine="1080" w:firstLineChars="450"/>
      </w:pPr>
      <w:r>
        <w:rPr>
          <w:i/>
        </w:rPr>
        <w:t>t</w:t>
      </w:r>
      <w:r>
        <w:rPr>
          <w:rFonts w:hint="eastAsia"/>
        </w:rPr>
        <w:t>—时间，</w:t>
      </w:r>
      <w:r>
        <w:t>d</w:t>
      </w:r>
      <w:r>
        <w:rPr>
          <w:rFonts w:hint="eastAsia"/>
        </w:rPr>
        <w:t>；</w:t>
      </w:r>
    </w:p>
    <w:p>
      <w:pPr>
        <w:pStyle w:val="3"/>
        <w:ind w:firstLine="1080" w:firstLineChars="450"/>
      </w:pPr>
      <w:r>
        <w:rPr>
          <w:i/>
        </w:rPr>
        <w:t>C</w:t>
      </w:r>
      <w:r>
        <w:rPr>
          <w:rFonts w:hint="eastAsia"/>
        </w:rPr>
        <w:t>（</w:t>
      </w:r>
      <w:r>
        <w:t>x,t</w:t>
      </w:r>
      <w:r>
        <w:rPr>
          <w:rFonts w:hint="eastAsia"/>
        </w:rPr>
        <w:t>）—</w:t>
      </w:r>
      <w:r>
        <w:t xml:space="preserve">t </w:t>
      </w:r>
      <w:r>
        <w:rPr>
          <w:rFonts w:hint="eastAsia"/>
        </w:rPr>
        <w:t>时刻点</w:t>
      </w:r>
      <w:r>
        <w:t xml:space="preserve">x </w:t>
      </w:r>
      <w:r>
        <w:rPr>
          <w:rFonts w:hint="eastAsia"/>
        </w:rPr>
        <w:t>处的示踪剂浓度，</w:t>
      </w:r>
      <w:r>
        <w:t>g/L</w:t>
      </w:r>
      <w:r>
        <w:rPr>
          <w:rFonts w:hint="eastAsia"/>
        </w:rPr>
        <w:t>；</w:t>
      </w:r>
    </w:p>
    <w:p>
      <w:pPr>
        <w:pStyle w:val="3"/>
        <w:ind w:firstLine="1080" w:firstLineChars="450"/>
      </w:pPr>
      <w:r>
        <w:rPr>
          <w:i/>
        </w:rPr>
        <w:t>m</w:t>
      </w:r>
      <w:r>
        <w:rPr>
          <w:rFonts w:hint="eastAsia"/>
        </w:rPr>
        <w:t>—注入的示踪剂质量，</w:t>
      </w:r>
      <w:r>
        <w:t>kg</w:t>
      </w:r>
      <w:r>
        <w:rPr>
          <w:rFonts w:hint="eastAsia"/>
        </w:rPr>
        <w:t>；</w:t>
      </w:r>
    </w:p>
    <w:p>
      <w:pPr>
        <w:pStyle w:val="3"/>
        <w:ind w:firstLine="1080" w:firstLineChars="450"/>
      </w:pPr>
      <w:r>
        <w:rPr>
          <w:i/>
        </w:rPr>
        <w:t>W—</w:t>
      </w:r>
      <w:r>
        <w:rPr>
          <w:rFonts w:hint="eastAsia"/>
        </w:rPr>
        <w:t>横截面面积，</w:t>
      </w:r>
      <w:r>
        <w:t>m</w:t>
      </w:r>
      <w:r>
        <w:rPr>
          <w:vertAlign w:val="superscript"/>
        </w:rPr>
        <w:t>2</w:t>
      </w:r>
      <w:r>
        <w:rPr>
          <w:rFonts w:hint="eastAsia"/>
        </w:rPr>
        <w:t>；</w:t>
      </w:r>
    </w:p>
    <w:p>
      <w:pPr>
        <w:pStyle w:val="3"/>
        <w:ind w:firstLine="1080" w:firstLineChars="450"/>
      </w:pPr>
      <w:r>
        <w:rPr>
          <w:i/>
        </w:rPr>
        <w:t>u</w:t>
      </w:r>
      <w:r>
        <w:rPr>
          <w:rFonts w:hint="eastAsia"/>
        </w:rPr>
        <w:t>—水流速度，</w:t>
      </w:r>
      <w:r>
        <w:t>m/d</w:t>
      </w:r>
      <w:r>
        <w:rPr>
          <w:rFonts w:hint="eastAsia"/>
        </w:rPr>
        <w:t>；</w:t>
      </w:r>
    </w:p>
    <w:p>
      <w:pPr>
        <w:pStyle w:val="3"/>
        <w:ind w:firstLine="1080" w:firstLineChars="450"/>
      </w:pPr>
      <w:r>
        <w:rPr>
          <w:i/>
        </w:rPr>
        <w:t>n</w:t>
      </w:r>
      <w:r>
        <w:rPr>
          <w:i/>
          <w:vertAlign w:val="subscript"/>
        </w:rPr>
        <w:t>e</w:t>
      </w:r>
      <w:r>
        <w:rPr>
          <w:rFonts w:hint="eastAsia"/>
          <w:i/>
        </w:rPr>
        <w:t>—</w:t>
      </w:r>
      <w:r>
        <w:rPr>
          <w:rFonts w:hint="eastAsia"/>
        </w:rPr>
        <w:t>有效孔隙度，无量纲</w:t>
      </w:r>
    </w:p>
    <w:p>
      <w:pPr>
        <w:pStyle w:val="3"/>
        <w:ind w:firstLine="1080" w:firstLineChars="450"/>
      </w:pPr>
      <w:r>
        <w:rPr>
          <w:i/>
        </w:rPr>
        <w:t>D</w:t>
      </w:r>
      <w:r>
        <w:rPr>
          <w:i/>
          <w:vertAlign w:val="subscript"/>
        </w:rPr>
        <w:t>L</w:t>
      </w:r>
      <w:r>
        <w:rPr>
          <w:rFonts w:hint="eastAsia"/>
        </w:rPr>
        <w:t>—纵向弥散系数，</w:t>
      </w:r>
      <w:r>
        <w:t>m</w:t>
      </w:r>
      <w:r>
        <w:rPr>
          <w:vertAlign w:val="superscript"/>
        </w:rPr>
        <w:t>2</w:t>
      </w:r>
      <w:r>
        <w:t>/d</w:t>
      </w:r>
      <w:r>
        <w:rPr>
          <w:rFonts w:hint="eastAsia"/>
        </w:rPr>
        <w:t>；</w:t>
      </w:r>
    </w:p>
    <w:p>
      <w:pPr>
        <w:pStyle w:val="3"/>
        <w:ind w:firstLine="1080" w:firstLineChars="450"/>
      </w:pPr>
      <w:r>
        <w:rPr>
          <w:rFonts w:hint="eastAsia"/>
        </w:rPr>
        <w:t>π—圆周率。</w:t>
      </w:r>
    </w:p>
    <w:p>
      <w:pPr>
        <w:pStyle w:val="3"/>
        <w:spacing w:line="240" w:lineRule="auto"/>
        <w:ind w:firstLine="482"/>
        <w:jc w:val="center"/>
        <w:rPr>
          <w:kern w:val="0"/>
        </w:rPr>
      </w:pPr>
      <w:r>
        <w:rPr>
          <w:rFonts w:hint="eastAsia" w:cs="Times New Roman" w:eastAsiaTheme="minorEastAsia"/>
          <w:b/>
        </w:rPr>
        <w:t>表6.2-17</w:t>
      </w:r>
      <w:r>
        <w:rPr>
          <w:rFonts w:cs="Times New Roman" w:eastAsiaTheme="minorEastAsia"/>
          <w:b/>
        </w:rPr>
        <w:t xml:space="preserve">  </w:t>
      </w:r>
      <w:r>
        <w:rPr>
          <w:rFonts w:hint="eastAsia" w:cs="Times New Roman" w:eastAsiaTheme="minorEastAsia"/>
          <w:b/>
        </w:rPr>
        <w:t xml:space="preserve"> 预测参数一览表</w:t>
      </w:r>
    </w:p>
    <w:tbl>
      <w:tblPr>
        <w:tblStyle w:val="30"/>
        <w:tblW w:w="5000" w:type="pct"/>
        <w:tblInd w:w="0" w:type="dxa"/>
        <w:tblLayout w:type="autofit"/>
        <w:tblCellMar>
          <w:top w:w="0" w:type="dxa"/>
          <w:left w:w="108" w:type="dxa"/>
          <w:bottom w:w="0" w:type="dxa"/>
          <w:right w:w="108" w:type="dxa"/>
        </w:tblCellMar>
      </w:tblPr>
      <w:tblGrid>
        <w:gridCol w:w="1119"/>
        <w:gridCol w:w="1787"/>
        <w:gridCol w:w="1343"/>
        <w:gridCol w:w="1119"/>
        <w:gridCol w:w="1343"/>
        <w:gridCol w:w="1565"/>
        <w:gridCol w:w="897"/>
      </w:tblGrid>
      <w:tr>
        <w:tblPrEx>
          <w:tblCellMar>
            <w:top w:w="0" w:type="dxa"/>
            <w:left w:w="108" w:type="dxa"/>
            <w:bottom w:w="0" w:type="dxa"/>
            <w:right w:w="108" w:type="dxa"/>
          </w:tblCellMar>
        </w:tblPrEx>
        <w:trPr>
          <w:trHeight w:val="397" w:hRule="atLeast"/>
        </w:trPr>
        <w:tc>
          <w:tcPr>
            <w:tcW w:w="6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参数</w:t>
            </w:r>
          </w:p>
        </w:tc>
        <w:tc>
          <w:tcPr>
            <w:tcW w:w="974" w:type="pct"/>
            <w:tcBorders>
              <w:top w:val="single" w:color="auto" w:sz="4" w:space="0"/>
              <w:left w:val="single" w:color="auto" w:sz="4" w:space="0"/>
              <w:bottom w:val="single" w:color="auto" w:sz="4" w:space="0"/>
              <w:right w:val="single" w:color="auto" w:sz="4" w:space="0"/>
            </w:tcBorders>
            <w:vAlign w:val="center"/>
          </w:tcPr>
          <w:p>
            <w:pPr>
              <w:pStyle w:val="49"/>
            </w:pPr>
            <w:r>
              <w:t>m</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W</w:t>
            </w:r>
          </w:p>
        </w:tc>
        <w:tc>
          <w:tcPr>
            <w:tcW w:w="610" w:type="pct"/>
            <w:tcBorders>
              <w:top w:val="single" w:color="auto" w:sz="4" w:space="0"/>
              <w:left w:val="single" w:color="auto" w:sz="4" w:space="0"/>
              <w:bottom w:val="single" w:color="auto" w:sz="4" w:space="0"/>
              <w:right w:val="single" w:color="auto" w:sz="4" w:space="0"/>
            </w:tcBorders>
            <w:vAlign w:val="center"/>
          </w:tcPr>
          <w:p>
            <w:pPr>
              <w:pStyle w:val="49"/>
            </w:pPr>
            <w:r>
              <w:t>u</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n</w:t>
            </w:r>
            <w:r>
              <w:rPr>
                <w:vertAlign w:val="subscript"/>
              </w:rPr>
              <w:t>e</w:t>
            </w:r>
          </w:p>
        </w:tc>
        <w:tc>
          <w:tcPr>
            <w:tcW w:w="853" w:type="pct"/>
            <w:tcBorders>
              <w:top w:val="single" w:color="auto" w:sz="4" w:space="0"/>
              <w:left w:val="single" w:color="auto" w:sz="4" w:space="0"/>
              <w:bottom w:val="single" w:color="auto" w:sz="4" w:space="0"/>
              <w:right w:val="single" w:color="auto" w:sz="4" w:space="0"/>
            </w:tcBorders>
            <w:vAlign w:val="center"/>
          </w:tcPr>
          <w:p>
            <w:pPr>
              <w:pStyle w:val="49"/>
            </w:pPr>
            <w:r>
              <w:t>D</w:t>
            </w:r>
            <w:r>
              <w:rPr>
                <w:vertAlign w:val="subscript"/>
              </w:rPr>
              <w:t>L</w:t>
            </w:r>
          </w:p>
        </w:tc>
        <w:tc>
          <w:tcPr>
            <w:tcW w:w="48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π</w:t>
            </w:r>
          </w:p>
        </w:tc>
      </w:tr>
      <w:tr>
        <w:tblPrEx>
          <w:tblCellMar>
            <w:top w:w="0" w:type="dxa"/>
            <w:left w:w="108" w:type="dxa"/>
            <w:bottom w:w="0" w:type="dxa"/>
            <w:right w:w="108" w:type="dxa"/>
          </w:tblCellMar>
        </w:tblPrEx>
        <w:trPr>
          <w:trHeight w:val="397" w:hRule="atLeast"/>
        </w:trPr>
        <w:tc>
          <w:tcPr>
            <w:tcW w:w="6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代表意义</w:t>
            </w:r>
          </w:p>
        </w:tc>
        <w:tc>
          <w:tcPr>
            <w:tcW w:w="97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注入示踪剂质量</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横截面面积</w:t>
            </w:r>
          </w:p>
        </w:tc>
        <w:tc>
          <w:tcPr>
            <w:tcW w:w="6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水流速度</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有效孔隙度</w:t>
            </w:r>
          </w:p>
        </w:tc>
        <w:tc>
          <w:tcPr>
            <w:tcW w:w="853"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纵向弥散系数</w:t>
            </w:r>
          </w:p>
        </w:tc>
        <w:tc>
          <w:tcPr>
            <w:tcW w:w="48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圆周率</w:t>
            </w:r>
          </w:p>
        </w:tc>
      </w:tr>
      <w:tr>
        <w:tblPrEx>
          <w:tblCellMar>
            <w:top w:w="0" w:type="dxa"/>
            <w:left w:w="108" w:type="dxa"/>
            <w:bottom w:w="0" w:type="dxa"/>
            <w:right w:w="108" w:type="dxa"/>
          </w:tblCellMar>
        </w:tblPrEx>
        <w:trPr>
          <w:trHeight w:val="397" w:hRule="atLeast"/>
        </w:trPr>
        <w:tc>
          <w:tcPr>
            <w:tcW w:w="610"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单位</w:t>
            </w:r>
          </w:p>
        </w:tc>
        <w:tc>
          <w:tcPr>
            <w:tcW w:w="974" w:type="pct"/>
            <w:tcBorders>
              <w:top w:val="single" w:color="auto" w:sz="4" w:space="0"/>
              <w:left w:val="single" w:color="auto" w:sz="4" w:space="0"/>
              <w:bottom w:val="single" w:color="auto" w:sz="4" w:space="0"/>
              <w:right w:val="single" w:color="auto" w:sz="4" w:space="0"/>
            </w:tcBorders>
            <w:vAlign w:val="center"/>
          </w:tcPr>
          <w:p>
            <w:pPr>
              <w:pStyle w:val="49"/>
            </w:pPr>
            <w:r>
              <w:t>kg</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m</w:t>
            </w:r>
            <w:r>
              <w:rPr>
                <w:vertAlign w:val="superscript"/>
              </w:rPr>
              <w:t>2</w:t>
            </w:r>
          </w:p>
        </w:tc>
        <w:tc>
          <w:tcPr>
            <w:tcW w:w="610" w:type="pct"/>
            <w:tcBorders>
              <w:top w:val="single" w:color="auto" w:sz="4" w:space="0"/>
              <w:left w:val="single" w:color="auto" w:sz="4" w:space="0"/>
              <w:bottom w:val="single" w:color="auto" w:sz="4" w:space="0"/>
              <w:right w:val="single" w:color="auto" w:sz="4" w:space="0"/>
            </w:tcBorders>
            <w:vAlign w:val="center"/>
          </w:tcPr>
          <w:p>
            <w:pPr>
              <w:pStyle w:val="49"/>
            </w:pPr>
            <w:r>
              <w:t>m/d</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无量纲</w:t>
            </w:r>
          </w:p>
        </w:tc>
        <w:tc>
          <w:tcPr>
            <w:tcW w:w="853" w:type="pct"/>
            <w:tcBorders>
              <w:top w:val="single" w:color="auto" w:sz="4" w:space="0"/>
              <w:left w:val="single" w:color="auto" w:sz="4" w:space="0"/>
              <w:bottom w:val="single" w:color="auto" w:sz="4" w:space="0"/>
              <w:right w:val="single" w:color="auto" w:sz="4" w:space="0"/>
            </w:tcBorders>
            <w:vAlign w:val="center"/>
          </w:tcPr>
          <w:p>
            <w:pPr>
              <w:pStyle w:val="49"/>
            </w:pPr>
            <w:r>
              <w:t>m</w:t>
            </w:r>
            <w:r>
              <w:rPr>
                <w:vertAlign w:val="superscript"/>
              </w:rPr>
              <w:t>2</w:t>
            </w:r>
            <w:r>
              <w:t>/d</w:t>
            </w:r>
          </w:p>
        </w:tc>
        <w:tc>
          <w:tcPr>
            <w:tcW w:w="489" w:type="pct"/>
            <w:tcBorders>
              <w:top w:val="single" w:color="auto" w:sz="4" w:space="0"/>
              <w:left w:val="single" w:color="auto" w:sz="4" w:space="0"/>
              <w:bottom w:val="single" w:color="auto" w:sz="4" w:space="0"/>
              <w:right w:val="single" w:color="auto" w:sz="4" w:space="0"/>
            </w:tcBorders>
            <w:vAlign w:val="center"/>
          </w:tcPr>
          <w:p>
            <w:pPr>
              <w:pStyle w:val="49"/>
            </w:pPr>
            <w:r>
              <w:t>/</w:t>
            </w:r>
          </w:p>
        </w:tc>
      </w:tr>
      <w:tr>
        <w:tblPrEx>
          <w:tblCellMar>
            <w:top w:w="0" w:type="dxa"/>
            <w:left w:w="108" w:type="dxa"/>
            <w:bottom w:w="0" w:type="dxa"/>
            <w:right w:w="108" w:type="dxa"/>
          </w:tblCellMar>
        </w:tblPrEx>
        <w:trPr>
          <w:trHeight w:val="397" w:hRule="atLeast"/>
        </w:trPr>
        <w:tc>
          <w:tcPr>
            <w:tcW w:w="610" w:type="pct"/>
            <w:vMerge w:val="restart"/>
            <w:tcBorders>
              <w:top w:val="single" w:color="auto" w:sz="4" w:space="0"/>
              <w:left w:val="single" w:color="auto" w:sz="4" w:space="0"/>
              <w:right w:val="single" w:color="auto" w:sz="4" w:space="0"/>
            </w:tcBorders>
            <w:vAlign w:val="center"/>
          </w:tcPr>
          <w:p>
            <w:pPr>
              <w:pStyle w:val="49"/>
            </w:pPr>
            <w:r>
              <w:rPr>
                <w:rFonts w:hint="eastAsia"/>
              </w:rPr>
              <w:t>取值</w:t>
            </w:r>
          </w:p>
        </w:tc>
        <w:tc>
          <w:tcPr>
            <w:tcW w:w="97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COD：0.57</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0.3</w:t>
            </w:r>
          </w:p>
        </w:tc>
        <w:tc>
          <w:tcPr>
            <w:tcW w:w="610" w:type="pct"/>
            <w:tcBorders>
              <w:top w:val="single" w:color="auto" w:sz="4" w:space="0"/>
              <w:left w:val="single" w:color="auto" w:sz="4" w:space="0"/>
              <w:bottom w:val="single" w:color="auto" w:sz="4" w:space="0"/>
              <w:right w:val="single" w:color="auto" w:sz="4" w:space="0"/>
            </w:tcBorders>
            <w:vAlign w:val="center"/>
          </w:tcPr>
          <w:p>
            <w:pPr>
              <w:pStyle w:val="49"/>
            </w:pPr>
            <w:r>
              <w:t>0.5</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0.2</w:t>
            </w:r>
          </w:p>
        </w:tc>
        <w:tc>
          <w:tcPr>
            <w:tcW w:w="853" w:type="pct"/>
            <w:tcBorders>
              <w:top w:val="single" w:color="auto" w:sz="4" w:space="0"/>
              <w:left w:val="single" w:color="auto" w:sz="4" w:space="0"/>
              <w:bottom w:val="single" w:color="auto" w:sz="4" w:space="0"/>
              <w:right w:val="single" w:color="auto" w:sz="4" w:space="0"/>
            </w:tcBorders>
            <w:vAlign w:val="center"/>
          </w:tcPr>
          <w:p>
            <w:pPr>
              <w:pStyle w:val="49"/>
            </w:pPr>
            <w:r>
              <w:t>0.15</w:t>
            </w:r>
          </w:p>
        </w:tc>
        <w:tc>
          <w:tcPr>
            <w:tcW w:w="489" w:type="pct"/>
            <w:tcBorders>
              <w:top w:val="single" w:color="auto" w:sz="4" w:space="0"/>
              <w:left w:val="single" w:color="auto" w:sz="4" w:space="0"/>
              <w:bottom w:val="single" w:color="auto" w:sz="4" w:space="0"/>
              <w:right w:val="single" w:color="auto" w:sz="4" w:space="0"/>
            </w:tcBorders>
            <w:vAlign w:val="center"/>
          </w:tcPr>
          <w:p>
            <w:pPr>
              <w:pStyle w:val="49"/>
            </w:pPr>
            <w:r>
              <w:t>3.14</w:t>
            </w:r>
          </w:p>
        </w:tc>
      </w:tr>
      <w:tr>
        <w:tblPrEx>
          <w:tblCellMar>
            <w:top w:w="0" w:type="dxa"/>
            <w:left w:w="108" w:type="dxa"/>
            <w:bottom w:w="0" w:type="dxa"/>
            <w:right w:w="108" w:type="dxa"/>
          </w:tblCellMar>
        </w:tblPrEx>
        <w:trPr>
          <w:trHeight w:val="397" w:hRule="atLeast"/>
        </w:trPr>
        <w:tc>
          <w:tcPr>
            <w:tcW w:w="610" w:type="pct"/>
            <w:vMerge w:val="continue"/>
            <w:tcBorders>
              <w:left w:val="single" w:color="auto" w:sz="4" w:space="0"/>
              <w:bottom w:val="single" w:color="auto" w:sz="4" w:space="0"/>
              <w:right w:val="single" w:color="auto" w:sz="4" w:space="0"/>
            </w:tcBorders>
            <w:vAlign w:val="center"/>
          </w:tcPr>
          <w:p>
            <w:pPr>
              <w:pStyle w:val="49"/>
            </w:pPr>
          </w:p>
        </w:tc>
        <w:tc>
          <w:tcPr>
            <w:tcW w:w="974" w:type="pct"/>
            <w:tcBorders>
              <w:top w:val="single" w:color="auto" w:sz="4" w:space="0"/>
              <w:left w:val="single" w:color="auto" w:sz="4" w:space="0"/>
              <w:bottom w:val="single" w:color="auto" w:sz="4" w:space="0"/>
              <w:right w:val="single" w:color="auto" w:sz="4" w:space="0"/>
            </w:tcBorders>
            <w:vAlign w:val="center"/>
          </w:tcPr>
          <w:p>
            <w:pPr>
              <w:pStyle w:val="49"/>
            </w:pPr>
            <w:r>
              <w:t>NH</w:t>
            </w:r>
            <w:r>
              <w:rPr>
                <w:vertAlign w:val="subscript"/>
              </w:rPr>
              <w:t>3</w:t>
            </w:r>
            <w:r>
              <w:t>-N</w:t>
            </w:r>
            <w:r>
              <w:rPr>
                <w:rFonts w:hint="eastAsia"/>
              </w:rPr>
              <w:t>：0.043</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0.3</w:t>
            </w:r>
          </w:p>
        </w:tc>
        <w:tc>
          <w:tcPr>
            <w:tcW w:w="610" w:type="pct"/>
            <w:tcBorders>
              <w:top w:val="single" w:color="auto" w:sz="4" w:space="0"/>
              <w:left w:val="single" w:color="auto" w:sz="4" w:space="0"/>
              <w:bottom w:val="single" w:color="auto" w:sz="4" w:space="0"/>
              <w:right w:val="single" w:color="auto" w:sz="4" w:space="0"/>
            </w:tcBorders>
            <w:vAlign w:val="center"/>
          </w:tcPr>
          <w:p>
            <w:pPr>
              <w:pStyle w:val="49"/>
            </w:pPr>
            <w:r>
              <w:t>0.5</w:t>
            </w:r>
          </w:p>
        </w:tc>
        <w:tc>
          <w:tcPr>
            <w:tcW w:w="732" w:type="pct"/>
            <w:tcBorders>
              <w:top w:val="single" w:color="auto" w:sz="4" w:space="0"/>
              <w:left w:val="single" w:color="auto" w:sz="4" w:space="0"/>
              <w:bottom w:val="single" w:color="auto" w:sz="4" w:space="0"/>
              <w:right w:val="single" w:color="auto" w:sz="4" w:space="0"/>
            </w:tcBorders>
            <w:vAlign w:val="center"/>
          </w:tcPr>
          <w:p>
            <w:pPr>
              <w:pStyle w:val="49"/>
            </w:pPr>
            <w:r>
              <w:t>0.2</w:t>
            </w:r>
          </w:p>
        </w:tc>
        <w:tc>
          <w:tcPr>
            <w:tcW w:w="853" w:type="pct"/>
            <w:tcBorders>
              <w:top w:val="single" w:color="auto" w:sz="4" w:space="0"/>
              <w:left w:val="single" w:color="auto" w:sz="4" w:space="0"/>
              <w:bottom w:val="single" w:color="auto" w:sz="4" w:space="0"/>
              <w:right w:val="single" w:color="auto" w:sz="4" w:space="0"/>
            </w:tcBorders>
            <w:vAlign w:val="center"/>
          </w:tcPr>
          <w:p>
            <w:pPr>
              <w:pStyle w:val="49"/>
            </w:pPr>
            <w:r>
              <w:t>0.15</w:t>
            </w:r>
          </w:p>
        </w:tc>
        <w:tc>
          <w:tcPr>
            <w:tcW w:w="489" w:type="pct"/>
            <w:tcBorders>
              <w:top w:val="single" w:color="auto" w:sz="4" w:space="0"/>
              <w:left w:val="single" w:color="auto" w:sz="4" w:space="0"/>
              <w:bottom w:val="single" w:color="auto" w:sz="4" w:space="0"/>
              <w:right w:val="single" w:color="auto" w:sz="4" w:space="0"/>
            </w:tcBorders>
            <w:vAlign w:val="center"/>
          </w:tcPr>
          <w:p>
            <w:pPr>
              <w:pStyle w:val="49"/>
            </w:pPr>
            <w:r>
              <w:t>3.14</w:t>
            </w:r>
          </w:p>
        </w:tc>
      </w:tr>
    </w:tbl>
    <w:p>
      <w:pPr>
        <w:pStyle w:val="3"/>
        <w:ind w:firstLine="480"/>
        <w:rPr>
          <w:kern w:val="0"/>
        </w:rPr>
        <w:sectPr>
          <w:pgSz w:w="11906" w:h="16838"/>
          <w:pgMar w:top="1474" w:right="1361" w:bottom="1474" w:left="1588" w:header="851" w:footer="992" w:gutter="0"/>
          <w:cols w:space="425" w:num="1"/>
          <w:docGrid w:type="lines" w:linePitch="312" w:charSpace="0"/>
        </w:sectPr>
      </w:pPr>
      <w:r>
        <w:rPr>
          <w:rFonts w:hint="eastAsia"/>
          <w:kern w:val="0"/>
        </w:rPr>
        <w:t>8、预测结果</w:t>
      </w:r>
    </w:p>
    <w:p>
      <w:pPr>
        <w:pStyle w:val="3"/>
        <w:spacing w:line="240" w:lineRule="auto"/>
        <w:ind w:firstLine="482"/>
        <w:jc w:val="center"/>
        <w:rPr>
          <w:kern w:val="0"/>
        </w:rPr>
      </w:pPr>
      <w:r>
        <w:rPr>
          <w:rFonts w:hint="eastAsia" w:cs="Times New Roman" w:eastAsiaTheme="minorEastAsia"/>
          <w:b/>
        </w:rPr>
        <w:t xml:space="preserve">表6.2-17 </w:t>
      </w:r>
      <w:r>
        <w:rPr>
          <w:rFonts w:cs="Times New Roman" w:eastAsiaTheme="minorEastAsia"/>
          <w:b/>
        </w:rPr>
        <w:t xml:space="preserve"> </w:t>
      </w:r>
      <w:r>
        <w:rPr>
          <w:rFonts w:hint="eastAsia" w:cs="Times New Roman" w:eastAsiaTheme="minorEastAsia"/>
          <w:b/>
        </w:rPr>
        <w:t>瞬时排放废水污染物COD预测结果  单位：mg/L</w:t>
      </w:r>
    </w:p>
    <w:tbl>
      <w:tblPr>
        <w:tblStyle w:val="30"/>
        <w:tblW w:w="5000" w:type="pct"/>
        <w:tblInd w:w="0" w:type="dxa"/>
        <w:tblLayout w:type="autofit"/>
        <w:tblCellMar>
          <w:top w:w="0" w:type="dxa"/>
          <w:left w:w="108" w:type="dxa"/>
          <w:bottom w:w="0" w:type="dxa"/>
          <w:right w:w="108" w:type="dxa"/>
        </w:tblCellMar>
      </w:tblPr>
      <w:tblGrid>
        <w:gridCol w:w="752"/>
        <w:gridCol w:w="1354"/>
        <w:gridCol w:w="1204"/>
        <w:gridCol w:w="1275"/>
        <w:gridCol w:w="1147"/>
        <w:gridCol w:w="1147"/>
        <w:gridCol w:w="1147"/>
        <w:gridCol w:w="1147"/>
      </w:tblGrid>
      <w:tr>
        <w:tblPrEx>
          <w:tblCellMar>
            <w:top w:w="0" w:type="dxa"/>
            <w:left w:w="108" w:type="dxa"/>
            <w:bottom w:w="0" w:type="dxa"/>
            <w:right w:w="108" w:type="dxa"/>
          </w:tblCellMar>
        </w:tblPrEx>
        <w:trPr>
          <w:trHeight w:val="397" w:hRule="atLeast"/>
          <w:tblHeader/>
        </w:trPr>
        <w:tc>
          <w:tcPr>
            <w:tcW w:w="410" w:type="pct"/>
            <w:tcBorders>
              <w:top w:val="single" w:color="auto" w:sz="4" w:space="0"/>
              <w:left w:val="single" w:color="auto" w:sz="4" w:space="0"/>
              <w:bottom w:val="single" w:color="auto" w:sz="4" w:space="0"/>
              <w:right w:val="single" w:color="auto" w:sz="4" w:space="0"/>
            </w:tcBorders>
            <w:noWrap/>
            <w:vAlign w:val="center"/>
          </w:tcPr>
          <w:p>
            <w:pPr>
              <w:pStyle w:val="49"/>
            </w:pPr>
            <w:r>
              <w:t>x</w:t>
            </w:r>
          </w:p>
        </w:tc>
        <w:tc>
          <w:tcPr>
            <w:tcW w:w="738" w:type="pct"/>
            <w:tcBorders>
              <w:top w:val="single" w:color="auto" w:sz="4" w:space="0"/>
              <w:left w:val="nil"/>
              <w:bottom w:val="single" w:color="auto" w:sz="4" w:space="0"/>
              <w:right w:val="single" w:color="auto" w:sz="4" w:space="0"/>
            </w:tcBorders>
            <w:noWrap/>
            <w:vAlign w:val="center"/>
          </w:tcPr>
          <w:p>
            <w:pPr>
              <w:pStyle w:val="49"/>
            </w:pPr>
            <w:r>
              <w:t>5d</w:t>
            </w:r>
          </w:p>
        </w:tc>
        <w:tc>
          <w:tcPr>
            <w:tcW w:w="656" w:type="pct"/>
            <w:tcBorders>
              <w:top w:val="single" w:color="auto" w:sz="4" w:space="0"/>
              <w:left w:val="nil"/>
              <w:bottom w:val="single" w:color="auto" w:sz="4" w:space="0"/>
              <w:right w:val="single" w:color="auto" w:sz="4" w:space="0"/>
            </w:tcBorders>
            <w:noWrap/>
            <w:vAlign w:val="center"/>
          </w:tcPr>
          <w:p>
            <w:pPr>
              <w:pStyle w:val="49"/>
            </w:pPr>
            <w:r>
              <w:t>10d</w:t>
            </w:r>
          </w:p>
        </w:tc>
        <w:tc>
          <w:tcPr>
            <w:tcW w:w="695" w:type="pct"/>
            <w:tcBorders>
              <w:top w:val="single" w:color="auto" w:sz="4" w:space="0"/>
              <w:left w:val="nil"/>
              <w:bottom w:val="single" w:color="auto" w:sz="4" w:space="0"/>
              <w:right w:val="single" w:color="auto" w:sz="4" w:space="0"/>
            </w:tcBorders>
            <w:noWrap/>
            <w:vAlign w:val="center"/>
          </w:tcPr>
          <w:p>
            <w:pPr>
              <w:pStyle w:val="49"/>
            </w:pPr>
            <w:r>
              <w:t>20d</w:t>
            </w:r>
          </w:p>
        </w:tc>
        <w:tc>
          <w:tcPr>
            <w:tcW w:w="625" w:type="pct"/>
            <w:tcBorders>
              <w:top w:val="single" w:color="auto" w:sz="4" w:space="0"/>
              <w:left w:val="nil"/>
              <w:bottom w:val="single" w:color="auto" w:sz="4" w:space="0"/>
              <w:right w:val="single" w:color="auto" w:sz="4" w:space="0"/>
            </w:tcBorders>
            <w:noWrap/>
            <w:vAlign w:val="center"/>
          </w:tcPr>
          <w:p>
            <w:pPr>
              <w:pStyle w:val="49"/>
            </w:pPr>
            <w:r>
              <w:t>50d</w:t>
            </w:r>
          </w:p>
        </w:tc>
        <w:tc>
          <w:tcPr>
            <w:tcW w:w="625" w:type="pct"/>
            <w:tcBorders>
              <w:top w:val="single" w:color="auto" w:sz="4" w:space="0"/>
              <w:left w:val="nil"/>
              <w:bottom w:val="single" w:color="auto" w:sz="4" w:space="0"/>
              <w:right w:val="single" w:color="auto" w:sz="4" w:space="0"/>
            </w:tcBorders>
            <w:noWrap/>
            <w:vAlign w:val="center"/>
          </w:tcPr>
          <w:p>
            <w:pPr>
              <w:pStyle w:val="49"/>
            </w:pPr>
            <w:r>
              <w:t>100d</w:t>
            </w:r>
          </w:p>
        </w:tc>
        <w:tc>
          <w:tcPr>
            <w:tcW w:w="625" w:type="pct"/>
            <w:tcBorders>
              <w:top w:val="single" w:color="auto" w:sz="4" w:space="0"/>
              <w:left w:val="nil"/>
              <w:bottom w:val="single" w:color="auto" w:sz="4" w:space="0"/>
              <w:right w:val="single" w:color="auto" w:sz="4" w:space="0"/>
            </w:tcBorders>
            <w:noWrap/>
            <w:vAlign w:val="center"/>
          </w:tcPr>
          <w:p>
            <w:pPr>
              <w:pStyle w:val="49"/>
            </w:pPr>
            <w:r>
              <w:t>150d</w:t>
            </w:r>
          </w:p>
        </w:tc>
        <w:tc>
          <w:tcPr>
            <w:tcW w:w="625" w:type="pct"/>
            <w:tcBorders>
              <w:top w:val="single" w:color="auto" w:sz="4" w:space="0"/>
              <w:left w:val="nil"/>
              <w:bottom w:val="single" w:color="auto" w:sz="4" w:space="0"/>
              <w:right w:val="single" w:color="auto" w:sz="4" w:space="0"/>
            </w:tcBorders>
            <w:noWrap/>
            <w:vAlign w:val="center"/>
          </w:tcPr>
          <w:p>
            <w:pPr>
              <w:pStyle w:val="49"/>
            </w:pPr>
            <w:r>
              <w:t>300d</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0m</w:t>
            </w:r>
          </w:p>
        </w:tc>
        <w:tc>
          <w:tcPr>
            <w:tcW w:w="738" w:type="pct"/>
            <w:tcBorders>
              <w:top w:val="nil"/>
              <w:left w:val="nil"/>
              <w:bottom w:val="single" w:color="auto" w:sz="4" w:space="0"/>
              <w:right w:val="single" w:color="auto" w:sz="4" w:space="0"/>
            </w:tcBorders>
            <w:noWrap/>
            <w:vAlign w:val="center"/>
          </w:tcPr>
          <w:p>
            <w:pPr>
              <w:pStyle w:val="49"/>
            </w:pPr>
            <w:r>
              <w:t>3.85E+02</w:t>
            </w:r>
          </w:p>
        </w:tc>
        <w:tc>
          <w:tcPr>
            <w:tcW w:w="656" w:type="pct"/>
            <w:tcBorders>
              <w:top w:val="nil"/>
              <w:left w:val="nil"/>
              <w:bottom w:val="single" w:color="auto" w:sz="4" w:space="0"/>
              <w:right w:val="single" w:color="auto" w:sz="4" w:space="0"/>
            </w:tcBorders>
            <w:noWrap/>
            <w:vAlign w:val="center"/>
          </w:tcPr>
          <w:p>
            <w:pPr>
              <w:pStyle w:val="49"/>
            </w:pPr>
            <w:r>
              <w:t>3.39E+01</w:t>
            </w:r>
          </w:p>
        </w:tc>
        <w:tc>
          <w:tcPr>
            <w:tcW w:w="695" w:type="pct"/>
            <w:tcBorders>
              <w:top w:val="nil"/>
              <w:left w:val="nil"/>
              <w:bottom w:val="single" w:color="auto" w:sz="4" w:space="0"/>
              <w:right w:val="single" w:color="auto" w:sz="4" w:space="0"/>
            </w:tcBorders>
            <w:noWrap/>
            <w:vAlign w:val="center"/>
          </w:tcPr>
          <w:p>
            <w:pPr>
              <w:pStyle w:val="49"/>
            </w:pPr>
            <w:r>
              <w:t>3.72E-01</w:t>
            </w:r>
          </w:p>
        </w:tc>
        <w:tc>
          <w:tcPr>
            <w:tcW w:w="625" w:type="pct"/>
            <w:tcBorders>
              <w:top w:val="nil"/>
              <w:left w:val="nil"/>
              <w:bottom w:val="single" w:color="auto" w:sz="4" w:space="0"/>
              <w:right w:val="single" w:color="auto" w:sz="4" w:space="0"/>
            </w:tcBorders>
            <w:noWrap/>
            <w:vAlign w:val="center"/>
          </w:tcPr>
          <w:p>
            <w:pPr>
              <w:pStyle w:val="49"/>
            </w:pPr>
            <w:r>
              <w:t>8.77E-07</w:t>
            </w:r>
          </w:p>
        </w:tc>
        <w:tc>
          <w:tcPr>
            <w:tcW w:w="625" w:type="pct"/>
            <w:tcBorders>
              <w:top w:val="nil"/>
              <w:left w:val="nil"/>
              <w:bottom w:val="single" w:color="auto" w:sz="4" w:space="0"/>
              <w:right w:val="single" w:color="auto" w:sz="4" w:space="0"/>
            </w:tcBorders>
            <w:noWrap/>
            <w:vAlign w:val="center"/>
          </w:tcPr>
          <w:p>
            <w:pPr>
              <w:pStyle w:val="49"/>
            </w:pPr>
            <w:r>
              <w:t>5.55E-16</w:t>
            </w:r>
          </w:p>
        </w:tc>
        <w:tc>
          <w:tcPr>
            <w:tcW w:w="625" w:type="pct"/>
            <w:tcBorders>
              <w:top w:val="nil"/>
              <w:left w:val="nil"/>
              <w:bottom w:val="single" w:color="auto" w:sz="4" w:space="0"/>
              <w:right w:val="single" w:color="auto" w:sz="4" w:space="0"/>
            </w:tcBorders>
            <w:noWrap/>
            <w:vAlign w:val="center"/>
          </w:tcPr>
          <w:p>
            <w:pPr>
              <w:pStyle w:val="49"/>
            </w:pPr>
            <w:r>
              <w:t>4.06E-25</w:t>
            </w:r>
          </w:p>
        </w:tc>
        <w:tc>
          <w:tcPr>
            <w:tcW w:w="625" w:type="pct"/>
            <w:tcBorders>
              <w:top w:val="nil"/>
              <w:left w:val="nil"/>
              <w:bottom w:val="single" w:color="auto" w:sz="4" w:space="0"/>
              <w:right w:val="single" w:color="auto" w:sz="4" w:space="0"/>
            </w:tcBorders>
            <w:noWrap/>
            <w:vAlign w:val="center"/>
          </w:tcPr>
          <w:p>
            <w:pPr>
              <w:pStyle w:val="49"/>
            </w:pPr>
            <w:r>
              <w:t>0.00E+00</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10m</w:t>
            </w:r>
          </w:p>
        </w:tc>
        <w:tc>
          <w:tcPr>
            <w:tcW w:w="738" w:type="pct"/>
            <w:tcBorders>
              <w:top w:val="nil"/>
              <w:left w:val="nil"/>
              <w:bottom w:val="single" w:color="auto" w:sz="4" w:space="0"/>
              <w:right w:val="single" w:color="auto" w:sz="4" w:space="0"/>
            </w:tcBorders>
            <w:noWrap/>
            <w:vAlign w:val="center"/>
          </w:tcPr>
          <w:p>
            <w:pPr>
              <w:pStyle w:val="49"/>
            </w:pPr>
            <w:r>
              <w:t>2.23E-05</w:t>
            </w:r>
          </w:p>
        </w:tc>
        <w:tc>
          <w:tcPr>
            <w:tcW w:w="656" w:type="pct"/>
            <w:tcBorders>
              <w:top w:val="nil"/>
              <w:left w:val="nil"/>
              <w:bottom w:val="single" w:color="auto" w:sz="4" w:space="0"/>
              <w:right w:val="single" w:color="auto" w:sz="4" w:space="0"/>
            </w:tcBorders>
            <w:noWrap/>
            <w:vAlign w:val="center"/>
          </w:tcPr>
          <w:p>
            <w:pPr>
              <w:pStyle w:val="49"/>
            </w:pPr>
            <w:r>
              <w:t>3.39E+01</w:t>
            </w:r>
          </w:p>
        </w:tc>
        <w:tc>
          <w:tcPr>
            <w:tcW w:w="695" w:type="pct"/>
            <w:tcBorders>
              <w:top w:val="nil"/>
              <w:left w:val="nil"/>
              <w:bottom w:val="single" w:color="auto" w:sz="4" w:space="0"/>
              <w:right w:val="single" w:color="auto" w:sz="4" w:space="0"/>
            </w:tcBorders>
            <w:noWrap/>
            <w:vAlign w:val="center"/>
          </w:tcPr>
          <w:p>
            <w:pPr>
              <w:pStyle w:val="49"/>
            </w:pPr>
            <w:r>
              <w:t>1.55E+03</w:t>
            </w:r>
          </w:p>
        </w:tc>
        <w:tc>
          <w:tcPr>
            <w:tcW w:w="625" w:type="pct"/>
            <w:tcBorders>
              <w:top w:val="nil"/>
              <w:left w:val="nil"/>
              <w:bottom w:val="single" w:color="auto" w:sz="4" w:space="0"/>
              <w:right w:val="single" w:color="auto" w:sz="4" w:space="0"/>
            </w:tcBorders>
            <w:noWrap/>
            <w:vAlign w:val="center"/>
          </w:tcPr>
          <w:p>
            <w:pPr>
              <w:pStyle w:val="49"/>
            </w:pPr>
            <w:r>
              <w:t>5.41E-01</w:t>
            </w:r>
          </w:p>
        </w:tc>
        <w:tc>
          <w:tcPr>
            <w:tcW w:w="625" w:type="pct"/>
            <w:tcBorders>
              <w:top w:val="nil"/>
              <w:left w:val="nil"/>
              <w:bottom w:val="single" w:color="auto" w:sz="4" w:space="0"/>
              <w:right w:val="single" w:color="auto" w:sz="4" w:space="0"/>
            </w:tcBorders>
            <w:noWrap/>
            <w:vAlign w:val="center"/>
          </w:tcPr>
          <w:p>
            <w:pPr>
              <w:pStyle w:val="49"/>
            </w:pPr>
            <w:r>
              <w:t>1.82E-09</w:t>
            </w:r>
          </w:p>
        </w:tc>
        <w:tc>
          <w:tcPr>
            <w:tcW w:w="625" w:type="pct"/>
            <w:tcBorders>
              <w:top w:val="nil"/>
              <w:left w:val="nil"/>
              <w:bottom w:val="single" w:color="auto" w:sz="4" w:space="0"/>
              <w:right w:val="single" w:color="auto" w:sz="4" w:space="0"/>
            </w:tcBorders>
            <w:noWrap/>
            <w:vAlign w:val="center"/>
          </w:tcPr>
          <w:p>
            <w:pPr>
              <w:pStyle w:val="49"/>
            </w:pPr>
            <w:r>
              <w:t>2.31E-18</w:t>
            </w:r>
          </w:p>
        </w:tc>
        <w:tc>
          <w:tcPr>
            <w:tcW w:w="625" w:type="pct"/>
            <w:tcBorders>
              <w:top w:val="nil"/>
              <w:left w:val="nil"/>
              <w:bottom w:val="single" w:color="auto" w:sz="4" w:space="0"/>
              <w:right w:val="single" w:color="auto" w:sz="4" w:space="0"/>
            </w:tcBorders>
            <w:noWrap/>
            <w:vAlign w:val="center"/>
          </w:tcPr>
          <w:p>
            <w:pPr>
              <w:pStyle w:val="49"/>
            </w:pPr>
            <w:r>
              <w:t>1.40E-45</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20m</w:t>
            </w:r>
          </w:p>
        </w:tc>
        <w:tc>
          <w:tcPr>
            <w:tcW w:w="738" w:type="pct"/>
            <w:tcBorders>
              <w:top w:val="nil"/>
              <w:left w:val="nil"/>
              <w:bottom w:val="single" w:color="auto" w:sz="4" w:space="0"/>
              <w:right w:val="single" w:color="auto" w:sz="4" w:space="0"/>
            </w:tcBorders>
            <w:noWrap/>
            <w:vAlign w:val="center"/>
          </w:tcPr>
          <w:p>
            <w:pPr>
              <w:pStyle w:val="49"/>
            </w:pPr>
            <w:r>
              <w:t>1.43E-41</w:t>
            </w:r>
          </w:p>
        </w:tc>
        <w:tc>
          <w:tcPr>
            <w:tcW w:w="656" w:type="pct"/>
            <w:tcBorders>
              <w:top w:val="nil"/>
              <w:left w:val="nil"/>
              <w:bottom w:val="single" w:color="auto" w:sz="4" w:space="0"/>
              <w:right w:val="single" w:color="auto" w:sz="4" w:space="0"/>
            </w:tcBorders>
            <w:noWrap/>
            <w:vAlign w:val="center"/>
          </w:tcPr>
          <w:p>
            <w:pPr>
              <w:pStyle w:val="49"/>
            </w:pPr>
            <w:r>
              <w:t>1.13E-13</w:t>
            </w:r>
          </w:p>
        </w:tc>
        <w:tc>
          <w:tcPr>
            <w:tcW w:w="695" w:type="pct"/>
            <w:tcBorders>
              <w:top w:val="nil"/>
              <w:left w:val="nil"/>
              <w:bottom w:val="single" w:color="auto" w:sz="4" w:space="0"/>
              <w:right w:val="single" w:color="auto" w:sz="4" w:space="0"/>
            </w:tcBorders>
            <w:noWrap/>
            <w:vAlign w:val="center"/>
          </w:tcPr>
          <w:p>
            <w:pPr>
              <w:pStyle w:val="49"/>
            </w:pPr>
            <w:r>
              <w:t>3.72E-01</w:t>
            </w:r>
          </w:p>
        </w:tc>
        <w:tc>
          <w:tcPr>
            <w:tcW w:w="625" w:type="pct"/>
            <w:tcBorders>
              <w:top w:val="nil"/>
              <w:left w:val="nil"/>
              <w:bottom w:val="single" w:color="auto" w:sz="4" w:space="0"/>
              <w:right w:val="single" w:color="auto" w:sz="4" w:space="0"/>
            </w:tcBorders>
            <w:noWrap/>
            <w:vAlign w:val="center"/>
          </w:tcPr>
          <w:p>
            <w:pPr>
              <w:pStyle w:val="49"/>
            </w:pPr>
            <w:r>
              <w:t>4.25E+02</w:t>
            </w:r>
          </w:p>
        </w:tc>
        <w:tc>
          <w:tcPr>
            <w:tcW w:w="625" w:type="pct"/>
            <w:tcBorders>
              <w:top w:val="nil"/>
              <w:left w:val="nil"/>
              <w:bottom w:val="single" w:color="auto" w:sz="4" w:space="0"/>
              <w:right w:val="single" w:color="auto" w:sz="4" w:space="0"/>
            </w:tcBorders>
            <w:noWrap/>
            <w:vAlign w:val="center"/>
          </w:tcPr>
          <w:p>
            <w:pPr>
              <w:pStyle w:val="49"/>
            </w:pPr>
            <w:r>
              <w:t>2.12E-04</w:t>
            </w:r>
          </w:p>
        </w:tc>
        <w:tc>
          <w:tcPr>
            <w:tcW w:w="625" w:type="pct"/>
            <w:tcBorders>
              <w:top w:val="nil"/>
              <w:left w:val="nil"/>
              <w:bottom w:val="single" w:color="auto" w:sz="4" w:space="0"/>
              <w:right w:val="single" w:color="auto" w:sz="4" w:space="0"/>
            </w:tcBorders>
            <w:noWrap/>
            <w:vAlign w:val="center"/>
          </w:tcPr>
          <w:p>
            <w:pPr>
              <w:pStyle w:val="49"/>
            </w:pPr>
            <w:r>
              <w:t>1.43E-12</w:t>
            </w:r>
          </w:p>
        </w:tc>
        <w:tc>
          <w:tcPr>
            <w:tcW w:w="625" w:type="pct"/>
            <w:tcBorders>
              <w:top w:val="nil"/>
              <w:left w:val="nil"/>
              <w:bottom w:val="single" w:color="auto" w:sz="4" w:space="0"/>
              <w:right w:val="single" w:color="auto" w:sz="4" w:space="0"/>
            </w:tcBorders>
            <w:noWrap/>
            <w:vAlign w:val="center"/>
          </w:tcPr>
          <w:p>
            <w:pPr>
              <w:pStyle w:val="49"/>
            </w:pPr>
            <w:r>
              <w:t>6.70E-39</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30m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1.26E-42</w:t>
            </w:r>
          </w:p>
        </w:tc>
        <w:tc>
          <w:tcPr>
            <w:tcW w:w="695" w:type="pct"/>
            <w:tcBorders>
              <w:top w:val="nil"/>
              <w:left w:val="nil"/>
              <w:bottom w:val="single" w:color="auto" w:sz="4" w:space="0"/>
              <w:right w:val="single" w:color="auto" w:sz="4" w:space="0"/>
            </w:tcBorders>
            <w:noWrap/>
            <w:vAlign w:val="center"/>
          </w:tcPr>
          <w:p>
            <w:pPr>
              <w:pStyle w:val="49"/>
            </w:pPr>
            <w:r>
              <w:t>5.17E-12</w:t>
            </w:r>
          </w:p>
        </w:tc>
        <w:tc>
          <w:tcPr>
            <w:tcW w:w="625" w:type="pct"/>
            <w:tcBorders>
              <w:top w:val="nil"/>
              <w:left w:val="nil"/>
              <w:bottom w:val="single" w:color="auto" w:sz="4" w:space="0"/>
              <w:right w:val="single" w:color="auto" w:sz="4" w:space="0"/>
            </w:tcBorders>
            <w:noWrap/>
            <w:vAlign w:val="center"/>
          </w:tcPr>
          <w:p>
            <w:pPr>
              <w:pStyle w:val="49"/>
            </w:pPr>
            <w:r>
              <w:t>4.25E+02</w:t>
            </w:r>
          </w:p>
        </w:tc>
        <w:tc>
          <w:tcPr>
            <w:tcW w:w="625" w:type="pct"/>
            <w:tcBorders>
              <w:top w:val="nil"/>
              <w:left w:val="nil"/>
              <w:bottom w:val="single" w:color="auto" w:sz="4" w:space="0"/>
              <w:right w:val="single" w:color="auto" w:sz="4" w:space="0"/>
            </w:tcBorders>
            <w:noWrap/>
            <w:vAlign w:val="center"/>
          </w:tcPr>
          <w:p>
            <w:pPr>
              <w:pStyle w:val="49"/>
            </w:pPr>
            <w:r>
              <w:t>8.81E-01</w:t>
            </w:r>
          </w:p>
        </w:tc>
        <w:tc>
          <w:tcPr>
            <w:tcW w:w="625" w:type="pct"/>
            <w:tcBorders>
              <w:top w:val="nil"/>
              <w:left w:val="nil"/>
              <w:bottom w:val="single" w:color="auto" w:sz="4" w:space="0"/>
              <w:right w:val="single" w:color="auto" w:sz="4" w:space="0"/>
            </w:tcBorders>
            <w:noWrap/>
            <w:vAlign w:val="center"/>
          </w:tcPr>
          <w:p>
            <w:pPr>
              <w:pStyle w:val="49"/>
            </w:pPr>
            <w:r>
              <w:t>9.56E-08</w:t>
            </w:r>
          </w:p>
        </w:tc>
        <w:tc>
          <w:tcPr>
            <w:tcW w:w="625" w:type="pct"/>
            <w:tcBorders>
              <w:top w:val="nil"/>
              <w:left w:val="nil"/>
              <w:bottom w:val="single" w:color="auto" w:sz="4" w:space="0"/>
              <w:right w:val="single" w:color="auto" w:sz="4" w:space="0"/>
            </w:tcBorders>
            <w:noWrap/>
            <w:vAlign w:val="center"/>
          </w:tcPr>
          <w:p>
            <w:pPr>
              <w:pStyle w:val="49"/>
            </w:pPr>
            <w:r>
              <w:t>7.21E-33</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40m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4.14E-30</w:t>
            </w:r>
          </w:p>
        </w:tc>
        <w:tc>
          <w:tcPr>
            <w:tcW w:w="625" w:type="pct"/>
            <w:tcBorders>
              <w:top w:val="nil"/>
              <w:left w:val="nil"/>
              <w:bottom w:val="single" w:color="auto" w:sz="4" w:space="0"/>
              <w:right w:val="single" w:color="auto" w:sz="4" w:space="0"/>
            </w:tcBorders>
            <w:noWrap/>
            <w:vAlign w:val="center"/>
          </w:tcPr>
          <w:p>
            <w:pPr>
              <w:pStyle w:val="49"/>
            </w:pPr>
            <w:r>
              <w:t>5.41E-01</w:t>
            </w:r>
          </w:p>
        </w:tc>
        <w:tc>
          <w:tcPr>
            <w:tcW w:w="625" w:type="pct"/>
            <w:tcBorders>
              <w:top w:val="nil"/>
              <w:left w:val="nil"/>
              <w:bottom w:val="single" w:color="auto" w:sz="4" w:space="0"/>
              <w:right w:val="single" w:color="auto" w:sz="4" w:space="0"/>
            </w:tcBorders>
            <w:noWrap/>
            <w:vAlign w:val="center"/>
          </w:tcPr>
          <w:p>
            <w:pPr>
              <w:pStyle w:val="49"/>
            </w:pPr>
            <w:r>
              <w:t>1.31E+02</w:t>
            </w:r>
          </w:p>
        </w:tc>
        <w:tc>
          <w:tcPr>
            <w:tcW w:w="625" w:type="pct"/>
            <w:tcBorders>
              <w:top w:val="nil"/>
              <w:left w:val="nil"/>
              <w:bottom w:val="single" w:color="auto" w:sz="4" w:space="0"/>
              <w:right w:val="single" w:color="auto" w:sz="4" w:space="0"/>
            </w:tcBorders>
            <w:noWrap/>
            <w:vAlign w:val="center"/>
          </w:tcPr>
          <w:p>
            <w:pPr>
              <w:pStyle w:val="49"/>
            </w:pPr>
            <w:r>
              <w:t>6.93E-04</w:t>
            </w:r>
          </w:p>
        </w:tc>
        <w:tc>
          <w:tcPr>
            <w:tcW w:w="625" w:type="pct"/>
            <w:tcBorders>
              <w:top w:val="nil"/>
              <w:left w:val="nil"/>
              <w:bottom w:val="single" w:color="auto" w:sz="4" w:space="0"/>
              <w:right w:val="single" w:color="auto" w:sz="4" w:space="0"/>
            </w:tcBorders>
            <w:noWrap/>
            <w:vAlign w:val="center"/>
          </w:tcPr>
          <w:p>
            <w:pPr>
              <w:pStyle w:val="49"/>
            </w:pPr>
            <w:r>
              <w:t>2.55E-27</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50m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8.77E-07</w:t>
            </w:r>
            <w:r>
              <w:tab/>
            </w:r>
          </w:p>
        </w:tc>
        <w:tc>
          <w:tcPr>
            <w:tcW w:w="625" w:type="pct"/>
            <w:tcBorders>
              <w:top w:val="nil"/>
              <w:left w:val="nil"/>
              <w:bottom w:val="single" w:color="auto" w:sz="4" w:space="0"/>
              <w:right w:val="single" w:color="auto" w:sz="4" w:space="0"/>
            </w:tcBorders>
            <w:noWrap/>
            <w:vAlign w:val="center"/>
          </w:tcPr>
          <w:p>
            <w:pPr>
              <w:pStyle w:val="49"/>
            </w:pPr>
            <w:r>
              <w:t>6.92E+02</w:t>
            </w:r>
          </w:p>
        </w:tc>
        <w:tc>
          <w:tcPr>
            <w:tcW w:w="625" w:type="pct"/>
            <w:tcBorders>
              <w:top w:val="nil"/>
              <w:left w:val="nil"/>
              <w:bottom w:val="single" w:color="auto" w:sz="4" w:space="0"/>
              <w:right w:val="single" w:color="auto" w:sz="4" w:space="0"/>
            </w:tcBorders>
            <w:noWrap/>
            <w:vAlign w:val="center"/>
          </w:tcPr>
          <w:p>
            <w:pPr>
              <w:pStyle w:val="49"/>
            </w:pPr>
            <w:r>
              <w:t>5.45E-01</w:t>
            </w:r>
          </w:p>
        </w:tc>
        <w:tc>
          <w:tcPr>
            <w:tcW w:w="625" w:type="pct"/>
            <w:tcBorders>
              <w:top w:val="nil"/>
              <w:left w:val="nil"/>
              <w:bottom w:val="single" w:color="auto" w:sz="4" w:space="0"/>
              <w:right w:val="single" w:color="auto" w:sz="4" w:space="0"/>
            </w:tcBorders>
            <w:noWrap/>
            <w:vAlign w:val="center"/>
          </w:tcPr>
          <w:p>
            <w:pPr>
              <w:pStyle w:val="49"/>
            </w:pPr>
            <w:r>
              <w:t>2.98E-22</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60m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1.81E-15</w:t>
            </w:r>
          </w:p>
        </w:tc>
        <w:tc>
          <w:tcPr>
            <w:tcW w:w="625" w:type="pct"/>
            <w:tcBorders>
              <w:top w:val="nil"/>
              <w:left w:val="nil"/>
              <w:bottom w:val="single" w:color="auto" w:sz="4" w:space="0"/>
              <w:right w:val="single" w:color="auto" w:sz="4" w:space="0"/>
            </w:tcBorders>
            <w:noWrap/>
            <w:vAlign w:val="center"/>
          </w:tcPr>
          <w:p>
            <w:pPr>
              <w:pStyle w:val="49"/>
            </w:pPr>
            <w:r>
              <w:t>1.31E+02</w:t>
            </w:r>
          </w:p>
        </w:tc>
        <w:tc>
          <w:tcPr>
            <w:tcW w:w="625" w:type="pct"/>
            <w:tcBorders>
              <w:top w:val="nil"/>
              <w:left w:val="nil"/>
              <w:bottom w:val="single" w:color="auto" w:sz="4" w:space="0"/>
              <w:right w:val="single" w:color="auto" w:sz="4" w:space="0"/>
            </w:tcBorders>
            <w:noWrap/>
            <w:vAlign w:val="center"/>
          </w:tcPr>
          <w:p>
            <w:pPr>
              <w:pStyle w:val="49"/>
            </w:pPr>
            <w:r>
              <w:t>4.64E+01</w:t>
            </w:r>
          </w:p>
        </w:tc>
        <w:tc>
          <w:tcPr>
            <w:tcW w:w="625" w:type="pct"/>
            <w:tcBorders>
              <w:top w:val="nil"/>
              <w:left w:val="nil"/>
              <w:bottom w:val="single" w:color="auto" w:sz="4" w:space="0"/>
              <w:right w:val="single" w:color="auto" w:sz="4" w:space="0"/>
            </w:tcBorders>
            <w:noWrap/>
            <w:vAlign w:val="center"/>
          </w:tcPr>
          <w:p>
            <w:pPr>
              <w:pStyle w:val="49"/>
            </w:pPr>
            <w:r>
              <w:t>1.14E-17</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70m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4.74E-27</w:t>
            </w:r>
          </w:p>
        </w:tc>
        <w:tc>
          <w:tcPr>
            <w:tcW w:w="625" w:type="pct"/>
            <w:tcBorders>
              <w:top w:val="nil"/>
              <w:left w:val="nil"/>
              <w:bottom w:val="single" w:color="auto" w:sz="4" w:space="0"/>
              <w:right w:val="single" w:color="auto" w:sz="4" w:space="0"/>
            </w:tcBorders>
            <w:noWrap/>
            <w:vAlign w:val="center"/>
          </w:tcPr>
          <w:p>
            <w:pPr>
              <w:pStyle w:val="49"/>
            </w:pPr>
            <w:r>
              <w:t>8.81E-01</w:t>
            </w:r>
          </w:p>
        </w:tc>
        <w:tc>
          <w:tcPr>
            <w:tcW w:w="625" w:type="pct"/>
            <w:tcBorders>
              <w:top w:val="nil"/>
              <w:left w:val="nil"/>
              <w:bottom w:val="single" w:color="auto" w:sz="4" w:space="0"/>
              <w:right w:val="single" w:color="auto" w:sz="4" w:space="0"/>
            </w:tcBorders>
            <w:noWrap/>
            <w:vAlign w:val="center"/>
          </w:tcPr>
          <w:p>
            <w:pPr>
              <w:pStyle w:val="49"/>
            </w:pPr>
            <w:r>
              <w:t>4.28E+02</w:t>
            </w:r>
          </w:p>
        </w:tc>
        <w:tc>
          <w:tcPr>
            <w:tcW w:w="625" w:type="pct"/>
            <w:tcBorders>
              <w:top w:val="nil"/>
              <w:left w:val="nil"/>
              <w:bottom w:val="single" w:color="auto" w:sz="4" w:space="0"/>
              <w:right w:val="single" w:color="auto" w:sz="4" w:space="0"/>
            </w:tcBorders>
            <w:noWrap/>
            <w:vAlign w:val="center"/>
          </w:tcPr>
          <w:p>
            <w:pPr>
              <w:pStyle w:val="49"/>
            </w:pPr>
            <w:r>
              <w:t>1.45E-13</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80m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1.58E-41</w:t>
            </w:r>
          </w:p>
        </w:tc>
        <w:tc>
          <w:tcPr>
            <w:tcW w:w="625" w:type="pct"/>
            <w:tcBorders>
              <w:top w:val="nil"/>
              <w:left w:val="nil"/>
              <w:bottom w:val="single" w:color="auto" w:sz="4" w:space="0"/>
              <w:right w:val="single" w:color="auto" w:sz="4" w:space="0"/>
            </w:tcBorders>
            <w:noWrap/>
            <w:vAlign w:val="center"/>
          </w:tcPr>
          <w:p>
            <w:pPr>
              <w:pStyle w:val="49"/>
            </w:pPr>
            <w:r>
              <w:t>2.12E-04</w:t>
            </w:r>
          </w:p>
        </w:tc>
        <w:tc>
          <w:tcPr>
            <w:tcW w:w="625" w:type="pct"/>
            <w:tcBorders>
              <w:top w:val="nil"/>
              <w:left w:val="nil"/>
              <w:bottom w:val="single" w:color="auto" w:sz="4" w:space="0"/>
              <w:right w:val="single" w:color="auto" w:sz="4" w:space="0"/>
            </w:tcBorders>
            <w:noWrap/>
            <w:vAlign w:val="center"/>
          </w:tcPr>
          <w:p>
            <w:pPr>
              <w:pStyle w:val="49"/>
            </w:pPr>
            <w:r>
              <w:t>4.28E+02</w:t>
            </w:r>
          </w:p>
        </w:tc>
        <w:tc>
          <w:tcPr>
            <w:tcW w:w="625" w:type="pct"/>
            <w:tcBorders>
              <w:top w:val="nil"/>
              <w:left w:val="nil"/>
              <w:bottom w:val="single" w:color="auto" w:sz="4" w:space="0"/>
              <w:right w:val="single" w:color="auto" w:sz="4" w:space="0"/>
            </w:tcBorders>
            <w:noWrap/>
            <w:vAlign w:val="center"/>
          </w:tcPr>
          <w:p>
            <w:pPr>
              <w:pStyle w:val="49"/>
            </w:pPr>
            <w:r>
              <w:t>6.01E-10</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90m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1.82E-09</w:t>
            </w:r>
          </w:p>
        </w:tc>
        <w:tc>
          <w:tcPr>
            <w:tcW w:w="625" w:type="pct"/>
            <w:tcBorders>
              <w:top w:val="nil"/>
              <w:left w:val="nil"/>
              <w:bottom w:val="single" w:color="auto" w:sz="4" w:space="0"/>
              <w:right w:val="single" w:color="auto" w:sz="4" w:space="0"/>
            </w:tcBorders>
            <w:noWrap/>
            <w:vAlign w:val="center"/>
          </w:tcPr>
          <w:p>
            <w:pPr>
              <w:pStyle w:val="49"/>
            </w:pPr>
            <w:r>
              <w:t>4.64E+01</w:t>
            </w:r>
          </w:p>
        </w:tc>
        <w:tc>
          <w:tcPr>
            <w:tcW w:w="625" w:type="pct"/>
            <w:tcBorders>
              <w:top w:val="nil"/>
              <w:left w:val="nil"/>
              <w:bottom w:val="single" w:color="auto" w:sz="4" w:space="0"/>
              <w:right w:val="single" w:color="auto" w:sz="4" w:space="0"/>
            </w:tcBorders>
            <w:noWrap/>
            <w:vAlign w:val="center"/>
          </w:tcPr>
          <w:p>
            <w:pPr>
              <w:pStyle w:val="49"/>
            </w:pPr>
            <w:r>
              <w:t>8.23E-07</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100m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5.55E-16</w:t>
            </w:r>
          </w:p>
        </w:tc>
        <w:tc>
          <w:tcPr>
            <w:tcW w:w="625" w:type="pct"/>
            <w:tcBorders>
              <w:top w:val="nil"/>
              <w:left w:val="nil"/>
              <w:bottom w:val="single" w:color="auto" w:sz="4" w:space="0"/>
              <w:right w:val="single" w:color="auto" w:sz="4" w:space="0"/>
            </w:tcBorders>
            <w:noWrap/>
            <w:vAlign w:val="center"/>
          </w:tcPr>
          <w:p>
            <w:pPr>
              <w:pStyle w:val="49"/>
            </w:pPr>
            <w:r>
              <w:t>5.45E-01</w:t>
            </w:r>
          </w:p>
        </w:tc>
        <w:tc>
          <w:tcPr>
            <w:tcW w:w="625" w:type="pct"/>
            <w:tcBorders>
              <w:top w:val="nil"/>
              <w:left w:val="nil"/>
              <w:bottom w:val="single" w:color="auto" w:sz="4" w:space="0"/>
              <w:right w:val="single" w:color="auto" w:sz="4" w:space="0"/>
            </w:tcBorders>
            <w:noWrap/>
            <w:vAlign w:val="center"/>
          </w:tcPr>
          <w:p>
            <w:pPr>
              <w:pStyle w:val="49"/>
            </w:pPr>
            <w:r>
              <w:t>3.71E-04</w:t>
            </w:r>
          </w:p>
        </w:tc>
      </w:tr>
    </w:tbl>
    <w:p>
      <w:pPr>
        <w:pStyle w:val="3"/>
        <w:spacing w:line="240" w:lineRule="auto"/>
        <w:ind w:firstLine="482"/>
        <w:jc w:val="center"/>
        <w:rPr>
          <w:kern w:val="0"/>
        </w:rPr>
      </w:pPr>
      <w:r>
        <w:rPr>
          <w:rFonts w:hint="eastAsia" w:cs="Times New Roman" w:eastAsiaTheme="minorEastAsia"/>
          <w:b/>
        </w:rPr>
        <w:t xml:space="preserve">表6.2-17 </w:t>
      </w:r>
      <w:r>
        <w:rPr>
          <w:rFonts w:cs="Times New Roman" w:eastAsiaTheme="minorEastAsia"/>
          <w:b/>
        </w:rPr>
        <w:t xml:space="preserve"> </w:t>
      </w:r>
      <w:r>
        <w:rPr>
          <w:rFonts w:hint="eastAsia" w:cs="Times New Roman" w:eastAsiaTheme="minorEastAsia"/>
          <w:b/>
        </w:rPr>
        <w:t>瞬时排放废水污染物</w:t>
      </w:r>
      <w:r>
        <w:rPr>
          <w:rFonts w:cs="Times New Roman" w:eastAsiaTheme="minorEastAsia"/>
          <w:b/>
        </w:rPr>
        <w:t>NH</w:t>
      </w:r>
      <w:r>
        <w:rPr>
          <w:rFonts w:cs="Times New Roman" w:eastAsiaTheme="minorEastAsia"/>
          <w:b/>
          <w:vertAlign w:val="subscript"/>
        </w:rPr>
        <w:t>3</w:t>
      </w:r>
      <w:r>
        <w:rPr>
          <w:rFonts w:cs="Times New Roman" w:eastAsiaTheme="minorEastAsia"/>
          <w:b/>
        </w:rPr>
        <w:t>-N</w:t>
      </w:r>
      <w:r>
        <w:rPr>
          <w:rFonts w:hint="eastAsia" w:cs="Times New Roman" w:eastAsiaTheme="minorEastAsia"/>
          <w:b/>
        </w:rPr>
        <w:t>预测结果  单位：mg/L</w:t>
      </w:r>
    </w:p>
    <w:tbl>
      <w:tblPr>
        <w:tblStyle w:val="30"/>
        <w:tblW w:w="5000" w:type="pct"/>
        <w:tblInd w:w="0" w:type="dxa"/>
        <w:tblLayout w:type="autofit"/>
        <w:tblCellMar>
          <w:top w:w="0" w:type="dxa"/>
          <w:left w:w="108" w:type="dxa"/>
          <w:bottom w:w="0" w:type="dxa"/>
          <w:right w:w="108" w:type="dxa"/>
        </w:tblCellMar>
      </w:tblPr>
      <w:tblGrid>
        <w:gridCol w:w="752"/>
        <w:gridCol w:w="1354"/>
        <w:gridCol w:w="1204"/>
        <w:gridCol w:w="1275"/>
        <w:gridCol w:w="1147"/>
        <w:gridCol w:w="1147"/>
        <w:gridCol w:w="1147"/>
        <w:gridCol w:w="1147"/>
      </w:tblGrid>
      <w:tr>
        <w:tblPrEx>
          <w:tblCellMar>
            <w:top w:w="0" w:type="dxa"/>
            <w:left w:w="108" w:type="dxa"/>
            <w:bottom w:w="0" w:type="dxa"/>
            <w:right w:w="108" w:type="dxa"/>
          </w:tblCellMar>
        </w:tblPrEx>
        <w:trPr>
          <w:trHeight w:val="397" w:hRule="atLeast"/>
          <w:tblHeader/>
        </w:trPr>
        <w:tc>
          <w:tcPr>
            <w:tcW w:w="410" w:type="pct"/>
            <w:tcBorders>
              <w:top w:val="single" w:color="auto" w:sz="4" w:space="0"/>
              <w:left w:val="single" w:color="auto" w:sz="4" w:space="0"/>
              <w:bottom w:val="single" w:color="auto" w:sz="4" w:space="0"/>
              <w:right w:val="single" w:color="auto" w:sz="4" w:space="0"/>
            </w:tcBorders>
            <w:noWrap/>
            <w:vAlign w:val="center"/>
          </w:tcPr>
          <w:p>
            <w:pPr>
              <w:pStyle w:val="49"/>
            </w:pPr>
            <w:r>
              <w:t>x</w:t>
            </w:r>
          </w:p>
        </w:tc>
        <w:tc>
          <w:tcPr>
            <w:tcW w:w="738" w:type="pct"/>
            <w:tcBorders>
              <w:top w:val="single" w:color="auto" w:sz="4" w:space="0"/>
              <w:left w:val="nil"/>
              <w:bottom w:val="single" w:color="auto" w:sz="4" w:space="0"/>
              <w:right w:val="single" w:color="auto" w:sz="4" w:space="0"/>
            </w:tcBorders>
            <w:noWrap/>
            <w:vAlign w:val="center"/>
          </w:tcPr>
          <w:p>
            <w:pPr>
              <w:pStyle w:val="49"/>
            </w:pPr>
            <w:r>
              <w:t>5d</w:t>
            </w:r>
          </w:p>
        </w:tc>
        <w:tc>
          <w:tcPr>
            <w:tcW w:w="656" w:type="pct"/>
            <w:tcBorders>
              <w:top w:val="single" w:color="auto" w:sz="4" w:space="0"/>
              <w:left w:val="nil"/>
              <w:bottom w:val="single" w:color="auto" w:sz="4" w:space="0"/>
              <w:right w:val="single" w:color="auto" w:sz="4" w:space="0"/>
            </w:tcBorders>
            <w:noWrap/>
            <w:vAlign w:val="center"/>
          </w:tcPr>
          <w:p>
            <w:pPr>
              <w:pStyle w:val="49"/>
            </w:pPr>
            <w:r>
              <w:t>10d</w:t>
            </w:r>
          </w:p>
        </w:tc>
        <w:tc>
          <w:tcPr>
            <w:tcW w:w="695" w:type="pct"/>
            <w:tcBorders>
              <w:top w:val="single" w:color="auto" w:sz="4" w:space="0"/>
              <w:left w:val="nil"/>
              <w:bottom w:val="single" w:color="auto" w:sz="4" w:space="0"/>
              <w:right w:val="single" w:color="auto" w:sz="4" w:space="0"/>
            </w:tcBorders>
            <w:noWrap/>
            <w:vAlign w:val="center"/>
          </w:tcPr>
          <w:p>
            <w:pPr>
              <w:pStyle w:val="49"/>
            </w:pPr>
            <w:r>
              <w:t>20d</w:t>
            </w:r>
          </w:p>
        </w:tc>
        <w:tc>
          <w:tcPr>
            <w:tcW w:w="625" w:type="pct"/>
            <w:tcBorders>
              <w:top w:val="single" w:color="auto" w:sz="4" w:space="0"/>
              <w:left w:val="nil"/>
              <w:bottom w:val="single" w:color="auto" w:sz="4" w:space="0"/>
              <w:right w:val="single" w:color="auto" w:sz="4" w:space="0"/>
            </w:tcBorders>
            <w:noWrap/>
            <w:vAlign w:val="center"/>
          </w:tcPr>
          <w:p>
            <w:pPr>
              <w:pStyle w:val="49"/>
            </w:pPr>
            <w:r>
              <w:t>50d</w:t>
            </w:r>
          </w:p>
        </w:tc>
        <w:tc>
          <w:tcPr>
            <w:tcW w:w="625" w:type="pct"/>
            <w:tcBorders>
              <w:top w:val="single" w:color="auto" w:sz="4" w:space="0"/>
              <w:left w:val="nil"/>
              <w:bottom w:val="single" w:color="auto" w:sz="4" w:space="0"/>
              <w:right w:val="single" w:color="auto" w:sz="4" w:space="0"/>
            </w:tcBorders>
            <w:noWrap/>
            <w:vAlign w:val="center"/>
          </w:tcPr>
          <w:p>
            <w:pPr>
              <w:pStyle w:val="49"/>
            </w:pPr>
            <w:r>
              <w:t>100d</w:t>
            </w:r>
          </w:p>
        </w:tc>
        <w:tc>
          <w:tcPr>
            <w:tcW w:w="625" w:type="pct"/>
            <w:tcBorders>
              <w:top w:val="single" w:color="auto" w:sz="4" w:space="0"/>
              <w:left w:val="nil"/>
              <w:bottom w:val="single" w:color="auto" w:sz="4" w:space="0"/>
              <w:right w:val="single" w:color="auto" w:sz="4" w:space="0"/>
            </w:tcBorders>
            <w:noWrap/>
            <w:vAlign w:val="center"/>
          </w:tcPr>
          <w:p>
            <w:pPr>
              <w:pStyle w:val="49"/>
            </w:pPr>
            <w:r>
              <w:t>150d</w:t>
            </w:r>
          </w:p>
        </w:tc>
        <w:tc>
          <w:tcPr>
            <w:tcW w:w="625" w:type="pct"/>
            <w:tcBorders>
              <w:top w:val="single" w:color="auto" w:sz="4" w:space="0"/>
              <w:left w:val="nil"/>
              <w:bottom w:val="single" w:color="auto" w:sz="4" w:space="0"/>
              <w:right w:val="single" w:color="auto" w:sz="4" w:space="0"/>
            </w:tcBorders>
            <w:noWrap/>
            <w:vAlign w:val="center"/>
          </w:tcPr>
          <w:p>
            <w:pPr>
              <w:pStyle w:val="49"/>
            </w:pPr>
            <w:r>
              <w:t>300d</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0m</w:t>
            </w:r>
          </w:p>
        </w:tc>
        <w:tc>
          <w:tcPr>
            <w:tcW w:w="738" w:type="pct"/>
            <w:tcBorders>
              <w:top w:val="nil"/>
              <w:left w:val="nil"/>
              <w:bottom w:val="single" w:color="auto" w:sz="4" w:space="0"/>
              <w:right w:val="single" w:color="auto" w:sz="4" w:space="0"/>
            </w:tcBorders>
            <w:noWrap/>
            <w:vAlign w:val="center"/>
          </w:tcPr>
          <w:p>
            <w:pPr>
              <w:pStyle w:val="49"/>
            </w:pPr>
            <w:r>
              <w:t>2.91E+01</w:t>
            </w:r>
          </w:p>
        </w:tc>
        <w:tc>
          <w:tcPr>
            <w:tcW w:w="656" w:type="pct"/>
            <w:tcBorders>
              <w:top w:val="nil"/>
              <w:left w:val="nil"/>
              <w:bottom w:val="single" w:color="auto" w:sz="4" w:space="0"/>
              <w:right w:val="single" w:color="auto" w:sz="4" w:space="0"/>
            </w:tcBorders>
            <w:noWrap/>
            <w:vAlign w:val="center"/>
          </w:tcPr>
          <w:p>
            <w:pPr>
              <w:pStyle w:val="49"/>
            </w:pPr>
            <w:r>
              <w:t>2.56E+00</w:t>
            </w:r>
          </w:p>
        </w:tc>
        <w:tc>
          <w:tcPr>
            <w:tcW w:w="695" w:type="pct"/>
            <w:tcBorders>
              <w:top w:val="nil"/>
              <w:left w:val="nil"/>
              <w:bottom w:val="single" w:color="auto" w:sz="4" w:space="0"/>
              <w:right w:val="single" w:color="auto" w:sz="4" w:space="0"/>
            </w:tcBorders>
            <w:noWrap/>
            <w:vAlign w:val="center"/>
          </w:tcPr>
          <w:p>
            <w:pPr>
              <w:pStyle w:val="49"/>
            </w:pPr>
            <w:r>
              <w:t>2.81E-02</w:t>
            </w:r>
          </w:p>
        </w:tc>
        <w:tc>
          <w:tcPr>
            <w:tcW w:w="625" w:type="pct"/>
            <w:tcBorders>
              <w:top w:val="nil"/>
              <w:left w:val="nil"/>
              <w:bottom w:val="single" w:color="auto" w:sz="4" w:space="0"/>
              <w:right w:val="single" w:color="auto" w:sz="4" w:space="0"/>
            </w:tcBorders>
            <w:noWrap/>
            <w:vAlign w:val="center"/>
          </w:tcPr>
          <w:p>
            <w:pPr>
              <w:pStyle w:val="49"/>
            </w:pPr>
            <w:r>
              <w:t>6.61E-08</w:t>
            </w:r>
          </w:p>
        </w:tc>
        <w:tc>
          <w:tcPr>
            <w:tcW w:w="625" w:type="pct"/>
            <w:tcBorders>
              <w:top w:val="nil"/>
              <w:left w:val="nil"/>
              <w:bottom w:val="single" w:color="auto" w:sz="4" w:space="0"/>
              <w:right w:val="single" w:color="auto" w:sz="4" w:space="0"/>
            </w:tcBorders>
            <w:noWrap/>
            <w:vAlign w:val="center"/>
          </w:tcPr>
          <w:p>
            <w:pPr>
              <w:pStyle w:val="49"/>
            </w:pPr>
            <w:r>
              <w:t>4.19E-17</w:t>
            </w:r>
          </w:p>
        </w:tc>
        <w:tc>
          <w:tcPr>
            <w:tcW w:w="625" w:type="pct"/>
            <w:tcBorders>
              <w:top w:val="nil"/>
              <w:left w:val="nil"/>
              <w:bottom w:val="single" w:color="auto" w:sz="4" w:space="0"/>
              <w:right w:val="single" w:color="auto" w:sz="4" w:space="0"/>
            </w:tcBorders>
            <w:noWrap/>
            <w:vAlign w:val="center"/>
          </w:tcPr>
          <w:p>
            <w:pPr>
              <w:pStyle w:val="49"/>
            </w:pPr>
            <w:r>
              <w:t>3.06E-26</w:t>
            </w:r>
          </w:p>
        </w:tc>
        <w:tc>
          <w:tcPr>
            <w:tcW w:w="625" w:type="pct"/>
            <w:tcBorders>
              <w:top w:val="nil"/>
              <w:left w:val="nil"/>
              <w:bottom w:val="single" w:color="auto" w:sz="4" w:space="0"/>
              <w:right w:val="single" w:color="auto" w:sz="4" w:space="0"/>
            </w:tcBorders>
            <w:noWrap/>
            <w:vAlign w:val="center"/>
          </w:tcPr>
          <w:p>
            <w:pPr>
              <w:pStyle w:val="49"/>
            </w:pPr>
            <w:r>
              <w:t>0.00E+00</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10m</w:t>
            </w:r>
          </w:p>
        </w:tc>
        <w:tc>
          <w:tcPr>
            <w:tcW w:w="738" w:type="pct"/>
            <w:tcBorders>
              <w:top w:val="nil"/>
              <w:left w:val="nil"/>
              <w:bottom w:val="single" w:color="auto" w:sz="4" w:space="0"/>
              <w:right w:val="single" w:color="auto" w:sz="4" w:space="0"/>
            </w:tcBorders>
            <w:noWrap/>
            <w:vAlign w:val="center"/>
          </w:tcPr>
          <w:p>
            <w:pPr>
              <w:pStyle w:val="49"/>
            </w:pPr>
            <w:r>
              <w:t>1.68E-06</w:t>
            </w:r>
          </w:p>
        </w:tc>
        <w:tc>
          <w:tcPr>
            <w:tcW w:w="656" w:type="pct"/>
            <w:tcBorders>
              <w:top w:val="nil"/>
              <w:left w:val="nil"/>
              <w:bottom w:val="single" w:color="auto" w:sz="4" w:space="0"/>
              <w:right w:val="single" w:color="auto" w:sz="4" w:space="0"/>
            </w:tcBorders>
            <w:noWrap/>
            <w:vAlign w:val="center"/>
          </w:tcPr>
          <w:p>
            <w:pPr>
              <w:pStyle w:val="49"/>
            </w:pPr>
            <w:r>
              <w:t>2.56E+00</w:t>
            </w:r>
          </w:p>
        </w:tc>
        <w:tc>
          <w:tcPr>
            <w:tcW w:w="695" w:type="pct"/>
            <w:tcBorders>
              <w:top w:val="nil"/>
              <w:left w:val="nil"/>
              <w:bottom w:val="single" w:color="auto" w:sz="4" w:space="0"/>
              <w:right w:val="single" w:color="auto" w:sz="4" w:space="0"/>
            </w:tcBorders>
            <w:noWrap/>
            <w:vAlign w:val="center"/>
          </w:tcPr>
          <w:p>
            <w:pPr>
              <w:pStyle w:val="49"/>
            </w:pPr>
            <w:r>
              <w:t>1.17E+02</w:t>
            </w:r>
          </w:p>
        </w:tc>
        <w:tc>
          <w:tcPr>
            <w:tcW w:w="625" w:type="pct"/>
            <w:tcBorders>
              <w:top w:val="nil"/>
              <w:left w:val="nil"/>
              <w:bottom w:val="single" w:color="auto" w:sz="4" w:space="0"/>
              <w:right w:val="single" w:color="auto" w:sz="4" w:space="0"/>
            </w:tcBorders>
            <w:noWrap/>
            <w:vAlign w:val="center"/>
          </w:tcPr>
          <w:p>
            <w:pPr>
              <w:pStyle w:val="49"/>
            </w:pPr>
            <w:r>
              <w:t>4.08E-02</w:t>
            </w:r>
          </w:p>
        </w:tc>
        <w:tc>
          <w:tcPr>
            <w:tcW w:w="625" w:type="pct"/>
            <w:tcBorders>
              <w:top w:val="nil"/>
              <w:left w:val="nil"/>
              <w:bottom w:val="single" w:color="auto" w:sz="4" w:space="0"/>
              <w:right w:val="single" w:color="auto" w:sz="4" w:space="0"/>
            </w:tcBorders>
            <w:noWrap/>
            <w:vAlign w:val="center"/>
          </w:tcPr>
          <w:p>
            <w:pPr>
              <w:pStyle w:val="49"/>
            </w:pPr>
            <w:r>
              <w:t>1.37E-10</w:t>
            </w:r>
          </w:p>
        </w:tc>
        <w:tc>
          <w:tcPr>
            <w:tcW w:w="625" w:type="pct"/>
            <w:tcBorders>
              <w:top w:val="nil"/>
              <w:left w:val="nil"/>
              <w:bottom w:val="single" w:color="auto" w:sz="4" w:space="0"/>
              <w:right w:val="single" w:color="auto" w:sz="4" w:space="0"/>
            </w:tcBorders>
            <w:noWrap/>
            <w:vAlign w:val="center"/>
          </w:tcPr>
          <w:p>
            <w:pPr>
              <w:pStyle w:val="49"/>
            </w:pPr>
            <w:r>
              <w:t>1.75E-19</w:t>
            </w:r>
          </w:p>
        </w:tc>
        <w:tc>
          <w:tcPr>
            <w:tcW w:w="625" w:type="pct"/>
            <w:tcBorders>
              <w:top w:val="nil"/>
              <w:left w:val="nil"/>
              <w:bottom w:val="single" w:color="auto" w:sz="4" w:space="0"/>
              <w:right w:val="single" w:color="auto" w:sz="4" w:space="0"/>
            </w:tcBorders>
            <w:noWrap/>
            <w:vAlign w:val="center"/>
          </w:tcPr>
          <w:p>
            <w:pPr>
              <w:pStyle w:val="49"/>
            </w:pPr>
            <w:r>
              <w:t>0.00E+00</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20m</w:t>
            </w:r>
          </w:p>
        </w:tc>
        <w:tc>
          <w:tcPr>
            <w:tcW w:w="738" w:type="pct"/>
            <w:tcBorders>
              <w:top w:val="nil"/>
              <w:left w:val="nil"/>
              <w:bottom w:val="single" w:color="auto" w:sz="4" w:space="0"/>
              <w:right w:val="single" w:color="auto" w:sz="4" w:space="0"/>
            </w:tcBorders>
            <w:noWrap/>
            <w:vAlign w:val="center"/>
          </w:tcPr>
          <w:p>
            <w:pPr>
              <w:pStyle w:val="49"/>
            </w:pPr>
            <w:r>
              <w:t>1.08E-42</w:t>
            </w:r>
          </w:p>
        </w:tc>
        <w:tc>
          <w:tcPr>
            <w:tcW w:w="656" w:type="pct"/>
            <w:tcBorders>
              <w:top w:val="nil"/>
              <w:left w:val="nil"/>
              <w:bottom w:val="single" w:color="auto" w:sz="4" w:space="0"/>
              <w:right w:val="single" w:color="auto" w:sz="4" w:space="0"/>
            </w:tcBorders>
            <w:noWrap/>
            <w:vAlign w:val="center"/>
          </w:tcPr>
          <w:p>
            <w:pPr>
              <w:pStyle w:val="49"/>
            </w:pPr>
            <w:r>
              <w:t>8.54E-15</w:t>
            </w:r>
          </w:p>
        </w:tc>
        <w:tc>
          <w:tcPr>
            <w:tcW w:w="695" w:type="pct"/>
            <w:tcBorders>
              <w:top w:val="nil"/>
              <w:left w:val="nil"/>
              <w:bottom w:val="single" w:color="auto" w:sz="4" w:space="0"/>
              <w:right w:val="single" w:color="auto" w:sz="4" w:space="0"/>
            </w:tcBorders>
            <w:noWrap/>
            <w:vAlign w:val="center"/>
          </w:tcPr>
          <w:p>
            <w:pPr>
              <w:pStyle w:val="49"/>
            </w:pPr>
            <w:r>
              <w:t>2.81E-02</w:t>
            </w:r>
          </w:p>
        </w:tc>
        <w:tc>
          <w:tcPr>
            <w:tcW w:w="625" w:type="pct"/>
            <w:tcBorders>
              <w:top w:val="nil"/>
              <w:left w:val="nil"/>
              <w:bottom w:val="single" w:color="auto" w:sz="4" w:space="0"/>
              <w:right w:val="single" w:color="auto" w:sz="4" w:space="0"/>
            </w:tcBorders>
            <w:noWrap/>
            <w:vAlign w:val="center"/>
          </w:tcPr>
          <w:p>
            <w:pPr>
              <w:pStyle w:val="49"/>
            </w:pPr>
            <w:r>
              <w:t>3.21E+01</w:t>
            </w:r>
          </w:p>
        </w:tc>
        <w:tc>
          <w:tcPr>
            <w:tcW w:w="625" w:type="pct"/>
            <w:tcBorders>
              <w:top w:val="nil"/>
              <w:left w:val="nil"/>
              <w:bottom w:val="single" w:color="auto" w:sz="4" w:space="0"/>
              <w:right w:val="single" w:color="auto" w:sz="4" w:space="0"/>
            </w:tcBorders>
            <w:noWrap/>
            <w:vAlign w:val="center"/>
          </w:tcPr>
          <w:p>
            <w:pPr>
              <w:pStyle w:val="49"/>
            </w:pPr>
            <w:r>
              <w:t>1.60E-05</w:t>
            </w:r>
          </w:p>
        </w:tc>
        <w:tc>
          <w:tcPr>
            <w:tcW w:w="625" w:type="pct"/>
            <w:tcBorders>
              <w:top w:val="nil"/>
              <w:left w:val="nil"/>
              <w:bottom w:val="single" w:color="auto" w:sz="4" w:space="0"/>
              <w:right w:val="single" w:color="auto" w:sz="4" w:space="0"/>
            </w:tcBorders>
            <w:noWrap/>
            <w:vAlign w:val="center"/>
          </w:tcPr>
          <w:p>
            <w:pPr>
              <w:pStyle w:val="49"/>
            </w:pPr>
            <w:r>
              <w:t>1.08E-13</w:t>
            </w:r>
          </w:p>
        </w:tc>
        <w:tc>
          <w:tcPr>
            <w:tcW w:w="625" w:type="pct"/>
            <w:tcBorders>
              <w:top w:val="nil"/>
              <w:left w:val="nil"/>
              <w:bottom w:val="single" w:color="auto" w:sz="4" w:space="0"/>
              <w:right w:val="single" w:color="auto" w:sz="4" w:space="0"/>
            </w:tcBorders>
            <w:noWrap/>
            <w:vAlign w:val="center"/>
          </w:tcPr>
          <w:p>
            <w:pPr>
              <w:pStyle w:val="49"/>
            </w:pPr>
            <w:r>
              <w:t>5.05E-40</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30m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9.53E-44</w:t>
            </w:r>
          </w:p>
        </w:tc>
        <w:tc>
          <w:tcPr>
            <w:tcW w:w="695" w:type="pct"/>
            <w:tcBorders>
              <w:top w:val="nil"/>
              <w:left w:val="nil"/>
              <w:bottom w:val="single" w:color="auto" w:sz="4" w:space="0"/>
              <w:right w:val="single" w:color="auto" w:sz="4" w:space="0"/>
            </w:tcBorders>
            <w:noWrap/>
            <w:vAlign w:val="center"/>
          </w:tcPr>
          <w:p>
            <w:pPr>
              <w:pStyle w:val="49"/>
            </w:pPr>
            <w:r>
              <w:t>3.90E-13</w:t>
            </w:r>
          </w:p>
        </w:tc>
        <w:tc>
          <w:tcPr>
            <w:tcW w:w="625" w:type="pct"/>
            <w:tcBorders>
              <w:top w:val="nil"/>
              <w:left w:val="nil"/>
              <w:bottom w:val="single" w:color="auto" w:sz="4" w:space="0"/>
              <w:right w:val="single" w:color="auto" w:sz="4" w:space="0"/>
            </w:tcBorders>
            <w:noWrap/>
            <w:vAlign w:val="center"/>
          </w:tcPr>
          <w:p>
            <w:pPr>
              <w:pStyle w:val="49"/>
            </w:pPr>
            <w:r>
              <w:t>3.21E+01</w:t>
            </w:r>
          </w:p>
        </w:tc>
        <w:tc>
          <w:tcPr>
            <w:tcW w:w="625" w:type="pct"/>
            <w:tcBorders>
              <w:top w:val="nil"/>
              <w:left w:val="nil"/>
              <w:bottom w:val="single" w:color="auto" w:sz="4" w:space="0"/>
              <w:right w:val="single" w:color="auto" w:sz="4" w:space="0"/>
            </w:tcBorders>
            <w:noWrap/>
            <w:vAlign w:val="center"/>
          </w:tcPr>
          <w:p>
            <w:pPr>
              <w:pStyle w:val="49"/>
            </w:pPr>
            <w:r>
              <w:t>6.64E-02</w:t>
            </w:r>
          </w:p>
        </w:tc>
        <w:tc>
          <w:tcPr>
            <w:tcW w:w="625" w:type="pct"/>
            <w:tcBorders>
              <w:top w:val="nil"/>
              <w:left w:val="nil"/>
              <w:bottom w:val="single" w:color="auto" w:sz="4" w:space="0"/>
              <w:right w:val="single" w:color="auto" w:sz="4" w:space="0"/>
            </w:tcBorders>
            <w:noWrap/>
            <w:vAlign w:val="center"/>
          </w:tcPr>
          <w:p>
            <w:pPr>
              <w:pStyle w:val="49"/>
            </w:pPr>
            <w:r>
              <w:t>7.21E-09</w:t>
            </w:r>
          </w:p>
        </w:tc>
        <w:tc>
          <w:tcPr>
            <w:tcW w:w="625" w:type="pct"/>
            <w:tcBorders>
              <w:top w:val="nil"/>
              <w:left w:val="nil"/>
              <w:bottom w:val="single" w:color="auto" w:sz="4" w:space="0"/>
              <w:right w:val="single" w:color="auto" w:sz="4" w:space="0"/>
            </w:tcBorders>
            <w:noWrap/>
            <w:vAlign w:val="center"/>
          </w:tcPr>
          <w:p>
            <w:pPr>
              <w:pStyle w:val="49"/>
            </w:pPr>
            <w:r>
              <w:t>5.44E-34</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40m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3.13E-31</w:t>
            </w:r>
          </w:p>
        </w:tc>
        <w:tc>
          <w:tcPr>
            <w:tcW w:w="625" w:type="pct"/>
            <w:tcBorders>
              <w:top w:val="nil"/>
              <w:left w:val="nil"/>
              <w:bottom w:val="single" w:color="auto" w:sz="4" w:space="0"/>
              <w:right w:val="single" w:color="auto" w:sz="4" w:space="0"/>
            </w:tcBorders>
            <w:noWrap/>
            <w:vAlign w:val="center"/>
          </w:tcPr>
          <w:p>
            <w:pPr>
              <w:pStyle w:val="49"/>
            </w:pPr>
            <w:r>
              <w:t>4.08E-02</w:t>
            </w:r>
          </w:p>
        </w:tc>
        <w:tc>
          <w:tcPr>
            <w:tcW w:w="625" w:type="pct"/>
            <w:tcBorders>
              <w:top w:val="nil"/>
              <w:left w:val="nil"/>
              <w:bottom w:val="single" w:color="auto" w:sz="4" w:space="0"/>
              <w:right w:val="single" w:color="auto" w:sz="4" w:space="0"/>
            </w:tcBorders>
            <w:noWrap/>
            <w:vAlign w:val="center"/>
          </w:tcPr>
          <w:p>
            <w:pPr>
              <w:pStyle w:val="49"/>
            </w:pPr>
            <w:r>
              <w:t>9.86E+00</w:t>
            </w:r>
          </w:p>
        </w:tc>
        <w:tc>
          <w:tcPr>
            <w:tcW w:w="625" w:type="pct"/>
            <w:tcBorders>
              <w:top w:val="nil"/>
              <w:left w:val="nil"/>
              <w:bottom w:val="single" w:color="auto" w:sz="4" w:space="0"/>
              <w:right w:val="single" w:color="auto" w:sz="4" w:space="0"/>
            </w:tcBorders>
            <w:noWrap/>
            <w:vAlign w:val="center"/>
          </w:tcPr>
          <w:p>
            <w:pPr>
              <w:pStyle w:val="49"/>
            </w:pPr>
            <w:r>
              <w:t>5.23E-05</w:t>
            </w:r>
          </w:p>
        </w:tc>
        <w:tc>
          <w:tcPr>
            <w:tcW w:w="625" w:type="pct"/>
            <w:tcBorders>
              <w:top w:val="nil"/>
              <w:left w:val="nil"/>
              <w:bottom w:val="single" w:color="auto" w:sz="4" w:space="0"/>
              <w:right w:val="single" w:color="auto" w:sz="4" w:space="0"/>
            </w:tcBorders>
            <w:noWrap/>
            <w:vAlign w:val="center"/>
          </w:tcPr>
          <w:p>
            <w:pPr>
              <w:pStyle w:val="49"/>
            </w:pPr>
            <w:r>
              <w:t>1.93E-28</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50m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6.61E-08</w:t>
            </w:r>
          </w:p>
        </w:tc>
        <w:tc>
          <w:tcPr>
            <w:tcW w:w="625" w:type="pct"/>
            <w:tcBorders>
              <w:top w:val="nil"/>
              <w:left w:val="nil"/>
              <w:bottom w:val="single" w:color="auto" w:sz="4" w:space="0"/>
              <w:right w:val="single" w:color="auto" w:sz="4" w:space="0"/>
            </w:tcBorders>
            <w:noWrap/>
            <w:vAlign w:val="center"/>
          </w:tcPr>
          <w:p>
            <w:pPr>
              <w:pStyle w:val="49"/>
            </w:pPr>
            <w:r>
              <w:t>5.22E+01</w:t>
            </w:r>
          </w:p>
        </w:tc>
        <w:tc>
          <w:tcPr>
            <w:tcW w:w="625" w:type="pct"/>
            <w:tcBorders>
              <w:top w:val="nil"/>
              <w:left w:val="nil"/>
              <w:bottom w:val="single" w:color="auto" w:sz="4" w:space="0"/>
              <w:right w:val="single" w:color="auto" w:sz="4" w:space="0"/>
            </w:tcBorders>
            <w:noWrap/>
            <w:vAlign w:val="center"/>
          </w:tcPr>
          <w:p>
            <w:pPr>
              <w:pStyle w:val="49"/>
            </w:pPr>
            <w:r>
              <w:t>4.11E-02</w:t>
            </w:r>
          </w:p>
        </w:tc>
        <w:tc>
          <w:tcPr>
            <w:tcW w:w="625" w:type="pct"/>
            <w:tcBorders>
              <w:top w:val="nil"/>
              <w:left w:val="nil"/>
              <w:bottom w:val="single" w:color="auto" w:sz="4" w:space="0"/>
              <w:right w:val="single" w:color="auto" w:sz="4" w:space="0"/>
            </w:tcBorders>
            <w:noWrap/>
            <w:vAlign w:val="center"/>
          </w:tcPr>
          <w:p>
            <w:pPr>
              <w:pStyle w:val="49"/>
            </w:pPr>
            <w:r>
              <w:t>2.25E-23</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60m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1.36E-16</w:t>
            </w:r>
          </w:p>
        </w:tc>
        <w:tc>
          <w:tcPr>
            <w:tcW w:w="625" w:type="pct"/>
            <w:tcBorders>
              <w:top w:val="nil"/>
              <w:left w:val="nil"/>
              <w:bottom w:val="single" w:color="auto" w:sz="4" w:space="0"/>
              <w:right w:val="single" w:color="auto" w:sz="4" w:space="0"/>
            </w:tcBorders>
            <w:noWrap/>
            <w:vAlign w:val="center"/>
          </w:tcPr>
          <w:p>
            <w:pPr>
              <w:pStyle w:val="49"/>
            </w:pPr>
            <w:r>
              <w:t>9.86E+00</w:t>
            </w:r>
          </w:p>
        </w:tc>
        <w:tc>
          <w:tcPr>
            <w:tcW w:w="625" w:type="pct"/>
            <w:tcBorders>
              <w:top w:val="nil"/>
              <w:left w:val="nil"/>
              <w:bottom w:val="single" w:color="auto" w:sz="4" w:space="0"/>
              <w:right w:val="single" w:color="auto" w:sz="4" w:space="0"/>
            </w:tcBorders>
            <w:noWrap/>
            <w:vAlign w:val="center"/>
          </w:tcPr>
          <w:p>
            <w:pPr>
              <w:pStyle w:val="49"/>
            </w:pPr>
            <w:r>
              <w:t>3.50E+00</w:t>
            </w:r>
          </w:p>
        </w:tc>
        <w:tc>
          <w:tcPr>
            <w:tcW w:w="625" w:type="pct"/>
            <w:tcBorders>
              <w:top w:val="nil"/>
              <w:left w:val="nil"/>
              <w:bottom w:val="single" w:color="auto" w:sz="4" w:space="0"/>
              <w:right w:val="single" w:color="auto" w:sz="4" w:space="0"/>
            </w:tcBorders>
            <w:noWrap/>
            <w:vAlign w:val="center"/>
          </w:tcPr>
          <w:p>
            <w:pPr>
              <w:pStyle w:val="49"/>
            </w:pPr>
            <w:r>
              <w:t>8.63E-19</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70m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3.58E-28</w:t>
            </w:r>
          </w:p>
        </w:tc>
        <w:tc>
          <w:tcPr>
            <w:tcW w:w="625" w:type="pct"/>
            <w:tcBorders>
              <w:top w:val="nil"/>
              <w:left w:val="nil"/>
              <w:bottom w:val="single" w:color="auto" w:sz="4" w:space="0"/>
              <w:right w:val="single" w:color="auto" w:sz="4" w:space="0"/>
            </w:tcBorders>
            <w:noWrap/>
            <w:vAlign w:val="center"/>
          </w:tcPr>
          <w:p>
            <w:pPr>
              <w:pStyle w:val="49"/>
            </w:pPr>
            <w:r>
              <w:t>6.64E-02</w:t>
            </w:r>
          </w:p>
        </w:tc>
        <w:tc>
          <w:tcPr>
            <w:tcW w:w="625" w:type="pct"/>
            <w:tcBorders>
              <w:top w:val="nil"/>
              <w:left w:val="nil"/>
              <w:bottom w:val="single" w:color="auto" w:sz="4" w:space="0"/>
              <w:right w:val="single" w:color="auto" w:sz="4" w:space="0"/>
            </w:tcBorders>
            <w:noWrap/>
            <w:vAlign w:val="center"/>
          </w:tcPr>
          <w:p>
            <w:pPr>
              <w:pStyle w:val="49"/>
            </w:pPr>
            <w:r>
              <w:t>3.23E+01</w:t>
            </w:r>
          </w:p>
        </w:tc>
        <w:tc>
          <w:tcPr>
            <w:tcW w:w="625" w:type="pct"/>
            <w:tcBorders>
              <w:top w:val="nil"/>
              <w:left w:val="nil"/>
              <w:bottom w:val="single" w:color="auto" w:sz="4" w:space="0"/>
              <w:right w:val="single" w:color="auto" w:sz="4" w:space="0"/>
            </w:tcBorders>
            <w:noWrap/>
            <w:vAlign w:val="center"/>
          </w:tcPr>
          <w:p>
            <w:pPr>
              <w:pStyle w:val="49"/>
            </w:pPr>
            <w:r>
              <w:t>1.09E-14</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80m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1.19E-42</w:t>
            </w:r>
          </w:p>
        </w:tc>
        <w:tc>
          <w:tcPr>
            <w:tcW w:w="625" w:type="pct"/>
            <w:tcBorders>
              <w:top w:val="nil"/>
              <w:left w:val="nil"/>
              <w:bottom w:val="single" w:color="auto" w:sz="4" w:space="0"/>
              <w:right w:val="single" w:color="auto" w:sz="4" w:space="0"/>
            </w:tcBorders>
            <w:noWrap/>
            <w:vAlign w:val="center"/>
          </w:tcPr>
          <w:p>
            <w:pPr>
              <w:pStyle w:val="49"/>
            </w:pPr>
            <w:r>
              <w:t>1.60E-05</w:t>
            </w:r>
          </w:p>
        </w:tc>
        <w:tc>
          <w:tcPr>
            <w:tcW w:w="625" w:type="pct"/>
            <w:tcBorders>
              <w:top w:val="nil"/>
              <w:left w:val="nil"/>
              <w:bottom w:val="single" w:color="auto" w:sz="4" w:space="0"/>
              <w:right w:val="single" w:color="auto" w:sz="4" w:space="0"/>
            </w:tcBorders>
            <w:noWrap/>
            <w:vAlign w:val="center"/>
          </w:tcPr>
          <w:p>
            <w:pPr>
              <w:pStyle w:val="49"/>
            </w:pPr>
            <w:r>
              <w:t>3.23E+01</w:t>
            </w:r>
          </w:p>
        </w:tc>
        <w:tc>
          <w:tcPr>
            <w:tcW w:w="625" w:type="pct"/>
            <w:tcBorders>
              <w:top w:val="nil"/>
              <w:left w:val="nil"/>
              <w:bottom w:val="single" w:color="auto" w:sz="4" w:space="0"/>
              <w:right w:val="single" w:color="auto" w:sz="4" w:space="0"/>
            </w:tcBorders>
            <w:noWrap/>
            <w:vAlign w:val="center"/>
          </w:tcPr>
          <w:p>
            <w:pPr>
              <w:pStyle w:val="49"/>
            </w:pPr>
            <w:r>
              <w:t>4.54E-11</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90m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1.37E-10</w:t>
            </w:r>
          </w:p>
        </w:tc>
        <w:tc>
          <w:tcPr>
            <w:tcW w:w="625" w:type="pct"/>
            <w:tcBorders>
              <w:top w:val="nil"/>
              <w:left w:val="nil"/>
              <w:bottom w:val="single" w:color="auto" w:sz="4" w:space="0"/>
              <w:right w:val="single" w:color="auto" w:sz="4" w:space="0"/>
            </w:tcBorders>
            <w:noWrap/>
            <w:vAlign w:val="center"/>
          </w:tcPr>
          <w:p>
            <w:pPr>
              <w:pStyle w:val="49"/>
            </w:pPr>
            <w:r>
              <w:t>3.50E+00</w:t>
            </w:r>
          </w:p>
        </w:tc>
        <w:tc>
          <w:tcPr>
            <w:tcW w:w="625" w:type="pct"/>
            <w:tcBorders>
              <w:top w:val="nil"/>
              <w:left w:val="nil"/>
              <w:bottom w:val="single" w:color="auto" w:sz="4" w:space="0"/>
              <w:right w:val="single" w:color="auto" w:sz="4" w:space="0"/>
            </w:tcBorders>
            <w:noWrap/>
            <w:vAlign w:val="center"/>
          </w:tcPr>
          <w:p>
            <w:pPr>
              <w:pStyle w:val="49"/>
            </w:pPr>
            <w:r>
              <w:t>6.21E-08</w:t>
            </w:r>
          </w:p>
        </w:tc>
      </w:tr>
      <w:tr>
        <w:tblPrEx>
          <w:tblCellMar>
            <w:top w:w="0" w:type="dxa"/>
            <w:left w:w="108" w:type="dxa"/>
            <w:bottom w:w="0" w:type="dxa"/>
            <w:right w:w="108" w:type="dxa"/>
          </w:tblCellMar>
        </w:tblPrEx>
        <w:trPr>
          <w:trHeight w:val="397" w:hRule="atLeast"/>
        </w:trPr>
        <w:tc>
          <w:tcPr>
            <w:tcW w:w="410" w:type="pct"/>
            <w:tcBorders>
              <w:top w:val="nil"/>
              <w:left w:val="single" w:color="auto" w:sz="4" w:space="0"/>
              <w:bottom w:val="single" w:color="auto" w:sz="4" w:space="0"/>
              <w:right w:val="single" w:color="auto" w:sz="4" w:space="0"/>
            </w:tcBorders>
            <w:noWrap/>
            <w:vAlign w:val="center"/>
          </w:tcPr>
          <w:p>
            <w:pPr>
              <w:pStyle w:val="49"/>
            </w:pPr>
            <w:r>
              <w:t>100m</w:t>
            </w:r>
          </w:p>
        </w:tc>
        <w:tc>
          <w:tcPr>
            <w:tcW w:w="738" w:type="pct"/>
            <w:tcBorders>
              <w:top w:val="nil"/>
              <w:left w:val="nil"/>
              <w:bottom w:val="single" w:color="auto" w:sz="4" w:space="0"/>
              <w:right w:val="single" w:color="auto" w:sz="4" w:space="0"/>
            </w:tcBorders>
            <w:noWrap/>
            <w:vAlign w:val="center"/>
          </w:tcPr>
          <w:p>
            <w:pPr>
              <w:pStyle w:val="49"/>
            </w:pPr>
            <w:r>
              <w:t>0.00E+00</w:t>
            </w:r>
          </w:p>
        </w:tc>
        <w:tc>
          <w:tcPr>
            <w:tcW w:w="656" w:type="pct"/>
            <w:tcBorders>
              <w:top w:val="nil"/>
              <w:left w:val="nil"/>
              <w:bottom w:val="single" w:color="auto" w:sz="4" w:space="0"/>
              <w:right w:val="single" w:color="auto" w:sz="4" w:space="0"/>
            </w:tcBorders>
            <w:noWrap/>
            <w:vAlign w:val="center"/>
          </w:tcPr>
          <w:p>
            <w:pPr>
              <w:pStyle w:val="49"/>
            </w:pPr>
            <w:r>
              <w:t>0.00E+00</w:t>
            </w:r>
          </w:p>
        </w:tc>
        <w:tc>
          <w:tcPr>
            <w:tcW w:w="69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0.00E+00</w:t>
            </w:r>
          </w:p>
        </w:tc>
        <w:tc>
          <w:tcPr>
            <w:tcW w:w="625" w:type="pct"/>
            <w:tcBorders>
              <w:top w:val="nil"/>
              <w:left w:val="nil"/>
              <w:bottom w:val="single" w:color="auto" w:sz="4" w:space="0"/>
              <w:right w:val="single" w:color="auto" w:sz="4" w:space="0"/>
            </w:tcBorders>
            <w:noWrap/>
            <w:vAlign w:val="center"/>
          </w:tcPr>
          <w:p>
            <w:pPr>
              <w:pStyle w:val="49"/>
            </w:pPr>
            <w:r>
              <w:t>4.19E-17</w:t>
            </w:r>
          </w:p>
        </w:tc>
        <w:tc>
          <w:tcPr>
            <w:tcW w:w="625" w:type="pct"/>
            <w:tcBorders>
              <w:top w:val="nil"/>
              <w:left w:val="nil"/>
              <w:bottom w:val="single" w:color="auto" w:sz="4" w:space="0"/>
              <w:right w:val="single" w:color="auto" w:sz="4" w:space="0"/>
            </w:tcBorders>
            <w:noWrap/>
            <w:vAlign w:val="center"/>
          </w:tcPr>
          <w:p>
            <w:pPr>
              <w:pStyle w:val="49"/>
            </w:pPr>
            <w:r>
              <w:t>4.11E-02</w:t>
            </w:r>
          </w:p>
        </w:tc>
        <w:tc>
          <w:tcPr>
            <w:tcW w:w="625" w:type="pct"/>
            <w:tcBorders>
              <w:top w:val="nil"/>
              <w:left w:val="nil"/>
              <w:bottom w:val="single" w:color="auto" w:sz="4" w:space="0"/>
              <w:right w:val="single" w:color="auto" w:sz="4" w:space="0"/>
            </w:tcBorders>
            <w:noWrap/>
            <w:vAlign w:val="center"/>
          </w:tcPr>
          <w:p>
            <w:pPr>
              <w:pStyle w:val="49"/>
            </w:pPr>
            <w:r>
              <w:t>2.80E-05</w:t>
            </w:r>
          </w:p>
        </w:tc>
      </w:tr>
    </w:tbl>
    <w:p>
      <w:pPr>
        <w:pStyle w:val="3"/>
        <w:ind w:firstLine="480"/>
        <w:rPr>
          <w:kern w:val="0"/>
        </w:rPr>
      </w:pPr>
      <w:r>
        <w:rPr>
          <w:rFonts w:hint="eastAsia"/>
          <w:kern w:val="0"/>
        </w:rPr>
        <w:t>由以上预测结果可知，事故工况下，废水发生泄漏瞬时排放污染物COD在第</w:t>
      </w:r>
      <w:r>
        <w:rPr>
          <w:kern w:val="0"/>
        </w:rPr>
        <w:t>5</w:t>
      </w:r>
      <w:r>
        <w:rPr>
          <w:rFonts w:hint="eastAsia"/>
          <w:kern w:val="0"/>
        </w:rPr>
        <w:t>天距离泄漏源</w:t>
      </w:r>
      <w:r>
        <w:rPr>
          <w:kern w:val="0"/>
        </w:rPr>
        <w:t>7m</w:t>
      </w:r>
      <w:r>
        <w:rPr>
          <w:rFonts w:hint="eastAsia"/>
          <w:kern w:val="0"/>
        </w:rPr>
        <w:t>处浓度达到3094.482</w:t>
      </w:r>
      <w:r>
        <w:rPr>
          <w:kern w:val="0"/>
        </w:rPr>
        <w:t>mg/L</w:t>
      </w:r>
      <w:r>
        <w:rPr>
          <w:rFonts w:hint="eastAsia"/>
          <w:kern w:val="0"/>
        </w:rPr>
        <w:t>；</w:t>
      </w:r>
      <w:r>
        <w:rPr>
          <w:kern w:val="0"/>
        </w:rPr>
        <w:t>10</w:t>
      </w:r>
      <w:r>
        <w:rPr>
          <w:rFonts w:hint="eastAsia"/>
          <w:kern w:val="0"/>
        </w:rPr>
        <w:t>天时，预测的最大值为2188.129</w:t>
      </w:r>
      <w:r>
        <w:rPr>
          <w:kern w:val="0"/>
        </w:rPr>
        <w:t>mg/L</w:t>
      </w:r>
      <w:r>
        <w:rPr>
          <w:rFonts w:hint="eastAsia"/>
          <w:kern w:val="0"/>
        </w:rPr>
        <w:t>，预测超标距离最远为11</w:t>
      </w:r>
      <w:r>
        <w:rPr>
          <w:kern w:val="0"/>
        </w:rPr>
        <w:t>m</w:t>
      </w:r>
      <w:r>
        <w:rPr>
          <w:rFonts w:hint="eastAsia"/>
          <w:kern w:val="0"/>
        </w:rPr>
        <w:t>；</w:t>
      </w:r>
      <w:r>
        <w:rPr>
          <w:kern w:val="0"/>
        </w:rPr>
        <w:t>100</w:t>
      </w:r>
      <w:r>
        <w:rPr>
          <w:rFonts w:hint="eastAsia"/>
          <w:kern w:val="0"/>
        </w:rPr>
        <w:t>天时，预测的最大值为691.947</w:t>
      </w:r>
      <w:r>
        <w:rPr>
          <w:kern w:val="0"/>
        </w:rPr>
        <w:t>mg/L</w:t>
      </w:r>
      <w:r>
        <w:rPr>
          <w:rFonts w:hint="eastAsia"/>
          <w:kern w:val="0"/>
        </w:rPr>
        <w:t>，预测超标距离最远为68</w:t>
      </w:r>
      <w:r>
        <w:rPr>
          <w:kern w:val="0"/>
        </w:rPr>
        <w:t>m</w:t>
      </w:r>
      <w:r>
        <w:rPr>
          <w:rFonts w:hint="eastAsia"/>
          <w:kern w:val="0"/>
        </w:rPr>
        <w:t>；</w:t>
      </w:r>
      <w:r>
        <w:rPr>
          <w:kern w:val="0"/>
        </w:rPr>
        <w:t>300</w:t>
      </w:r>
      <w:r>
        <w:rPr>
          <w:rFonts w:hint="eastAsia"/>
          <w:kern w:val="0"/>
        </w:rPr>
        <w:t>天时，预测的最大值为399.496</w:t>
      </w:r>
      <w:r>
        <w:rPr>
          <w:kern w:val="0"/>
        </w:rPr>
        <w:t>mg/L</w:t>
      </w:r>
      <w:r>
        <w:rPr>
          <w:rFonts w:hint="eastAsia"/>
          <w:kern w:val="0"/>
        </w:rPr>
        <w:t>，预测超标距离最远为179</w:t>
      </w:r>
      <w:r>
        <w:rPr>
          <w:kern w:val="0"/>
        </w:rPr>
        <w:t>m</w:t>
      </w:r>
      <w:r>
        <w:rPr>
          <w:rFonts w:hint="eastAsia"/>
          <w:kern w:val="0"/>
        </w:rPr>
        <w:t>；排放污染物</w:t>
      </w:r>
      <w:r>
        <w:rPr>
          <w:kern w:val="0"/>
        </w:rPr>
        <w:t>NH</w:t>
      </w:r>
      <w:r>
        <w:rPr>
          <w:kern w:val="0"/>
          <w:vertAlign w:val="subscript"/>
        </w:rPr>
        <w:t>3</w:t>
      </w:r>
      <w:r>
        <w:rPr>
          <w:kern w:val="0"/>
        </w:rPr>
        <w:t>-N</w:t>
      </w:r>
      <w:r>
        <w:rPr>
          <w:rFonts w:hint="eastAsia"/>
          <w:kern w:val="0"/>
        </w:rPr>
        <w:t>在第</w:t>
      </w:r>
      <w:r>
        <w:rPr>
          <w:kern w:val="0"/>
        </w:rPr>
        <w:t>5</w:t>
      </w:r>
      <w:r>
        <w:rPr>
          <w:rFonts w:hint="eastAsia"/>
          <w:kern w:val="0"/>
        </w:rPr>
        <w:t>天距离泄漏源6</w:t>
      </w:r>
      <w:r>
        <w:rPr>
          <w:kern w:val="0"/>
        </w:rPr>
        <w:t>m</w:t>
      </w:r>
      <w:r>
        <w:rPr>
          <w:rFonts w:hint="eastAsia"/>
          <w:kern w:val="0"/>
        </w:rPr>
        <w:t>处浓度达到233.443</w:t>
      </w:r>
      <w:r>
        <w:rPr>
          <w:kern w:val="0"/>
        </w:rPr>
        <w:t>mg/L</w:t>
      </w:r>
      <w:r>
        <w:rPr>
          <w:rFonts w:hint="eastAsia"/>
          <w:kern w:val="0"/>
        </w:rPr>
        <w:t>；</w:t>
      </w:r>
      <w:r>
        <w:rPr>
          <w:kern w:val="0"/>
        </w:rPr>
        <w:t>10</w:t>
      </w:r>
      <w:r>
        <w:rPr>
          <w:rFonts w:hint="eastAsia"/>
          <w:kern w:val="0"/>
        </w:rPr>
        <w:t>天时，预测的最大值为165.069</w:t>
      </w:r>
      <w:r>
        <w:rPr>
          <w:kern w:val="0"/>
        </w:rPr>
        <w:t>mg/L</w:t>
      </w:r>
      <w:r>
        <w:rPr>
          <w:rFonts w:hint="eastAsia"/>
          <w:kern w:val="0"/>
        </w:rPr>
        <w:t>，预测超标距离最远为9</w:t>
      </w:r>
      <w:r>
        <w:rPr>
          <w:kern w:val="0"/>
        </w:rPr>
        <w:t>m</w:t>
      </w:r>
      <w:r>
        <w:rPr>
          <w:rFonts w:hint="eastAsia"/>
          <w:kern w:val="0"/>
        </w:rPr>
        <w:t>；</w:t>
      </w:r>
      <w:r>
        <w:rPr>
          <w:kern w:val="0"/>
        </w:rPr>
        <w:t>100</w:t>
      </w:r>
      <w:r>
        <w:rPr>
          <w:rFonts w:hint="eastAsia"/>
          <w:kern w:val="0"/>
        </w:rPr>
        <w:t>天时，预测的最大值为52.199</w:t>
      </w:r>
      <w:r>
        <w:rPr>
          <w:kern w:val="0"/>
        </w:rPr>
        <w:t>mg/L</w:t>
      </w:r>
      <w:r>
        <w:rPr>
          <w:rFonts w:hint="eastAsia"/>
          <w:kern w:val="0"/>
        </w:rPr>
        <w:t>，预测超标距离最远为63</w:t>
      </w:r>
      <w:r>
        <w:rPr>
          <w:kern w:val="0"/>
        </w:rPr>
        <w:t>m</w:t>
      </w:r>
      <w:r>
        <w:rPr>
          <w:rFonts w:hint="eastAsia"/>
          <w:kern w:val="0"/>
        </w:rPr>
        <w:t>；</w:t>
      </w:r>
      <w:r>
        <w:rPr>
          <w:kern w:val="0"/>
        </w:rPr>
        <w:t>300</w:t>
      </w:r>
      <w:r>
        <w:rPr>
          <w:rFonts w:hint="eastAsia"/>
          <w:kern w:val="0"/>
        </w:rPr>
        <w:t>天时，预测的最大值为30.137</w:t>
      </w:r>
      <w:r>
        <w:rPr>
          <w:kern w:val="0"/>
        </w:rPr>
        <w:t>mg/L</w:t>
      </w:r>
      <w:r>
        <w:rPr>
          <w:rFonts w:hint="eastAsia"/>
          <w:kern w:val="0"/>
        </w:rPr>
        <w:t>，预测超标距离最远为170</w:t>
      </w:r>
      <w:r>
        <w:rPr>
          <w:kern w:val="0"/>
        </w:rPr>
        <w:t>m</w:t>
      </w:r>
      <w:r>
        <w:rPr>
          <w:rFonts w:hint="eastAsia"/>
          <w:kern w:val="0"/>
        </w:rPr>
        <w:t>。</w:t>
      </w:r>
    </w:p>
    <w:p>
      <w:pPr>
        <w:pStyle w:val="3"/>
        <w:ind w:firstLine="480"/>
      </w:pPr>
      <w:r>
        <w:rPr>
          <w:rFonts w:hint="eastAsia"/>
        </w:rPr>
        <w:t>项目事故工况下废水污染物会对区域地下水造成严重污染，因此，项目污水集中处理必须严格按照相关要求做好硬底化防渗防漏衬层，同时加强日常管理，严防事故泄漏。</w:t>
      </w:r>
    </w:p>
    <w:p>
      <w:pPr>
        <w:pStyle w:val="3"/>
        <w:ind w:firstLine="480"/>
        <w:rPr>
          <w:kern w:val="0"/>
        </w:rPr>
      </w:pPr>
      <w:r>
        <w:rPr>
          <w:rFonts w:hint="eastAsia"/>
          <w:kern w:val="0"/>
        </w:rPr>
        <w:t>项目排水系统实行雨污分流，污水管不采取明沟布设，实行严格的分区防渗，防止畜禽粪便、屠宰废水污染地下水，在采取该措施情况下，正常工况下废水对厂区地下水影响较小，本项目事故工况主要考虑污水收集池的泄漏，废水下渗可能导致地下水系统中污染物浓度增加，尤其是在距离事故发生点较近的地方。此时污染物直接进入表层土层，其浓度能再瞬间达到最大值，但是通过表土层一级包气带的降解、稀释作用，而最终进入到地下水含水层的量较少，对地下水影响逐步降低。</w:t>
      </w:r>
    </w:p>
    <w:p>
      <w:pPr>
        <w:pStyle w:val="3"/>
        <w:ind w:firstLine="480"/>
        <w:rPr>
          <w:kern w:val="0"/>
        </w:rPr>
      </w:pPr>
      <w:r>
        <w:rPr>
          <w:rFonts w:hint="eastAsia"/>
          <w:kern w:val="0"/>
        </w:rPr>
        <w:t>9、对周边饮用水水源影响</w:t>
      </w:r>
    </w:p>
    <w:p>
      <w:pPr>
        <w:pStyle w:val="3"/>
        <w:ind w:firstLine="480"/>
        <w:rPr>
          <w:kern w:val="0"/>
        </w:rPr>
      </w:pPr>
      <w:r>
        <w:rPr>
          <w:rFonts w:hint="eastAsia"/>
          <w:kern w:val="0"/>
        </w:rPr>
        <w:t>本项目屠宰场厂界外200</w:t>
      </w:r>
      <w:r>
        <w:rPr>
          <w:kern w:val="0"/>
        </w:rPr>
        <w:t>m</w:t>
      </w:r>
      <w:r>
        <w:rPr>
          <w:rFonts w:hint="eastAsia"/>
          <w:kern w:val="0"/>
        </w:rPr>
        <w:t>范围内无集中居民区及饮用水源，处于地下水径流侧流向，影响范围较小。</w:t>
      </w:r>
    </w:p>
    <w:p>
      <w:pPr>
        <w:pStyle w:val="3"/>
        <w:ind w:firstLine="0" w:firstLineChars="0"/>
        <w:outlineLvl w:val="2"/>
        <w:rPr>
          <w:rFonts w:eastAsia="黑体" w:cstheme="majorBidi"/>
          <w:bCs/>
          <w:szCs w:val="32"/>
        </w:rPr>
      </w:pPr>
      <w:r>
        <w:rPr>
          <w:rFonts w:hint="eastAsia"/>
        </w:rPr>
        <w:t>6.2.5</w:t>
      </w:r>
      <w:r>
        <w:rPr>
          <w:rFonts w:hint="eastAsia"/>
        </w:rPr>
        <w:tab/>
      </w:r>
      <w:r>
        <w:rPr>
          <w:rFonts w:hint="eastAsia" w:eastAsia="黑体" w:cstheme="majorBidi"/>
          <w:bCs/>
          <w:szCs w:val="32"/>
        </w:rPr>
        <w:t>营运期固体废物环境影响分析</w:t>
      </w:r>
    </w:p>
    <w:p>
      <w:pPr>
        <w:pStyle w:val="3"/>
        <w:ind w:firstLine="0" w:firstLineChars="0"/>
        <w:outlineLvl w:val="3"/>
        <w:rPr>
          <w:rFonts w:eastAsia="黑体" w:cstheme="majorBidi"/>
          <w:bCs/>
          <w:szCs w:val="32"/>
        </w:rPr>
      </w:pPr>
      <w:r>
        <w:rPr>
          <w:rFonts w:hint="eastAsia" w:eastAsia="黑体" w:cstheme="majorBidi"/>
          <w:bCs/>
          <w:szCs w:val="32"/>
        </w:rPr>
        <w:t>6.2.5.1</w:t>
      </w:r>
      <w:r>
        <w:rPr>
          <w:rFonts w:hint="eastAsia" w:eastAsia="黑体" w:cstheme="majorBidi"/>
          <w:bCs/>
          <w:szCs w:val="32"/>
        </w:rPr>
        <w:tab/>
      </w:r>
      <w:r>
        <w:rPr>
          <w:rFonts w:hint="eastAsia" w:eastAsia="黑体" w:cstheme="majorBidi"/>
          <w:bCs/>
          <w:szCs w:val="32"/>
        </w:rPr>
        <w:t>固废处理方式</w:t>
      </w:r>
    </w:p>
    <w:p>
      <w:pPr>
        <w:pStyle w:val="3"/>
        <w:ind w:firstLine="480"/>
      </w:pPr>
      <w:r>
        <w:rPr>
          <w:rFonts w:hint="eastAsia"/>
        </w:rPr>
        <w:t>根据工程分析结果，包括</w:t>
      </w:r>
      <w:r>
        <w:rPr>
          <w:rFonts w:hint="eastAsia" w:ascii="宋体" w:cs="宋体"/>
        </w:rPr>
        <w:t>不合格家禽</w:t>
      </w:r>
      <w:r>
        <w:rPr>
          <w:rFonts w:hint="eastAsia"/>
        </w:rPr>
        <w:t>、病死牛、粪便、</w:t>
      </w:r>
      <w:r>
        <w:rPr>
          <w:rFonts w:hint="eastAsia" w:ascii="宋体" w:cs="宋体"/>
        </w:rPr>
        <w:t>内脏容物</w:t>
      </w:r>
      <w:r>
        <w:rPr>
          <w:rFonts w:hint="eastAsia"/>
        </w:rPr>
        <w:t>、</w:t>
      </w:r>
      <w:r>
        <w:rPr>
          <w:rFonts w:hint="eastAsia" w:ascii="宋体" w:cs="宋体"/>
        </w:rPr>
        <w:t>屠宰废弃物</w:t>
      </w:r>
      <w:r>
        <w:rPr>
          <w:rFonts w:hint="eastAsia"/>
        </w:rPr>
        <w:t>、</w:t>
      </w:r>
      <w:r>
        <w:rPr>
          <w:rFonts w:hint="eastAsia" w:ascii="宋体" w:cs="宋体"/>
        </w:rPr>
        <w:t>腊鸭毛混合物、栅渣、粪渣、沼渣、生物质炉渣、废冷冻机油、检疫废物</w:t>
      </w:r>
      <w:r>
        <w:rPr>
          <w:rFonts w:hint="eastAsia"/>
        </w:rPr>
        <w:t>和职工生活垃圾等。</w:t>
      </w:r>
    </w:p>
    <w:p>
      <w:pPr>
        <w:pStyle w:val="3"/>
        <w:ind w:firstLine="480"/>
        <w:rPr>
          <w:kern w:val="0"/>
        </w:rPr>
      </w:pPr>
      <w:r>
        <w:rPr>
          <w:rFonts w:hint="eastAsia"/>
          <w:kern w:val="0"/>
        </w:rPr>
        <w:t>项目</w:t>
      </w:r>
      <w:r>
        <w:rPr>
          <w:rFonts w:hint="eastAsia" w:ascii="宋体" w:cs="宋体"/>
        </w:rPr>
        <w:t>不合格家禽</w:t>
      </w:r>
      <w:r>
        <w:rPr>
          <w:rFonts w:hint="eastAsia"/>
        </w:rPr>
        <w:t>、病死牛</w:t>
      </w:r>
      <w:r>
        <w:rPr>
          <w:rFonts w:hint="eastAsia" w:ascii="宋体" w:cs="宋体"/>
        </w:rPr>
        <w:t>急宰后冷柜贮存，交由有资质的集中病死畜禽无害化处理中心收集处理；畜禽粪便日产日清，交由</w:t>
      </w:r>
      <w:r>
        <w:rPr>
          <w:rFonts w:hint="eastAsia" w:cs="Times New Roman"/>
        </w:rPr>
        <w:t>衡阳县喜耕田有机肥厂回收处理</w:t>
      </w:r>
      <w:r>
        <w:rPr>
          <w:rFonts w:hint="eastAsia" w:ascii="宋体" w:cs="宋体"/>
        </w:rPr>
        <w:t>；内脏容物</w:t>
      </w:r>
      <w:r>
        <w:rPr>
          <w:rFonts w:hint="eastAsia"/>
        </w:rPr>
        <w:t>、</w:t>
      </w:r>
      <w:r>
        <w:rPr>
          <w:rFonts w:hint="eastAsia" w:ascii="宋体" w:cs="宋体"/>
        </w:rPr>
        <w:t>屠宰废弃物密闭容器收集后，暂存于冷柜内一般固废暂存区，日产日清，由附近养殖户清运作为饲料；腊鸭毛混合物收集后由食用蜡供应厂家回收；栅渣日产日清，交有处理能力单位回收利用；粪渣、沼渣定期清理，送至</w:t>
      </w:r>
      <w:r>
        <w:rPr>
          <w:rFonts w:hint="eastAsia" w:cs="Times New Roman"/>
        </w:rPr>
        <w:t>衡阳县喜耕田有机肥厂回收处理</w:t>
      </w:r>
      <w:r>
        <w:rPr>
          <w:rFonts w:hint="eastAsia" w:ascii="宋体" w:cs="宋体"/>
        </w:rPr>
        <w:t>；生物质炉渣用作农肥；废冷冻机油、检疫废物收集暂存于厂区内危险废物暂存间，交有危险废物处理资质的单位进行处理；</w:t>
      </w:r>
      <w:r>
        <w:rPr>
          <w:rFonts w:hint="eastAsia"/>
          <w:kern w:val="0"/>
        </w:rPr>
        <w:t>生活垃圾交由环卫部门统一收集处理，各类固废均能妥善处理处置，对区域环境影响较小。</w:t>
      </w:r>
    </w:p>
    <w:p>
      <w:pPr>
        <w:pStyle w:val="3"/>
        <w:ind w:firstLine="0" w:firstLineChars="0"/>
        <w:outlineLvl w:val="3"/>
        <w:rPr>
          <w:rFonts w:eastAsia="黑体" w:cstheme="majorBidi"/>
          <w:bCs/>
          <w:szCs w:val="32"/>
        </w:rPr>
      </w:pPr>
      <w:r>
        <w:rPr>
          <w:rFonts w:hint="eastAsia" w:eastAsia="黑体" w:cstheme="majorBidi"/>
          <w:bCs/>
          <w:szCs w:val="32"/>
        </w:rPr>
        <w:t>6.2.5.2</w:t>
      </w:r>
      <w:r>
        <w:rPr>
          <w:rFonts w:hint="eastAsia" w:eastAsia="黑体" w:cstheme="majorBidi"/>
          <w:bCs/>
          <w:szCs w:val="32"/>
        </w:rPr>
        <w:tab/>
      </w:r>
      <w:r>
        <w:rPr>
          <w:rFonts w:hint="eastAsia" w:eastAsia="黑体" w:cstheme="majorBidi"/>
          <w:bCs/>
          <w:szCs w:val="32"/>
        </w:rPr>
        <w:t>危险废物临时贮存和环境管理要求</w:t>
      </w:r>
    </w:p>
    <w:p>
      <w:pPr>
        <w:pStyle w:val="3"/>
        <w:ind w:firstLine="480"/>
        <w:rPr>
          <w:kern w:val="0"/>
        </w:rPr>
      </w:pPr>
      <w:r>
        <w:rPr>
          <w:rFonts w:hint="eastAsia"/>
          <w:kern w:val="0"/>
        </w:rPr>
        <w:t>由于本项目营运期间产生一定量的危险废物，本环评要求建设单位除了将危险废物委托给具有相应危险废物处理资质的单位处置以外，还要求建设单位务必做好危险废物在厂区内的临时贮存和管理，严格按照《危险废物贮存污染控制标准》（</w:t>
      </w:r>
      <w:r>
        <w:rPr>
          <w:kern w:val="0"/>
        </w:rPr>
        <w:t>GB18597-2001</w:t>
      </w:r>
      <w:r>
        <w:rPr>
          <w:rFonts w:hint="eastAsia"/>
          <w:kern w:val="0"/>
        </w:rPr>
        <w:t>）以及国家污染物控制标准修改单的公告（公告</w:t>
      </w:r>
      <w:r>
        <w:rPr>
          <w:kern w:val="0"/>
        </w:rPr>
        <w:t xml:space="preserve">2013 </w:t>
      </w:r>
      <w:r>
        <w:rPr>
          <w:rFonts w:hint="eastAsia"/>
          <w:kern w:val="0"/>
        </w:rPr>
        <w:t>年第</w:t>
      </w:r>
      <w:r>
        <w:rPr>
          <w:kern w:val="0"/>
        </w:rPr>
        <w:t xml:space="preserve">36 </w:t>
      </w:r>
      <w:r>
        <w:rPr>
          <w:rFonts w:hint="eastAsia"/>
          <w:kern w:val="0"/>
        </w:rPr>
        <w:t>号</w:t>
      </w:r>
      <w:r>
        <w:rPr>
          <w:kern w:val="0"/>
        </w:rPr>
        <w:t>)</w:t>
      </w:r>
      <w:r>
        <w:rPr>
          <w:rFonts w:hint="eastAsia"/>
          <w:kern w:val="0"/>
        </w:rPr>
        <w:t>的规定进行。本环评将与本项目相关的规定列举如下：</w:t>
      </w:r>
    </w:p>
    <w:p>
      <w:pPr>
        <w:pStyle w:val="3"/>
        <w:ind w:firstLine="480"/>
        <w:rPr>
          <w:kern w:val="0"/>
        </w:rPr>
      </w:pPr>
      <w:r>
        <w:rPr>
          <w:rFonts w:hint="eastAsia"/>
          <w:kern w:val="0"/>
        </w:rPr>
        <w:t>1、危险废物的堆放要求</w:t>
      </w:r>
    </w:p>
    <w:p>
      <w:pPr>
        <w:pStyle w:val="3"/>
        <w:ind w:firstLine="480"/>
        <w:rPr>
          <w:kern w:val="0"/>
        </w:rPr>
      </w:pPr>
      <w:r>
        <w:rPr>
          <w:rFonts w:hint="eastAsia"/>
          <w:kern w:val="0"/>
        </w:rPr>
        <w:t>①基础必须防渗，防渗层为至少</w:t>
      </w:r>
      <w:r>
        <w:rPr>
          <w:kern w:val="0"/>
        </w:rPr>
        <w:t xml:space="preserve">1 </w:t>
      </w:r>
      <w:r>
        <w:rPr>
          <w:rFonts w:hint="eastAsia"/>
          <w:kern w:val="0"/>
        </w:rPr>
        <w:t>米厚粘土层（渗透系数≤</w:t>
      </w:r>
      <w:r>
        <w:rPr>
          <w:kern w:val="0"/>
        </w:rPr>
        <w:t>10</w:t>
      </w:r>
      <w:r>
        <w:rPr>
          <w:kern w:val="0"/>
          <w:vertAlign w:val="superscript"/>
        </w:rPr>
        <w:t>-7</w:t>
      </w:r>
      <w:r>
        <w:rPr>
          <w:kern w:val="0"/>
        </w:rPr>
        <w:t>cm/s</w:t>
      </w:r>
      <w:r>
        <w:rPr>
          <w:rFonts w:hint="eastAsia"/>
          <w:kern w:val="0"/>
        </w:rPr>
        <w:t>），或</w:t>
      </w:r>
      <w:r>
        <w:rPr>
          <w:kern w:val="0"/>
        </w:rPr>
        <w:t>2mm</w:t>
      </w:r>
      <w:r>
        <w:rPr>
          <w:rFonts w:hint="eastAsia"/>
          <w:kern w:val="0"/>
        </w:rPr>
        <w:t>厚高密度聚乙烯，或至少</w:t>
      </w:r>
      <w:r>
        <w:rPr>
          <w:kern w:val="0"/>
        </w:rPr>
        <w:t>2</w:t>
      </w:r>
      <w:r>
        <w:rPr>
          <w:rFonts w:hint="eastAsia"/>
          <w:kern w:val="0"/>
        </w:rPr>
        <w:t>毫米厚的其它人工材料，渗透系数≤</w:t>
      </w:r>
      <w:r>
        <w:rPr>
          <w:kern w:val="0"/>
        </w:rPr>
        <w:t>10</w:t>
      </w:r>
      <w:r>
        <w:rPr>
          <w:kern w:val="0"/>
          <w:vertAlign w:val="superscript"/>
        </w:rPr>
        <w:t xml:space="preserve">-10 </w:t>
      </w:r>
      <w:r>
        <w:rPr>
          <w:kern w:val="0"/>
        </w:rPr>
        <w:t>cm/s</w:t>
      </w:r>
      <w:r>
        <w:rPr>
          <w:rFonts w:hint="eastAsia"/>
          <w:kern w:val="0"/>
        </w:rPr>
        <w:t>。</w:t>
      </w:r>
    </w:p>
    <w:p>
      <w:pPr>
        <w:pStyle w:val="3"/>
        <w:ind w:firstLine="480"/>
        <w:rPr>
          <w:kern w:val="0"/>
        </w:rPr>
      </w:pPr>
      <w:r>
        <w:rPr>
          <w:rFonts w:hint="eastAsia"/>
          <w:kern w:val="0"/>
        </w:rPr>
        <w:t>②堆放危险废物的高度应根据地面承载能力确定。</w:t>
      </w:r>
    </w:p>
    <w:p>
      <w:pPr>
        <w:pStyle w:val="3"/>
        <w:ind w:firstLine="480"/>
        <w:rPr>
          <w:kern w:val="0"/>
        </w:rPr>
      </w:pPr>
      <w:r>
        <w:rPr>
          <w:rFonts w:hint="eastAsia"/>
          <w:kern w:val="0"/>
        </w:rPr>
        <w:t>③衬里放在一个基础或底座上。</w:t>
      </w:r>
    </w:p>
    <w:p>
      <w:pPr>
        <w:pStyle w:val="3"/>
        <w:ind w:firstLine="480"/>
        <w:rPr>
          <w:kern w:val="0"/>
        </w:rPr>
      </w:pPr>
      <w:r>
        <w:rPr>
          <w:rFonts w:hint="eastAsia"/>
          <w:kern w:val="0"/>
        </w:rPr>
        <w:t>④衬里要能够覆盖危险废物或其溶出物可能涉及到的范围。</w:t>
      </w:r>
    </w:p>
    <w:p>
      <w:pPr>
        <w:pStyle w:val="3"/>
        <w:ind w:firstLine="480"/>
        <w:rPr>
          <w:kern w:val="0"/>
        </w:rPr>
      </w:pPr>
      <w:r>
        <w:rPr>
          <w:rFonts w:hint="eastAsia"/>
          <w:kern w:val="0"/>
        </w:rPr>
        <w:t>⑤衬里材料与堆放危险废物相容。</w:t>
      </w:r>
    </w:p>
    <w:p>
      <w:pPr>
        <w:pStyle w:val="3"/>
        <w:ind w:firstLine="480"/>
        <w:rPr>
          <w:kern w:val="0"/>
        </w:rPr>
      </w:pPr>
      <w:r>
        <w:rPr>
          <w:rFonts w:hint="eastAsia"/>
          <w:kern w:val="0"/>
        </w:rPr>
        <w:t>⑥危险废物堆要防风、防雨、防晒。</w:t>
      </w:r>
    </w:p>
    <w:p>
      <w:pPr>
        <w:pStyle w:val="3"/>
        <w:ind w:firstLine="480"/>
        <w:rPr>
          <w:kern w:val="0"/>
        </w:rPr>
      </w:pPr>
      <w:r>
        <w:rPr>
          <w:rFonts w:hint="eastAsia"/>
          <w:kern w:val="0"/>
        </w:rPr>
        <w:t>⑦总贮存量不超过</w:t>
      </w:r>
      <w:r>
        <w:rPr>
          <w:kern w:val="0"/>
        </w:rPr>
        <w:t>300kg</w:t>
      </w:r>
      <w:r>
        <w:rPr>
          <w:rFonts w:hint="eastAsia"/>
          <w:kern w:val="0"/>
        </w:rPr>
        <w:t>（</w:t>
      </w:r>
      <w:r>
        <w:rPr>
          <w:kern w:val="0"/>
        </w:rPr>
        <w:t>L</w:t>
      </w:r>
      <w:r>
        <w:rPr>
          <w:rFonts w:hint="eastAsia"/>
          <w:kern w:val="0"/>
        </w:rPr>
        <w:t>）的危险废物要放入符合标准的容器内，加上标签，容器放入坚固的柜或箱中，柜或箱应设多个直径不少于</w:t>
      </w:r>
      <w:r>
        <w:rPr>
          <w:kern w:val="0"/>
        </w:rPr>
        <w:t>30mm</w:t>
      </w:r>
      <w:r>
        <w:rPr>
          <w:rFonts w:hint="eastAsia"/>
          <w:kern w:val="0"/>
        </w:rPr>
        <w:t>的排气孔。不相容危险废物要分别存放或存放在不渗透间隔分开的区域内，每个部分都应有防漏裙脚或储漏盘，防漏裙脚或储漏盘的材料要与危险废物相容。</w:t>
      </w:r>
    </w:p>
    <w:p>
      <w:pPr>
        <w:pStyle w:val="3"/>
        <w:ind w:firstLine="480"/>
        <w:rPr>
          <w:kern w:val="0"/>
        </w:rPr>
      </w:pPr>
      <w:r>
        <w:rPr>
          <w:rFonts w:hint="eastAsia"/>
          <w:kern w:val="0"/>
        </w:rPr>
        <w:t>2、危险废物贮存设施的运行与管理</w:t>
      </w:r>
    </w:p>
    <w:p>
      <w:pPr>
        <w:pStyle w:val="3"/>
        <w:ind w:firstLine="480"/>
        <w:rPr>
          <w:kern w:val="0"/>
        </w:rPr>
      </w:pPr>
      <w:r>
        <w:rPr>
          <w:rFonts w:hint="eastAsia"/>
          <w:kern w:val="0"/>
        </w:rPr>
        <w:t>①危险废物产生者和危险废物贮存设施经营者均须作好危险废物情况的记录，记录上须注明危险废物的名称、来源、数量、特性和包装容器的类别、入库日期、存放库位、废物出库日期及接收单位名称。危险废物记录和货单在危险废物回取后应继续保留三年。</w:t>
      </w:r>
    </w:p>
    <w:p>
      <w:pPr>
        <w:pStyle w:val="3"/>
        <w:ind w:firstLine="480"/>
        <w:rPr>
          <w:rFonts w:ascii="宋体" w:hAnsi="宋体" w:cs="宋体"/>
          <w:kern w:val="0"/>
          <w:szCs w:val="24"/>
        </w:rPr>
      </w:pPr>
      <w:r>
        <w:rPr>
          <w:rFonts w:hint="eastAsia"/>
          <w:kern w:val="0"/>
        </w:rPr>
        <w:t>②必须定期对所贮存的危险废物包装容器及贮存设施进行检查，发现破损，应及时采取措施清理更换。综上，只要本项目严格按照《危险废物贮存污染控制标准》（</w:t>
      </w:r>
      <w:r>
        <w:rPr>
          <w:kern w:val="0"/>
        </w:rPr>
        <w:t>GB18597-2001</w:t>
      </w:r>
      <w:r>
        <w:rPr>
          <w:rFonts w:hint="eastAsia"/>
          <w:kern w:val="0"/>
        </w:rPr>
        <w:t>）及</w:t>
      </w:r>
      <w:r>
        <w:rPr>
          <w:kern w:val="0"/>
        </w:rPr>
        <w:t>2013</w:t>
      </w:r>
      <w:r>
        <w:rPr>
          <w:rFonts w:hint="eastAsia"/>
          <w:kern w:val="0"/>
        </w:rPr>
        <w:t>年修改单对危险废物进行收集、暂存、并委托持有《危险废物经营许可证》的单位进行无害化处理处置，采取上述措施后，本项目的危险废物对周围环境基本无影响。</w:t>
      </w:r>
      <w:r>
        <w:rPr>
          <w:rFonts w:hint="eastAsia" w:ascii="宋体" w:hAnsi="宋体" w:cs="宋体"/>
          <w:kern w:val="0"/>
          <w:szCs w:val="24"/>
        </w:rPr>
        <w:t xml:space="preserve"> </w:t>
      </w:r>
    </w:p>
    <w:p>
      <w:pPr>
        <w:pStyle w:val="3"/>
        <w:ind w:firstLine="0" w:firstLineChars="0"/>
        <w:outlineLvl w:val="2"/>
        <w:rPr>
          <w:rFonts w:eastAsia="黑体" w:cstheme="majorBidi"/>
          <w:bCs/>
          <w:szCs w:val="32"/>
        </w:rPr>
      </w:pPr>
      <w:r>
        <w:rPr>
          <w:rFonts w:hint="eastAsia"/>
        </w:rPr>
        <w:t>6.2.6</w:t>
      </w:r>
      <w:r>
        <w:rPr>
          <w:rFonts w:hint="eastAsia"/>
        </w:rPr>
        <w:tab/>
      </w:r>
      <w:r>
        <w:rPr>
          <w:rFonts w:hint="eastAsia" w:eastAsia="黑体" w:cstheme="majorBidi"/>
          <w:bCs/>
          <w:szCs w:val="32"/>
        </w:rPr>
        <w:t>营运期生态环境影响分析</w:t>
      </w:r>
    </w:p>
    <w:p>
      <w:pPr>
        <w:pStyle w:val="3"/>
        <w:ind w:firstLine="480"/>
        <w:rPr>
          <w:kern w:val="0"/>
        </w:rPr>
      </w:pPr>
      <w:r>
        <w:rPr>
          <w:rFonts w:hint="eastAsia"/>
          <w:kern w:val="0"/>
        </w:rPr>
        <w:t>根据现场踏勘，本项目为改扩建项目，在厂区原有的范围内进行建设，不新增用地，对生态环境影响不明显。所在区域内无自然保护区和重点文物保护单位，未发现珍稀保护植物物种、古树名木及珍稀野生动物。</w:t>
      </w:r>
    </w:p>
    <w:p>
      <w:pPr>
        <w:pStyle w:val="3"/>
        <w:ind w:firstLine="480"/>
        <w:rPr>
          <w:kern w:val="0"/>
        </w:rPr>
      </w:pPr>
      <w:r>
        <w:rPr>
          <w:rFonts w:hint="eastAsia"/>
          <w:kern w:val="0"/>
        </w:rPr>
        <w:t>因此，项目建设期对陆地生物种类损失影响是轻微的，对生态环境的影响不会很大，不会影响附近的生态系统结构和功能，附近的农业生态系统和城镇生态系统的主导地位没有动摇。在运营期对厂区进行绿化，对陆地生态系统的影响是有利的，其生态效应将可得到适当的补偿。</w:t>
      </w:r>
    </w:p>
    <w:p>
      <w:pPr>
        <w:pStyle w:val="3"/>
        <w:ind w:firstLine="480"/>
        <w:rPr>
          <w:kern w:val="0"/>
        </w:rPr>
      </w:pPr>
      <w:r>
        <w:rPr>
          <w:rFonts w:hint="eastAsia"/>
          <w:kern w:val="0"/>
        </w:rPr>
        <w:t>综合上述，项目建设不会导致区域内的生物物种减少，对区域内野生动物的影响不大，对评价区域内的生态环境影响不大。</w:t>
      </w:r>
    </w:p>
    <w:p>
      <w:pPr>
        <w:pStyle w:val="3"/>
        <w:ind w:firstLine="0" w:firstLineChars="0"/>
        <w:outlineLvl w:val="2"/>
      </w:pPr>
      <w:r>
        <w:rPr>
          <w:rFonts w:hint="eastAsia"/>
        </w:rPr>
        <w:t>6.2.7</w:t>
      </w:r>
      <w:r>
        <w:rPr>
          <w:rFonts w:hint="eastAsia"/>
        </w:rPr>
        <w:tab/>
      </w:r>
      <w:r>
        <w:rPr>
          <w:rFonts w:hint="eastAsia" w:eastAsia="黑体" w:cstheme="majorBidi"/>
          <w:bCs/>
          <w:szCs w:val="32"/>
        </w:rPr>
        <w:t>车辆运输环境影响分析</w:t>
      </w:r>
    </w:p>
    <w:p>
      <w:pPr>
        <w:pStyle w:val="3"/>
        <w:ind w:firstLine="480"/>
        <w:rPr>
          <w:kern w:val="0"/>
        </w:rPr>
      </w:pPr>
      <w:r>
        <w:rPr>
          <w:rFonts w:hint="eastAsia"/>
          <w:kern w:val="0"/>
        </w:rPr>
        <w:t>本项目每日需运送牛、鸡、鸭到屠宰场进行待宰，在运输的过程中，畜禽在车辆里的排泄物会产生恶臭，对运输路线沿线的居民区造成影响。所以本项目在生畜禽运输的过程中，应采取控制运输时间、控制运输次数、对运输车辆做好防护措施来减少畜禽运输队运输路线的沿线居民区造成影响。畜禽运输的时间应避开居民日常活动的高峰期以及就餐时间；减少运输的次数，压缩恶臭的产生次数；运输车辆应做好防护措施，防止生畜禽排泄物漏出车外。畜禽运输恶臭源强较小，且运输道路具备良好的扩散条件有利于恶臭气体的稀释，通过以上措施，畜禽运输对沿线居民区造成的影响较小。</w:t>
      </w:r>
    </w:p>
    <w:p>
      <w:pPr>
        <w:pStyle w:val="3"/>
        <w:ind w:firstLine="480"/>
        <w:rPr>
          <w:rFonts w:cs="Times New Roman"/>
        </w:rPr>
        <w:sectPr>
          <w:pgSz w:w="11906" w:h="16838"/>
          <w:pgMar w:top="1474" w:right="1361" w:bottom="1474" w:left="1588" w:header="851" w:footer="992" w:gutter="0"/>
          <w:cols w:space="425" w:num="1"/>
          <w:docGrid w:type="lines" w:linePitch="312" w:charSpace="0"/>
        </w:sectPr>
      </w:pPr>
    </w:p>
    <w:p>
      <w:pPr>
        <w:pStyle w:val="2"/>
        <w:ind w:left="0"/>
      </w:pPr>
      <w:bookmarkStart w:id="31" w:name="_Toc116993074"/>
      <w:r>
        <w:rPr>
          <w:rFonts w:hint="eastAsia"/>
        </w:rPr>
        <w:t>环境</w:t>
      </w:r>
      <w:r>
        <w:t>风险分析</w:t>
      </w:r>
      <w:bookmarkEnd w:id="31"/>
    </w:p>
    <w:p>
      <w:pPr>
        <w:pStyle w:val="5"/>
        <w:rPr>
          <w:kern w:val="0"/>
        </w:rPr>
      </w:pPr>
      <w:bookmarkStart w:id="32" w:name="_Toc116993075"/>
      <w:bookmarkStart w:id="33" w:name="_Toc83392247"/>
      <w:r>
        <w:rPr>
          <w:rFonts w:hint="eastAsia"/>
          <w:kern w:val="0"/>
        </w:rPr>
        <w:t>环境风险评价概述</w:t>
      </w:r>
      <w:bookmarkEnd w:id="32"/>
      <w:bookmarkEnd w:id="33"/>
    </w:p>
    <w:p>
      <w:pPr>
        <w:pStyle w:val="3"/>
        <w:ind w:firstLine="0" w:firstLineChars="0"/>
        <w:outlineLvl w:val="2"/>
      </w:pPr>
      <w:r>
        <w:rPr>
          <w:rFonts w:hint="eastAsia"/>
        </w:rPr>
        <w:t>7.1.1</w:t>
      </w:r>
      <w:r>
        <w:rPr>
          <w:rFonts w:hint="eastAsia"/>
        </w:rPr>
        <w:tab/>
      </w:r>
      <w:r>
        <w:rPr>
          <w:rFonts w:hint="eastAsia" w:eastAsia="黑体" w:cstheme="majorBidi"/>
          <w:bCs/>
          <w:szCs w:val="32"/>
        </w:rPr>
        <w:t>评价目的</w:t>
      </w:r>
    </w:p>
    <w:p>
      <w:pPr>
        <w:pStyle w:val="3"/>
        <w:ind w:firstLine="480"/>
      </w:pPr>
      <w:r>
        <w:rPr>
          <w:rFonts w:hint="eastAsia"/>
        </w:rPr>
        <w:t>环境风险是指突发性事故对环境造成的危害程度及可能性，它具有危害性大、影响范围广等特点，同时风险发生又有很大的不确定性，倘若一旦发生，其破坏性极强，对生态环境会产生严重破坏。</w:t>
      </w:r>
    </w:p>
    <w:p>
      <w:pPr>
        <w:pStyle w:val="3"/>
        <w:ind w:firstLine="480"/>
        <w:rPr>
          <w:kern w:val="0"/>
        </w:rPr>
      </w:pPr>
      <w:r>
        <w:rPr>
          <w:rFonts w:hint="eastAsia"/>
          <w:kern w:val="0"/>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pStyle w:val="3"/>
        <w:ind w:firstLine="0" w:firstLineChars="0"/>
        <w:outlineLvl w:val="2"/>
      </w:pPr>
      <w:r>
        <w:rPr>
          <w:rFonts w:hint="eastAsia"/>
        </w:rPr>
        <w:t>7.1.2</w:t>
      </w:r>
      <w:r>
        <w:rPr>
          <w:rFonts w:hint="eastAsia"/>
        </w:rPr>
        <w:tab/>
      </w:r>
      <w:r>
        <w:rPr>
          <w:rFonts w:hint="eastAsia" w:eastAsia="黑体" w:cstheme="majorBidi"/>
          <w:bCs/>
          <w:szCs w:val="32"/>
        </w:rPr>
        <w:t>评价原则</w:t>
      </w:r>
    </w:p>
    <w:p>
      <w:pPr>
        <w:pStyle w:val="3"/>
        <w:ind w:firstLine="480"/>
        <w:rPr>
          <w:kern w:val="0"/>
        </w:rPr>
      </w:pPr>
      <w:r>
        <w:rPr>
          <w:rFonts w:hint="eastAsia"/>
          <w:kern w:val="0"/>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3"/>
        <w:ind w:firstLine="0" w:firstLineChars="0"/>
        <w:outlineLvl w:val="2"/>
      </w:pPr>
      <w:r>
        <w:rPr>
          <w:rFonts w:hint="eastAsia"/>
        </w:rPr>
        <w:t>7.1.3</w:t>
      </w:r>
      <w:r>
        <w:rPr>
          <w:rFonts w:hint="eastAsia"/>
        </w:rPr>
        <w:tab/>
      </w:r>
      <w:r>
        <w:rPr>
          <w:rFonts w:hint="eastAsia" w:eastAsia="黑体" w:cstheme="majorBidi"/>
          <w:bCs/>
          <w:szCs w:val="32"/>
        </w:rPr>
        <w:t>评价工作程序</w:t>
      </w:r>
    </w:p>
    <w:p>
      <w:pPr>
        <w:pStyle w:val="3"/>
        <w:ind w:firstLine="480"/>
        <w:rPr>
          <w:kern w:val="0"/>
        </w:rPr>
      </w:pPr>
      <w:r>
        <w:rPr>
          <w:rFonts w:hint="eastAsia"/>
          <w:kern w:val="0"/>
        </w:rPr>
        <w:t>环境风险评价工作程序详见图7.1-1。</w:t>
      </w:r>
    </w:p>
    <w:p>
      <w:pPr>
        <w:pStyle w:val="3"/>
        <w:ind w:firstLine="480"/>
        <w:jc w:val="center"/>
      </w:pPr>
      <w:r>
        <w:drawing>
          <wp:inline distT="0" distB="0" distL="0" distR="0">
            <wp:extent cx="4953000" cy="5162550"/>
            <wp:effectExtent l="0" t="0" r="0" b="0"/>
            <wp:docPr id="213" name="图片 213"/>
            <wp:cNvGraphicFramePr/>
            <a:graphic xmlns:a="http://schemas.openxmlformats.org/drawingml/2006/main">
              <a:graphicData uri="http://schemas.openxmlformats.org/drawingml/2006/picture">
                <pic:pic xmlns:pic="http://schemas.openxmlformats.org/drawingml/2006/picture">
                  <pic:nvPicPr>
                    <pic:cNvPr id="213" name="图片 213"/>
                    <pic:cNvPicPr/>
                  </pic:nvPicPr>
                  <pic:blipFill>
                    <a:blip r:embed="rId41">
                      <a:extLst>
                        <a:ext uri="{28A0092B-C50C-407E-A947-70E740481C1C}">
                          <a14:useLocalDpi xmlns:a14="http://schemas.microsoft.com/office/drawing/2010/main" val="0"/>
                        </a:ext>
                      </a:extLst>
                    </a:blip>
                    <a:srcRect/>
                    <a:stretch>
                      <a:fillRect/>
                    </a:stretch>
                  </pic:blipFill>
                  <pic:spPr>
                    <a:xfrm>
                      <a:off x="0" y="0"/>
                      <a:ext cx="4953000" cy="5162550"/>
                    </a:xfrm>
                    <a:prstGeom prst="rect">
                      <a:avLst/>
                    </a:prstGeom>
                    <a:noFill/>
                    <a:ln>
                      <a:noFill/>
                    </a:ln>
                  </pic:spPr>
                </pic:pic>
              </a:graphicData>
            </a:graphic>
          </wp:inline>
        </w:drawing>
      </w:r>
    </w:p>
    <w:p>
      <w:pPr>
        <w:pStyle w:val="3"/>
        <w:spacing w:line="240" w:lineRule="auto"/>
        <w:ind w:firstLine="482"/>
        <w:jc w:val="center"/>
        <w:rPr>
          <w:kern w:val="0"/>
        </w:rPr>
      </w:pPr>
      <w:r>
        <w:rPr>
          <w:rFonts w:hint="eastAsia" w:cs="Times New Roman" w:eastAsiaTheme="minorEastAsia"/>
          <w:b/>
        </w:rPr>
        <w:t xml:space="preserve">图7.1-1 </w:t>
      </w:r>
      <w:r>
        <w:rPr>
          <w:rFonts w:cs="Times New Roman" w:eastAsiaTheme="minorEastAsia"/>
          <w:b/>
        </w:rPr>
        <w:t xml:space="preserve"> </w:t>
      </w:r>
      <w:r>
        <w:rPr>
          <w:rFonts w:hint="eastAsia" w:cs="Times New Roman" w:eastAsiaTheme="minorEastAsia"/>
          <w:b/>
        </w:rPr>
        <w:t>环境风险评价工作程序图</w:t>
      </w:r>
    </w:p>
    <w:p>
      <w:pPr>
        <w:pStyle w:val="5"/>
        <w:rPr>
          <w:kern w:val="0"/>
        </w:rPr>
      </w:pPr>
      <w:bookmarkStart w:id="34" w:name="_Toc83392248"/>
      <w:bookmarkStart w:id="35" w:name="_Toc116993076"/>
      <w:r>
        <w:rPr>
          <w:rFonts w:hint="eastAsia"/>
          <w:kern w:val="0"/>
        </w:rPr>
        <w:t>风险评价等级</w:t>
      </w:r>
      <w:bookmarkEnd w:id="34"/>
      <w:bookmarkEnd w:id="35"/>
    </w:p>
    <w:p>
      <w:pPr>
        <w:pStyle w:val="3"/>
        <w:ind w:firstLine="0" w:firstLineChars="0"/>
        <w:outlineLvl w:val="2"/>
      </w:pPr>
      <w:r>
        <w:rPr>
          <w:rFonts w:hint="eastAsia"/>
        </w:rPr>
        <w:t>7.2.1</w:t>
      </w:r>
      <w:r>
        <w:rPr>
          <w:rFonts w:hint="eastAsia"/>
        </w:rPr>
        <w:tab/>
      </w:r>
      <w:r>
        <w:rPr>
          <w:rFonts w:hint="eastAsia" w:eastAsia="黑体" w:cstheme="majorBidi"/>
          <w:bCs/>
          <w:szCs w:val="32"/>
        </w:rPr>
        <w:t>风险调查</w:t>
      </w:r>
    </w:p>
    <w:p>
      <w:pPr>
        <w:pStyle w:val="3"/>
        <w:ind w:firstLine="480"/>
        <w:rPr>
          <w:kern w:val="0"/>
        </w:rPr>
      </w:pPr>
      <w:r>
        <w:rPr>
          <w:rFonts w:hint="eastAsia"/>
          <w:kern w:val="0"/>
        </w:rPr>
        <w:t>本项目为畜禽屠宰项目，生产中所用的原辅材料、产品、中间产品及“三废”处理过程中涉及的危险物质主要为沼气、</w:t>
      </w:r>
      <w:r>
        <w:rPr>
          <w:rFonts w:hint="eastAsia" w:ascii="宋体" w:cs="宋体"/>
        </w:rPr>
        <w:t>废冷冻机油、检疫废物等</w:t>
      </w:r>
      <w:r>
        <w:rPr>
          <w:rFonts w:hint="eastAsia"/>
          <w:kern w:val="0"/>
        </w:rPr>
        <w:t xml:space="preserve">。 </w:t>
      </w:r>
    </w:p>
    <w:p>
      <w:pPr>
        <w:pStyle w:val="3"/>
        <w:ind w:firstLine="0" w:firstLineChars="0"/>
        <w:outlineLvl w:val="2"/>
      </w:pPr>
      <w:r>
        <w:rPr>
          <w:rFonts w:hint="eastAsia"/>
        </w:rPr>
        <w:t>7.2.2</w:t>
      </w:r>
      <w:r>
        <w:rPr>
          <w:rFonts w:hint="eastAsia"/>
        </w:rPr>
        <w:tab/>
      </w:r>
      <w:r>
        <w:rPr>
          <w:rFonts w:hint="eastAsia" w:eastAsia="黑体" w:cstheme="majorBidi"/>
          <w:bCs/>
          <w:szCs w:val="32"/>
        </w:rPr>
        <w:t>环境风险潜势初判</w:t>
      </w:r>
    </w:p>
    <w:p>
      <w:pPr>
        <w:pStyle w:val="3"/>
        <w:ind w:firstLine="480"/>
      </w:pPr>
      <w:r>
        <w:rPr>
          <w:rFonts w:hint="eastAsia"/>
        </w:rPr>
        <w:t>根据《建设项目环境风险评价技术导则》（</w:t>
      </w:r>
      <w:r>
        <w:t>HJ 169-2018</w:t>
      </w:r>
      <w:r>
        <w:rPr>
          <w:rFonts w:hint="eastAsia"/>
        </w:rPr>
        <w:t>）中环境风险潜势的确定步骤，首先计算项目危险物质与其临界量的比值</w:t>
      </w:r>
      <w:r>
        <w:t>Q</w:t>
      </w:r>
      <w:r>
        <w:rPr>
          <w:rFonts w:hint="eastAsia"/>
        </w:rPr>
        <w:t>。</w:t>
      </w:r>
    </w:p>
    <w:p>
      <w:pPr>
        <w:pStyle w:val="3"/>
        <w:ind w:firstLine="480"/>
        <w:rPr>
          <w:rFonts w:cs="Times New Roman"/>
        </w:rPr>
      </w:pPr>
      <w:r>
        <w:rPr>
          <w:rFonts w:hint="eastAsia" w:cs="Times New Roman"/>
        </w:rPr>
        <w:t>根据《建设项目环境风险评价技术导则》（</w:t>
      </w:r>
      <w:r>
        <w:rPr>
          <w:rFonts w:cs="Times New Roman"/>
        </w:rPr>
        <w:t>HJ169-2018</w:t>
      </w:r>
      <w:r>
        <w:rPr>
          <w:rFonts w:hint="eastAsia" w:cs="Times New Roman"/>
        </w:rPr>
        <w:t>）及《危险化学品重大危险源辨识》（</w:t>
      </w:r>
      <w:r>
        <w:rPr>
          <w:rFonts w:cs="Times New Roman"/>
        </w:rPr>
        <w:t>GB18218-2018</w:t>
      </w:r>
      <w:r>
        <w:rPr>
          <w:rFonts w:hint="eastAsia" w:cs="Times New Roman"/>
        </w:rPr>
        <w:t>）中有关规定，；</w:t>
      </w:r>
      <w:r>
        <w:rPr>
          <w:rFonts w:hint="eastAsia" w:ascii="宋体" w:cs="宋体"/>
        </w:rPr>
        <w:t>废冷冻机油属于危害水环境物质，</w:t>
      </w:r>
      <w:r>
        <w:rPr>
          <w:rFonts w:hint="eastAsia" w:cs="Times New Roman"/>
        </w:rPr>
        <w:t>临界量为100</w:t>
      </w:r>
      <w:r>
        <w:rPr>
          <w:rFonts w:cs="Times New Roman"/>
        </w:rPr>
        <w:t>t</w:t>
      </w:r>
      <w:r>
        <w:rPr>
          <w:rFonts w:hint="eastAsia" w:cs="Times New Roman"/>
        </w:rPr>
        <w:t>，厂区最大暂存量为0.5t</w:t>
      </w:r>
      <w:r>
        <w:rPr>
          <w:rFonts w:hint="eastAsia" w:ascii="宋体" w:cs="宋体"/>
        </w:rPr>
        <w:t>、检疫废物属于健康危险急性毒性物质</w:t>
      </w:r>
      <w:r>
        <w:rPr>
          <w:rFonts w:hint="eastAsia" w:cs="Times New Roman"/>
        </w:rPr>
        <w:t>，临界量为</w:t>
      </w:r>
      <w:r>
        <w:rPr>
          <w:rFonts w:cs="Times New Roman"/>
        </w:rPr>
        <w:t>50t</w:t>
      </w:r>
      <w:r>
        <w:rPr>
          <w:rFonts w:hint="eastAsia" w:cs="Times New Roman"/>
        </w:rPr>
        <w:t>，厂区最大暂存量为0.3t。</w:t>
      </w:r>
      <w:r>
        <w:rPr>
          <w:rFonts w:hint="eastAsia"/>
          <w:bCs/>
          <w:caps/>
          <w:kern w:val="0"/>
        </w:rPr>
        <w:t>沼气的主要成分为</w:t>
      </w:r>
      <w:r>
        <w:rPr>
          <w:bCs/>
          <w:caps/>
          <w:kern w:val="0"/>
        </w:rPr>
        <w:t>CH</w:t>
      </w:r>
      <w:r>
        <w:rPr>
          <w:bCs/>
          <w:caps/>
          <w:kern w:val="0"/>
          <w:vertAlign w:val="subscript"/>
        </w:rPr>
        <w:t>4</w:t>
      </w:r>
      <w:r>
        <w:rPr>
          <w:rFonts w:hint="eastAsia"/>
          <w:bCs/>
          <w:caps/>
          <w:kern w:val="0"/>
        </w:rPr>
        <w:t>，其比例约为</w:t>
      </w:r>
      <w:r>
        <w:rPr>
          <w:bCs/>
          <w:caps/>
          <w:kern w:val="0"/>
        </w:rPr>
        <w:t>60%-75%</w:t>
      </w:r>
      <w:r>
        <w:rPr>
          <w:rFonts w:hint="eastAsia"/>
          <w:bCs/>
          <w:caps/>
          <w:kern w:val="0"/>
        </w:rPr>
        <w:t>（本次风险按</w:t>
      </w:r>
      <w:r>
        <w:rPr>
          <w:bCs/>
          <w:caps/>
          <w:kern w:val="0"/>
        </w:rPr>
        <w:t>70%</w:t>
      </w:r>
      <w:r>
        <w:rPr>
          <w:rFonts w:hint="eastAsia"/>
          <w:bCs/>
          <w:caps/>
          <w:kern w:val="0"/>
        </w:rPr>
        <w:t>计），沼气中有毒气体</w:t>
      </w:r>
      <w:r>
        <w:rPr>
          <w:bCs/>
          <w:caps/>
          <w:kern w:val="0"/>
        </w:rPr>
        <w:t>H</w:t>
      </w:r>
      <w:r>
        <w:rPr>
          <w:bCs/>
          <w:caps/>
          <w:kern w:val="0"/>
          <w:vertAlign w:val="subscript"/>
        </w:rPr>
        <w:t>2</w:t>
      </w:r>
      <w:r>
        <w:rPr>
          <w:bCs/>
          <w:caps/>
          <w:kern w:val="0"/>
        </w:rPr>
        <w:t>S</w:t>
      </w:r>
      <w:r>
        <w:rPr>
          <w:rFonts w:hint="eastAsia"/>
          <w:bCs/>
          <w:caps/>
          <w:kern w:val="0"/>
        </w:rPr>
        <w:t>比例约为</w:t>
      </w:r>
      <w:r>
        <w:rPr>
          <w:kern w:val="0"/>
        </w:rPr>
        <w:t>0.05%~0.1%</w:t>
      </w:r>
      <w:r>
        <w:rPr>
          <w:rFonts w:hint="eastAsia"/>
          <w:bCs/>
          <w:caps/>
          <w:kern w:val="0"/>
        </w:rPr>
        <w:t>（</w:t>
      </w:r>
      <w:r>
        <w:rPr>
          <w:rFonts w:hint="eastAsia"/>
          <w:kern w:val="0"/>
        </w:rPr>
        <w:t>本次风险按最大</w:t>
      </w:r>
      <w:r>
        <w:rPr>
          <w:kern w:val="0"/>
        </w:rPr>
        <w:t>0.1%</w:t>
      </w:r>
      <w:r>
        <w:rPr>
          <w:rFonts w:hint="eastAsia"/>
          <w:kern w:val="0"/>
        </w:rPr>
        <w:t>计</w:t>
      </w:r>
      <w:r>
        <w:rPr>
          <w:rFonts w:hint="eastAsia"/>
          <w:bCs/>
          <w:caps/>
          <w:kern w:val="0"/>
        </w:rPr>
        <w:t>）</w:t>
      </w:r>
      <w:r>
        <w:rPr>
          <w:rFonts w:hint="eastAsia"/>
          <w:kern w:val="0"/>
        </w:rPr>
        <w:t>，本项目沼气设有</w:t>
      </w:r>
      <w:r>
        <w:rPr>
          <w:kern w:val="0"/>
        </w:rPr>
        <w:t>1</w:t>
      </w:r>
      <w:r>
        <w:rPr>
          <w:rFonts w:hint="eastAsia"/>
          <w:kern w:val="0"/>
        </w:rPr>
        <w:t>个沼气池，沼气密度约为</w:t>
      </w:r>
      <w:r>
        <w:rPr>
          <w:kern w:val="0"/>
        </w:rPr>
        <w:t>1.095kg/m</w:t>
      </w:r>
      <w:r>
        <w:rPr>
          <w:kern w:val="0"/>
          <w:vertAlign w:val="superscript"/>
        </w:rPr>
        <w:t>3</w:t>
      </w:r>
      <w:r>
        <w:rPr>
          <w:rFonts w:hint="eastAsia"/>
          <w:kern w:val="0"/>
        </w:rPr>
        <w:t>，每天产生沼气量约167.45</w:t>
      </w:r>
      <w:r>
        <w:rPr>
          <w:kern w:val="0"/>
        </w:rPr>
        <w:t>m</w:t>
      </w:r>
      <w:r>
        <w:rPr>
          <w:kern w:val="0"/>
          <w:vertAlign w:val="superscript"/>
        </w:rPr>
        <w:t>3</w:t>
      </w:r>
      <w:r>
        <w:rPr>
          <w:rFonts w:hint="eastAsia"/>
          <w:kern w:val="0"/>
        </w:rPr>
        <w:t>，则</w:t>
      </w:r>
      <w:bookmarkStart w:id="36" w:name="_Hlk91603349"/>
      <w:r>
        <w:rPr>
          <w:bCs/>
          <w:caps/>
          <w:kern w:val="0"/>
        </w:rPr>
        <w:t>CH</w:t>
      </w:r>
      <w:r>
        <w:rPr>
          <w:bCs/>
          <w:caps/>
          <w:kern w:val="0"/>
          <w:vertAlign w:val="subscript"/>
        </w:rPr>
        <w:t>4</w:t>
      </w:r>
      <w:r>
        <w:rPr>
          <w:rFonts w:hint="eastAsia"/>
          <w:bCs/>
          <w:caps/>
          <w:kern w:val="0"/>
        </w:rPr>
        <w:t>的总存储量约0.128</w:t>
      </w:r>
      <w:r>
        <w:rPr>
          <w:kern w:val="0"/>
        </w:rPr>
        <w:t>t</w:t>
      </w:r>
      <w:r>
        <w:rPr>
          <w:rFonts w:hint="eastAsia"/>
          <w:kern w:val="0"/>
        </w:rPr>
        <w:t>，</w:t>
      </w:r>
      <w:r>
        <w:rPr>
          <w:bCs/>
          <w:caps/>
          <w:kern w:val="0"/>
        </w:rPr>
        <w:t>H</w:t>
      </w:r>
      <w:r>
        <w:rPr>
          <w:bCs/>
          <w:caps/>
          <w:kern w:val="0"/>
          <w:vertAlign w:val="subscript"/>
        </w:rPr>
        <w:t>2</w:t>
      </w:r>
      <w:r>
        <w:rPr>
          <w:bCs/>
          <w:caps/>
          <w:kern w:val="0"/>
        </w:rPr>
        <w:t>S</w:t>
      </w:r>
      <w:r>
        <w:rPr>
          <w:rFonts w:hint="eastAsia"/>
          <w:bCs/>
          <w:caps/>
          <w:kern w:val="0"/>
        </w:rPr>
        <w:t>的存储量约0.00018</w:t>
      </w:r>
      <w:r>
        <w:rPr>
          <w:kern w:val="0"/>
        </w:rPr>
        <w:t>t</w:t>
      </w:r>
      <w:r>
        <w:rPr>
          <w:rFonts w:hint="eastAsia"/>
          <w:kern w:val="0"/>
        </w:rPr>
        <w:t>。</w:t>
      </w:r>
      <w:bookmarkEnd w:id="36"/>
    </w:p>
    <w:p>
      <w:pPr>
        <w:pStyle w:val="3"/>
        <w:ind w:firstLine="480"/>
        <w:rPr>
          <w:rFonts w:cs="Times New Roman"/>
          <w:kern w:val="0"/>
        </w:rPr>
      </w:pPr>
      <w:r>
        <w:rPr>
          <w:rFonts w:cs="Times New Roman"/>
          <w:kern w:val="0"/>
        </w:rPr>
        <w:t>Q</w:t>
      </w:r>
      <w:r>
        <w:rPr>
          <w:rFonts w:hint="eastAsia" w:cs="Times New Roman"/>
          <w:kern w:val="0"/>
        </w:rPr>
        <w:t>值的确定：单元内存在的危险物质为多品种时，则按下式计算。</w:t>
      </w:r>
    </w:p>
    <w:p>
      <w:pPr>
        <w:pStyle w:val="3"/>
        <w:ind w:firstLine="480"/>
        <w:jc w:val="center"/>
      </w:pPr>
      <w:r>
        <w:drawing>
          <wp:inline distT="0" distB="0" distL="0" distR="0">
            <wp:extent cx="1696085" cy="467995"/>
            <wp:effectExtent l="0" t="0" r="0" b="8255"/>
            <wp:docPr id="214" name="图片 214"/>
            <wp:cNvGraphicFramePr/>
            <a:graphic xmlns:a="http://schemas.openxmlformats.org/drawingml/2006/main">
              <a:graphicData uri="http://schemas.openxmlformats.org/drawingml/2006/picture">
                <pic:pic xmlns:pic="http://schemas.openxmlformats.org/drawingml/2006/picture">
                  <pic:nvPicPr>
                    <pic:cNvPr id="214" name="图片 214"/>
                    <pic:cNvPicPr/>
                  </pic:nvPicPr>
                  <pic:blipFill>
                    <a:blip r:embed="rId11"/>
                    <a:stretch>
                      <a:fillRect/>
                    </a:stretch>
                  </pic:blipFill>
                  <pic:spPr>
                    <a:xfrm>
                      <a:off x="0" y="0"/>
                      <a:ext cx="1696085" cy="467995"/>
                    </a:xfrm>
                    <a:prstGeom prst="rect">
                      <a:avLst/>
                    </a:prstGeom>
                  </pic:spPr>
                </pic:pic>
              </a:graphicData>
            </a:graphic>
          </wp:inline>
        </w:drawing>
      </w:r>
    </w:p>
    <w:p>
      <w:pPr>
        <w:pStyle w:val="3"/>
        <w:ind w:firstLine="480"/>
        <w:rPr>
          <w:rFonts w:cs="Times New Roman"/>
        </w:rPr>
      </w:pPr>
      <w:r>
        <w:rPr>
          <w:rFonts w:hint="eastAsia" w:cs="Times New Roman"/>
        </w:rPr>
        <w:t>式中：</w:t>
      </w:r>
      <w:r>
        <w:rPr>
          <w:rFonts w:cs="Times New Roman"/>
          <w:i/>
        </w:rPr>
        <w:t>q</w:t>
      </w:r>
      <w:r>
        <w:rPr>
          <w:rFonts w:cs="Times New Roman"/>
          <w:vertAlign w:val="subscript"/>
        </w:rPr>
        <w:t>1</w:t>
      </w:r>
      <w:r>
        <w:rPr>
          <w:rFonts w:hint="eastAsia" w:cs="Times New Roman"/>
        </w:rPr>
        <w:t>，</w:t>
      </w:r>
      <w:r>
        <w:rPr>
          <w:rFonts w:cs="Times New Roman"/>
          <w:i/>
        </w:rPr>
        <w:t>q</w:t>
      </w:r>
      <w:r>
        <w:rPr>
          <w:rFonts w:cs="Times New Roman"/>
          <w:vertAlign w:val="subscript"/>
        </w:rPr>
        <w:t>2</w:t>
      </w:r>
      <w:r>
        <w:rPr>
          <w:rFonts w:hint="eastAsia" w:cs="Times New Roman"/>
        </w:rPr>
        <w:t>，</w:t>
      </w:r>
      <w:r>
        <w:rPr>
          <w:rFonts w:cs="Times New Roman"/>
        </w:rPr>
        <w:t>……</w:t>
      </w:r>
      <w:r>
        <w:rPr>
          <w:rFonts w:hint="eastAsia" w:cs="Times New Roman"/>
        </w:rPr>
        <w:t>，</w:t>
      </w:r>
      <w:r>
        <w:rPr>
          <w:rFonts w:cs="Times New Roman"/>
          <w:i/>
        </w:rPr>
        <w:t>q</w:t>
      </w:r>
      <w:r>
        <w:rPr>
          <w:rFonts w:cs="Times New Roman"/>
          <w:vertAlign w:val="subscript"/>
        </w:rPr>
        <w:t>n</w:t>
      </w:r>
      <w:r>
        <w:rPr>
          <w:rFonts w:hint="eastAsia" w:cs="Times New Roman"/>
        </w:rPr>
        <w:t>为每种危险物质实际存在量，</w:t>
      </w:r>
      <w:r>
        <w:rPr>
          <w:rFonts w:cs="Times New Roman"/>
        </w:rPr>
        <w:t>t</w:t>
      </w:r>
      <w:r>
        <w:rPr>
          <w:rFonts w:hint="eastAsia" w:cs="Times New Roman"/>
        </w:rPr>
        <w:t>；</w:t>
      </w:r>
    </w:p>
    <w:p>
      <w:pPr>
        <w:pStyle w:val="3"/>
        <w:ind w:firstLine="1200" w:firstLineChars="500"/>
        <w:rPr>
          <w:rFonts w:cs="Times New Roman"/>
        </w:rPr>
      </w:pPr>
      <w:r>
        <w:rPr>
          <w:rFonts w:cs="Times New Roman"/>
          <w:i/>
        </w:rPr>
        <w:t>Q</w:t>
      </w:r>
      <w:r>
        <w:rPr>
          <w:rFonts w:cs="Times New Roman"/>
          <w:vertAlign w:val="subscript"/>
        </w:rPr>
        <w:t>1</w:t>
      </w:r>
      <w:r>
        <w:rPr>
          <w:rFonts w:hint="eastAsia" w:cs="Times New Roman"/>
        </w:rPr>
        <w:t>，</w:t>
      </w:r>
      <w:r>
        <w:rPr>
          <w:rFonts w:cs="Times New Roman"/>
          <w:i/>
        </w:rPr>
        <w:t>Q</w:t>
      </w:r>
      <w:r>
        <w:rPr>
          <w:rFonts w:cs="Times New Roman"/>
          <w:vertAlign w:val="subscript"/>
        </w:rPr>
        <w:t>2</w:t>
      </w:r>
      <w:r>
        <w:rPr>
          <w:rFonts w:hint="eastAsia" w:cs="Times New Roman"/>
        </w:rPr>
        <w:t>，</w:t>
      </w:r>
      <w:r>
        <w:rPr>
          <w:rFonts w:cs="Times New Roman"/>
        </w:rPr>
        <w:t>……</w:t>
      </w:r>
      <w:r>
        <w:rPr>
          <w:rFonts w:hint="eastAsia" w:cs="Times New Roman"/>
        </w:rPr>
        <w:t>，</w:t>
      </w:r>
      <w:r>
        <w:rPr>
          <w:rFonts w:cs="Times New Roman"/>
          <w:i/>
        </w:rPr>
        <w:t>Q</w:t>
      </w:r>
      <w:r>
        <w:rPr>
          <w:rFonts w:cs="Times New Roman"/>
          <w:vertAlign w:val="subscript"/>
        </w:rPr>
        <w:t>n</w:t>
      </w:r>
      <w:r>
        <w:rPr>
          <w:rFonts w:hint="eastAsia" w:cs="Times New Roman"/>
        </w:rPr>
        <w:t>为与各危险物质相对应的临界量，</w:t>
      </w:r>
      <w:r>
        <w:rPr>
          <w:rFonts w:cs="Times New Roman"/>
        </w:rPr>
        <w:t>t</w:t>
      </w:r>
      <w:r>
        <w:rPr>
          <w:rFonts w:hint="eastAsia" w:cs="Times New Roman"/>
        </w:rPr>
        <w:t>。</w:t>
      </w:r>
    </w:p>
    <w:p>
      <w:pPr>
        <w:pStyle w:val="3"/>
        <w:ind w:firstLine="1200" w:firstLineChars="500"/>
        <w:rPr>
          <w:rFonts w:cs="Times New Roman"/>
        </w:rPr>
      </w:pPr>
      <w:r>
        <w:rPr>
          <w:rFonts w:hint="eastAsia" w:cs="Times New Roman"/>
        </w:rPr>
        <w:t>当</w:t>
      </w:r>
      <w:r>
        <w:rPr>
          <w:rFonts w:cs="Times New Roman"/>
          <w:i/>
        </w:rPr>
        <w:t>Q</w:t>
      </w:r>
      <w:r>
        <w:rPr>
          <w:rFonts w:hint="eastAsia" w:cs="Times New Roman"/>
        </w:rPr>
        <w:t>＜</w:t>
      </w:r>
      <w:r>
        <w:rPr>
          <w:rFonts w:cs="Times New Roman"/>
        </w:rPr>
        <w:t>1</w:t>
      </w:r>
      <w:r>
        <w:rPr>
          <w:rFonts w:hint="eastAsia" w:cs="Times New Roman"/>
        </w:rPr>
        <w:t>时，该项目环境风险潜势为</w:t>
      </w:r>
      <w:r>
        <w:rPr>
          <w:rFonts w:cs="Times New Roman"/>
        </w:rPr>
        <w:t>I</w:t>
      </w:r>
      <w:r>
        <w:rPr>
          <w:rFonts w:hint="eastAsia" w:cs="Times New Roman"/>
        </w:rPr>
        <w:t>；</w:t>
      </w:r>
    </w:p>
    <w:p>
      <w:pPr>
        <w:pStyle w:val="3"/>
        <w:ind w:firstLine="480"/>
        <w:jc w:val="center"/>
        <w:rPr>
          <w:rFonts w:cs="Times New Roman"/>
          <w:kern w:val="0"/>
        </w:rPr>
      </w:pPr>
      <w:r>
        <w:rPr>
          <w:rFonts w:hint="eastAsia" w:cs="Times New Roman"/>
          <w:kern w:val="0"/>
        </w:rPr>
        <w:t>当</w:t>
      </w:r>
      <w:r>
        <w:rPr>
          <w:rFonts w:cs="Times New Roman"/>
          <w:i/>
          <w:kern w:val="0"/>
        </w:rPr>
        <w:t>Q</w:t>
      </w:r>
      <w:r>
        <w:rPr>
          <w:rFonts w:cs="Times New Roman"/>
          <w:kern w:val="0"/>
        </w:rPr>
        <w:t>≥1</w:t>
      </w:r>
      <w:r>
        <w:rPr>
          <w:rFonts w:hint="eastAsia" w:cs="Times New Roman"/>
          <w:kern w:val="0"/>
        </w:rPr>
        <w:t>时，将</w:t>
      </w:r>
      <w:r>
        <w:rPr>
          <w:rFonts w:cs="Times New Roman"/>
          <w:i/>
          <w:kern w:val="0"/>
        </w:rPr>
        <w:t>Q</w:t>
      </w:r>
      <w:r>
        <w:rPr>
          <w:rFonts w:hint="eastAsia" w:cs="Times New Roman"/>
          <w:kern w:val="0"/>
        </w:rPr>
        <w:t>值分为：（</w:t>
      </w:r>
      <w:r>
        <w:rPr>
          <w:rFonts w:cs="Times New Roman"/>
          <w:kern w:val="0"/>
        </w:rPr>
        <w:t>1</w:t>
      </w:r>
      <w:r>
        <w:rPr>
          <w:rFonts w:hint="eastAsia" w:cs="Times New Roman"/>
          <w:kern w:val="0"/>
        </w:rPr>
        <w:t>）</w:t>
      </w:r>
      <w:r>
        <w:rPr>
          <w:rFonts w:cs="Times New Roman"/>
          <w:kern w:val="0"/>
        </w:rPr>
        <w:t>1≤</w:t>
      </w:r>
      <w:r>
        <w:rPr>
          <w:rFonts w:cs="Times New Roman"/>
          <w:i/>
          <w:kern w:val="0"/>
        </w:rPr>
        <w:t>Q</w:t>
      </w:r>
      <w:r>
        <w:rPr>
          <w:rFonts w:hint="eastAsia" w:cs="Times New Roman"/>
          <w:kern w:val="0"/>
        </w:rPr>
        <w:t>＜</w:t>
      </w:r>
      <w:r>
        <w:rPr>
          <w:rFonts w:cs="Times New Roman"/>
          <w:kern w:val="0"/>
        </w:rPr>
        <w:t>10</w:t>
      </w:r>
      <w:r>
        <w:rPr>
          <w:rFonts w:hint="eastAsia" w:cs="Times New Roman"/>
          <w:kern w:val="0"/>
        </w:rPr>
        <w:t>；（</w:t>
      </w:r>
      <w:r>
        <w:rPr>
          <w:rFonts w:cs="Times New Roman"/>
          <w:kern w:val="0"/>
        </w:rPr>
        <w:t>2</w:t>
      </w:r>
      <w:r>
        <w:rPr>
          <w:rFonts w:hint="eastAsia" w:cs="Times New Roman"/>
          <w:kern w:val="0"/>
        </w:rPr>
        <w:t>）</w:t>
      </w:r>
      <w:r>
        <w:rPr>
          <w:rFonts w:cs="Times New Roman"/>
          <w:kern w:val="0"/>
        </w:rPr>
        <w:t>10≤</w:t>
      </w:r>
      <w:r>
        <w:rPr>
          <w:rFonts w:cs="Times New Roman"/>
          <w:i/>
          <w:kern w:val="0"/>
        </w:rPr>
        <w:t>Q</w:t>
      </w:r>
      <w:r>
        <w:rPr>
          <w:rFonts w:hint="eastAsia" w:cs="Times New Roman"/>
          <w:kern w:val="0"/>
        </w:rPr>
        <w:t>＜</w:t>
      </w:r>
      <w:r>
        <w:rPr>
          <w:rFonts w:cs="Times New Roman"/>
          <w:kern w:val="0"/>
        </w:rPr>
        <w:t>100</w:t>
      </w:r>
      <w:r>
        <w:rPr>
          <w:rFonts w:hint="eastAsia" w:cs="Times New Roman"/>
          <w:kern w:val="0"/>
        </w:rPr>
        <w:t>；（</w:t>
      </w:r>
      <w:r>
        <w:rPr>
          <w:rFonts w:cs="Times New Roman"/>
          <w:kern w:val="0"/>
        </w:rPr>
        <w:t>3</w:t>
      </w:r>
      <w:r>
        <w:rPr>
          <w:rFonts w:hint="eastAsia" w:cs="Times New Roman"/>
          <w:kern w:val="0"/>
        </w:rPr>
        <w:t>）</w:t>
      </w:r>
      <w:r>
        <w:rPr>
          <w:rFonts w:cs="Times New Roman"/>
          <w:i/>
          <w:kern w:val="0"/>
        </w:rPr>
        <w:t>Q</w:t>
      </w:r>
      <w:r>
        <w:rPr>
          <w:rFonts w:cs="Times New Roman"/>
          <w:kern w:val="0"/>
        </w:rPr>
        <w:t>≥100</w:t>
      </w:r>
      <w:r>
        <w:rPr>
          <w:rFonts w:hint="eastAsia" w:cs="Times New Roman"/>
          <w:kern w:val="0"/>
        </w:rPr>
        <w:t>。</w:t>
      </w:r>
    </w:p>
    <w:p>
      <w:pPr>
        <w:pStyle w:val="3"/>
        <w:spacing w:line="240" w:lineRule="auto"/>
        <w:ind w:firstLine="0" w:firstLineChars="0"/>
        <w:jc w:val="center"/>
        <w:rPr>
          <w:rFonts w:cs="Times New Roman" w:eastAsiaTheme="minorEastAsia"/>
          <w:b/>
        </w:rPr>
      </w:pPr>
      <w:r>
        <w:rPr>
          <w:rFonts w:hint="eastAsia" w:cs="Times New Roman" w:eastAsiaTheme="minorEastAsia"/>
          <w:b/>
        </w:rPr>
        <w:t xml:space="preserve">表7.2-1 </w:t>
      </w:r>
      <w:r>
        <w:rPr>
          <w:rFonts w:cs="Times New Roman" w:eastAsiaTheme="minorEastAsia"/>
          <w:b/>
        </w:rPr>
        <w:t xml:space="preserve"> </w:t>
      </w:r>
      <w:r>
        <w:rPr>
          <w:rFonts w:hint="eastAsia" w:cs="Times New Roman" w:eastAsiaTheme="minorEastAsia"/>
          <w:b/>
        </w:rPr>
        <w:t>项目主要风险物质及其临界量</w:t>
      </w:r>
    </w:p>
    <w:tbl>
      <w:tblPr>
        <w:tblStyle w:val="30"/>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638"/>
        <w:gridCol w:w="1011"/>
        <w:gridCol w:w="760"/>
        <w:gridCol w:w="961"/>
        <w:gridCol w:w="4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名称</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类别</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最大存放量</w:t>
            </w:r>
          </w:p>
        </w:tc>
        <w:tc>
          <w:tcPr>
            <w:tcW w:w="4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存放方式</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附录中临界量（</w:t>
            </w:r>
            <w:r>
              <w:t>t</w:t>
            </w:r>
            <w:r>
              <w:rPr>
                <w:rFonts w:hint="eastAsia"/>
              </w:rPr>
              <w:t>）</w:t>
            </w:r>
          </w:p>
        </w:tc>
        <w:tc>
          <w:tcPr>
            <w:tcW w:w="2717"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ascii="宋体" w:cs="宋体"/>
              </w:rPr>
              <w:t>废冷冻机油</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油类物质</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t>0.5t</w:t>
            </w:r>
          </w:p>
        </w:tc>
        <w:tc>
          <w:tcPr>
            <w:tcW w:w="41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桶装</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2500</w:t>
            </w:r>
          </w:p>
        </w:tc>
        <w:tc>
          <w:tcPr>
            <w:tcW w:w="2717" w:type="pct"/>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0.0002+0.006+0.0128+0.000036</w:t>
            </w:r>
            <w:r>
              <w:t>=</w:t>
            </w:r>
            <w:r>
              <w:rPr>
                <w:rFonts w:hint="eastAsia"/>
              </w:rPr>
              <w:t>0.019036＜</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46" w:type="pct"/>
            <w:tcBorders>
              <w:top w:val="single" w:color="auto" w:sz="4" w:space="0"/>
              <w:left w:val="single" w:color="auto" w:sz="4" w:space="0"/>
              <w:right w:val="single" w:color="auto" w:sz="4" w:space="0"/>
            </w:tcBorders>
            <w:vAlign w:val="center"/>
          </w:tcPr>
          <w:p>
            <w:pPr>
              <w:pStyle w:val="49"/>
            </w:pPr>
            <w:r>
              <w:rPr>
                <w:rFonts w:hint="eastAsia" w:ascii="宋体" w:cs="宋体"/>
              </w:rPr>
              <w:t>检疫废物</w:t>
            </w:r>
          </w:p>
        </w:tc>
        <w:tc>
          <w:tcPr>
            <w:tcW w:w="348" w:type="pct"/>
            <w:tcBorders>
              <w:top w:val="single" w:color="auto" w:sz="4" w:space="0"/>
              <w:left w:val="single" w:color="auto" w:sz="4" w:space="0"/>
              <w:right w:val="single" w:color="auto" w:sz="4" w:space="0"/>
            </w:tcBorders>
            <w:vAlign w:val="center"/>
          </w:tcPr>
          <w:p>
            <w:pPr>
              <w:pStyle w:val="49"/>
            </w:pPr>
            <w:r>
              <w:rPr>
                <w:rFonts w:hint="eastAsia"/>
              </w:rPr>
              <w:t>/</w:t>
            </w:r>
          </w:p>
        </w:tc>
        <w:tc>
          <w:tcPr>
            <w:tcW w:w="551" w:type="pct"/>
            <w:tcBorders>
              <w:top w:val="single" w:color="auto" w:sz="4" w:space="0"/>
              <w:left w:val="single" w:color="auto" w:sz="4" w:space="0"/>
              <w:right w:val="single" w:color="auto" w:sz="4" w:space="0"/>
            </w:tcBorders>
            <w:vAlign w:val="center"/>
          </w:tcPr>
          <w:p>
            <w:pPr>
              <w:pStyle w:val="49"/>
            </w:pPr>
            <w:r>
              <w:rPr>
                <w:rFonts w:hint="eastAsia"/>
              </w:rPr>
              <w:t>0.3</w:t>
            </w:r>
          </w:p>
        </w:tc>
        <w:tc>
          <w:tcPr>
            <w:tcW w:w="414" w:type="pct"/>
            <w:tcBorders>
              <w:top w:val="single" w:color="auto" w:sz="4" w:space="0"/>
              <w:left w:val="single" w:color="auto" w:sz="4" w:space="0"/>
              <w:right w:val="single" w:color="auto" w:sz="4" w:space="0"/>
            </w:tcBorders>
            <w:vAlign w:val="center"/>
          </w:tcPr>
          <w:p>
            <w:pPr>
              <w:pStyle w:val="49"/>
            </w:pPr>
            <w:r>
              <w:rPr>
                <w:rFonts w:hint="eastAsia"/>
              </w:rPr>
              <w:t>桶装</w:t>
            </w:r>
          </w:p>
        </w:tc>
        <w:tc>
          <w:tcPr>
            <w:tcW w:w="524" w:type="pct"/>
            <w:tcBorders>
              <w:top w:val="single" w:color="auto" w:sz="4" w:space="0"/>
              <w:left w:val="single" w:color="auto" w:sz="4" w:space="0"/>
              <w:right w:val="single" w:color="auto" w:sz="4" w:space="0"/>
            </w:tcBorders>
            <w:vAlign w:val="center"/>
          </w:tcPr>
          <w:p>
            <w:pPr>
              <w:pStyle w:val="49"/>
            </w:pPr>
            <w:r>
              <w:rPr>
                <w:rFonts w:hint="eastAsia"/>
              </w:rPr>
              <w:t>50</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t>CH</w:t>
            </w:r>
            <w:r>
              <w:rPr>
                <w:vertAlign w:val="subscript"/>
              </w:rPr>
              <w:t>4</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易燃易爆</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0.128</w:t>
            </w:r>
            <w:r>
              <w:t>t</w:t>
            </w:r>
          </w:p>
        </w:tc>
        <w:tc>
          <w:tcPr>
            <w:tcW w:w="414" w:type="pct"/>
            <w:vMerge w:val="restar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沼气贮存柜</w:t>
            </w: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t>10</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 w:type="pct"/>
            <w:tcBorders>
              <w:top w:val="single" w:color="auto" w:sz="4" w:space="0"/>
              <w:left w:val="single" w:color="auto" w:sz="4" w:space="0"/>
              <w:bottom w:val="single" w:color="auto" w:sz="4" w:space="0"/>
              <w:right w:val="single" w:color="auto" w:sz="4" w:space="0"/>
            </w:tcBorders>
            <w:vAlign w:val="center"/>
          </w:tcPr>
          <w:p>
            <w:pPr>
              <w:pStyle w:val="49"/>
            </w:pPr>
            <w:r>
              <w:t>H</w:t>
            </w:r>
            <w:r>
              <w:rPr>
                <w:vertAlign w:val="subscript"/>
              </w:rPr>
              <w:t>2</w:t>
            </w:r>
            <w:r>
              <w:t>S</w:t>
            </w:r>
          </w:p>
        </w:tc>
        <w:tc>
          <w:tcPr>
            <w:tcW w:w="348"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急性剧毒</w:t>
            </w:r>
          </w:p>
        </w:tc>
        <w:tc>
          <w:tcPr>
            <w:tcW w:w="551" w:type="pct"/>
            <w:tcBorders>
              <w:top w:val="single" w:color="auto" w:sz="4" w:space="0"/>
              <w:left w:val="single" w:color="auto" w:sz="4" w:space="0"/>
              <w:bottom w:val="single" w:color="auto" w:sz="4" w:space="0"/>
              <w:right w:val="single" w:color="auto" w:sz="4" w:space="0"/>
            </w:tcBorders>
            <w:vAlign w:val="center"/>
          </w:tcPr>
          <w:p>
            <w:pPr>
              <w:pStyle w:val="49"/>
            </w:pPr>
            <w:r>
              <w:t>0.000</w:t>
            </w:r>
            <w:r>
              <w:rPr>
                <w:rFonts w:hint="eastAsia"/>
              </w:rPr>
              <w:t>18</w:t>
            </w:r>
            <w:r>
              <w:t>t</w:t>
            </w:r>
          </w:p>
        </w:tc>
        <w:tc>
          <w:tcPr>
            <w:tcW w:w="414"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rPr>
            </w:pPr>
          </w:p>
        </w:tc>
        <w:tc>
          <w:tcPr>
            <w:tcW w:w="524" w:type="pct"/>
            <w:tcBorders>
              <w:top w:val="single" w:color="auto" w:sz="4" w:space="0"/>
              <w:left w:val="single" w:color="auto" w:sz="4" w:space="0"/>
              <w:bottom w:val="single" w:color="auto" w:sz="4" w:space="0"/>
              <w:right w:val="single" w:color="auto" w:sz="4" w:space="0"/>
            </w:tcBorders>
            <w:vAlign w:val="center"/>
          </w:tcPr>
          <w:p>
            <w:pPr>
              <w:pStyle w:val="49"/>
            </w:pPr>
            <w:r>
              <w:t>5</w:t>
            </w:r>
          </w:p>
        </w:tc>
        <w:tc>
          <w:tcPr>
            <w:tcW w:w="2717" w:type="pct"/>
            <w:vMerge w:val="continue"/>
            <w:tcBorders>
              <w:top w:val="single" w:color="auto" w:sz="4" w:space="0"/>
              <w:left w:val="single" w:color="auto" w:sz="4" w:space="0"/>
              <w:bottom w:val="single" w:color="auto" w:sz="4" w:space="0"/>
              <w:right w:val="single" w:color="auto" w:sz="4" w:space="0"/>
            </w:tcBorders>
            <w:vAlign w:val="center"/>
          </w:tcPr>
          <w:p>
            <w:pPr>
              <w:adjustRightInd/>
              <w:snapToGrid/>
              <w:jc w:val="left"/>
              <w:rPr>
                <w:rFonts w:ascii="Times New Roman" w:hAnsi="Times New Roman" w:eastAsia="宋体" w:cs="Times New Roman"/>
              </w:rPr>
            </w:pPr>
          </w:p>
        </w:tc>
      </w:tr>
    </w:tbl>
    <w:p>
      <w:pPr>
        <w:pStyle w:val="3"/>
        <w:ind w:firstLine="480"/>
        <w:rPr>
          <w:rFonts w:cs="Times New Roman"/>
          <w:kern w:val="0"/>
        </w:rPr>
      </w:pPr>
      <w:r>
        <w:rPr>
          <w:rFonts w:hint="eastAsia" w:cs="Times New Roman"/>
          <w:kern w:val="0"/>
        </w:rPr>
        <w:t>由上表可知项目危险化学品物质数量与临界量比值为</w:t>
      </w:r>
      <w:r>
        <w:rPr>
          <w:rFonts w:cs="Times New Roman"/>
          <w:kern w:val="0"/>
        </w:rPr>
        <w:t>q/Q=</w:t>
      </w:r>
      <w:r>
        <w:rPr>
          <w:rFonts w:hint="eastAsia" w:cs="Times New Roman"/>
          <w:kern w:val="0"/>
        </w:rPr>
        <w:t>0.019036，根据《建设项目环境风险评价技术导则》（</w:t>
      </w:r>
      <w:r>
        <w:rPr>
          <w:rFonts w:cs="Times New Roman"/>
          <w:kern w:val="0"/>
        </w:rPr>
        <w:t>HJ169-2018</w:t>
      </w:r>
      <w:r>
        <w:rPr>
          <w:rFonts w:hint="eastAsia" w:cs="Times New Roman"/>
          <w:kern w:val="0"/>
        </w:rPr>
        <w:t>）附录</w:t>
      </w:r>
      <w:r>
        <w:rPr>
          <w:rFonts w:cs="Times New Roman"/>
          <w:kern w:val="0"/>
        </w:rPr>
        <w:t xml:space="preserve">C </w:t>
      </w:r>
      <w:r>
        <w:rPr>
          <w:rFonts w:hint="eastAsia" w:cs="Times New Roman"/>
          <w:kern w:val="0"/>
        </w:rPr>
        <w:t>可知，当</w:t>
      </w:r>
      <w:r>
        <w:rPr>
          <w:rFonts w:cs="Times New Roman"/>
          <w:kern w:val="0"/>
        </w:rPr>
        <w:t>Q</w:t>
      </w:r>
      <w:r>
        <w:rPr>
          <w:rFonts w:hint="eastAsia" w:cs="Times New Roman"/>
          <w:kern w:val="0"/>
        </w:rPr>
        <w:t>＜</w:t>
      </w:r>
      <w:r>
        <w:rPr>
          <w:rFonts w:cs="Times New Roman"/>
          <w:kern w:val="0"/>
        </w:rPr>
        <w:t xml:space="preserve">1 </w:t>
      </w:r>
      <w:r>
        <w:rPr>
          <w:rFonts w:hint="eastAsia" w:cs="Times New Roman"/>
          <w:kern w:val="0"/>
        </w:rPr>
        <w:t>时，该项目环境风险潜势为Ⅰ。</w:t>
      </w:r>
    </w:p>
    <w:p>
      <w:pPr>
        <w:pStyle w:val="3"/>
        <w:ind w:firstLine="0" w:firstLineChars="0"/>
        <w:outlineLvl w:val="2"/>
      </w:pPr>
      <w:r>
        <w:rPr>
          <w:rFonts w:hint="eastAsia"/>
        </w:rPr>
        <w:t>7.2.3</w:t>
      </w:r>
      <w:r>
        <w:rPr>
          <w:rFonts w:hint="eastAsia"/>
        </w:rPr>
        <w:tab/>
      </w:r>
      <w:r>
        <w:rPr>
          <w:rFonts w:hint="eastAsia" w:eastAsia="黑体" w:cstheme="majorBidi"/>
          <w:bCs/>
          <w:szCs w:val="32"/>
        </w:rPr>
        <w:t>评价等级确定</w:t>
      </w:r>
    </w:p>
    <w:p>
      <w:pPr>
        <w:pStyle w:val="3"/>
        <w:ind w:firstLine="480"/>
        <w:rPr>
          <w:kern w:val="0"/>
        </w:rPr>
      </w:pPr>
      <w:r>
        <w:rPr>
          <w:rFonts w:hint="eastAsia"/>
          <w:kern w:val="0"/>
        </w:rPr>
        <w:t>根据项目危险物质数量与临界量的比值</w:t>
      </w:r>
      <w:r>
        <w:rPr>
          <w:kern w:val="0"/>
        </w:rPr>
        <w:t>Q</w:t>
      </w:r>
      <w:r>
        <w:rPr>
          <w:rFonts w:hint="eastAsia"/>
          <w:kern w:val="0"/>
        </w:rPr>
        <w:t>和工艺危险性</w:t>
      </w:r>
      <w:r>
        <w:rPr>
          <w:kern w:val="0"/>
        </w:rPr>
        <w:t>M</w:t>
      </w:r>
      <w:r>
        <w:rPr>
          <w:rFonts w:hint="eastAsia"/>
          <w:kern w:val="0"/>
        </w:rPr>
        <w:t>，对比《建设项目环境风险评价技术导则》（</w:t>
      </w:r>
      <w:r>
        <w:rPr>
          <w:kern w:val="0"/>
        </w:rPr>
        <w:t>HJ169-2018</w:t>
      </w:r>
      <w:r>
        <w:rPr>
          <w:rFonts w:hint="eastAsia"/>
          <w:kern w:val="0"/>
        </w:rPr>
        <w:t>）表</w:t>
      </w:r>
      <w:r>
        <w:rPr>
          <w:kern w:val="0"/>
        </w:rPr>
        <w:t>1</w:t>
      </w:r>
      <w:r>
        <w:rPr>
          <w:rFonts w:hint="eastAsia"/>
          <w:kern w:val="0"/>
        </w:rPr>
        <w:t>，可知项目环境风险评价工作等级为简单分析。</w:t>
      </w:r>
    </w:p>
    <w:p>
      <w:pPr>
        <w:pStyle w:val="3"/>
        <w:spacing w:line="240" w:lineRule="auto"/>
        <w:ind w:firstLine="0" w:firstLineChars="0"/>
        <w:jc w:val="center"/>
        <w:rPr>
          <w:rFonts w:cs="Times New Roman"/>
          <w:kern w:val="0"/>
        </w:rPr>
      </w:pPr>
      <w:r>
        <w:rPr>
          <w:rFonts w:hint="eastAsia" w:cs="Times New Roman" w:eastAsiaTheme="minorEastAsia"/>
          <w:b/>
        </w:rPr>
        <w:t xml:space="preserve">表7.2-2 </w:t>
      </w:r>
      <w:r>
        <w:rPr>
          <w:rFonts w:cs="Times New Roman" w:eastAsiaTheme="minorEastAsia"/>
          <w:b/>
        </w:rPr>
        <w:t xml:space="preserve"> </w:t>
      </w:r>
      <w:r>
        <w:rPr>
          <w:rFonts w:hint="eastAsia" w:cs="Times New Roman" w:eastAsiaTheme="minorEastAsia"/>
          <w:b/>
        </w:rPr>
        <w:t>环境风险评价等级划分</w:t>
      </w:r>
    </w:p>
    <w:tbl>
      <w:tblPr>
        <w:tblStyle w:val="30"/>
        <w:tblW w:w="9120"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493"/>
        <w:gridCol w:w="1538"/>
        <w:gridCol w:w="2804"/>
        <w:gridCol w:w="1493"/>
        <w:gridCol w:w="179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3" w:type="dxa"/>
            <w:tcBorders>
              <w:top w:val="single" w:color="000000" w:sz="4" w:space="0"/>
              <w:left w:val="single" w:color="000000" w:sz="4" w:space="0"/>
              <w:bottom w:val="single" w:color="000000" w:sz="6" w:space="0"/>
              <w:right w:val="single" w:color="000000" w:sz="6" w:space="0"/>
            </w:tcBorders>
            <w:vAlign w:val="center"/>
          </w:tcPr>
          <w:p>
            <w:pPr>
              <w:pStyle w:val="49"/>
            </w:pPr>
            <w:r>
              <w:rPr>
                <w:rFonts w:hint="eastAsia"/>
              </w:rPr>
              <w:t>环境风险潜势</w:t>
            </w:r>
          </w:p>
        </w:tc>
        <w:tc>
          <w:tcPr>
            <w:tcW w:w="1538" w:type="dxa"/>
            <w:tcBorders>
              <w:top w:val="single" w:color="000000" w:sz="4" w:space="0"/>
              <w:left w:val="single" w:color="000000" w:sz="6" w:space="0"/>
              <w:bottom w:val="single" w:color="000000" w:sz="6" w:space="0"/>
              <w:right w:val="single" w:color="auto" w:sz="4" w:space="0"/>
            </w:tcBorders>
            <w:vAlign w:val="center"/>
          </w:tcPr>
          <w:p>
            <w:pPr>
              <w:pStyle w:val="49"/>
            </w:pPr>
            <w:r>
              <w:rPr>
                <w:rFonts w:hint="eastAsia"/>
              </w:rPr>
              <w:t>Ⅳ、</w:t>
            </w:r>
            <w:r>
              <w:t xml:space="preserve"> </w:t>
            </w:r>
            <w:r>
              <w:rPr>
                <w:rFonts w:hint="eastAsia"/>
              </w:rPr>
              <w:t>Ⅳ</w:t>
            </w:r>
            <w:r>
              <w:t>+</w:t>
            </w:r>
          </w:p>
        </w:tc>
        <w:tc>
          <w:tcPr>
            <w:tcW w:w="2804" w:type="dxa"/>
            <w:tcBorders>
              <w:top w:val="single" w:color="auto" w:sz="4" w:space="0"/>
              <w:left w:val="single" w:color="auto" w:sz="4" w:space="0"/>
              <w:bottom w:val="single" w:color="auto" w:sz="4" w:space="0"/>
              <w:right w:val="single" w:color="000000" w:sz="6" w:space="0"/>
            </w:tcBorders>
            <w:vAlign w:val="center"/>
          </w:tcPr>
          <w:p>
            <w:pPr>
              <w:pStyle w:val="49"/>
            </w:pPr>
            <w:r>
              <w:rPr>
                <w:rFonts w:hint="eastAsia"/>
              </w:rPr>
              <w:t>Ⅲ</w:t>
            </w:r>
          </w:p>
        </w:tc>
        <w:tc>
          <w:tcPr>
            <w:tcW w:w="1493" w:type="dxa"/>
            <w:tcBorders>
              <w:top w:val="single" w:color="000000" w:sz="4" w:space="0"/>
              <w:left w:val="single" w:color="000000" w:sz="6" w:space="0"/>
              <w:bottom w:val="single" w:color="000000" w:sz="6" w:space="0"/>
              <w:right w:val="single" w:color="000000" w:sz="6" w:space="0"/>
            </w:tcBorders>
            <w:vAlign w:val="center"/>
          </w:tcPr>
          <w:p>
            <w:pPr>
              <w:pStyle w:val="49"/>
            </w:pPr>
            <w:r>
              <w:rPr>
                <w:rFonts w:hint="eastAsia"/>
              </w:rPr>
              <w:t>Ⅱ</w:t>
            </w:r>
          </w:p>
        </w:tc>
        <w:tc>
          <w:tcPr>
            <w:tcW w:w="1792" w:type="dxa"/>
            <w:tcBorders>
              <w:top w:val="single" w:color="000000" w:sz="4" w:space="0"/>
              <w:left w:val="single" w:color="000000" w:sz="6" w:space="0"/>
              <w:bottom w:val="single" w:color="000000" w:sz="6" w:space="0"/>
              <w:right w:val="single" w:color="000000" w:sz="4" w:space="0"/>
            </w:tcBorders>
            <w:vAlign w:val="center"/>
          </w:tcPr>
          <w:p>
            <w:pPr>
              <w:pStyle w:val="49"/>
            </w:pPr>
            <w:r>
              <w:rPr>
                <w:rFonts w:hint="eastAsia"/>
              </w:rPr>
              <w:t>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3" w:type="dxa"/>
            <w:tcBorders>
              <w:top w:val="single" w:color="000000" w:sz="6" w:space="0"/>
              <w:left w:val="single" w:color="000000" w:sz="4" w:space="0"/>
              <w:bottom w:val="single" w:color="000000" w:sz="6" w:space="0"/>
              <w:right w:val="single" w:color="000000" w:sz="6" w:space="0"/>
            </w:tcBorders>
            <w:vAlign w:val="center"/>
          </w:tcPr>
          <w:p>
            <w:pPr>
              <w:pStyle w:val="49"/>
            </w:pPr>
            <w:r>
              <w:rPr>
                <w:rFonts w:hint="eastAsia"/>
              </w:rPr>
              <w:t>评价工作等级</w:t>
            </w:r>
          </w:p>
        </w:tc>
        <w:tc>
          <w:tcPr>
            <w:tcW w:w="1538" w:type="dxa"/>
            <w:tcBorders>
              <w:top w:val="single" w:color="000000" w:sz="6" w:space="0"/>
              <w:left w:val="single" w:color="000000" w:sz="6" w:space="0"/>
              <w:bottom w:val="single" w:color="000000" w:sz="6" w:space="0"/>
              <w:right w:val="single" w:color="auto" w:sz="4" w:space="0"/>
            </w:tcBorders>
            <w:vAlign w:val="center"/>
          </w:tcPr>
          <w:p>
            <w:pPr>
              <w:pStyle w:val="49"/>
            </w:pPr>
            <w:r>
              <w:rPr>
                <w:rFonts w:hint="eastAsia"/>
              </w:rPr>
              <w:t>一</w:t>
            </w:r>
          </w:p>
        </w:tc>
        <w:tc>
          <w:tcPr>
            <w:tcW w:w="2804" w:type="dxa"/>
            <w:tcBorders>
              <w:top w:val="single" w:color="auto" w:sz="4" w:space="0"/>
              <w:left w:val="single" w:color="auto" w:sz="4" w:space="0"/>
              <w:bottom w:val="single" w:color="auto" w:sz="4" w:space="0"/>
              <w:right w:val="single" w:color="000000" w:sz="6" w:space="0"/>
            </w:tcBorders>
            <w:vAlign w:val="center"/>
          </w:tcPr>
          <w:p>
            <w:pPr>
              <w:pStyle w:val="49"/>
            </w:pPr>
            <w:r>
              <w:rPr>
                <w:rFonts w:hint="eastAsia"/>
              </w:rPr>
              <w:t>二</w:t>
            </w:r>
          </w:p>
        </w:tc>
        <w:tc>
          <w:tcPr>
            <w:tcW w:w="1493" w:type="dxa"/>
            <w:tcBorders>
              <w:top w:val="single" w:color="000000" w:sz="6" w:space="0"/>
              <w:left w:val="single" w:color="000000" w:sz="6" w:space="0"/>
              <w:bottom w:val="single" w:color="000000" w:sz="6" w:space="0"/>
              <w:right w:val="single" w:color="000000" w:sz="6" w:space="0"/>
            </w:tcBorders>
            <w:vAlign w:val="center"/>
          </w:tcPr>
          <w:p>
            <w:pPr>
              <w:pStyle w:val="49"/>
            </w:pPr>
            <w:r>
              <w:rPr>
                <w:rFonts w:hint="eastAsia"/>
              </w:rPr>
              <w:t>三</w:t>
            </w:r>
          </w:p>
        </w:tc>
        <w:tc>
          <w:tcPr>
            <w:tcW w:w="1792" w:type="dxa"/>
            <w:tcBorders>
              <w:top w:val="single" w:color="000000" w:sz="6" w:space="0"/>
              <w:left w:val="single" w:color="000000" w:sz="6" w:space="0"/>
              <w:bottom w:val="single" w:color="000000" w:sz="6" w:space="0"/>
              <w:right w:val="single" w:color="000000" w:sz="4" w:space="0"/>
            </w:tcBorders>
            <w:vAlign w:val="center"/>
          </w:tcPr>
          <w:p>
            <w:pPr>
              <w:pStyle w:val="49"/>
            </w:pPr>
            <w:r>
              <w:rPr>
                <w:rFonts w:hint="eastAsia"/>
              </w:rPr>
              <w:t>简单分析</w:t>
            </w:r>
            <w:r>
              <w: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120" w:type="dxa"/>
            <w:gridSpan w:val="5"/>
            <w:tcBorders>
              <w:top w:val="single" w:color="000000" w:sz="6" w:space="0"/>
              <w:left w:val="single" w:color="000000" w:sz="4" w:space="0"/>
              <w:bottom w:val="single" w:color="000000" w:sz="4" w:space="0"/>
              <w:right w:val="single" w:color="000000" w:sz="4" w:space="0"/>
            </w:tcBorders>
            <w:vAlign w:val="center"/>
          </w:tcPr>
          <w:p>
            <w:pPr>
              <w:pStyle w:val="49"/>
            </w:pPr>
            <w:r>
              <w:t>a</w:t>
            </w:r>
            <w:r>
              <w:rPr>
                <w:rFonts w:hint="eastAsia"/>
              </w:rPr>
              <w:t>是相对于详细评价工作内容而言，在描述危险物质、环境影响途径、环境危害后果、风险防范措施等方面给出定性的说明。见附录</w:t>
            </w:r>
            <w:r>
              <w:t>A</w:t>
            </w:r>
            <w:r>
              <w:rPr>
                <w:rFonts w:hint="eastAsia"/>
              </w:rPr>
              <w:t>。</w:t>
            </w:r>
          </w:p>
        </w:tc>
      </w:tr>
    </w:tbl>
    <w:p>
      <w:pPr>
        <w:pStyle w:val="3"/>
        <w:ind w:firstLine="0" w:firstLineChars="0"/>
        <w:outlineLvl w:val="2"/>
      </w:pPr>
      <w:r>
        <w:rPr>
          <w:rFonts w:hint="eastAsia"/>
        </w:rPr>
        <w:t>7.2.4</w:t>
      </w:r>
      <w:r>
        <w:rPr>
          <w:rFonts w:hint="eastAsia"/>
        </w:rPr>
        <w:tab/>
      </w:r>
      <w:r>
        <w:rPr>
          <w:rFonts w:hint="eastAsia" w:eastAsia="黑体" w:cstheme="majorBidi"/>
          <w:bCs/>
          <w:szCs w:val="32"/>
        </w:rPr>
        <w:t>环境敏感目标概况</w:t>
      </w:r>
    </w:p>
    <w:p>
      <w:pPr>
        <w:pStyle w:val="3"/>
        <w:ind w:firstLine="480"/>
        <w:rPr>
          <w:kern w:val="0"/>
        </w:rPr>
      </w:pPr>
      <w:r>
        <w:rPr>
          <w:rFonts w:hint="eastAsia"/>
          <w:kern w:val="0"/>
        </w:rPr>
        <w:t>环境风险敏感目标详见第二章节中的表</w:t>
      </w:r>
      <w:r>
        <w:rPr>
          <w:kern w:val="0"/>
        </w:rPr>
        <w:t>2.7-1</w:t>
      </w:r>
      <w:r>
        <w:rPr>
          <w:rFonts w:hint="eastAsia"/>
          <w:kern w:val="0"/>
        </w:rPr>
        <w:t>。</w:t>
      </w:r>
    </w:p>
    <w:p>
      <w:pPr>
        <w:pStyle w:val="5"/>
      </w:pPr>
      <w:bookmarkStart w:id="37" w:name="_Toc116993077"/>
      <w:r>
        <w:rPr>
          <w:rFonts w:hint="eastAsia"/>
        </w:rPr>
        <w:t>风险事故源分析</w:t>
      </w:r>
      <w:bookmarkEnd w:id="37"/>
    </w:p>
    <w:p>
      <w:pPr>
        <w:pStyle w:val="3"/>
        <w:ind w:firstLine="480"/>
        <w:rPr>
          <w:kern w:val="0"/>
        </w:rPr>
      </w:pPr>
      <w:r>
        <w:rPr>
          <w:rFonts w:hint="eastAsia"/>
          <w:kern w:val="0"/>
        </w:rPr>
        <w:t>本项目涉及的化学物质在不同程度上具有毒性危害。一旦发生泄漏事故，将会对有关区域作业人员、居民及其它人员构成威胁，会对各有关环境圈层造成污染。</w:t>
      </w:r>
    </w:p>
    <w:p>
      <w:pPr>
        <w:pStyle w:val="3"/>
        <w:ind w:firstLine="480"/>
        <w:rPr>
          <w:kern w:val="0"/>
        </w:rPr>
      </w:pPr>
      <w:r>
        <w:rPr>
          <w:rFonts w:hint="eastAsia"/>
          <w:kern w:val="0"/>
        </w:rPr>
        <w:t>经综合分析，本项目存在的主要环境风险事故如下：</w:t>
      </w:r>
    </w:p>
    <w:p>
      <w:pPr>
        <w:pStyle w:val="3"/>
        <w:ind w:firstLine="480"/>
        <w:rPr>
          <w:kern w:val="0"/>
        </w:rPr>
      </w:pPr>
      <w:r>
        <w:rPr>
          <w:rFonts w:hint="eastAsia"/>
          <w:kern w:val="0"/>
        </w:rPr>
        <w:t>（</w:t>
      </w:r>
      <w:r>
        <w:rPr>
          <w:kern w:val="0"/>
        </w:rPr>
        <w:t>1</w:t>
      </w:r>
      <w:r>
        <w:rPr>
          <w:rFonts w:hint="eastAsia"/>
          <w:kern w:val="0"/>
        </w:rPr>
        <w:t>）沼气泄露环境事件；</w:t>
      </w:r>
    </w:p>
    <w:p>
      <w:pPr>
        <w:pStyle w:val="3"/>
        <w:ind w:firstLine="480"/>
        <w:rPr>
          <w:kern w:val="0"/>
        </w:rPr>
      </w:pPr>
      <w:r>
        <w:rPr>
          <w:rFonts w:hint="eastAsia"/>
          <w:kern w:val="0"/>
        </w:rPr>
        <w:t>（</w:t>
      </w:r>
      <w:r>
        <w:rPr>
          <w:kern w:val="0"/>
        </w:rPr>
        <w:t>2</w:t>
      </w:r>
      <w:r>
        <w:rPr>
          <w:rFonts w:hint="eastAsia"/>
          <w:kern w:val="0"/>
        </w:rPr>
        <w:t>）锅炉废气处理设施出现故障环境风险事件；</w:t>
      </w:r>
    </w:p>
    <w:p>
      <w:pPr>
        <w:pStyle w:val="3"/>
        <w:ind w:firstLine="480"/>
        <w:rPr>
          <w:kern w:val="0"/>
        </w:rPr>
      </w:pPr>
      <w:r>
        <w:rPr>
          <w:rFonts w:hint="eastAsia"/>
          <w:kern w:val="0"/>
        </w:rPr>
        <w:t>（3）危险废物泄露环境风险事件；</w:t>
      </w:r>
    </w:p>
    <w:p>
      <w:pPr>
        <w:pStyle w:val="3"/>
        <w:ind w:firstLine="480"/>
        <w:rPr>
          <w:kern w:val="0"/>
        </w:rPr>
      </w:pPr>
      <w:r>
        <w:rPr>
          <w:rFonts w:hint="eastAsia"/>
          <w:kern w:val="0"/>
        </w:rPr>
        <w:t>（4）生物安全性风险事件；</w:t>
      </w:r>
    </w:p>
    <w:p>
      <w:pPr>
        <w:pStyle w:val="3"/>
        <w:ind w:firstLine="480"/>
        <w:rPr>
          <w:kern w:val="0"/>
        </w:rPr>
      </w:pPr>
      <w:r>
        <w:rPr>
          <w:rFonts w:hint="eastAsia"/>
          <w:kern w:val="0"/>
        </w:rPr>
        <w:t>（5）病死畜禽临时储存、转运风险事件。</w:t>
      </w:r>
    </w:p>
    <w:p>
      <w:pPr>
        <w:pStyle w:val="3"/>
        <w:ind w:firstLine="480"/>
        <w:rPr>
          <w:kern w:val="0"/>
        </w:rPr>
      </w:pPr>
      <w:r>
        <w:rPr>
          <w:rFonts w:hint="eastAsia"/>
          <w:kern w:val="0"/>
        </w:rPr>
        <w:t>由统计分析和类比调查得到导致污染事故因素顺序为：人为过失〉装置缺陷〉自然因素。最主要的因素是人为操作失误，因为违反操作规程造成事故；其次是设备故障。</w:t>
      </w:r>
    </w:p>
    <w:p>
      <w:pPr>
        <w:pStyle w:val="5"/>
      </w:pPr>
      <w:bookmarkStart w:id="38" w:name="_Toc116993078"/>
      <w:r>
        <w:rPr>
          <w:rFonts w:hint="eastAsia"/>
        </w:rPr>
        <w:t>环境</w:t>
      </w:r>
      <w:r>
        <w:t>风险分析</w:t>
      </w:r>
      <w:bookmarkEnd w:id="38"/>
    </w:p>
    <w:p>
      <w:pPr>
        <w:pStyle w:val="3"/>
        <w:ind w:firstLine="0" w:firstLineChars="0"/>
        <w:outlineLvl w:val="2"/>
      </w:pPr>
      <w:r>
        <w:rPr>
          <w:rFonts w:hint="eastAsia"/>
        </w:rPr>
        <w:t>7.4.1</w:t>
      </w:r>
      <w:r>
        <w:rPr>
          <w:rFonts w:hint="eastAsia"/>
        </w:rPr>
        <w:tab/>
      </w:r>
      <w:r>
        <w:rPr>
          <w:rFonts w:hint="eastAsia" w:eastAsia="黑体" w:cstheme="majorBidi"/>
          <w:bCs/>
          <w:szCs w:val="32"/>
        </w:rPr>
        <w:t>沼气泄露环境事件分析</w:t>
      </w:r>
    </w:p>
    <w:p>
      <w:pPr>
        <w:pStyle w:val="3"/>
        <w:ind w:firstLine="480"/>
        <w:rPr>
          <w:rFonts w:ascii="宋体" w:cs="宋体" w:eastAsiaTheme="minorEastAsia"/>
          <w:kern w:val="0"/>
          <w:szCs w:val="24"/>
        </w:rPr>
      </w:pPr>
      <w:r>
        <w:rPr>
          <w:rFonts w:hint="eastAsia"/>
        </w:rPr>
        <w:t>项目沼气暂存在厂区沼气池内暂存，如果因人为操作失误、池体破损造成沼气泄露，泄露的沼气</w:t>
      </w:r>
      <w:r>
        <w:rPr>
          <w:rFonts w:hint="eastAsia" w:ascii="宋体" w:cs="宋体"/>
          <w:kern w:val="0"/>
          <w:szCs w:val="24"/>
        </w:rPr>
        <w:t>遇高温或明火</w:t>
      </w:r>
      <w:r>
        <w:rPr>
          <w:rFonts w:hint="eastAsia"/>
        </w:rPr>
        <w:t>，</w:t>
      </w:r>
      <w:r>
        <w:rPr>
          <w:rFonts w:hint="eastAsia" w:ascii="宋体" w:cs="宋体"/>
          <w:kern w:val="0"/>
          <w:szCs w:val="24"/>
        </w:rPr>
        <w:t>可能引发火灾爆炸事件，</w:t>
      </w:r>
      <w:r>
        <w:rPr>
          <w:rFonts w:hint="eastAsia" w:ascii="宋体" w:cs="宋体" w:eastAsiaTheme="minorEastAsia"/>
          <w:kern w:val="0"/>
          <w:szCs w:val="24"/>
        </w:rPr>
        <w:t>灭火产生的消防废水、消防废气会造成次生环境风险，</w:t>
      </w:r>
      <w:r>
        <w:rPr>
          <w:rFonts w:hint="eastAsia" w:ascii="宋体" w:cs="宋体"/>
          <w:kern w:val="0"/>
          <w:szCs w:val="24"/>
        </w:rPr>
        <w:t>污染周围大气和地表水环境。</w:t>
      </w:r>
    </w:p>
    <w:p>
      <w:pPr>
        <w:pStyle w:val="3"/>
        <w:ind w:firstLine="0" w:firstLineChars="0"/>
        <w:outlineLvl w:val="2"/>
      </w:pPr>
      <w:r>
        <w:rPr>
          <w:rFonts w:hint="eastAsia"/>
        </w:rPr>
        <w:t>7.4.2</w:t>
      </w:r>
      <w:r>
        <w:rPr>
          <w:rFonts w:hint="eastAsia"/>
        </w:rPr>
        <w:tab/>
      </w:r>
      <w:r>
        <w:rPr>
          <w:rFonts w:hint="eastAsia" w:eastAsia="黑体" w:cstheme="majorBidi"/>
          <w:bCs/>
          <w:szCs w:val="32"/>
        </w:rPr>
        <w:t>锅炉废气处理设施出现故障环境事件分析</w:t>
      </w:r>
    </w:p>
    <w:p>
      <w:pPr>
        <w:pStyle w:val="3"/>
        <w:ind w:firstLine="480"/>
      </w:pPr>
      <w:r>
        <w:rPr>
          <w:rFonts w:hint="eastAsia" w:eastAsiaTheme="minorEastAsia"/>
        </w:rPr>
        <w:t>项目生产使用生物质锅炉供热，锅炉废气通过</w:t>
      </w:r>
      <w:r>
        <w:rPr>
          <w:rFonts w:hint="eastAsia"/>
        </w:rPr>
        <w:t>布袋除尘处理</w:t>
      </w:r>
      <w:r>
        <w:t>+25m</w:t>
      </w:r>
      <w:r>
        <w:rPr>
          <w:rFonts w:hint="eastAsia"/>
        </w:rPr>
        <w:t>高排气筒处理后达标排放，若废气处理设施故障，会导致锅炉废气事故排放，影响周围大气环境。</w:t>
      </w:r>
    </w:p>
    <w:p>
      <w:pPr>
        <w:pStyle w:val="3"/>
        <w:ind w:firstLine="0" w:firstLineChars="0"/>
        <w:outlineLvl w:val="2"/>
      </w:pPr>
      <w:r>
        <w:rPr>
          <w:rFonts w:hint="eastAsia"/>
        </w:rPr>
        <w:t>7.4.3</w:t>
      </w:r>
      <w:r>
        <w:rPr>
          <w:rFonts w:hint="eastAsia"/>
        </w:rPr>
        <w:tab/>
      </w:r>
      <w:r>
        <w:rPr>
          <w:rFonts w:hint="eastAsia" w:eastAsia="黑体" w:cstheme="majorBidi"/>
          <w:bCs/>
          <w:szCs w:val="32"/>
        </w:rPr>
        <w:t>危险废物泄露环境风险事件分析</w:t>
      </w:r>
    </w:p>
    <w:p>
      <w:pPr>
        <w:pStyle w:val="3"/>
        <w:ind w:firstLine="480"/>
        <w:rPr>
          <w:rFonts w:eastAsiaTheme="minorEastAsia"/>
        </w:rPr>
      </w:pPr>
      <w:r>
        <w:rPr>
          <w:rFonts w:hint="eastAsia" w:eastAsiaTheme="minorEastAsia"/>
        </w:rPr>
        <w:t>本项目危险废物量不大，要求建设单位按规范设置专门收集容器和专门的储存场所，储存场所采取硬底化、防渗处理，存放场设置围挡。收集的危险废物均委托有资质单位专门收运和处置。根据同类企业危险废物储存场的运营调查，在采取以上措施后很难发生危险废弃物泄漏和污染事故。</w:t>
      </w:r>
    </w:p>
    <w:p>
      <w:pPr>
        <w:pStyle w:val="3"/>
        <w:ind w:firstLine="0" w:firstLineChars="0"/>
        <w:outlineLvl w:val="2"/>
      </w:pPr>
      <w:r>
        <w:rPr>
          <w:rFonts w:hint="eastAsia"/>
        </w:rPr>
        <w:t>7.4.4</w:t>
      </w:r>
      <w:r>
        <w:rPr>
          <w:rFonts w:hint="eastAsia"/>
        </w:rPr>
        <w:tab/>
      </w:r>
      <w:r>
        <w:rPr>
          <w:rFonts w:hint="eastAsia" w:eastAsia="黑体" w:cstheme="majorBidi"/>
          <w:bCs/>
          <w:szCs w:val="32"/>
        </w:rPr>
        <w:t>生物安全性风险事件分析</w:t>
      </w:r>
    </w:p>
    <w:p>
      <w:pPr>
        <w:pStyle w:val="3"/>
        <w:ind w:firstLine="480"/>
        <w:rPr>
          <w:rFonts w:eastAsiaTheme="minorEastAsia"/>
        </w:rPr>
      </w:pPr>
      <w:r>
        <w:rPr>
          <w:rFonts w:hint="eastAsia" w:eastAsiaTheme="minorEastAsia"/>
        </w:rPr>
        <w:t>疫情不仅影响企业的经济效益，而且大规模疫情将是对环境的潜在威胁。疫情的发生与牛、鸡鸭的来源、养殖环境卫生等因素有关，也与当地牲畜等流行病爆发密切相关。尽管发生疫情的概率较低，也要采取相应措施，避免、控制疫情发生。</w:t>
      </w:r>
    </w:p>
    <w:p>
      <w:pPr>
        <w:pStyle w:val="3"/>
        <w:ind w:firstLine="480"/>
        <w:rPr>
          <w:rFonts w:eastAsiaTheme="minorEastAsia"/>
        </w:rPr>
      </w:pPr>
      <w:r>
        <w:rPr>
          <w:rFonts w:hint="eastAsia" w:eastAsiaTheme="minorEastAsia"/>
        </w:rPr>
        <w:t>（1）活鲜牲畜收购及待宰牲畜的卫检</w:t>
      </w:r>
    </w:p>
    <w:p>
      <w:pPr>
        <w:pStyle w:val="3"/>
        <w:ind w:firstLine="480"/>
        <w:rPr>
          <w:rFonts w:eastAsiaTheme="minorEastAsia"/>
        </w:rPr>
      </w:pPr>
      <w:r>
        <w:rPr>
          <w:rFonts w:hint="eastAsia" w:eastAsiaTheme="minorEastAsia"/>
        </w:rPr>
        <w:t>购买牛、鸡鸭前，应详细了解产地疫情。若当地正在流行疫病，则应尽量不在此地购买或暂缓购买，且收购的牛、鸡鸭必须取得官方的检疫证或非检疫证明，防止畜禽类传染病传播，从源头杜绝污染源。</w:t>
      </w:r>
    </w:p>
    <w:p>
      <w:pPr>
        <w:pStyle w:val="3"/>
        <w:ind w:firstLine="480"/>
        <w:rPr>
          <w:rFonts w:eastAsiaTheme="minorEastAsia"/>
        </w:rPr>
      </w:pPr>
      <w:r>
        <w:rPr>
          <w:rFonts w:hint="eastAsia" w:eastAsiaTheme="minorEastAsia"/>
        </w:rPr>
        <w:t>（2）同步检疫</w:t>
      </w:r>
    </w:p>
    <w:p>
      <w:pPr>
        <w:pStyle w:val="3"/>
        <w:ind w:firstLine="480"/>
        <w:rPr>
          <w:rFonts w:eastAsiaTheme="minorEastAsia"/>
        </w:rPr>
      </w:pPr>
      <w:r>
        <w:rPr>
          <w:rFonts w:hint="eastAsia" w:eastAsiaTheme="minorEastAsia"/>
        </w:rPr>
        <w:t>宰杀前、宰杀过程及宰杀后应同步检疫和检验并记录，重点做好微生物检验记录和对生产过程的消毒进行监督，防止病疫传播。</w:t>
      </w:r>
    </w:p>
    <w:p>
      <w:pPr>
        <w:pStyle w:val="3"/>
        <w:ind w:firstLine="480"/>
        <w:rPr>
          <w:rFonts w:eastAsiaTheme="minorEastAsia"/>
        </w:rPr>
      </w:pPr>
      <w:r>
        <w:rPr>
          <w:rFonts w:hint="eastAsia" w:eastAsiaTheme="minorEastAsia"/>
        </w:rPr>
        <w:t>（3）操作人员体检</w:t>
      </w:r>
    </w:p>
    <w:p>
      <w:pPr>
        <w:pStyle w:val="3"/>
        <w:ind w:firstLine="480"/>
        <w:rPr>
          <w:rFonts w:eastAsiaTheme="minorEastAsia"/>
        </w:rPr>
      </w:pPr>
      <w:r>
        <w:rPr>
          <w:rFonts w:hint="eastAsia" w:eastAsiaTheme="minorEastAsia"/>
        </w:rPr>
        <w:t>定期进行从业人员的体检。从业人员上岗必须做到定期清洗和消毒。加强从业人员的职业卫生教育，严格操作的规章制度，从而减少人为的影响产品卫生的因素。</w:t>
      </w:r>
    </w:p>
    <w:p>
      <w:pPr>
        <w:pStyle w:val="3"/>
        <w:ind w:firstLine="0" w:firstLineChars="0"/>
        <w:outlineLvl w:val="2"/>
      </w:pPr>
      <w:r>
        <w:rPr>
          <w:rFonts w:hint="eastAsia"/>
        </w:rPr>
        <w:t>7.4.4</w:t>
      </w:r>
      <w:r>
        <w:rPr>
          <w:rFonts w:hint="eastAsia"/>
        </w:rPr>
        <w:tab/>
      </w:r>
      <w:r>
        <w:rPr>
          <w:rFonts w:hint="eastAsia" w:eastAsia="黑体" w:cstheme="majorBidi"/>
          <w:bCs/>
          <w:szCs w:val="32"/>
        </w:rPr>
        <w:t>病死畜禽临时储存、转运风险事件分析</w:t>
      </w:r>
    </w:p>
    <w:p>
      <w:pPr>
        <w:pStyle w:val="3"/>
        <w:ind w:firstLine="480"/>
        <w:rPr>
          <w:rFonts w:eastAsiaTheme="minorEastAsia"/>
        </w:rPr>
      </w:pPr>
      <w:r>
        <w:rPr>
          <w:rFonts w:hint="eastAsia" w:eastAsiaTheme="minorEastAsia"/>
        </w:rPr>
        <w:t>本项目病死畜禽采取安全填埋方式进行无害化处置，病死禽在厂区临时储存及转运的过程中若处理措施不当均有可能会产生污染环境、病毒扩算等事故。</w:t>
      </w:r>
    </w:p>
    <w:p>
      <w:pPr>
        <w:pStyle w:val="5"/>
      </w:pPr>
      <w:bookmarkStart w:id="39" w:name="_Toc116993079"/>
      <w:r>
        <w:rPr>
          <w:rFonts w:hint="eastAsia"/>
        </w:rPr>
        <w:t>环境</w:t>
      </w:r>
      <w:r>
        <w:t>风险防范措施及应急</w:t>
      </w:r>
      <w:r>
        <w:rPr>
          <w:rFonts w:hint="eastAsia"/>
        </w:rPr>
        <w:t>要求</w:t>
      </w:r>
      <w:bookmarkEnd w:id="39"/>
    </w:p>
    <w:p>
      <w:pPr>
        <w:pStyle w:val="3"/>
        <w:ind w:firstLine="0" w:firstLineChars="0"/>
        <w:outlineLvl w:val="2"/>
      </w:pPr>
      <w:r>
        <w:rPr>
          <w:rFonts w:hint="eastAsia"/>
        </w:rPr>
        <w:t>7.5.1</w:t>
      </w:r>
      <w:r>
        <w:rPr>
          <w:rFonts w:hint="eastAsia"/>
        </w:rPr>
        <w:tab/>
      </w:r>
      <w:r>
        <w:rPr>
          <w:rFonts w:hint="eastAsia" w:eastAsia="黑体" w:cstheme="majorBidi"/>
          <w:bCs/>
          <w:szCs w:val="32"/>
        </w:rPr>
        <w:t>风险防范措施</w:t>
      </w:r>
    </w:p>
    <w:p>
      <w:pPr>
        <w:pStyle w:val="3"/>
        <w:ind w:firstLine="0" w:firstLineChars="0"/>
        <w:outlineLvl w:val="3"/>
        <w:rPr>
          <w:rFonts w:eastAsia="黑体" w:cstheme="majorBidi"/>
          <w:bCs/>
          <w:szCs w:val="32"/>
        </w:rPr>
      </w:pPr>
      <w:r>
        <w:rPr>
          <w:rFonts w:hint="eastAsia" w:eastAsia="黑体" w:cstheme="majorBidi"/>
          <w:bCs/>
          <w:szCs w:val="32"/>
        </w:rPr>
        <w:t>7.5.1.1</w:t>
      </w:r>
      <w:r>
        <w:rPr>
          <w:rFonts w:hint="eastAsia" w:eastAsia="黑体" w:cstheme="majorBidi"/>
          <w:bCs/>
          <w:szCs w:val="32"/>
        </w:rPr>
        <w:tab/>
      </w:r>
      <w:r>
        <w:rPr>
          <w:rFonts w:hint="eastAsia" w:eastAsia="黑体" w:cstheme="majorBidi"/>
          <w:bCs/>
          <w:szCs w:val="32"/>
        </w:rPr>
        <w:t>沼气泄露环境风险防范措施</w:t>
      </w:r>
    </w:p>
    <w:p>
      <w:pPr>
        <w:pStyle w:val="3"/>
        <w:ind w:firstLine="480"/>
        <w:rPr>
          <w:rFonts w:cs="Times New Roman"/>
          <w:kern w:val="0"/>
        </w:rPr>
      </w:pPr>
      <w:r>
        <w:rPr>
          <w:rFonts w:hint="eastAsia" w:cs="Times New Roman"/>
          <w:kern w:val="0"/>
        </w:rPr>
        <w:t>建设单位严格加强日常运行管理，正常生产情况下，每天对沼气设备的运行及沼气池密闭性、管道连接线等情况进行检查，避免沼气泄露造成的次生环境风险影响。</w:t>
      </w:r>
    </w:p>
    <w:p>
      <w:pPr>
        <w:pStyle w:val="3"/>
        <w:ind w:firstLine="0" w:firstLineChars="0"/>
        <w:outlineLvl w:val="3"/>
        <w:rPr>
          <w:rFonts w:eastAsia="黑体" w:cstheme="majorBidi"/>
          <w:bCs/>
          <w:szCs w:val="32"/>
        </w:rPr>
      </w:pPr>
      <w:r>
        <w:rPr>
          <w:rFonts w:hint="eastAsia" w:eastAsia="黑体" w:cstheme="majorBidi"/>
          <w:bCs/>
          <w:szCs w:val="32"/>
        </w:rPr>
        <w:t>7.5.1.2</w:t>
      </w:r>
      <w:r>
        <w:rPr>
          <w:rFonts w:hint="eastAsia" w:eastAsia="黑体" w:cstheme="majorBidi"/>
          <w:bCs/>
          <w:szCs w:val="32"/>
        </w:rPr>
        <w:tab/>
      </w:r>
      <w:r>
        <w:rPr>
          <w:rFonts w:hint="eastAsia" w:eastAsia="黑体" w:cstheme="majorBidi"/>
          <w:bCs/>
          <w:szCs w:val="32"/>
        </w:rPr>
        <w:t>锅炉废气处理设施出现故障环境风险防范措施</w:t>
      </w:r>
    </w:p>
    <w:p>
      <w:pPr>
        <w:pStyle w:val="3"/>
        <w:ind w:firstLine="480"/>
        <w:rPr>
          <w:color w:val="000000"/>
        </w:rPr>
      </w:pPr>
      <w:r>
        <w:rPr>
          <w:rFonts w:hint="eastAsia" w:cs="Times New Roman"/>
          <w:kern w:val="0"/>
        </w:rPr>
        <w:t>建设单位</w:t>
      </w:r>
      <w:r>
        <w:rPr>
          <w:rFonts w:hint="eastAsia"/>
          <w:color w:val="000000"/>
        </w:rPr>
        <w:t>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pStyle w:val="3"/>
        <w:ind w:firstLine="480"/>
        <w:rPr>
          <w:color w:val="000000"/>
        </w:rPr>
      </w:pPr>
      <w:r>
        <w:rPr>
          <w:rFonts w:hint="eastAsia"/>
          <w:color w:val="000000"/>
        </w:rPr>
        <w:t>①安排专人负责环保设备的日常维护和管理，每个固定时间检查、汇报情况，及时发现废气处理设备的隐患，确保废气处理系统正常运行；</w:t>
      </w:r>
    </w:p>
    <w:p>
      <w:pPr>
        <w:pStyle w:val="3"/>
        <w:ind w:firstLine="480"/>
        <w:rPr>
          <w:color w:val="000000"/>
        </w:rPr>
      </w:pPr>
      <w:r>
        <w:rPr>
          <w:rFonts w:hint="eastAsia"/>
          <w:color w:val="000000"/>
        </w:rPr>
        <w:t>②定期更换布袋，布袋一年更换一次；</w:t>
      </w:r>
    </w:p>
    <w:p>
      <w:pPr>
        <w:pStyle w:val="3"/>
        <w:ind w:firstLine="480"/>
        <w:rPr>
          <w:color w:val="000000"/>
        </w:rPr>
      </w:pPr>
      <w:r>
        <w:rPr>
          <w:rFonts w:hint="eastAsia"/>
          <w:color w:val="000000"/>
        </w:rPr>
        <w:t>③建立健全的环保管理机构，对环保管理人员和技术人员进行岗位培训，委托具有专业资质的环境检测单位对项目排放的各类污染物进行定期检测；</w:t>
      </w:r>
    </w:p>
    <w:p>
      <w:pPr>
        <w:pStyle w:val="3"/>
        <w:ind w:firstLine="480"/>
        <w:rPr>
          <w:color w:val="000000"/>
        </w:rPr>
      </w:pPr>
      <w:r>
        <w:rPr>
          <w:rFonts w:hint="eastAsia"/>
          <w:color w:val="000000"/>
        </w:rPr>
        <w:t>④定期维护、检修废气净化装置，以保持废气处理装置的净化能力和净化容量。</w:t>
      </w:r>
    </w:p>
    <w:p>
      <w:pPr>
        <w:pStyle w:val="3"/>
        <w:ind w:firstLine="0" w:firstLineChars="0"/>
        <w:outlineLvl w:val="3"/>
        <w:rPr>
          <w:rFonts w:eastAsia="黑体" w:cstheme="majorBidi"/>
          <w:bCs/>
          <w:szCs w:val="32"/>
        </w:rPr>
      </w:pPr>
      <w:r>
        <w:rPr>
          <w:rFonts w:hint="eastAsia" w:eastAsia="黑体" w:cstheme="majorBidi"/>
          <w:bCs/>
          <w:szCs w:val="32"/>
        </w:rPr>
        <w:t>7.5.1.3</w:t>
      </w:r>
      <w:r>
        <w:rPr>
          <w:rFonts w:hint="eastAsia" w:eastAsia="黑体" w:cstheme="majorBidi"/>
          <w:bCs/>
          <w:szCs w:val="32"/>
        </w:rPr>
        <w:tab/>
      </w:r>
      <w:r>
        <w:rPr>
          <w:rFonts w:hint="eastAsia" w:eastAsia="黑体" w:cstheme="majorBidi"/>
          <w:bCs/>
          <w:szCs w:val="32"/>
        </w:rPr>
        <w:t>危险废物泄露环境风险防范措施</w:t>
      </w:r>
    </w:p>
    <w:p>
      <w:pPr>
        <w:pStyle w:val="3"/>
        <w:ind w:firstLine="480"/>
        <w:rPr>
          <w:color w:val="000000"/>
        </w:rPr>
      </w:pPr>
      <w:r>
        <w:rPr>
          <w:rFonts w:hint="eastAsia"/>
          <w:color w:val="000000"/>
        </w:rPr>
        <w:t>危险废物需严格按照《危险废物贮存污染控制标准》（</w:t>
      </w:r>
      <w:r>
        <w:rPr>
          <w:color w:val="000000"/>
        </w:rPr>
        <w:t>GB18597-2001)</w:t>
      </w:r>
      <w:r>
        <w:rPr>
          <w:rFonts w:hint="eastAsia"/>
          <w:color w:val="000000"/>
        </w:rPr>
        <w:t>及修改单（环境保护部公告</w:t>
      </w:r>
      <w:r>
        <w:rPr>
          <w:color w:val="000000"/>
        </w:rPr>
        <w:t>2013</w:t>
      </w:r>
      <w:r>
        <w:rPr>
          <w:rFonts w:hint="eastAsia"/>
          <w:color w:val="000000"/>
        </w:rPr>
        <w:t>年第</w:t>
      </w:r>
      <w:r>
        <w:rPr>
          <w:color w:val="000000"/>
        </w:rPr>
        <w:t>36</w:t>
      </w:r>
      <w:r>
        <w:rPr>
          <w:rFonts w:hint="eastAsia"/>
          <w:color w:val="000000"/>
        </w:rPr>
        <w:t>号）中的技术要求进行建设，厂区内危险废物转运尽量在天气晴朗时进行，转运车辆要求需满足《危险废物收集、贮存、运输技术规范》（</w:t>
      </w:r>
      <w:r>
        <w:rPr>
          <w:color w:val="000000"/>
        </w:rPr>
        <w:t>HJ2025-2012</w:t>
      </w:r>
      <w:r>
        <w:rPr>
          <w:rFonts w:hint="eastAsia"/>
          <w:color w:val="000000"/>
        </w:rPr>
        <w:t>）中的规定，危险废物暂存间设专人进行负责，在厂区内转移的危险废物需设置台账记录，转运过程中发生遗洒的危险废物需及时进行清理。</w:t>
      </w:r>
    </w:p>
    <w:p>
      <w:pPr>
        <w:pStyle w:val="3"/>
        <w:ind w:firstLine="0" w:firstLineChars="0"/>
        <w:outlineLvl w:val="3"/>
        <w:rPr>
          <w:rFonts w:eastAsia="黑体" w:cstheme="majorBidi"/>
          <w:bCs/>
          <w:szCs w:val="32"/>
        </w:rPr>
      </w:pPr>
      <w:r>
        <w:rPr>
          <w:rFonts w:hint="eastAsia" w:eastAsia="黑体" w:cstheme="majorBidi"/>
          <w:bCs/>
          <w:szCs w:val="32"/>
        </w:rPr>
        <w:t>7.5.1.4</w:t>
      </w:r>
      <w:r>
        <w:rPr>
          <w:rFonts w:hint="eastAsia" w:eastAsia="黑体" w:cstheme="majorBidi"/>
          <w:bCs/>
          <w:szCs w:val="32"/>
        </w:rPr>
        <w:tab/>
      </w:r>
      <w:r>
        <w:rPr>
          <w:rFonts w:hint="eastAsia" w:eastAsia="黑体" w:cstheme="majorBidi"/>
          <w:bCs/>
          <w:szCs w:val="32"/>
        </w:rPr>
        <w:t>生物安全性风险防范措施</w:t>
      </w:r>
    </w:p>
    <w:p>
      <w:pPr>
        <w:pStyle w:val="3"/>
        <w:ind w:firstLine="480"/>
        <w:rPr>
          <w:color w:val="000000"/>
        </w:rPr>
      </w:pPr>
      <w:r>
        <w:rPr>
          <w:rFonts w:hint="eastAsia"/>
          <w:color w:val="000000"/>
        </w:rPr>
        <w:t>所有进出屠宰的畜禽全部要进行检疫，检疫合格才能进行屠宰，检验时如发现传染病传播，立即将其隔离，装袋，送危险品销毁场所，按有关规定进行焚烧或深埋处理。经检验不合格的肉和副产品，按《肉类加工厂卫生规范》（</w:t>
      </w:r>
      <w:r>
        <w:rPr>
          <w:color w:val="000000"/>
        </w:rPr>
        <w:t>GB12694-1990</w:t>
      </w:r>
      <w:r>
        <w:rPr>
          <w:rFonts w:hint="eastAsia"/>
          <w:color w:val="000000"/>
        </w:rPr>
        <w:t>）中</w:t>
      </w:r>
      <w:r>
        <w:rPr>
          <w:color w:val="000000"/>
        </w:rPr>
        <w:t>7.8</w:t>
      </w:r>
      <w:r>
        <w:rPr>
          <w:rFonts w:hint="eastAsia"/>
          <w:color w:val="000000"/>
        </w:rPr>
        <w:t>规定处理；不符合信用条件的肉和副产品按《肉类加工厂卫生规范》（</w:t>
      </w:r>
      <w:r>
        <w:rPr>
          <w:color w:val="000000"/>
        </w:rPr>
        <w:t>GB12694-1990</w:t>
      </w:r>
      <w:r>
        <w:rPr>
          <w:rFonts w:hint="eastAsia"/>
          <w:color w:val="000000"/>
        </w:rPr>
        <w:t>）中</w:t>
      </w:r>
      <w:r>
        <w:rPr>
          <w:color w:val="000000"/>
        </w:rPr>
        <w:t>7.9</w:t>
      </w:r>
      <w:r>
        <w:rPr>
          <w:rFonts w:hint="eastAsia"/>
          <w:color w:val="000000"/>
        </w:rPr>
        <w:t>规定处理；同时应遵循《畜禽病害肉尸及其产品无害化处理规程》（</w:t>
      </w:r>
      <w:r>
        <w:rPr>
          <w:color w:val="000000"/>
        </w:rPr>
        <w:t>GB16548-1996</w:t>
      </w:r>
      <w:r>
        <w:rPr>
          <w:rFonts w:hint="eastAsia"/>
          <w:color w:val="000000"/>
        </w:rPr>
        <w:t>）。本项目不合格牛、鸡鸭及副产品均按照该规则进行安全处置。</w:t>
      </w:r>
    </w:p>
    <w:p>
      <w:pPr>
        <w:pStyle w:val="3"/>
        <w:ind w:firstLine="0" w:firstLineChars="0"/>
        <w:outlineLvl w:val="3"/>
        <w:rPr>
          <w:rFonts w:eastAsia="黑体" w:cstheme="majorBidi"/>
          <w:bCs/>
          <w:szCs w:val="32"/>
        </w:rPr>
      </w:pPr>
      <w:r>
        <w:rPr>
          <w:rFonts w:hint="eastAsia" w:eastAsia="黑体" w:cstheme="majorBidi"/>
          <w:bCs/>
          <w:szCs w:val="32"/>
        </w:rPr>
        <w:t>7.5.1.5</w:t>
      </w:r>
      <w:r>
        <w:rPr>
          <w:rFonts w:hint="eastAsia" w:eastAsia="黑体" w:cstheme="majorBidi"/>
          <w:bCs/>
          <w:szCs w:val="32"/>
        </w:rPr>
        <w:tab/>
      </w:r>
      <w:r>
        <w:rPr>
          <w:rFonts w:hint="eastAsia" w:eastAsia="黑体" w:cstheme="majorBidi"/>
          <w:bCs/>
          <w:szCs w:val="32"/>
        </w:rPr>
        <w:t>病死畜禽临时储存、转运风险防范措施</w:t>
      </w:r>
    </w:p>
    <w:p>
      <w:pPr>
        <w:pStyle w:val="3"/>
        <w:ind w:firstLine="480"/>
        <w:rPr>
          <w:rFonts w:eastAsiaTheme="minorEastAsia"/>
        </w:rPr>
      </w:pPr>
      <w:r>
        <w:rPr>
          <w:rFonts w:hint="eastAsia" w:eastAsiaTheme="minorEastAsia"/>
        </w:rPr>
        <w:t>宰场转移病死动物时，工作人员应穿戴好防护服、口罩、胶鞋及手套等防护用具，对病死动物暂存场所及周围场地进行彻底消毒，使用过的一次性防护用品作无害化处理，对循环使用的防护用品应当清洗和消毒处理。</w:t>
      </w:r>
    </w:p>
    <w:p>
      <w:pPr>
        <w:pStyle w:val="3"/>
        <w:ind w:firstLine="480"/>
        <w:rPr>
          <w:rFonts w:eastAsiaTheme="minorEastAsia"/>
        </w:rPr>
      </w:pPr>
      <w:r>
        <w:rPr>
          <w:rFonts w:hint="eastAsia" w:eastAsiaTheme="minorEastAsia"/>
        </w:rPr>
        <w:t>转运车辆必须选用符合</w:t>
      </w:r>
      <w:r>
        <w:rPr>
          <w:rFonts w:eastAsiaTheme="minorEastAsia"/>
        </w:rPr>
        <w:t>GB19217</w:t>
      </w:r>
      <w:r>
        <w:rPr>
          <w:rFonts w:hint="eastAsia" w:eastAsiaTheme="minorEastAsia"/>
        </w:rPr>
        <w:t>规定相对固定的专用封闭式车厢，车厢四壁及底部应使用耐腐蚀材料，并具有防渗防漏和底纹冷藏功能，并加施明显标志。</w:t>
      </w:r>
    </w:p>
    <w:p>
      <w:pPr>
        <w:pStyle w:val="3"/>
        <w:ind w:firstLine="0" w:firstLineChars="0"/>
        <w:outlineLvl w:val="2"/>
      </w:pPr>
      <w:r>
        <w:rPr>
          <w:rFonts w:hint="eastAsia"/>
        </w:rPr>
        <w:t>7.5.2</w:t>
      </w:r>
      <w:r>
        <w:rPr>
          <w:rFonts w:hint="eastAsia"/>
        </w:rPr>
        <w:tab/>
      </w:r>
      <w:r>
        <w:rPr>
          <w:rFonts w:hint="eastAsia" w:eastAsia="黑体" w:cstheme="majorBidi"/>
          <w:bCs/>
          <w:szCs w:val="32"/>
        </w:rPr>
        <w:t>应急防控措施</w:t>
      </w:r>
    </w:p>
    <w:p>
      <w:pPr>
        <w:pStyle w:val="3"/>
        <w:ind w:firstLine="480"/>
        <w:rPr>
          <w:rFonts w:cs="Times New Roman"/>
        </w:rPr>
      </w:pPr>
      <w:r>
        <w:rPr>
          <w:rFonts w:hint="eastAsia" w:cs="Times New Roman"/>
        </w:rPr>
        <w:t>项目物料主要为固体，风险事故主要为环保设施故障、危废暂存间防渗措施不完善等，因此要求企业对车间地面进行分区防渗，并定期对环保设备的运行情况进行检查记录，确保环保设施的正常运行。</w:t>
      </w:r>
    </w:p>
    <w:p>
      <w:pPr>
        <w:pStyle w:val="3"/>
        <w:ind w:firstLine="480"/>
        <w:rPr>
          <w:rFonts w:cs="Times New Roman"/>
          <w:kern w:val="0"/>
        </w:rPr>
      </w:pPr>
      <w:r>
        <w:rPr>
          <w:rFonts w:hint="eastAsia" w:cs="Times New Roman"/>
          <w:kern w:val="0"/>
        </w:rPr>
        <w:t>当环保设备发生故障时，应即可停止生产，待维修确保环保设备正常运行后再投运。</w:t>
      </w:r>
    </w:p>
    <w:p>
      <w:pPr>
        <w:pStyle w:val="3"/>
        <w:ind w:firstLine="0" w:firstLineChars="0"/>
        <w:outlineLvl w:val="2"/>
      </w:pPr>
      <w:r>
        <w:rPr>
          <w:rFonts w:hint="eastAsia"/>
        </w:rPr>
        <w:t>7.5.3</w:t>
      </w:r>
      <w:r>
        <w:rPr>
          <w:rFonts w:hint="eastAsia"/>
        </w:rPr>
        <w:tab/>
      </w:r>
      <w:r>
        <w:rPr>
          <w:rFonts w:hint="eastAsia" w:eastAsia="黑体" w:cstheme="majorBidi"/>
          <w:bCs/>
          <w:szCs w:val="32"/>
        </w:rPr>
        <w:t>应急预案</w:t>
      </w:r>
    </w:p>
    <w:p>
      <w:pPr>
        <w:pStyle w:val="3"/>
        <w:ind w:firstLine="480"/>
        <w:rPr>
          <w:rFonts w:cs="Times New Roman"/>
          <w:kern w:val="0"/>
        </w:rPr>
        <w:sectPr>
          <w:pgSz w:w="11906" w:h="16838"/>
          <w:pgMar w:top="1474" w:right="1361" w:bottom="1474" w:left="1588" w:header="851" w:footer="992" w:gutter="0"/>
          <w:cols w:space="425" w:num="1"/>
          <w:docGrid w:type="lines" w:linePitch="312" w:charSpace="0"/>
        </w:sectPr>
      </w:pPr>
      <w:r>
        <w:rPr>
          <w:rFonts w:hint="eastAsia" w:cs="Times New Roman"/>
          <w:kern w:val="0"/>
        </w:rPr>
        <w:t>应急预案主要内容应根据《建设项目环境风险评价技术导则》（</w:t>
      </w:r>
      <w:r>
        <w:rPr>
          <w:rFonts w:cs="Times New Roman"/>
          <w:kern w:val="0"/>
        </w:rPr>
        <w:t>HJ/T169-2018</w:t>
      </w:r>
      <w:r>
        <w:rPr>
          <w:rFonts w:hint="eastAsia" w:cs="Times New Roman"/>
          <w:kern w:val="0"/>
        </w:rPr>
        <w:t>）详细编制，应急预案基本内容见表7.5-1。</w:t>
      </w:r>
    </w:p>
    <w:p>
      <w:pPr>
        <w:pStyle w:val="3"/>
        <w:spacing w:line="240" w:lineRule="auto"/>
        <w:ind w:firstLine="0" w:firstLineChars="0"/>
        <w:jc w:val="center"/>
        <w:rPr>
          <w:rFonts w:cs="Times New Roman"/>
          <w:kern w:val="0"/>
        </w:rPr>
      </w:pPr>
      <w:r>
        <w:rPr>
          <w:rFonts w:hint="eastAsia" w:cs="Times New Roman" w:eastAsiaTheme="minorEastAsia"/>
          <w:b/>
        </w:rPr>
        <w:t xml:space="preserve">表7.5-1 </w:t>
      </w:r>
      <w:r>
        <w:rPr>
          <w:rFonts w:cs="Times New Roman" w:eastAsiaTheme="minorEastAsia"/>
          <w:b/>
        </w:rPr>
        <w:t xml:space="preserve"> </w:t>
      </w:r>
      <w:r>
        <w:rPr>
          <w:rFonts w:hint="eastAsia" w:cs="Times New Roman" w:eastAsiaTheme="minorEastAsia"/>
          <w:b/>
        </w:rPr>
        <w:t>应急预案内容</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714"/>
        <w:gridCol w:w="6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序号</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项目</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危险源情况</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2</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应急计划区</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危险目标、废气处理设施区、污水处理设施区、临近地区。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3</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应急组织</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企业：成立公司应急指挥小组，由公司最高领导层担任小组长，负责现场全面指挥，专业救援队伍负责事故控制、救援和善后处理。</w:t>
            </w:r>
          </w:p>
          <w:p>
            <w:pPr>
              <w:pStyle w:val="49"/>
            </w:pPr>
            <w:r>
              <w:rPr>
                <w:rFonts w:hint="eastAsia"/>
              </w:rPr>
              <w:t>临近地区：地区指挥部负责企业附近地区全面指挥，救援，管制和疏散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4</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应急状态分类应急响应程序</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5</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应急设施</w:t>
            </w:r>
          </w:p>
          <w:p>
            <w:pPr>
              <w:pStyle w:val="49"/>
            </w:pPr>
            <w:r>
              <w:rPr>
                <w:rFonts w:hint="eastAsia"/>
              </w:rPr>
              <w:t>设备与材料</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生产装置所在车间：防火灾、爆炸事故的应急设施、设备与材料，主要为消防器材、消防服等；</w:t>
            </w:r>
            <w:r>
              <w:t xml:space="preserve"> </w:t>
            </w:r>
            <w:r>
              <w:rPr>
                <w:rFonts w:hint="eastAsia"/>
              </w:rPr>
              <w:t>临界地区：烧伤人员急救所用的一些药品、器材。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6</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应急通讯</w:t>
            </w:r>
          </w:p>
          <w:p>
            <w:pPr>
              <w:pStyle w:val="49"/>
            </w:pPr>
            <w:r>
              <w:rPr>
                <w:rFonts w:hint="eastAsia"/>
              </w:rPr>
              <w:t>通告与交通</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规定应急状态下的通讯、通告方式和交通保障、管理等事项。可充分利用现代化的通信设施，如手机、固定电话、广播、电视等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7</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应急环境监测及事故后评价</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8</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应急防护措施</w:t>
            </w:r>
          </w:p>
          <w:p>
            <w:pPr>
              <w:pStyle w:val="49"/>
            </w:pPr>
            <w:r>
              <w:rPr>
                <w:rFonts w:hint="eastAsia"/>
              </w:rPr>
              <w:t>及需使用器材</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事故现场：控制事故发展，防止扩大、蔓延及连锁反应；相应的设施器材配备；临近地区：控制防火区域，控制和消除环境污染的措施及相应的设备配备。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9</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撤离组织计划医疗救护与保护公众健康</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事故现场：事故处理人员制定现场及临近装置人员的撤离组织计划和紧急救护方案；临近地区：制定受事故影响的临近地区内人员对公众的疏散组织计划和紧急救护方案。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10</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应急状态中止</w:t>
            </w:r>
          </w:p>
          <w:p>
            <w:pPr>
              <w:pStyle w:val="49"/>
            </w:pPr>
            <w:r>
              <w:rPr>
                <w:rFonts w:hint="eastAsia"/>
              </w:rPr>
              <w:t>恢复措施</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事故现场：规定应急状态终止秩序；事故现场善后处理，回复生产措施；</w:t>
            </w:r>
          </w:p>
          <w:p>
            <w:pPr>
              <w:pStyle w:val="49"/>
            </w:pPr>
            <w:r>
              <w:rPr>
                <w:rFonts w:hint="eastAsia"/>
              </w:rPr>
              <w:t>临近地区：解除事故警戒，公众返回和善后回复措施。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11</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人员培训</w:t>
            </w:r>
          </w:p>
          <w:p>
            <w:pPr>
              <w:pStyle w:val="49"/>
            </w:pPr>
            <w:r>
              <w:rPr>
                <w:rFonts w:hint="eastAsia"/>
              </w:rPr>
              <w:t>与演习</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应急计划制定后，平时安排事故出路人员进行相关知识培训并进行事故应急处理演习；对工厂工人进行安全卫生教育。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12</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公众教育</w:t>
            </w:r>
          </w:p>
          <w:p>
            <w:pPr>
              <w:pStyle w:val="49"/>
            </w:pPr>
            <w:r>
              <w:rPr>
                <w:rFonts w:hint="eastAsia"/>
              </w:rPr>
              <w:t>信息发布</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对工厂临近地区公众开展环境风险事故预防教育、应急知识培训并定期发布相关信息。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13</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记录和报告</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tcBorders>
              <w:top w:val="single" w:color="auto" w:sz="4" w:space="0"/>
              <w:left w:val="single" w:color="auto" w:sz="4" w:space="0"/>
              <w:bottom w:val="single" w:color="auto" w:sz="4" w:space="0"/>
              <w:right w:val="single" w:color="auto" w:sz="4" w:space="0"/>
            </w:tcBorders>
            <w:vAlign w:val="center"/>
          </w:tcPr>
          <w:p>
            <w:pPr>
              <w:pStyle w:val="49"/>
            </w:pPr>
            <w:r>
              <w:t>14</w:t>
            </w:r>
          </w:p>
        </w:tc>
        <w:tc>
          <w:tcPr>
            <w:tcW w:w="934"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附件</w:t>
            </w:r>
          </w:p>
        </w:tc>
        <w:tc>
          <w:tcPr>
            <w:tcW w:w="3649"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准备并形成环境风险事故应急处理有关的附件材料。</w:t>
            </w:r>
          </w:p>
        </w:tc>
      </w:tr>
    </w:tbl>
    <w:p>
      <w:pPr>
        <w:pStyle w:val="5"/>
      </w:pPr>
      <w:bookmarkStart w:id="40" w:name="_Toc116993080"/>
      <w:r>
        <w:rPr>
          <w:rFonts w:hint="eastAsia"/>
        </w:rPr>
        <w:t>结论</w:t>
      </w:r>
      <w:bookmarkEnd w:id="40"/>
    </w:p>
    <w:p>
      <w:pPr>
        <w:pStyle w:val="3"/>
        <w:ind w:firstLine="480"/>
        <w:rPr>
          <w:rFonts w:cs="Times New Roman"/>
          <w:kern w:val="0"/>
        </w:rPr>
      </w:pPr>
      <w:r>
        <w:rPr>
          <w:rFonts w:hint="eastAsia" w:cs="Times New Roman"/>
          <w:kern w:val="0"/>
        </w:rPr>
        <w:t>本项目使用的危险化学品使用量和储存量尚未构成重大危险源；风险分析表明，公司通过采取一系列的风险防范措施，同时制定相应的事故应急预案，可有效地降低危险化学品的使用风险，并能使其达到可接受水平。</w:t>
      </w:r>
    </w:p>
    <w:p>
      <w:pPr>
        <w:pStyle w:val="3"/>
        <w:ind w:firstLine="480"/>
        <w:rPr>
          <w:rFonts w:cs="Times New Roman"/>
          <w:kern w:val="0"/>
        </w:rPr>
      </w:pPr>
      <w:r>
        <w:rPr>
          <w:rFonts w:hint="eastAsia" w:cs="Times New Roman"/>
          <w:kern w:val="0"/>
        </w:rPr>
        <w:t>建设项目环境风险简单分析内容表见表7.6-1。</w:t>
      </w:r>
    </w:p>
    <w:p>
      <w:pPr>
        <w:pStyle w:val="3"/>
        <w:spacing w:line="240" w:lineRule="auto"/>
        <w:ind w:firstLine="0" w:firstLineChars="0"/>
        <w:jc w:val="center"/>
        <w:rPr>
          <w:rFonts w:cs="Times New Roman"/>
          <w:kern w:val="0"/>
        </w:rPr>
      </w:pPr>
      <w:r>
        <w:rPr>
          <w:rFonts w:hint="eastAsia" w:cs="Times New Roman" w:eastAsiaTheme="minorEastAsia"/>
          <w:b/>
        </w:rPr>
        <w:t xml:space="preserve">表7.6-1 </w:t>
      </w:r>
      <w:r>
        <w:rPr>
          <w:rFonts w:cs="Times New Roman" w:eastAsiaTheme="minorEastAsia"/>
          <w:b/>
        </w:rPr>
        <w:t xml:space="preserve"> </w:t>
      </w:r>
      <w:r>
        <w:rPr>
          <w:rFonts w:hint="eastAsia" w:cs="Times New Roman" w:eastAsiaTheme="minorEastAsia"/>
          <w:b/>
        </w:rPr>
        <w:t>建设项目环境风险简单分析内容表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488"/>
        <w:gridCol w:w="1488"/>
        <w:gridCol w:w="1488"/>
        <w:gridCol w:w="1488"/>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建设项目名称</w:t>
            </w:r>
          </w:p>
        </w:tc>
        <w:tc>
          <w:tcPr>
            <w:tcW w:w="4055" w:type="pct"/>
            <w:gridSpan w:val="5"/>
            <w:tcBorders>
              <w:top w:val="single" w:color="auto" w:sz="4" w:space="0"/>
              <w:left w:val="single" w:color="auto" w:sz="4" w:space="0"/>
              <w:bottom w:val="single" w:color="auto" w:sz="4" w:space="0"/>
              <w:right w:val="single" w:color="auto" w:sz="4" w:space="0"/>
            </w:tcBorders>
            <w:vAlign w:val="center"/>
          </w:tcPr>
          <w:p>
            <w:pPr>
              <w:pStyle w:val="49"/>
            </w:pPr>
            <w:r>
              <w:rPr>
                <w:rFonts w:hint="eastAsia" w:cs="Times New Roman"/>
              </w:rPr>
              <w:t>衡阳鸿福畜禽综合屠宰有限公司年屠宰肉牛1万头、家禽1000万只改扩建项目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建设地点</w:t>
            </w:r>
          </w:p>
        </w:tc>
        <w:tc>
          <w:tcPr>
            <w:tcW w:w="81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（湖南）省</w:t>
            </w:r>
          </w:p>
        </w:tc>
        <w:tc>
          <w:tcPr>
            <w:tcW w:w="81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（衡阳）市</w:t>
            </w:r>
          </w:p>
        </w:tc>
        <w:tc>
          <w:tcPr>
            <w:tcW w:w="81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w:t>
            </w:r>
            <w:r>
              <w:t>/</w:t>
            </w:r>
            <w:r>
              <w:rPr>
                <w:rFonts w:hint="eastAsia"/>
              </w:rPr>
              <w:t>）区</w:t>
            </w:r>
          </w:p>
        </w:tc>
        <w:tc>
          <w:tcPr>
            <w:tcW w:w="811"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（衡阳）县</w:t>
            </w:r>
          </w:p>
        </w:tc>
        <w:tc>
          <w:tcPr>
            <w:tcW w:w="812"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w:t>
            </w:r>
            <w:r>
              <w:t>/</w:t>
            </w:r>
            <w:r>
              <w:rPr>
                <w:rFonts w:hint="eastAsia"/>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地理坐标</w:t>
            </w:r>
          </w:p>
        </w:tc>
        <w:tc>
          <w:tcPr>
            <w:tcW w:w="4055" w:type="pct"/>
            <w:gridSpan w:val="5"/>
            <w:tcBorders>
              <w:top w:val="single" w:color="auto" w:sz="4" w:space="0"/>
              <w:left w:val="single" w:color="auto" w:sz="4" w:space="0"/>
              <w:bottom w:val="single" w:color="auto" w:sz="4" w:space="0"/>
              <w:right w:val="single" w:color="auto" w:sz="4" w:space="0"/>
            </w:tcBorders>
            <w:vAlign w:val="center"/>
          </w:tcPr>
          <w:p>
            <w:pPr>
              <w:pStyle w:val="49"/>
            </w:pPr>
            <w:r>
              <w:rPr>
                <w:rFonts w:hint="eastAsia"/>
              </w:rPr>
              <w:t>东经：112°52′18.82″、北纬：26°98′61.66″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环境影响途径及危害后果</w:t>
            </w:r>
          </w:p>
        </w:tc>
        <w:tc>
          <w:tcPr>
            <w:tcW w:w="4055" w:type="pct"/>
            <w:gridSpan w:val="5"/>
            <w:tcBorders>
              <w:top w:val="single" w:color="auto" w:sz="4" w:space="0"/>
              <w:left w:val="single" w:color="auto" w:sz="4" w:space="0"/>
              <w:bottom w:val="single" w:color="auto" w:sz="4" w:space="0"/>
              <w:right w:val="single" w:color="auto" w:sz="4" w:space="0"/>
            </w:tcBorders>
            <w:vAlign w:val="center"/>
          </w:tcPr>
          <w:p>
            <w:pPr>
              <w:pStyle w:val="49"/>
            </w:pPr>
            <w:r>
              <w:rPr>
                <w:rFonts w:hint="eastAsia"/>
              </w:rPr>
              <w:t>沼气泄露引发火灾爆炸次生环境风险，危害大气和地表水环境；</w:t>
            </w:r>
          </w:p>
          <w:p>
            <w:pPr>
              <w:pStyle w:val="49"/>
            </w:pPr>
            <w:r>
              <w:rPr>
                <w:rFonts w:hint="eastAsia"/>
              </w:rPr>
              <w:t>锅炉废气处理设施故障，造成锅炉废气事故排放，影响大气环境；</w:t>
            </w:r>
          </w:p>
          <w:p>
            <w:pPr>
              <w:pStyle w:val="49"/>
            </w:pPr>
            <w:r>
              <w:rPr>
                <w:rFonts w:hint="eastAsia"/>
              </w:rPr>
              <w:t>危险废物泄露，危害地表水环境；</w:t>
            </w:r>
          </w:p>
          <w:p>
            <w:pPr>
              <w:pStyle w:val="49"/>
            </w:pPr>
            <w:r>
              <w:rPr>
                <w:rFonts w:hint="eastAsia"/>
              </w:rPr>
              <w:t>生物安全性风险，造成疫情，影响周边人群健康。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tcBorders>
              <w:top w:val="single" w:color="auto" w:sz="4" w:space="0"/>
              <w:left w:val="single" w:color="auto" w:sz="4" w:space="0"/>
              <w:bottom w:val="single" w:color="auto" w:sz="4" w:space="0"/>
              <w:right w:val="single" w:color="auto" w:sz="4" w:space="0"/>
            </w:tcBorders>
            <w:vAlign w:val="center"/>
          </w:tcPr>
          <w:p>
            <w:pPr>
              <w:pStyle w:val="49"/>
            </w:pPr>
            <w:r>
              <w:rPr>
                <w:rFonts w:hint="eastAsia"/>
              </w:rPr>
              <w:t>风险防范措施要求</w:t>
            </w:r>
          </w:p>
        </w:tc>
        <w:tc>
          <w:tcPr>
            <w:tcW w:w="4055" w:type="pct"/>
            <w:gridSpan w:val="5"/>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jc w:val="left"/>
              <w:rPr>
                <w:rFonts w:ascii="宋体" w:eastAsia="宋体" w:cs="宋体"/>
                <w:kern w:val="0"/>
              </w:rPr>
            </w:pPr>
            <w:r>
              <w:rPr>
                <w:rFonts w:ascii="TimesNewRomanPSMT" w:eastAsia="TimesNewRomanPSMT" w:cs="TimesNewRomanPSMT"/>
                <w:kern w:val="0"/>
              </w:rPr>
              <w:t>1</w:t>
            </w:r>
            <w:r>
              <w:rPr>
                <w:rFonts w:hint="eastAsia" w:ascii="宋体" w:eastAsia="宋体" w:cs="宋体"/>
                <w:kern w:val="0"/>
              </w:rPr>
              <w:t>、建立健全安全生产责任制实行定期性安全检查，定期对生产过程进行检查，</w:t>
            </w:r>
          </w:p>
          <w:p>
            <w:pPr>
              <w:pStyle w:val="49"/>
            </w:pPr>
            <w:r>
              <w:rPr>
                <w:rFonts w:hint="eastAsia" w:ascii="宋体" w:cs="宋体"/>
                <w:kern w:val="0"/>
              </w:rPr>
              <w:t>及时发现事故隐患并迅速给以消除</w:t>
            </w:r>
            <w:r>
              <w:rPr>
                <w:rFonts w:hint="eastAsia"/>
              </w:rPr>
              <w:t>。</w:t>
            </w:r>
          </w:p>
          <w:p>
            <w:pPr>
              <w:pStyle w:val="49"/>
            </w:pPr>
            <w:r>
              <w:t>2</w:t>
            </w:r>
            <w:r>
              <w:rPr>
                <w:rFonts w:hint="eastAsia"/>
              </w:rPr>
              <w:t>、当区域发生疫情时，企业应及时向当地农业，畜牧业管理部门咨询，了解疫病特性，防治要求及注意事项和传染途径；根据疫病传染控制要求配备专门消毒剂对入场的污粪原料进行灭菌、消毒，并加强对厂区员工的安全教育及培训，配合当地管理部门做好疫情控制工作；当发生重大动物疫病及人畜共患病时，企业不得再收取病死禽畜污粪来生产。</w:t>
            </w:r>
          </w:p>
          <w:p>
            <w:pPr>
              <w:pStyle w:val="49"/>
            </w:pPr>
            <w:r>
              <w:t>3</w:t>
            </w:r>
            <w:r>
              <w:rPr>
                <w:rFonts w:hint="eastAsia"/>
              </w:rPr>
              <w:t>、废气处理设施事故防范措施，建立严格的操作规程，实行目标责任制，</w:t>
            </w:r>
            <w:r>
              <w:t xml:space="preserve"> </w:t>
            </w:r>
            <w:r>
              <w:rPr>
                <w:rFonts w:hint="eastAsia"/>
              </w:rPr>
              <w:t>保证环保设施的正常运行。对废气处理设施定期监测、维护，以确保废气处理设施正常运行，并注明注意事项，防治错误操作引起的事故排放，加强对职工的安全教育，制定严格的工作制度，所有操作人员必须了解接触的化学品的有害作用及对患者的急救措施，保证生产的正常运行和员工的身体健康。</w:t>
            </w:r>
          </w:p>
          <w:p>
            <w:pPr>
              <w:pStyle w:val="49"/>
            </w:pPr>
            <w:r>
              <w:t>4</w:t>
            </w:r>
            <w:r>
              <w:rPr>
                <w:rFonts w:hint="eastAsia"/>
              </w:rPr>
              <w:t>、物料泄漏防范措施：规范暂存间，设置围堰及截留措施。</w:t>
            </w:r>
          </w:p>
        </w:tc>
      </w:tr>
    </w:tbl>
    <w:p>
      <w:pPr>
        <w:pStyle w:val="3"/>
        <w:ind w:firstLine="480"/>
        <w:rPr>
          <w:rFonts w:cs="Times New Roman"/>
          <w:kern w:val="0"/>
        </w:rPr>
      </w:pPr>
    </w:p>
    <w:p>
      <w:pPr>
        <w:pStyle w:val="3"/>
        <w:ind w:firstLine="480"/>
        <w:rPr>
          <w:rFonts w:cs="Times New Roman"/>
          <w:kern w:val="0"/>
        </w:rPr>
        <w:sectPr>
          <w:pgSz w:w="11906" w:h="16838"/>
          <w:pgMar w:top="1474" w:right="1361" w:bottom="1474" w:left="1588" w:header="851" w:footer="992" w:gutter="0"/>
          <w:cols w:space="425" w:num="1"/>
          <w:docGrid w:type="lines" w:linePitch="312" w:charSpace="0"/>
        </w:sectPr>
      </w:pPr>
    </w:p>
    <w:p>
      <w:pPr>
        <w:pStyle w:val="2"/>
        <w:ind w:left="0"/>
      </w:pPr>
      <w:bookmarkStart w:id="41" w:name="_Toc116993081"/>
      <w:r>
        <w:rPr>
          <w:rFonts w:hint="eastAsia"/>
        </w:rPr>
        <w:t>环保</w:t>
      </w:r>
      <w:r>
        <w:t>措施及其技术经济论证</w:t>
      </w:r>
      <w:bookmarkEnd w:id="41"/>
    </w:p>
    <w:p>
      <w:pPr>
        <w:pStyle w:val="5"/>
      </w:pPr>
      <w:bookmarkStart w:id="42" w:name="_Toc116993082"/>
      <w:r>
        <w:rPr>
          <w:rFonts w:hint="eastAsia"/>
        </w:rPr>
        <w:t>施工期</w:t>
      </w:r>
      <w:r>
        <w:t>污染防治措施</w:t>
      </w:r>
      <w:bookmarkEnd w:id="42"/>
    </w:p>
    <w:p>
      <w:pPr>
        <w:pStyle w:val="3"/>
        <w:ind w:firstLine="0" w:firstLineChars="0"/>
        <w:outlineLvl w:val="2"/>
      </w:pPr>
      <w:r>
        <w:rPr>
          <w:rFonts w:hint="eastAsia"/>
        </w:rPr>
        <w:t>8.1.1</w:t>
      </w:r>
      <w:r>
        <w:rPr>
          <w:rFonts w:hint="eastAsia"/>
        </w:rPr>
        <w:tab/>
      </w:r>
      <w:r>
        <w:rPr>
          <w:rFonts w:hint="eastAsia" w:eastAsia="黑体" w:cstheme="majorBidi"/>
          <w:bCs/>
          <w:szCs w:val="32"/>
        </w:rPr>
        <w:t>施工期地表水污染防治措施</w:t>
      </w:r>
    </w:p>
    <w:p>
      <w:pPr>
        <w:pStyle w:val="3"/>
        <w:ind w:firstLine="480"/>
        <w:rPr>
          <w:rFonts w:cs="Times New Roman"/>
        </w:rPr>
      </w:pPr>
      <w:r>
        <w:rPr>
          <w:rFonts w:hint="eastAsia" w:cs="Times New Roman"/>
        </w:rPr>
        <w:t>施工期要按照《建设工程施工现场环境保护工作基本标准》，采取如下的水污染防治措施：</w:t>
      </w:r>
    </w:p>
    <w:p>
      <w:pPr>
        <w:pStyle w:val="3"/>
        <w:ind w:firstLine="480"/>
        <w:rPr>
          <w:rFonts w:cs="Times New Roman"/>
        </w:rPr>
      </w:pPr>
      <w:r>
        <w:rPr>
          <w:rFonts w:hint="eastAsia" w:cs="Times New Roman"/>
        </w:rPr>
        <w:t>（</w:t>
      </w:r>
      <w:r>
        <w:rPr>
          <w:rFonts w:cs="Times New Roman"/>
        </w:rPr>
        <w:t>1</w:t>
      </w:r>
      <w:r>
        <w:rPr>
          <w:rFonts w:hint="eastAsia" w:cs="Times New Roman"/>
        </w:rPr>
        <w:t>）施工场地四周设排水沟，设置固定的车辆冲洗场所，施工燃油机械维护和冲洗的含油污水经隔油、沉淀处理后回用。同时加强施工机械管理，防止油的跑、冒、漏、滴。隔油池</w:t>
      </w:r>
      <w:r>
        <w:rPr>
          <w:rFonts w:cs="Times New Roman"/>
        </w:rPr>
        <w:t>/</w:t>
      </w:r>
      <w:r>
        <w:rPr>
          <w:rFonts w:hint="eastAsia" w:cs="Times New Roman"/>
        </w:rPr>
        <w:t>沉淀池位置根据施工作业场地，由施工方自行安排。</w:t>
      </w:r>
    </w:p>
    <w:p>
      <w:pPr>
        <w:pStyle w:val="3"/>
        <w:ind w:firstLine="480"/>
        <w:rPr>
          <w:rFonts w:cs="Times New Roman"/>
        </w:rPr>
      </w:pPr>
      <w:r>
        <w:rPr>
          <w:rFonts w:hint="eastAsia" w:cs="Times New Roman"/>
        </w:rPr>
        <w:t>（</w:t>
      </w:r>
      <w:r>
        <w:rPr>
          <w:rFonts w:cs="Times New Roman"/>
        </w:rPr>
        <w:t>2</w:t>
      </w:r>
      <w:r>
        <w:rPr>
          <w:rFonts w:hint="eastAsia" w:cs="Times New Roman"/>
        </w:rPr>
        <w:t>）厂区土石方开挖应科学规划，按着“当天开挖多少，及时推平、碾压多少”的原则进行施工，避免不必要的堆、弃土造成水土流失污染水体。</w:t>
      </w:r>
    </w:p>
    <w:p>
      <w:pPr>
        <w:pStyle w:val="3"/>
        <w:ind w:firstLine="480"/>
        <w:rPr>
          <w:rFonts w:cs="Times New Roman"/>
        </w:rPr>
      </w:pPr>
      <w:r>
        <w:rPr>
          <w:rFonts w:hint="eastAsia" w:cs="Times New Roman"/>
        </w:rPr>
        <w:t>（</w:t>
      </w:r>
      <w:r>
        <w:rPr>
          <w:rFonts w:cs="Times New Roman"/>
        </w:rPr>
        <w:t>3</w:t>
      </w:r>
      <w:r>
        <w:rPr>
          <w:rFonts w:hint="eastAsia" w:cs="Times New Roman"/>
        </w:rPr>
        <w:t>）工程完工后尽快完善项目区绿化或固化地面，尽量减少雨水对裸露地表的冲刷，减小水土流失对地表水的影响。</w:t>
      </w:r>
    </w:p>
    <w:p>
      <w:pPr>
        <w:pStyle w:val="3"/>
        <w:ind w:firstLine="480"/>
        <w:rPr>
          <w:rFonts w:cs="Times New Roman"/>
        </w:rPr>
      </w:pPr>
      <w:r>
        <w:rPr>
          <w:rFonts w:hint="eastAsia" w:cs="Times New Roman"/>
        </w:rPr>
        <w:t>（</w:t>
      </w:r>
      <w:r>
        <w:rPr>
          <w:rFonts w:cs="Times New Roman"/>
        </w:rPr>
        <w:t>4</w:t>
      </w:r>
      <w:r>
        <w:rPr>
          <w:rFonts w:hint="eastAsia" w:cs="Times New Roman"/>
        </w:rPr>
        <w:t>）在场地内主道出入口中部修建</w:t>
      </w:r>
      <w:r>
        <w:rPr>
          <w:rFonts w:cs="Times New Roman"/>
        </w:rPr>
        <w:t>2</w:t>
      </w:r>
      <w:r>
        <w:rPr>
          <w:rFonts w:hint="eastAsia" w:cs="Times New Roman"/>
        </w:rPr>
        <w:t>个</w:t>
      </w:r>
      <w:r>
        <w:rPr>
          <w:rFonts w:cs="Times New Roman"/>
        </w:rPr>
        <w:t>2×2×1m</w:t>
      </w:r>
      <w:r>
        <w:rPr>
          <w:rFonts w:cs="Times New Roman"/>
          <w:vertAlign w:val="superscript"/>
        </w:rPr>
        <w:t>3</w:t>
      </w:r>
      <w:r>
        <w:rPr>
          <w:rFonts w:hint="eastAsia" w:cs="Times New Roman"/>
        </w:rPr>
        <w:t>的隔油沉淀池，废水经沉淀处理后全部回用，不外排。</w:t>
      </w:r>
    </w:p>
    <w:p>
      <w:pPr>
        <w:pStyle w:val="3"/>
        <w:ind w:firstLine="480"/>
        <w:rPr>
          <w:rFonts w:cs="Times New Roman"/>
        </w:rPr>
      </w:pPr>
      <w:r>
        <w:rPr>
          <w:rFonts w:hint="eastAsia" w:cs="Times New Roman"/>
        </w:rPr>
        <w:t>（</w:t>
      </w:r>
      <w:r>
        <w:rPr>
          <w:rFonts w:cs="Times New Roman"/>
        </w:rPr>
        <w:t>5</w:t>
      </w:r>
      <w:r>
        <w:rPr>
          <w:rFonts w:hint="eastAsia" w:cs="Times New Roman"/>
        </w:rPr>
        <w:t>）除了对施工期各用水点产生的废水采取防治措施外，还须对施工建筑材料集中堆放，并采取一定的防雨淋措施，如修建</w:t>
      </w:r>
      <w:r>
        <w:rPr>
          <w:rFonts w:cs="Times New Roman"/>
        </w:rPr>
        <w:t>0.5m</w:t>
      </w:r>
      <w:r>
        <w:rPr>
          <w:rFonts w:hint="eastAsia" w:cs="Times New Roman"/>
        </w:rPr>
        <w:t>高的砖砌防冲刷围墙，并及时清扫施工运输工程中抛洒的上述建筑材料，以免这些物质随雨水冲刷污染附近水体。</w:t>
      </w:r>
    </w:p>
    <w:p>
      <w:pPr>
        <w:pStyle w:val="3"/>
        <w:ind w:firstLine="480"/>
        <w:rPr>
          <w:rFonts w:cs="Times New Roman"/>
        </w:rPr>
      </w:pPr>
      <w:r>
        <w:rPr>
          <w:rFonts w:hint="eastAsia" w:cs="Times New Roman"/>
        </w:rPr>
        <w:t>（</w:t>
      </w:r>
      <w:r>
        <w:rPr>
          <w:rFonts w:cs="Times New Roman"/>
        </w:rPr>
        <w:t>6</w:t>
      </w:r>
      <w:r>
        <w:rPr>
          <w:rFonts w:hint="eastAsia" w:cs="Times New Roman"/>
        </w:rPr>
        <w:t>）施工场地内不设施工生活营地，不设食堂，无含油生活污水排放。施工场地设临时旱厕，工人如厕废水经旱厕收集处理后，委托周边村民定期清掏运走作为周边农田肥料。</w:t>
      </w:r>
    </w:p>
    <w:p>
      <w:pPr>
        <w:pStyle w:val="3"/>
        <w:ind w:firstLine="480"/>
        <w:rPr>
          <w:rFonts w:cs="Times New Roman"/>
          <w:kern w:val="0"/>
        </w:rPr>
      </w:pPr>
      <w:r>
        <w:rPr>
          <w:rFonts w:hint="eastAsia" w:cs="Times New Roman"/>
          <w:kern w:val="0"/>
        </w:rPr>
        <w:t>通过采取以上措施，施工废水基本做到循环利用，对区域水环境影响较小。</w:t>
      </w:r>
    </w:p>
    <w:p>
      <w:pPr>
        <w:pStyle w:val="3"/>
        <w:ind w:firstLine="0" w:firstLineChars="0"/>
        <w:outlineLvl w:val="2"/>
      </w:pPr>
      <w:r>
        <w:rPr>
          <w:rFonts w:hint="eastAsia"/>
        </w:rPr>
        <w:t>8.1.2</w:t>
      </w:r>
      <w:r>
        <w:rPr>
          <w:rFonts w:hint="eastAsia"/>
        </w:rPr>
        <w:tab/>
      </w:r>
      <w:r>
        <w:rPr>
          <w:rFonts w:hint="eastAsia" w:eastAsia="黑体" w:cstheme="majorBidi"/>
          <w:bCs/>
          <w:szCs w:val="32"/>
        </w:rPr>
        <w:t>施工期大气污染防治措施</w:t>
      </w:r>
    </w:p>
    <w:p>
      <w:pPr>
        <w:pStyle w:val="3"/>
        <w:ind w:firstLine="480"/>
        <w:rPr>
          <w:rFonts w:cs="Times New Roman"/>
        </w:rPr>
      </w:pPr>
      <w:r>
        <w:rPr>
          <w:rFonts w:hint="eastAsia" w:cs="Times New Roman"/>
        </w:rPr>
        <w:t>为了使建设项目在建设期间施工废气对周围环境的影响减少到尽可能小的程度，本评价建议采取以下防护措施：</w:t>
      </w:r>
    </w:p>
    <w:p>
      <w:pPr>
        <w:pStyle w:val="3"/>
        <w:ind w:firstLine="480"/>
        <w:rPr>
          <w:rFonts w:cs="Times New Roman"/>
        </w:rPr>
      </w:pPr>
      <w:r>
        <w:rPr>
          <w:rFonts w:hint="eastAsia" w:cs="Times New Roman"/>
        </w:rPr>
        <w:t>（</w:t>
      </w:r>
      <w:r>
        <w:rPr>
          <w:rFonts w:cs="Times New Roman"/>
        </w:rPr>
        <w:t>1</w:t>
      </w:r>
      <w:r>
        <w:rPr>
          <w:rFonts w:hint="eastAsia" w:cs="Times New Roman"/>
        </w:rPr>
        <w:t>）工地应设专职人员负责扬尘控制措施的实施和监督。各工地应有专人负责逸散性材料、垃圾、渣土、裸地等密闭、覆盖、洒水作业等，并记录扬尘控制措施的实施情况。工地周围环境的保洁。施工单位保洁责任区的范围应根据施工扬尘影响情况确定，一般设在施工工地周围</w:t>
      </w:r>
      <w:r>
        <w:rPr>
          <w:rFonts w:cs="Times New Roman"/>
        </w:rPr>
        <w:t>20m</w:t>
      </w:r>
      <w:r>
        <w:rPr>
          <w:rFonts w:hint="eastAsia" w:cs="Times New Roman"/>
        </w:rPr>
        <w:t>范围内。</w:t>
      </w:r>
    </w:p>
    <w:p>
      <w:pPr>
        <w:pStyle w:val="3"/>
        <w:ind w:firstLine="480"/>
        <w:rPr>
          <w:rFonts w:cs="Times New Roman"/>
        </w:rPr>
      </w:pPr>
      <w:r>
        <w:rPr>
          <w:rFonts w:hint="eastAsia" w:cs="Times New Roman"/>
        </w:rPr>
        <w:t>（</w:t>
      </w:r>
      <w:r>
        <w:rPr>
          <w:rFonts w:cs="Times New Roman"/>
        </w:rPr>
        <w:t>2</w:t>
      </w:r>
      <w:r>
        <w:rPr>
          <w:rFonts w:hint="eastAsia" w:cs="Times New Roman"/>
        </w:rPr>
        <w:t>）在施工期间，应根据不同空气污染指数范围和大风、高温、干燥、晴天、雨天等各种不同气象条件要求，建立保洁制度，包括洒水、清扫方式、频次等。根据气象预报风速达五级以上时，需停止工地室外作业，并做好覆盖工作。</w:t>
      </w:r>
    </w:p>
    <w:p>
      <w:pPr>
        <w:pStyle w:val="3"/>
        <w:ind w:firstLine="480"/>
        <w:rPr>
          <w:rFonts w:cs="Times New Roman"/>
        </w:rPr>
      </w:pPr>
      <w:r>
        <w:rPr>
          <w:rFonts w:hint="eastAsia" w:cs="Times New Roman"/>
        </w:rPr>
        <w:t>（</w:t>
      </w:r>
      <w:r>
        <w:rPr>
          <w:rFonts w:cs="Times New Roman"/>
        </w:rPr>
        <w:t>3</w:t>
      </w:r>
      <w:r>
        <w:rPr>
          <w:rFonts w:hint="eastAsia" w:cs="Times New Roman"/>
        </w:rPr>
        <w:t>）施工过程中使用水泥、石灰、砂石、铺装材料等易产生扬尘的建筑材料，应采取密闭存储、设置围挡或堆砌围墙、采用防尘布苫盖等有效防尘措施。</w:t>
      </w:r>
    </w:p>
    <w:p>
      <w:pPr>
        <w:pStyle w:val="3"/>
        <w:ind w:firstLine="480"/>
        <w:rPr>
          <w:rFonts w:cs="Times New Roman"/>
        </w:rPr>
      </w:pPr>
      <w:r>
        <w:rPr>
          <w:rFonts w:hint="eastAsia" w:cs="Times New Roman"/>
        </w:rPr>
        <w:t>（</w:t>
      </w:r>
      <w:r>
        <w:rPr>
          <w:rFonts w:cs="Times New Roman"/>
        </w:rPr>
        <w:t>4</w:t>
      </w:r>
      <w:r>
        <w:rPr>
          <w:rFonts w:hint="eastAsia" w:cs="Times New Roman"/>
        </w:rPr>
        <w:t>）施工过程中产生的建筑垃圾，应及时清运。若在工地内堆置超过一周的，则应采取覆盖防尘布、防尘网，定期喷洒抑尘剂、定期喷水压尘等措施，防止风蚀起尘及水蚀迁移。</w:t>
      </w:r>
    </w:p>
    <w:p>
      <w:pPr>
        <w:pStyle w:val="3"/>
        <w:ind w:firstLine="480"/>
        <w:rPr>
          <w:rFonts w:cs="Times New Roman"/>
        </w:rPr>
      </w:pPr>
      <w:r>
        <w:rPr>
          <w:rFonts w:hint="eastAsia" w:cs="Times New Roman"/>
        </w:rPr>
        <w:t>（</w:t>
      </w:r>
      <w:r>
        <w:rPr>
          <w:rFonts w:cs="Times New Roman"/>
        </w:rPr>
        <w:t>5</w:t>
      </w:r>
      <w:r>
        <w:rPr>
          <w:rFonts w:hint="eastAsia" w:cs="Times New Roman"/>
        </w:rPr>
        <w:t>）渣料运输必须采用专用的密封运输车，施工现场应设置车辆冲洗装置，对开出的渣土车辆进行清洗，以减少渣土沿路洒落。</w:t>
      </w:r>
    </w:p>
    <w:p>
      <w:pPr>
        <w:pStyle w:val="3"/>
        <w:ind w:firstLine="480"/>
        <w:rPr>
          <w:rFonts w:cs="Times New Roman"/>
        </w:rPr>
      </w:pPr>
      <w:r>
        <w:rPr>
          <w:rFonts w:hint="eastAsia" w:cs="Times New Roman"/>
        </w:rPr>
        <w:t>（</w:t>
      </w:r>
      <w:r>
        <w:rPr>
          <w:rFonts w:cs="Times New Roman"/>
        </w:rPr>
        <w:t>6</w:t>
      </w:r>
      <w:r>
        <w:rPr>
          <w:rFonts w:hint="eastAsia" w:cs="Times New Roman"/>
        </w:rPr>
        <w:t>）对于粉状物料的运输和堆放，必须采取遮盖措施，防止因风吹而引起扬尘。</w:t>
      </w:r>
    </w:p>
    <w:p>
      <w:pPr>
        <w:pStyle w:val="3"/>
        <w:ind w:firstLine="480"/>
        <w:rPr>
          <w:rFonts w:cs="Times New Roman"/>
          <w:kern w:val="0"/>
        </w:rPr>
      </w:pPr>
      <w:r>
        <w:rPr>
          <w:rFonts w:hint="eastAsia" w:cs="Times New Roman"/>
          <w:kern w:val="0"/>
        </w:rPr>
        <w:t>通过采取以上措施，施工场地扬尘对环境的影响将会大大降低，措施可行。</w:t>
      </w:r>
    </w:p>
    <w:p>
      <w:pPr>
        <w:pStyle w:val="3"/>
        <w:ind w:firstLine="0" w:firstLineChars="0"/>
        <w:outlineLvl w:val="2"/>
      </w:pPr>
      <w:r>
        <w:rPr>
          <w:rFonts w:hint="eastAsia"/>
        </w:rPr>
        <w:t>8.1.3</w:t>
      </w:r>
      <w:r>
        <w:rPr>
          <w:rFonts w:hint="eastAsia"/>
        </w:rPr>
        <w:tab/>
      </w:r>
      <w:r>
        <w:rPr>
          <w:rFonts w:hint="eastAsia" w:eastAsia="黑体" w:cstheme="majorBidi"/>
          <w:bCs/>
          <w:szCs w:val="32"/>
        </w:rPr>
        <w:t>施工期噪声防治措施</w:t>
      </w:r>
    </w:p>
    <w:p>
      <w:pPr>
        <w:pStyle w:val="3"/>
        <w:ind w:firstLine="480"/>
        <w:rPr>
          <w:rFonts w:cs="Times New Roman"/>
        </w:rPr>
      </w:pPr>
      <w:r>
        <w:rPr>
          <w:rFonts w:hint="eastAsia"/>
        </w:rPr>
        <w:t>为进一步减轻项目施工噪声对区域声环境的影响，施工噪声控制措施具体如下：</w:t>
      </w:r>
    </w:p>
    <w:p>
      <w:pPr>
        <w:pStyle w:val="3"/>
        <w:ind w:firstLine="480"/>
        <w:rPr>
          <w:rFonts w:cs="Times New Roman"/>
        </w:rPr>
      </w:pPr>
      <w:r>
        <w:rPr>
          <w:rFonts w:hint="eastAsia" w:cs="Times New Roman"/>
        </w:rPr>
        <w:t>（</w:t>
      </w:r>
      <w:r>
        <w:rPr>
          <w:rFonts w:cs="Times New Roman"/>
        </w:rPr>
        <w:t>1</w:t>
      </w:r>
      <w:r>
        <w:rPr>
          <w:rFonts w:hint="eastAsia" w:cs="Times New Roman"/>
        </w:rPr>
        <w:t>）选用低噪声施工设备，固定机械设备与挖土、运土机械，如挖土机、推土机等，可以通过排气管消音器和隔离发机振动部件的方法降低噪声；</w:t>
      </w:r>
    </w:p>
    <w:p>
      <w:pPr>
        <w:pStyle w:val="3"/>
        <w:ind w:firstLine="480"/>
        <w:rPr>
          <w:rFonts w:cs="Times New Roman"/>
        </w:rPr>
      </w:pPr>
      <w:r>
        <w:rPr>
          <w:rFonts w:hint="eastAsia" w:cs="Times New Roman"/>
        </w:rPr>
        <w:t>（</w:t>
      </w:r>
      <w:r>
        <w:rPr>
          <w:rFonts w:cs="Times New Roman"/>
        </w:rPr>
        <w:t>2</w:t>
      </w:r>
      <w:r>
        <w:rPr>
          <w:rFonts w:hint="eastAsia" w:cs="Times New Roman"/>
        </w:rPr>
        <w:t>）合理安排施工作业，尽量避免多台强噪声施工机械在同一地点同时施工；</w:t>
      </w:r>
    </w:p>
    <w:p>
      <w:pPr>
        <w:pStyle w:val="3"/>
        <w:ind w:firstLine="480"/>
        <w:rPr>
          <w:rFonts w:cs="Times New Roman"/>
        </w:rPr>
      </w:pPr>
      <w:r>
        <w:rPr>
          <w:rFonts w:hint="eastAsia" w:cs="Times New Roman"/>
        </w:rPr>
        <w:t>（</w:t>
      </w:r>
      <w:r>
        <w:rPr>
          <w:rFonts w:cs="Times New Roman"/>
        </w:rPr>
        <w:t>3</w:t>
      </w:r>
      <w:r>
        <w:rPr>
          <w:rFonts w:hint="eastAsia" w:cs="Times New Roman"/>
        </w:rPr>
        <w:t>）加强对施工机械和设备维护保养，避免由于设备性能减退而使噪声增大；</w:t>
      </w:r>
    </w:p>
    <w:p>
      <w:pPr>
        <w:pStyle w:val="3"/>
        <w:ind w:firstLine="480"/>
        <w:rPr>
          <w:rFonts w:cs="Times New Roman"/>
        </w:rPr>
      </w:pPr>
      <w:r>
        <w:rPr>
          <w:rFonts w:hint="eastAsia" w:cs="Times New Roman"/>
        </w:rPr>
        <w:t>（</w:t>
      </w:r>
      <w:r>
        <w:rPr>
          <w:rFonts w:cs="Times New Roman"/>
        </w:rPr>
        <w:t>4</w:t>
      </w:r>
      <w:r>
        <w:rPr>
          <w:rFonts w:hint="eastAsia" w:cs="Times New Roman"/>
        </w:rPr>
        <w:t>）对位置相对固定的机械设备，尽量放入操作间内，高噪声设备设临时隔声屏障，如可拆卸活动彩板围挡等；</w:t>
      </w:r>
    </w:p>
    <w:p>
      <w:pPr>
        <w:pStyle w:val="3"/>
        <w:ind w:firstLine="480"/>
        <w:rPr>
          <w:rFonts w:cs="Times New Roman"/>
        </w:rPr>
      </w:pPr>
      <w:r>
        <w:rPr>
          <w:rFonts w:hint="eastAsia" w:cs="Times New Roman"/>
        </w:rPr>
        <w:t>（</w:t>
      </w:r>
      <w:r>
        <w:rPr>
          <w:rFonts w:cs="Times New Roman"/>
        </w:rPr>
        <w:t>5</w:t>
      </w:r>
      <w:r>
        <w:rPr>
          <w:rFonts w:hint="eastAsia" w:cs="Times New Roman"/>
        </w:rPr>
        <w:t>）合理安排施工时间，夜间禁止施工，施工期噪声按《建筑施工场界环境噪声排放标准》（</w:t>
      </w:r>
      <w:r>
        <w:rPr>
          <w:rFonts w:cs="Times New Roman"/>
        </w:rPr>
        <w:t>GB12523-2011</w:t>
      </w:r>
      <w:r>
        <w:rPr>
          <w:rFonts w:hint="eastAsia" w:cs="Times New Roman"/>
        </w:rPr>
        <w:t>）进行控制，合理安排施工时间，严格控制高噪声设备的施工时段，在夜间</w:t>
      </w:r>
      <w:r>
        <w:rPr>
          <w:rFonts w:cs="Times New Roman"/>
        </w:rPr>
        <w:t>22</w:t>
      </w:r>
      <w:r>
        <w:rPr>
          <w:rFonts w:hint="eastAsia" w:cs="Times New Roman"/>
        </w:rPr>
        <w:t>：</w:t>
      </w:r>
      <w:r>
        <w:rPr>
          <w:rFonts w:cs="Times New Roman"/>
        </w:rPr>
        <w:t>00</w:t>
      </w:r>
      <w:r>
        <w:rPr>
          <w:rFonts w:hint="eastAsia" w:cs="Times New Roman"/>
        </w:rPr>
        <w:t>至次日清晨</w:t>
      </w:r>
      <w:r>
        <w:rPr>
          <w:rFonts w:cs="Times New Roman"/>
        </w:rPr>
        <w:t>6</w:t>
      </w:r>
      <w:r>
        <w:rPr>
          <w:rFonts w:hint="eastAsia" w:cs="Times New Roman"/>
        </w:rPr>
        <w:t>：</w:t>
      </w:r>
      <w:r>
        <w:rPr>
          <w:rFonts w:cs="Times New Roman"/>
        </w:rPr>
        <w:t>00</w:t>
      </w:r>
      <w:r>
        <w:rPr>
          <w:rFonts w:hint="eastAsia" w:cs="Times New Roman"/>
        </w:rPr>
        <w:t>和午休时间停止高噪声设备的施工作业，以免影响居民休息，避免高噪声设备同时施工，主要噪声源尽量安排在昼间非正常休息时间内进行的要求；</w:t>
      </w:r>
    </w:p>
    <w:p>
      <w:pPr>
        <w:pStyle w:val="3"/>
        <w:ind w:firstLine="480"/>
        <w:rPr>
          <w:rFonts w:cs="Times New Roman"/>
        </w:rPr>
      </w:pPr>
      <w:r>
        <w:rPr>
          <w:rFonts w:hint="eastAsia" w:cs="Times New Roman"/>
        </w:rPr>
        <w:t>（</w:t>
      </w:r>
      <w:r>
        <w:rPr>
          <w:rFonts w:cs="Times New Roman"/>
        </w:rPr>
        <w:t>6</w:t>
      </w:r>
      <w:r>
        <w:rPr>
          <w:rFonts w:hint="eastAsia" w:cs="Times New Roman"/>
        </w:rPr>
        <w:t>）加强与周围居民沟通，规范夜间施工作业规范，夜间施工照明及电焊操作不得影响邻近居民，施工前及夜间施工应向县环保部门申报；</w:t>
      </w:r>
    </w:p>
    <w:p>
      <w:pPr>
        <w:pStyle w:val="3"/>
        <w:ind w:firstLine="480"/>
        <w:rPr>
          <w:rFonts w:cs="Times New Roman"/>
        </w:rPr>
      </w:pPr>
      <w:r>
        <w:rPr>
          <w:rFonts w:hint="eastAsia" w:cs="Times New Roman"/>
        </w:rPr>
        <w:t>（</w:t>
      </w:r>
      <w:r>
        <w:rPr>
          <w:rFonts w:cs="Times New Roman"/>
        </w:rPr>
        <w:t>7</w:t>
      </w:r>
      <w:r>
        <w:rPr>
          <w:rFonts w:hint="eastAsia" w:cs="Times New Roman"/>
        </w:rPr>
        <w:t>）夜间施工除需办理环保审批手续外，并提前告知受影响群众，征得群众谅解。</w:t>
      </w:r>
    </w:p>
    <w:p>
      <w:pPr>
        <w:pStyle w:val="3"/>
        <w:ind w:firstLine="480"/>
        <w:rPr>
          <w:rFonts w:cs="Times New Roman"/>
        </w:rPr>
      </w:pPr>
      <w:r>
        <w:rPr>
          <w:rFonts w:hint="eastAsia" w:cs="Times New Roman"/>
        </w:rPr>
        <w:t>（</w:t>
      </w:r>
      <w:r>
        <w:rPr>
          <w:rFonts w:cs="Times New Roman"/>
        </w:rPr>
        <w:t>8</w:t>
      </w:r>
      <w:r>
        <w:rPr>
          <w:rFonts w:hint="eastAsia" w:cs="Times New Roman"/>
        </w:rPr>
        <w:t>）减少交通噪声，大型载重车辆在进出施工场地时应限速</w:t>
      </w:r>
      <w:r>
        <w:rPr>
          <w:rFonts w:cs="Times New Roman"/>
        </w:rPr>
        <w:t>20km/h</w:t>
      </w:r>
      <w:r>
        <w:rPr>
          <w:rFonts w:hint="eastAsia" w:cs="Times New Roman"/>
        </w:rPr>
        <w:t>，并禁止鸣笛。</w:t>
      </w:r>
    </w:p>
    <w:p>
      <w:pPr>
        <w:pStyle w:val="3"/>
        <w:ind w:firstLine="480"/>
        <w:rPr>
          <w:rFonts w:cs="Times New Roman"/>
        </w:rPr>
      </w:pPr>
      <w:r>
        <w:rPr>
          <w:rFonts w:hint="eastAsia" w:cs="Times New Roman"/>
        </w:rPr>
        <w:t>（</w:t>
      </w:r>
      <w:r>
        <w:rPr>
          <w:rFonts w:cs="Times New Roman"/>
        </w:rPr>
        <w:t>9</w:t>
      </w:r>
      <w:r>
        <w:rPr>
          <w:rFonts w:hint="eastAsia" w:cs="Times New Roman"/>
        </w:rPr>
        <w:t>）建议在用地范围四周设置施工围墙以减轻施工噪声对附近居民区生产的影响。</w:t>
      </w:r>
    </w:p>
    <w:p>
      <w:pPr>
        <w:pStyle w:val="3"/>
        <w:ind w:firstLine="480"/>
        <w:rPr>
          <w:rFonts w:cs="Times New Roman"/>
          <w:kern w:val="0"/>
        </w:rPr>
      </w:pPr>
      <w:r>
        <w:rPr>
          <w:rFonts w:hint="eastAsia" w:cs="Times New Roman"/>
          <w:kern w:val="0"/>
        </w:rPr>
        <w:t>采取上述措施后可建立减少施工期噪声对区域声环境的影响。</w:t>
      </w:r>
    </w:p>
    <w:p>
      <w:pPr>
        <w:pStyle w:val="3"/>
        <w:ind w:firstLine="0" w:firstLineChars="0"/>
        <w:outlineLvl w:val="2"/>
      </w:pPr>
      <w:r>
        <w:rPr>
          <w:rFonts w:hint="eastAsia"/>
        </w:rPr>
        <w:t>8.1.4</w:t>
      </w:r>
      <w:r>
        <w:rPr>
          <w:rFonts w:hint="eastAsia"/>
        </w:rPr>
        <w:tab/>
      </w:r>
      <w:r>
        <w:rPr>
          <w:rFonts w:hint="eastAsia" w:eastAsia="黑体" w:cstheme="majorBidi"/>
          <w:bCs/>
          <w:szCs w:val="32"/>
        </w:rPr>
        <w:t>施工期固体废物防治措施</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）精心设计与组织整个场地的土石方工程施工，尽量实现挖、填土方基本平衡，避免长距离运土；</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）车辆每次离开场地前，要清洗干净粘带的泥土，在气候干燥时在车顶上盖上帆布以防泥土在运输过程中飞扬；</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）施工期产生的的建筑垃圾主要包括一些包装袋、碎木块、废水泥浇注体等应尽量由施工单位回收利用；不能回收利用的则送往衡阳县渣土办指定的建筑垃圾填埋场集中处置；</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）对不能利用的其它建筑垃圾和生活垃圾集中收集后，根据城市有关卫生管理条例，由环卫部门统一清运处置。</w:t>
      </w:r>
    </w:p>
    <w:p>
      <w:pPr>
        <w:pStyle w:val="3"/>
        <w:ind w:firstLine="480"/>
        <w:rPr>
          <w:rFonts w:cs="Times New Roman"/>
          <w:kern w:val="0"/>
        </w:rPr>
      </w:pPr>
      <w:r>
        <w:rPr>
          <w:rFonts w:hint="eastAsia" w:cs="Times New Roman"/>
          <w:kern w:val="0"/>
        </w:rPr>
        <w:t>（</w:t>
      </w:r>
      <w:r>
        <w:rPr>
          <w:rFonts w:cs="Times New Roman"/>
          <w:kern w:val="0"/>
        </w:rPr>
        <w:t>5</w:t>
      </w:r>
      <w:r>
        <w:rPr>
          <w:rFonts w:hint="eastAsia" w:cs="Times New Roman"/>
          <w:kern w:val="0"/>
        </w:rPr>
        <w:t>）施工期生活垃圾由环卫部门要求进行处理。</w:t>
      </w:r>
    </w:p>
    <w:p>
      <w:pPr>
        <w:pStyle w:val="3"/>
        <w:ind w:firstLine="480"/>
        <w:rPr>
          <w:rFonts w:cs="Times New Roman"/>
          <w:kern w:val="0"/>
        </w:rPr>
      </w:pPr>
      <w:r>
        <w:rPr>
          <w:rFonts w:hint="eastAsia" w:cs="Times New Roman"/>
          <w:kern w:val="0"/>
        </w:rPr>
        <w:t>通过以上措施处理，固体废物污染可得到有效控制，并避免二次污染的产生，措施可行。</w:t>
      </w:r>
    </w:p>
    <w:p>
      <w:pPr>
        <w:pStyle w:val="3"/>
        <w:ind w:firstLine="0" w:firstLineChars="0"/>
        <w:outlineLvl w:val="2"/>
      </w:pPr>
      <w:r>
        <w:rPr>
          <w:rFonts w:hint="eastAsia"/>
        </w:rPr>
        <w:t>8.1.5</w:t>
      </w:r>
      <w:r>
        <w:rPr>
          <w:rFonts w:hint="eastAsia"/>
        </w:rPr>
        <w:tab/>
      </w:r>
      <w:r>
        <w:rPr>
          <w:rFonts w:hint="eastAsia" w:eastAsia="黑体" w:cstheme="majorBidi"/>
          <w:bCs/>
          <w:szCs w:val="32"/>
        </w:rPr>
        <w:t>施工期生态环境影响缓解措施</w:t>
      </w:r>
    </w:p>
    <w:p>
      <w:pPr>
        <w:pStyle w:val="3"/>
        <w:ind w:firstLine="480"/>
        <w:rPr>
          <w:rFonts w:cs="Times New Roman"/>
          <w:kern w:val="0"/>
        </w:rPr>
      </w:pPr>
      <w:r>
        <w:rPr>
          <w:rFonts w:hint="eastAsia" w:cs="Times New Roman"/>
          <w:kern w:val="0"/>
        </w:rPr>
        <w:t>（</w:t>
      </w:r>
      <w:r>
        <w:rPr>
          <w:rFonts w:cs="Times New Roman"/>
          <w:kern w:val="0"/>
        </w:rPr>
        <w:t>1</w:t>
      </w:r>
      <w:r>
        <w:rPr>
          <w:rFonts w:hint="eastAsia" w:cs="Times New Roman"/>
          <w:kern w:val="0"/>
        </w:rPr>
        <w:t>）项目建设力求同自然景观、生态环境相融合。区内基础及服务设施建设应严格设计、施工，以对周围植被和生态环境破坏最小为宜；平面布置与空间应合理布局，水、电、通讯、截排水等应统一规划施工，避免重复开挖。</w:t>
      </w:r>
    </w:p>
    <w:p>
      <w:pPr>
        <w:pStyle w:val="3"/>
        <w:ind w:firstLine="480"/>
        <w:rPr>
          <w:rFonts w:cs="Times New Roman"/>
          <w:kern w:val="0"/>
        </w:rPr>
      </w:pPr>
      <w:r>
        <w:rPr>
          <w:rFonts w:hint="eastAsia" w:cs="Times New Roman"/>
          <w:kern w:val="0"/>
        </w:rPr>
        <w:t>（</w:t>
      </w:r>
      <w:r>
        <w:rPr>
          <w:rFonts w:cs="Times New Roman"/>
          <w:kern w:val="0"/>
        </w:rPr>
        <w:t>2</w:t>
      </w:r>
      <w:r>
        <w:rPr>
          <w:rFonts w:hint="eastAsia" w:cs="Times New Roman"/>
          <w:kern w:val="0"/>
        </w:rPr>
        <w:t>）项目建设要按总体规划进行，筛选最佳方案，尽量减小施工噪声源强。最大限度减少施工对动植物的影响，避免给生态环境造成严重的破坏。</w:t>
      </w:r>
    </w:p>
    <w:p>
      <w:pPr>
        <w:pStyle w:val="3"/>
        <w:ind w:firstLine="480"/>
        <w:rPr>
          <w:rFonts w:cs="Times New Roman"/>
          <w:kern w:val="0"/>
        </w:rPr>
      </w:pPr>
      <w:r>
        <w:rPr>
          <w:rFonts w:hint="eastAsia" w:cs="Times New Roman"/>
          <w:kern w:val="0"/>
        </w:rPr>
        <w:t>（</w:t>
      </w:r>
      <w:r>
        <w:rPr>
          <w:rFonts w:cs="Times New Roman"/>
          <w:kern w:val="0"/>
        </w:rPr>
        <w:t>3</w:t>
      </w:r>
      <w:r>
        <w:rPr>
          <w:rFonts w:hint="eastAsia" w:cs="Times New Roman"/>
          <w:kern w:val="0"/>
        </w:rPr>
        <w:t>）施工完成后，要实施植被恢复工程、绿化补缺工程建设，对生态环境已遭破坏的地段，要进行全面绿化恢复，种植当地观赏性好的野生花草灌木和乡土树种，恢复原有生态平衡和自然环境，恢复景观效果。</w:t>
      </w:r>
    </w:p>
    <w:p>
      <w:pPr>
        <w:pStyle w:val="3"/>
        <w:ind w:firstLine="480"/>
        <w:rPr>
          <w:rFonts w:cs="Times New Roman"/>
          <w:kern w:val="0"/>
        </w:rPr>
      </w:pPr>
      <w:r>
        <w:rPr>
          <w:rFonts w:hint="eastAsia" w:cs="Times New Roman"/>
          <w:kern w:val="0"/>
        </w:rPr>
        <w:t>（</w:t>
      </w:r>
      <w:r>
        <w:rPr>
          <w:rFonts w:cs="Times New Roman"/>
          <w:kern w:val="0"/>
        </w:rPr>
        <w:t>4</w:t>
      </w:r>
      <w:r>
        <w:rPr>
          <w:rFonts w:hint="eastAsia" w:cs="Times New Roman"/>
          <w:kern w:val="0"/>
        </w:rPr>
        <w:t>）项目建设完成后，短期内植被受到破坏，要按照规划的绿化方案进行人工绿化，绿化植物在选用本地物种的基础上还引进一些其他物种，以增加植被的多样性，绿化率达到</w:t>
      </w:r>
      <w:r>
        <w:rPr>
          <w:rFonts w:cs="Times New Roman"/>
          <w:kern w:val="0"/>
        </w:rPr>
        <w:t>10%</w:t>
      </w:r>
      <w:r>
        <w:rPr>
          <w:rFonts w:hint="eastAsia" w:cs="Times New Roman"/>
          <w:kern w:val="0"/>
        </w:rPr>
        <w:t>。</w:t>
      </w:r>
    </w:p>
    <w:p>
      <w:pPr>
        <w:pStyle w:val="3"/>
        <w:ind w:firstLine="480"/>
      </w:pPr>
      <w:r>
        <w:rPr>
          <w:rFonts w:hint="eastAsia" w:cs="Times New Roman"/>
          <w:kern w:val="0"/>
        </w:rPr>
        <w:t>综上，施工期扬尘、废水、噪声、固废和生态等防治措施是有效的，经过实践检验也是可行的。</w:t>
      </w:r>
    </w:p>
    <w:p>
      <w:pPr>
        <w:pStyle w:val="5"/>
      </w:pPr>
      <w:bookmarkStart w:id="43" w:name="_Toc116993083"/>
      <w:r>
        <w:rPr>
          <w:rFonts w:hint="eastAsia"/>
        </w:rPr>
        <w:t>营运期</w:t>
      </w:r>
      <w:r>
        <w:t>污染防治措施</w:t>
      </w:r>
      <w:bookmarkEnd w:id="43"/>
    </w:p>
    <w:p>
      <w:pPr>
        <w:pStyle w:val="3"/>
        <w:ind w:firstLine="0" w:firstLineChars="0"/>
        <w:outlineLvl w:val="2"/>
      </w:pPr>
      <w:r>
        <w:rPr>
          <w:rFonts w:hint="eastAsia"/>
        </w:rPr>
        <w:t>8.2.1</w:t>
      </w:r>
      <w:r>
        <w:rPr>
          <w:rFonts w:hint="eastAsia"/>
        </w:rPr>
        <w:tab/>
      </w:r>
      <w:r>
        <w:rPr>
          <w:rFonts w:hint="eastAsia" w:eastAsia="黑体" w:cstheme="majorBidi"/>
          <w:bCs/>
          <w:szCs w:val="32"/>
        </w:rPr>
        <w:t>大气污染防治措施及其可行性分析</w:t>
      </w:r>
    </w:p>
    <w:p>
      <w:pPr>
        <w:pStyle w:val="3"/>
        <w:ind w:firstLine="480"/>
        <w:rPr>
          <w:rFonts w:cs="Times New Roman"/>
          <w:kern w:val="0"/>
        </w:rPr>
      </w:pPr>
      <w:r>
        <w:rPr>
          <w:rFonts w:hint="eastAsia" w:cs="Times New Roman"/>
          <w:kern w:val="0"/>
        </w:rPr>
        <w:t>本项目大气污染分为恶臭气体，生物质锅炉废气等，各污染防治措施及其可行性分析如下。</w:t>
      </w:r>
    </w:p>
    <w:p>
      <w:pPr>
        <w:pStyle w:val="3"/>
        <w:ind w:firstLine="0" w:firstLineChars="0"/>
        <w:outlineLvl w:val="3"/>
        <w:rPr>
          <w:rFonts w:eastAsia="黑体" w:cstheme="majorBidi"/>
          <w:bCs/>
          <w:szCs w:val="32"/>
        </w:rPr>
      </w:pPr>
      <w:r>
        <w:rPr>
          <w:rFonts w:hint="eastAsia" w:eastAsia="黑体" w:cstheme="majorBidi"/>
          <w:bCs/>
          <w:szCs w:val="32"/>
        </w:rPr>
        <w:t>8.2.1.1</w:t>
      </w:r>
      <w:r>
        <w:rPr>
          <w:rFonts w:hint="eastAsia" w:eastAsia="黑体" w:cstheme="majorBidi"/>
          <w:bCs/>
          <w:szCs w:val="32"/>
        </w:rPr>
        <w:tab/>
      </w:r>
      <w:r>
        <w:rPr>
          <w:rFonts w:hint="eastAsia" w:eastAsia="黑体" w:cstheme="majorBidi"/>
          <w:bCs/>
          <w:szCs w:val="32"/>
        </w:rPr>
        <w:t>恶臭治理措施</w:t>
      </w:r>
    </w:p>
    <w:p>
      <w:pPr>
        <w:pStyle w:val="3"/>
        <w:ind w:firstLine="480"/>
        <w:rPr>
          <w:rFonts w:cs="Times New Roman"/>
          <w:kern w:val="0"/>
        </w:rPr>
      </w:pPr>
      <w:r>
        <w:rPr>
          <w:rFonts w:hint="eastAsia" w:cs="Times New Roman"/>
          <w:kern w:val="0"/>
        </w:rPr>
        <w:t>恶臭污染是指能引起人们嗅觉器官多种多样臭感的物质对环境的污染。恶臭是</w:t>
      </w:r>
      <w:r>
        <w:rPr>
          <w:rFonts w:cs="Times New Roman"/>
          <w:kern w:val="0"/>
        </w:rPr>
        <w:t xml:space="preserve">7 </w:t>
      </w:r>
      <w:r>
        <w:rPr>
          <w:rFonts w:hint="eastAsia" w:cs="Times New Roman"/>
          <w:kern w:val="0"/>
        </w:rPr>
        <w:t>种典型公害之一（大气污染、水质污染、土壤污染、噪声、振动、土地下沉、恶臭），危害着人们的身体健康。迄今为止，凭人嗅觉感知的恶臭物质有</w:t>
      </w:r>
      <w:r>
        <w:rPr>
          <w:rFonts w:cs="Times New Roman"/>
          <w:kern w:val="0"/>
        </w:rPr>
        <w:t xml:space="preserve">4000 </w:t>
      </w:r>
      <w:r>
        <w:rPr>
          <w:rFonts w:hint="eastAsia" w:cs="Times New Roman"/>
          <w:kern w:val="0"/>
        </w:rPr>
        <w:t>多种。恶臭物质一般在大气中扩散，有些会随废水、废渣排入水体，不仅使水发生恶臭味，还会使鱼类等水生生物发出恶臭而不能食用。散发恶臭气味的化学物质主要有硫化氢、硫醇类、硫醚类、氨、胺类、吲哚类、硝基化合物、烃类、醛类、脂肪酸类、酚类、酮类、酯类及有机卤系衍生物等。</w:t>
      </w:r>
    </w:p>
    <w:p>
      <w:pPr>
        <w:pStyle w:val="3"/>
        <w:ind w:firstLine="480"/>
        <w:rPr>
          <w:rFonts w:cs="Times New Roman"/>
          <w:kern w:val="0"/>
        </w:rPr>
      </w:pPr>
      <w:r>
        <w:rPr>
          <w:rFonts w:hint="eastAsia" w:cs="Times New Roman"/>
          <w:kern w:val="0"/>
        </w:rPr>
        <w:t>本项目运营过程中恶臭气体主要来源于待宰圈、屠宰车间、污水处理站，主要污染因子为</w:t>
      </w:r>
      <w:r>
        <w:rPr>
          <w:rFonts w:cs="Times New Roman"/>
          <w:kern w:val="0"/>
        </w:rPr>
        <w:t>NH</w:t>
      </w:r>
      <w:r>
        <w:rPr>
          <w:rFonts w:cs="Times New Roman"/>
          <w:kern w:val="0"/>
          <w:vertAlign w:val="subscript"/>
        </w:rPr>
        <w:t>3</w:t>
      </w:r>
      <w:r>
        <w:rPr>
          <w:rFonts w:hint="eastAsia" w:cs="Times New Roman"/>
          <w:kern w:val="0"/>
        </w:rPr>
        <w:t>、</w:t>
      </w:r>
      <w:r>
        <w:rPr>
          <w:rFonts w:cs="Times New Roman"/>
          <w:kern w:val="0"/>
        </w:rPr>
        <w:t>H</w:t>
      </w:r>
      <w:r>
        <w:rPr>
          <w:rFonts w:cs="Times New Roman"/>
          <w:kern w:val="0"/>
          <w:vertAlign w:val="subscript"/>
        </w:rPr>
        <w:t>2</w:t>
      </w:r>
      <w:r>
        <w:rPr>
          <w:rFonts w:cs="Times New Roman"/>
          <w:kern w:val="0"/>
        </w:rPr>
        <w:t>S</w:t>
      </w:r>
      <w:r>
        <w:rPr>
          <w:rFonts w:hint="eastAsia" w:cs="Times New Roman"/>
          <w:kern w:val="0"/>
        </w:rPr>
        <w:t>，主要是粪便、内脏及粪污处理系统中栅渣、沼渣所致。项目恶臭气体经无组织形式产生全部收集较为困难，对恶臭污染物影响预测时，通常很难精确判断其排放强度和单个污染源的恶臭排放强度，也无法确定恶臭达到的范围、距离和浓度。</w:t>
      </w:r>
    </w:p>
    <w:p>
      <w:pPr>
        <w:pStyle w:val="3"/>
        <w:ind w:firstLine="480"/>
        <w:rPr>
          <w:rFonts w:cs="Times New Roman"/>
          <w:kern w:val="0"/>
        </w:rPr>
      </w:pPr>
      <w:r>
        <w:rPr>
          <w:rFonts w:hint="eastAsia" w:cs="Times New Roman"/>
          <w:kern w:val="0"/>
        </w:rPr>
        <w:t>本项目尽管采用加盖板密闭等措施减少屠宰、污水处置过程中恶臭气体的排放但仍会有少量恶臭气体无组织排放，因此，对无组织排放的恶臭气体，应符合《排污许可证申请与核发技术规范农副食品加工工业—屠宰及肉类加工工业》（</w:t>
      </w:r>
      <w:r>
        <w:rPr>
          <w:rFonts w:cs="Times New Roman"/>
          <w:kern w:val="0"/>
        </w:rPr>
        <w:t>HJ860.3-2018</w:t>
      </w:r>
      <w:r>
        <w:rPr>
          <w:rFonts w:hint="eastAsia" w:cs="Times New Roman"/>
          <w:kern w:val="0"/>
        </w:rPr>
        <w:t>）中无组织控制要求。</w:t>
      </w:r>
    </w:p>
    <w:p>
      <w:pPr>
        <w:pStyle w:val="3"/>
        <w:spacing w:line="240" w:lineRule="auto"/>
        <w:ind w:firstLine="0" w:firstLineChars="0"/>
        <w:jc w:val="center"/>
        <w:rPr>
          <w:rFonts w:cs="Times New Roman"/>
          <w:kern w:val="0"/>
        </w:rPr>
      </w:pPr>
      <w:r>
        <w:rPr>
          <w:rFonts w:hint="eastAsia" w:cs="Times New Roman" w:eastAsiaTheme="minorEastAsia"/>
          <w:b/>
        </w:rPr>
        <w:t xml:space="preserve">表8.2-1 </w:t>
      </w:r>
      <w:r>
        <w:rPr>
          <w:rFonts w:cs="Times New Roman" w:eastAsiaTheme="minorEastAsia"/>
          <w:b/>
        </w:rPr>
        <w:t xml:space="preserve"> </w:t>
      </w:r>
      <w:r>
        <w:rPr>
          <w:rFonts w:hint="eastAsia" w:cs="Times New Roman" w:eastAsiaTheme="minorEastAsia"/>
          <w:b/>
        </w:rPr>
        <w:t>屠宰及肉类加工工业排污单位无组织排放控制要求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694"/>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pStyle w:val="49"/>
            </w:pPr>
            <w:r>
              <w:rPr>
                <w:rFonts w:hint="eastAsia"/>
              </w:rPr>
              <w:t>序号</w:t>
            </w:r>
          </w:p>
        </w:tc>
        <w:tc>
          <w:tcPr>
            <w:tcW w:w="2694" w:type="dxa"/>
            <w:vAlign w:val="center"/>
          </w:tcPr>
          <w:p>
            <w:pPr>
              <w:pStyle w:val="49"/>
            </w:pPr>
            <w:r>
              <w:rPr>
                <w:rFonts w:hint="eastAsia"/>
              </w:rPr>
              <w:t>废气产污环节</w:t>
            </w:r>
          </w:p>
        </w:tc>
        <w:tc>
          <w:tcPr>
            <w:tcW w:w="5804" w:type="dxa"/>
            <w:vAlign w:val="center"/>
          </w:tcPr>
          <w:p>
            <w:pPr>
              <w:pStyle w:val="49"/>
            </w:pPr>
            <w:r>
              <w:rPr>
                <w:rFonts w:hint="eastAsia"/>
              </w:rPr>
              <w:t>无组织排放控制要求</w:t>
            </w:r>
            <w:r>
              <w:t>a</w:t>
            </w:r>
            <w:r>
              <w:rPr>
                <w:rFonts w:hint="eastAsia"/>
              </w:rPr>
              <w:t>，</w:t>
            </w:r>
            <w: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pStyle w:val="49"/>
            </w:pPr>
            <w:r>
              <w:rPr>
                <w:rFonts w:hint="eastAsia"/>
              </w:rPr>
              <w:t>1</w:t>
            </w:r>
          </w:p>
        </w:tc>
        <w:tc>
          <w:tcPr>
            <w:tcW w:w="2694" w:type="dxa"/>
            <w:vAlign w:val="center"/>
          </w:tcPr>
          <w:p>
            <w:pPr>
              <w:pStyle w:val="49"/>
            </w:pPr>
            <w:r>
              <w:rPr>
                <w:rFonts w:hint="eastAsia"/>
              </w:rPr>
              <w:t>宰前准备的待宰圈</w:t>
            </w:r>
          </w:p>
        </w:tc>
        <w:tc>
          <w:tcPr>
            <w:tcW w:w="5804" w:type="dxa"/>
            <w:vAlign w:val="center"/>
          </w:tcPr>
          <w:p>
            <w:pPr>
              <w:widowControl w:val="0"/>
              <w:autoSpaceDE w:val="0"/>
              <w:autoSpaceDN w:val="0"/>
              <w:snapToGrid/>
              <w:jc w:val="center"/>
            </w:pPr>
            <w:r>
              <w:rPr>
                <w:rFonts w:hint="eastAsia"/>
              </w:rPr>
              <w:t>及时清洗、清运粪便；集中收集恶臭气体到除臭装置处理后经排气筒排放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pStyle w:val="49"/>
            </w:pPr>
            <w:r>
              <w:rPr>
                <w:rFonts w:hint="eastAsia"/>
              </w:rPr>
              <w:t>2</w:t>
            </w:r>
          </w:p>
        </w:tc>
        <w:tc>
          <w:tcPr>
            <w:tcW w:w="2694" w:type="dxa"/>
            <w:vAlign w:val="center"/>
          </w:tcPr>
          <w:p>
            <w:pPr>
              <w:widowControl w:val="0"/>
              <w:autoSpaceDE w:val="0"/>
              <w:autoSpaceDN w:val="0"/>
              <w:snapToGrid/>
              <w:jc w:val="center"/>
            </w:pPr>
            <w:r>
              <w:rPr>
                <w:rFonts w:hint="eastAsia"/>
              </w:rPr>
              <w:t>屠宰车间的刺杀放血、煺毛或剥皮、开膛解体等</w:t>
            </w:r>
          </w:p>
        </w:tc>
        <w:tc>
          <w:tcPr>
            <w:tcW w:w="5804" w:type="dxa"/>
            <w:vAlign w:val="center"/>
          </w:tcPr>
          <w:p>
            <w:pPr>
              <w:widowControl w:val="0"/>
              <w:autoSpaceDE w:val="0"/>
              <w:autoSpaceDN w:val="0"/>
              <w:snapToGrid/>
              <w:jc w:val="center"/>
            </w:pPr>
            <w:r>
              <w:rPr>
                <w:rFonts w:hint="eastAsia"/>
              </w:rPr>
              <w:t>增加通风次数、及时清洗清运；集中收集气体经处理后经排气筒排放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pStyle w:val="49"/>
            </w:pPr>
            <w:r>
              <w:rPr>
                <w:rFonts w:hint="eastAsia"/>
              </w:rPr>
              <w:t>3</w:t>
            </w:r>
          </w:p>
        </w:tc>
        <w:tc>
          <w:tcPr>
            <w:tcW w:w="2694" w:type="dxa"/>
            <w:vAlign w:val="center"/>
          </w:tcPr>
          <w:p>
            <w:pPr>
              <w:pStyle w:val="49"/>
            </w:pPr>
            <w:r>
              <w:rPr>
                <w:rFonts w:hint="eastAsia"/>
              </w:rPr>
              <w:t>厂内综合污水处理站</w:t>
            </w:r>
          </w:p>
        </w:tc>
        <w:tc>
          <w:tcPr>
            <w:tcW w:w="5804" w:type="dxa"/>
            <w:vAlign w:val="center"/>
          </w:tcPr>
          <w:p>
            <w:pPr>
              <w:widowControl w:val="0"/>
              <w:autoSpaceDE w:val="0"/>
              <w:autoSpaceDN w:val="0"/>
              <w:snapToGrid/>
              <w:jc w:val="center"/>
            </w:pPr>
            <w:r>
              <w:rPr>
                <w:rFonts w:hint="eastAsia"/>
              </w:rPr>
              <w:t>产生恶臭区域加罩或加盖；投放除臭剂；集中收集恶臭气体经处理（喷淋塔除臭、活性炭吸附、生物除臭等）处理后经排气筒排放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73" w:type="dxa"/>
            <w:gridSpan w:val="3"/>
            <w:vAlign w:val="center"/>
          </w:tcPr>
          <w:p>
            <w:pPr>
              <w:pStyle w:val="49"/>
            </w:pPr>
            <w:r>
              <w:rPr>
                <w:rFonts w:hint="eastAsia"/>
              </w:rPr>
              <w:t>注：</w:t>
            </w:r>
            <w:r>
              <w:t xml:space="preserve">a </w:t>
            </w:r>
            <w:r>
              <w:rPr>
                <w:rFonts w:hint="eastAsia"/>
              </w:rPr>
              <w:t>屠宰及肉类加工工业排污单位针对含有的废气产污环节，至少应采取表中所列的措施之一。</w:t>
            </w:r>
            <w:r>
              <w:t xml:space="preserve">b </w:t>
            </w:r>
            <w:r>
              <w:rPr>
                <w:rFonts w:hint="eastAsia"/>
              </w:rPr>
              <w:t>屠宰及肉类加工工业排污单位执行严于国家标准的地方标准时，可参照执行重点地区无组织排放控制要求。</w:t>
            </w:r>
          </w:p>
        </w:tc>
      </w:tr>
    </w:tbl>
    <w:p>
      <w:pPr>
        <w:pStyle w:val="3"/>
        <w:ind w:firstLine="480"/>
        <w:rPr>
          <w:rFonts w:cs="Times New Roman"/>
          <w:kern w:val="0"/>
        </w:rPr>
      </w:pPr>
      <w:r>
        <w:rPr>
          <w:rFonts w:hint="eastAsia" w:cs="Times New Roman"/>
          <w:kern w:val="0"/>
        </w:rPr>
        <w:t>对照《排污许可证申请与核发技术规范农副食品加工工业—屠宰及肉类加工工业》（</w:t>
      </w:r>
      <w:r>
        <w:rPr>
          <w:rFonts w:cs="Times New Roman"/>
          <w:kern w:val="0"/>
        </w:rPr>
        <w:t>HJ860.3-2018</w:t>
      </w:r>
      <w:r>
        <w:rPr>
          <w:rFonts w:hint="eastAsia" w:cs="Times New Roman"/>
          <w:kern w:val="0"/>
        </w:rPr>
        <w:t>）中无组织控制要求，本次评价提出建设单位应采取以下措施减低恶臭污染物对环境影响。</w:t>
      </w:r>
    </w:p>
    <w:p>
      <w:pPr>
        <w:pStyle w:val="3"/>
        <w:ind w:firstLine="480"/>
        <w:rPr>
          <w:rFonts w:cs="Times New Roman"/>
          <w:kern w:val="0"/>
        </w:rPr>
      </w:pPr>
      <w:r>
        <w:rPr>
          <w:rFonts w:hint="eastAsia" w:cs="Times New Roman"/>
          <w:kern w:val="0"/>
        </w:rPr>
        <w:t>1、待宰区恶臭</w:t>
      </w:r>
    </w:p>
    <w:p>
      <w:pPr>
        <w:pStyle w:val="3"/>
        <w:ind w:firstLine="480"/>
        <w:rPr>
          <w:rFonts w:cs="Times New Roman"/>
          <w:kern w:val="0"/>
        </w:rPr>
      </w:pPr>
      <w:r>
        <w:rPr>
          <w:rFonts w:hint="eastAsia" w:cs="Times New Roman"/>
          <w:kern w:val="0"/>
        </w:rPr>
        <w:t>建设单位应加强日常管理，待宰间内设有</w:t>
      </w:r>
      <w:r>
        <w:rPr>
          <w:rFonts w:cs="Times New Roman"/>
          <w:kern w:val="0"/>
        </w:rPr>
        <w:t>1m</w:t>
      </w:r>
      <w:r>
        <w:rPr>
          <w:rFonts w:hint="eastAsia" w:cs="Times New Roman"/>
          <w:kern w:val="0"/>
        </w:rPr>
        <w:t>高圈栏，上方设有自动喷淋装置，自动冲洗，喷洒除臭剂，避免舍内存留粪便，消除臭气产生源；每天定期清粪，采用干清粪工艺及时清扫，在每班结束后对待宰的地面进行清洗；储粪池设计为全封闭式，以降低恶臭气体对外排放。畜禽粪便每天定期</w:t>
      </w:r>
      <w:r>
        <w:rPr>
          <w:rFonts w:hint="eastAsia" w:cs="Times New Roman"/>
        </w:rPr>
        <w:t>交由衡阳县喜耕田有机肥厂回收处理</w:t>
      </w:r>
      <w:r>
        <w:rPr>
          <w:rFonts w:hint="eastAsia" w:cs="Times New Roman"/>
          <w:kern w:val="0"/>
        </w:rPr>
        <w:t>用做制有机肥原料。</w:t>
      </w:r>
    </w:p>
    <w:p>
      <w:pPr>
        <w:pStyle w:val="3"/>
        <w:ind w:firstLine="480"/>
        <w:rPr>
          <w:rFonts w:cs="Times New Roman"/>
          <w:kern w:val="0"/>
        </w:rPr>
      </w:pPr>
      <w:r>
        <w:rPr>
          <w:rFonts w:hint="eastAsia" w:cs="Times New Roman"/>
          <w:kern w:val="0"/>
        </w:rPr>
        <w:t>2、屠宰区恶臭</w:t>
      </w:r>
    </w:p>
    <w:p>
      <w:pPr>
        <w:pStyle w:val="3"/>
        <w:ind w:firstLine="480"/>
        <w:rPr>
          <w:rFonts w:cs="Times New Roman"/>
          <w:kern w:val="0"/>
        </w:rPr>
      </w:pPr>
      <w:r>
        <w:rPr>
          <w:rFonts w:hint="eastAsia" w:cs="Times New Roman"/>
          <w:kern w:val="0"/>
        </w:rPr>
        <w:t>屠宰车间内异味主要提供加强通风等措施控制；并在屠宰车间安置除臭装置，用一种较强烈、能散发令人愉快的芳香气味去掩盖令人不快的臭味，达到除臭的目的，具体的有喷洒除臭剂、放置除臭丸和烧香等，该除臭方法使用比较广泛。</w:t>
      </w:r>
    </w:p>
    <w:p>
      <w:pPr>
        <w:pStyle w:val="3"/>
        <w:ind w:firstLine="480"/>
        <w:rPr>
          <w:rFonts w:cs="Times New Roman"/>
          <w:kern w:val="0"/>
        </w:rPr>
      </w:pPr>
      <w:r>
        <w:rPr>
          <w:rFonts w:hint="eastAsia" w:cs="Times New Roman"/>
          <w:kern w:val="0"/>
        </w:rPr>
        <w:t>（1）对于屠宰车间使用的各类器械等及时清洗并消毒，采用对环境友好的消毒剂和消毒措施，防止产生二次污染。</w:t>
      </w:r>
    </w:p>
    <w:p>
      <w:pPr>
        <w:pStyle w:val="3"/>
        <w:ind w:firstLine="480"/>
        <w:rPr>
          <w:rFonts w:cs="Times New Roman"/>
          <w:kern w:val="0"/>
        </w:rPr>
      </w:pPr>
      <w:r>
        <w:rPr>
          <w:rFonts w:hint="eastAsia" w:cs="Times New Roman"/>
          <w:kern w:val="0"/>
        </w:rPr>
        <w:t>（2）对于本项目可采用向屠宰间地面喷洒除臭剂方法，将场区产生令人不愉快的气味掩盖住，达到除臭的效果。这种方法投资较小，简便易行，具有较好的效果。但采用的除臭剂必须是无毒、无害在环境中不会蓄积的。</w:t>
      </w:r>
    </w:p>
    <w:p>
      <w:pPr>
        <w:pStyle w:val="3"/>
        <w:ind w:firstLine="480"/>
        <w:rPr>
          <w:rFonts w:cs="Times New Roman"/>
          <w:kern w:val="0"/>
        </w:rPr>
      </w:pPr>
      <w:r>
        <w:rPr>
          <w:rFonts w:hint="eastAsia" w:cs="Times New Roman"/>
          <w:kern w:val="0"/>
        </w:rPr>
        <w:t>（3）屠宰废弃物等固体废物袋装密封后存放在冷库内的一般固废暂存区内暂存；肠胃内容物采用专用收集桶收集后一同存放在冷库内一般固废暂存区内暂存。冷库一般固废暂存间设计为封闭式；屠宰车间设置通风装置，并加强通风，增加通风次数，以降低恶臭气体的影响。</w:t>
      </w:r>
    </w:p>
    <w:p>
      <w:pPr>
        <w:pStyle w:val="3"/>
        <w:ind w:firstLine="480"/>
        <w:rPr>
          <w:rFonts w:cs="Times New Roman"/>
          <w:kern w:val="0"/>
        </w:rPr>
      </w:pPr>
      <w:r>
        <w:rPr>
          <w:rFonts w:hint="eastAsia" w:cs="Times New Roman"/>
          <w:kern w:val="0"/>
        </w:rPr>
        <w:t>3、车间外无组织恶臭措施</w:t>
      </w:r>
    </w:p>
    <w:p>
      <w:pPr>
        <w:pStyle w:val="3"/>
        <w:ind w:firstLine="480"/>
        <w:rPr>
          <w:rFonts w:cs="Times New Roman"/>
          <w:kern w:val="0"/>
        </w:rPr>
      </w:pPr>
      <w:r>
        <w:rPr>
          <w:rFonts w:hint="eastAsia" w:cs="Times New Roman"/>
          <w:kern w:val="0"/>
        </w:rPr>
        <w:t>（1）将通过乔灌结合的立体绿化阻隔和类比源强确定卫生防护距离（100m）加以控制。</w:t>
      </w:r>
    </w:p>
    <w:p>
      <w:pPr>
        <w:pStyle w:val="3"/>
        <w:ind w:firstLine="480"/>
        <w:rPr>
          <w:rFonts w:cs="Times New Roman"/>
          <w:kern w:val="0"/>
        </w:rPr>
      </w:pPr>
      <w:r>
        <w:rPr>
          <w:rFonts w:hint="eastAsia" w:cs="Times New Roman"/>
          <w:kern w:val="0"/>
        </w:rPr>
        <w:t>（2）充分考虑当地盛行风向，合理布局废气污染源，并在其周围种植花草树木，防止臭气扩散。</w:t>
      </w:r>
    </w:p>
    <w:p>
      <w:pPr>
        <w:pStyle w:val="3"/>
        <w:ind w:firstLine="480"/>
        <w:rPr>
          <w:rFonts w:cs="Times New Roman"/>
          <w:kern w:val="0"/>
        </w:rPr>
      </w:pPr>
      <w:r>
        <w:rPr>
          <w:rFonts w:hint="eastAsia" w:cs="Times New Roman"/>
          <w:kern w:val="0"/>
        </w:rPr>
        <w:t>2、粪污处理系统恶臭</w:t>
      </w:r>
    </w:p>
    <w:p>
      <w:pPr>
        <w:pStyle w:val="3"/>
        <w:ind w:firstLine="480"/>
        <w:rPr>
          <w:rFonts w:cs="Times New Roman"/>
          <w:kern w:val="0"/>
        </w:rPr>
      </w:pPr>
      <w:r>
        <w:rPr>
          <w:rFonts w:hint="eastAsia" w:cs="Times New Roman"/>
          <w:kern w:val="0"/>
        </w:rPr>
        <w:t>污水处理站恶臭污染问题与运行管理和操作也存在直接关系，因此保证良好的运行操作和管理是避免恶臭污染的首要手段。</w:t>
      </w:r>
    </w:p>
    <w:p>
      <w:pPr>
        <w:pStyle w:val="3"/>
        <w:ind w:firstLine="480"/>
        <w:rPr>
          <w:rFonts w:cs="Times New Roman"/>
          <w:kern w:val="0"/>
        </w:rPr>
      </w:pPr>
      <w:r>
        <w:rPr>
          <w:rFonts w:hint="eastAsia" w:cs="Times New Roman"/>
          <w:kern w:val="0"/>
        </w:rPr>
        <w:t>（1）粪污处理设施进行密闭，并投加除臭剂，频次不低于</w:t>
      </w:r>
      <w:r>
        <w:rPr>
          <w:rFonts w:cs="Times New Roman"/>
          <w:kern w:val="0"/>
        </w:rPr>
        <w:t xml:space="preserve">1 </w:t>
      </w:r>
      <w:r>
        <w:rPr>
          <w:rFonts w:hint="eastAsia" w:cs="Times New Roman"/>
          <w:kern w:val="0"/>
        </w:rPr>
        <w:t>次</w:t>
      </w:r>
      <w:r>
        <w:rPr>
          <w:rFonts w:cs="Times New Roman"/>
          <w:kern w:val="0"/>
        </w:rPr>
        <w:t xml:space="preserve">/3 </w:t>
      </w:r>
      <w:r>
        <w:rPr>
          <w:rFonts w:hint="eastAsia" w:cs="Times New Roman"/>
          <w:kern w:val="0"/>
        </w:rPr>
        <w:t>天。</w:t>
      </w:r>
    </w:p>
    <w:p>
      <w:pPr>
        <w:pStyle w:val="3"/>
        <w:ind w:firstLine="480"/>
        <w:rPr>
          <w:rFonts w:cs="Times New Roman"/>
          <w:kern w:val="0"/>
        </w:rPr>
      </w:pPr>
      <w:r>
        <w:rPr>
          <w:rFonts w:hint="eastAsia" w:cs="Times New Roman"/>
          <w:kern w:val="0"/>
        </w:rPr>
        <w:t>（2）制定污水处理站管理规范，对技术人员和操作工人上岗必须经过正式的技术培训，上岗后要严格按照操作规程和设计参数运行，对设备要定期维护，保证污水处理系统的正常运行。</w:t>
      </w:r>
    </w:p>
    <w:p>
      <w:pPr>
        <w:pStyle w:val="3"/>
        <w:ind w:firstLine="480"/>
        <w:rPr>
          <w:rFonts w:cs="Times New Roman"/>
          <w:kern w:val="0"/>
        </w:rPr>
      </w:pPr>
      <w:r>
        <w:rPr>
          <w:rFonts w:hint="eastAsia" w:cs="Times New Roman"/>
          <w:kern w:val="0"/>
        </w:rPr>
        <w:t>（3）尽量维持污水处理中</w:t>
      </w:r>
      <w:r>
        <w:rPr>
          <w:rFonts w:cs="Times New Roman"/>
          <w:kern w:val="0"/>
        </w:rPr>
        <w:t>pH</w:t>
      </w:r>
      <w:r>
        <w:rPr>
          <w:rFonts w:hint="eastAsia" w:cs="Times New Roman"/>
          <w:kern w:val="0"/>
        </w:rPr>
        <w:t>≥</w:t>
      </w:r>
      <w:r>
        <w:rPr>
          <w:rFonts w:cs="Times New Roman"/>
          <w:kern w:val="0"/>
        </w:rPr>
        <w:t>7</w:t>
      </w:r>
      <w:r>
        <w:rPr>
          <w:rFonts w:hint="eastAsia" w:cs="Times New Roman"/>
          <w:kern w:val="0"/>
        </w:rPr>
        <w:t>，防止硫化氢逸散，必要时可投加</w:t>
      </w:r>
      <w:r>
        <w:rPr>
          <w:rFonts w:cs="Times New Roman"/>
          <w:kern w:val="0"/>
        </w:rPr>
        <w:t>FeSO4</w:t>
      </w:r>
      <w:r>
        <w:rPr>
          <w:rFonts w:hint="eastAsia" w:cs="Times New Roman"/>
          <w:kern w:val="0"/>
        </w:rPr>
        <w:t>，以固定硫离子；或加入</w:t>
      </w:r>
      <w:r>
        <w:rPr>
          <w:rFonts w:cs="Times New Roman"/>
          <w:kern w:val="0"/>
        </w:rPr>
        <w:t xml:space="preserve">15~40mg/L </w:t>
      </w:r>
      <w:r>
        <w:rPr>
          <w:rFonts w:hint="eastAsia" w:cs="Times New Roman"/>
          <w:kern w:val="0"/>
        </w:rPr>
        <w:t>的过氧化氢，氧化硫化物，有效地防止硫化氢等气体的产生，减少恶臭气体污染。</w:t>
      </w:r>
    </w:p>
    <w:p>
      <w:pPr>
        <w:pStyle w:val="3"/>
        <w:ind w:firstLine="480"/>
        <w:rPr>
          <w:rFonts w:cs="Times New Roman"/>
          <w:kern w:val="0"/>
        </w:rPr>
      </w:pPr>
      <w:r>
        <w:rPr>
          <w:rFonts w:hint="eastAsia" w:cs="Times New Roman"/>
          <w:kern w:val="0"/>
        </w:rPr>
        <w:t>（4）缩短污水在提升管流经时间，减少污泥滞留时间，及时清运，减少污泥腐败发臭的机会。采取以上措施后，项目产生的臭气影响有较大程度的减轻。</w:t>
      </w:r>
    </w:p>
    <w:p>
      <w:pPr>
        <w:pStyle w:val="3"/>
        <w:ind w:firstLine="480"/>
        <w:rPr>
          <w:rFonts w:cs="Times New Roman"/>
          <w:kern w:val="0"/>
        </w:rPr>
      </w:pPr>
      <w:r>
        <w:rPr>
          <w:rFonts w:hint="eastAsia" w:cs="Times New Roman"/>
          <w:kern w:val="0"/>
        </w:rPr>
        <w:t>采取以上措施后，项目产生的恶臭污染物可以得到有效控制，对周围环境影响较小，污染防治措施可行。</w:t>
      </w:r>
    </w:p>
    <w:p>
      <w:pPr>
        <w:pStyle w:val="3"/>
        <w:ind w:firstLine="0" w:firstLineChars="0"/>
        <w:outlineLvl w:val="3"/>
        <w:rPr>
          <w:rFonts w:eastAsia="黑体" w:cstheme="majorBidi"/>
          <w:bCs/>
          <w:szCs w:val="32"/>
        </w:rPr>
      </w:pPr>
      <w:r>
        <w:rPr>
          <w:rFonts w:hint="eastAsia" w:eastAsia="黑体" w:cstheme="majorBidi"/>
          <w:bCs/>
          <w:szCs w:val="32"/>
        </w:rPr>
        <w:t>8.2.1.2</w:t>
      </w:r>
      <w:r>
        <w:rPr>
          <w:rFonts w:hint="eastAsia" w:eastAsia="黑体" w:cstheme="majorBidi"/>
          <w:bCs/>
          <w:szCs w:val="32"/>
        </w:rPr>
        <w:tab/>
      </w:r>
      <w:r>
        <w:rPr>
          <w:rFonts w:hint="eastAsia" w:eastAsia="黑体" w:cstheme="majorBidi"/>
          <w:bCs/>
          <w:szCs w:val="32"/>
        </w:rPr>
        <w:t>生物质锅炉废气处置措施</w:t>
      </w:r>
    </w:p>
    <w:p>
      <w:pPr>
        <w:pStyle w:val="3"/>
        <w:ind w:firstLine="480"/>
        <w:rPr>
          <w:rFonts w:cs="Times New Roman"/>
          <w:kern w:val="0"/>
        </w:rPr>
      </w:pPr>
      <w:r>
        <w:rPr>
          <w:rFonts w:hint="eastAsia" w:cs="Times New Roman"/>
          <w:kern w:val="0"/>
        </w:rPr>
        <w:t>1、布袋除尘</w:t>
      </w:r>
    </w:p>
    <w:p>
      <w:pPr>
        <w:pStyle w:val="3"/>
        <w:ind w:firstLine="480"/>
        <w:rPr>
          <w:rFonts w:cs="Times New Roman"/>
          <w:kern w:val="0"/>
        </w:rPr>
      </w:pPr>
      <w:r>
        <w:rPr>
          <w:rFonts w:hint="eastAsia" w:cs="Times New Roman"/>
          <w:kern w:val="0"/>
        </w:rPr>
        <w:t>本项目蒸汽发生器燃料采用生物质，生物质燃烧会产生大量的烟尘，因此本项目要采用布袋除尘器</w:t>
      </w:r>
      <w:r>
        <w:rPr>
          <w:rFonts w:cs="Times New Roman"/>
          <w:kern w:val="0"/>
        </w:rPr>
        <w:t>+</w:t>
      </w:r>
      <w:r>
        <w:rPr>
          <w:rFonts w:hint="eastAsia" w:cs="Times New Roman"/>
          <w:kern w:val="0"/>
        </w:rPr>
        <w:t>25m排气筒排放，经处理后，排放可达到</w:t>
      </w:r>
      <w:r>
        <w:rPr>
          <w:rFonts w:hint="eastAsia" w:eastAsiaTheme="minorEastAsia"/>
          <w:kern w:val="0"/>
        </w:rPr>
        <w:t>《锅炉大气污染物排放标准》（</w:t>
      </w:r>
      <w:r>
        <w:rPr>
          <w:rFonts w:eastAsiaTheme="minorEastAsia"/>
          <w:kern w:val="0"/>
        </w:rPr>
        <w:t>GB13271-2014</w:t>
      </w:r>
      <w:r>
        <w:rPr>
          <w:rFonts w:hint="eastAsia" w:eastAsiaTheme="minorEastAsia"/>
          <w:kern w:val="0"/>
        </w:rPr>
        <w:t>）中新建燃煤锅炉排放标准要求</w:t>
      </w:r>
      <w:r>
        <w:rPr>
          <w:rFonts w:hint="eastAsia" w:cs="Times New Roman"/>
          <w:kern w:val="0"/>
        </w:rPr>
        <w:t>。布袋除尘器是一种干式除尘装，它适用于捕集细小、干燥非纤维性粉尘。滤袋采用纺织的滤布或非纺织的毡制成，利用纤维织物的过滤作用对含尘气体进行过滤，当含尘气体进入布袋除尘器，颗粒大、比重大的粉尘，由于重力的作用沉降下来，落入灰斗，含有较细小粉尘的气体在通过滤料时，粉尘被阻留，使气体得到净化。</w:t>
      </w:r>
    </w:p>
    <w:p>
      <w:pPr>
        <w:pStyle w:val="3"/>
        <w:ind w:firstLine="480"/>
        <w:rPr>
          <w:rFonts w:cs="Times New Roman"/>
          <w:kern w:val="0"/>
        </w:rPr>
      </w:pPr>
      <w:r>
        <w:rPr>
          <w:rFonts w:hint="eastAsia" w:cs="Times New Roman"/>
          <w:kern w:val="0"/>
        </w:rPr>
        <w:t>2、排气筒设置高度可行性</w:t>
      </w:r>
    </w:p>
    <w:p>
      <w:pPr>
        <w:pStyle w:val="3"/>
        <w:ind w:firstLine="480"/>
        <w:rPr>
          <w:rFonts w:cs="Times New Roman"/>
          <w:kern w:val="0"/>
        </w:rPr>
      </w:pPr>
      <w:r>
        <w:rPr>
          <w:rFonts w:hint="eastAsia" w:cs="Times New Roman"/>
          <w:kern w:val="0"/>
        </w:rPr>
        <w:t>根据《锅炉大气污染物排放标准》（</w:t>
      </w:r>
      <w:r>
        <w:rPr>
          <w:rFonts w:cs="Times New Roman"/>
          <w:kern w:val="0"/>
        </w:rPr>
        <w:t>GB13271-2014</w:t>
      </w:r>
      <w:r>
        <w:rPr>
          <w:rFonts w:hint="eastAsia" w:cs="Times New Roman"/>
          <w:kern w:val="0"/>
        </w:rPr>
        <w:t>）：每个新建燃煤锅炉房只能设一个烟囱，烟囱高度应根据锅炉房装机总容量决定。同时，新建锅炉房的烟囱周围半径</w:t>
      </w:r>
      <w:r>
        <w:rPr>
          <w:rFonts w:cs="Times New Roman"/>
          <w:kern w:val="0"/>
        </w:rPr>
        <w:t>200m</w:t>
      </w:r>
      <w:r>
        <w:rPr>
          <w:rFonts w:hint="eastAsia" w:cs="Times New Roman"/>
          <w:kern w:val="0"/>
        </w:rPr>
        <w:t>距离内有建筑物时，其烟囱应高出最高建筑物</w:t>
      </w:r>
      <w:r>
        <w:rPr>
          <w:rFonts w:cs="Times New Roman"/>
          <w:kern w:val="0"/>
        </w:rPr>
        <w:t>3m</w:t>
      </w:r>
      <w:r>
        <w:rPr>
          <w:rFonts w:hint="eastAsia" w:cs="Times New Roman"/>
          <w:kern w:val="0"/>
        </w:rPr>
        <w:t>以上。</w:t>
      </w:r>
    </w:p>
    <w:p>
      <w:pPr>
        <w:pStyle w:val="3"/>
        <w:spacing w:line="240" w:lineRule="auto"/>
        <w:ind w:firstLine="0" w:firstLineChars="0"/>
        <w:jc w:val="center"/>
        <w:rPr>
          <w:rFonts w:cs="Times New Roman"/>
          <w:kern w:val="0"/>
        </w:rPr>
      </w:pPr>
      <w:r>
        <w:rPr>
          <w:rFonts w:hint="eastAsia" w:cs="Times New Roman" w:eastAsiaTheme="minorEastAsia"/>
          <w:b/>
        </w:rPr>
        <w:t xml:space="preserve">表8.2-2 </w:t>
      </w:r>
      <w:r>
        <w:rPr>
          <w:rFonts w:cs="Times New Roman" w:eastAsiaTheme="minorEastAsia"/>
          <w:b/>
        </w:rPr>
        <w:t xml:space="preserve"> </w:t>
      </w:r>
      <w:r>
        <w:rPr>
          <w:rFonts w:hint="eastAsia" w:cs="Times New Roman" w:eastAsiaTheme="minorEastAsia"/>
          <w:b/>
        </w:rPr>
        <w:t>燃煤锅炉房烟囱最高允许高度</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851"/>
        <w:gridCol w:w="1127"/>
        <w:gridCol w:w="1312"/>
        <w:gridCol w:w="1312"/>
        <w:gridCol w:w="131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pct"/>
            <w:vMerge w:val="restart"/>
            <w:vAlign w:val="center"/>
          </w:tcPr>
          <w:p>
            <w:pPr>
              <w:widowControl w:val="0"/>
              <w:jc w:val="center"/>
              <w:rPr>
                <w:rFonts w:ascii="Times New Roman" w:hAnsi="Times New Roman" w:cs="Times New Roman"/>
              </w:rPr>
            </w:pPr>
            <w:r>
              <w:rPr>
                <w:rFonts w:ascii="Times New Roman" w:hAnsi="Times New Roman" w:cs="Times New Roman"/>
              </w:rPr>
              <w:t>锅炉房装机总容量</w:t>
            </w:r>
          </w:p>
        </w:tc>
        <w:tc>
          <w:tcPr>
            <w:tcW w:w="464" w:type="pct"/>
            <w:vAlign w:val="center"/>
          </w:tcPr>
          <w:p>
            <w:pPr>
              <w:widowControl w:val="0"/>
              <w:jc w:val="center"/>
              <w:rPr>
                <w:rFonts w:ascii="Times New Roman" w:hAnsi="Times New Roman" w:cs="Times New Roman"/>
              </w:rPr>
            </w:pPr>
            <w:r>
              <w:rPr>
                <w:rFonts w:ascii="Times New Roman" w:hAnsi="Times New Roman" w:cs="Times New Roman"/>
              </w:rPr>
              <w:t>MW</w:t>
            </w:r>
          </w:p>
        </w:tc>
        <w:tc>
          <w:tcPr>
            <w:tcW w:w="614" w:type="pct"/>
            <w:vAlign w:val="center"/>
          </w:tcPr>
          <w:p>
            <w:pPr>
              <w:widowControl w:val="0"/>
              <w:jc w:val="center"/>
              <w:rPr>
                <w:rFonts w:ascii="Times New Roman" w:hAnsi="Times New Roman" w:cs="Times New Roman"/>
              </w:rPr>
            </w:pPr>
            <w:r>
              <w:rPr>
                <w:rFonts w:ascii="Times New Roman" w:hAnsi="Times New Roman" w:cs="Times New Roman"/>
              </w:rPr>
              <w:t>＜0.7</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0.7~＜1.4</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1.4~＜2.8</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2.8~＜7</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pct"/>
            <w:vMerge w:val="continue"/>
            <w:vAlign w:val="center"/>
          </w:tcPr>
          <w:p>
            <w:pPr>
              <w:jc w:val="center"/>
              <w:rPr>
                <w:rFonts w:ascii="Times New Roman" w:hAnsi="Times New Roman" w:cs="Times New Roman"/>
              </w:rPr>
            </w:pPr>
          </w:p>
        </w:tc>
        <w:tc>
          <w:tcPr>
            <w:tcW w:w="464" w:type="pct"/>
            <w:vAlign w:val="center"/>
          </w:tcPr>
          <w:p>
            <w:pPr>
              <w:widowControl w:val="0"/>
              <w:jc w:val="center"/>
              <w:rPr>
                <w:rFonts w:ascii="Times New Roman" w:hAnsi="Times New Roman" w:cs="Times New Roman"/>
              </w:rPr>
            </w:pPr>
            <w:r>
              <w:rPr>
                <w:rFonts w:ascii="Times New Roman" w:hAnsi="Times New Roman" w:cs="Times New Roman"/>
              </w:rPr>
              <w:t>t/h</w:t>
            </w:r>
          </w:p>
        </w:tc>
        <w:tc>
          <w:tcPr>
            <w:tcW w:w="614" w:type="pct"/>
            <w:vAlign w:val="center"/>
          </w:tcPr>
          <w:p>
            <w:pPr>
              <w:widowControl w:val="0"/>
              <w:jc w:val="center"/>
              <w:rPr>
                <w:rFonts w:ascii="Times New Roman" w:hAnsi="Times New Roman" w:cs="Times New Roman"/>
              </w:rPr>
            </w:pPr>
            <w:r>
              <w:rPr>
                <w:rFonts w:ascii="Times New Roman" w:hAnsi="Times New Roman" w:cs="Times New Roman"/>
              </w:rPr>
              <w:t>＜1</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1~＜2</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2~＜4</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4~＜10</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pct"/>
            <w:vAlign w:val="center"/>
          </w:tcPr>
          <w:p>
            <w:pPr>
              <w:widowControl w:val="0"/>
              <w:jc w:val="center"/>
              <w:rPr>
                <w:rFonts w:ascii="Times New Roman" w:hAnsi="Times New Roman" w:cs="Times New Roman"/>
              </w:rPr>
            </w:pPr>
            <w:r>
              <w:rPr>
                <w:rFonts w:ascii="Times New Roman" w:hAnsi="Times New Roman" w:cs="Times New Roman"/>
              </w:rPr>
              <w:t>烟囱最低允许高度</w:t>
            </w:r>
          </w:p>
        </w:tc>
        <w:tc>
          <w:tcPr>
            <w:tcW w:w="464" w:type="pct"/>
            <w:vAlign w:val="center"/>
          </w:tcPr>
          <w:p>
            <w:pPr>
              <w:widowControl w:val="0"/>
              <w:jc w:val="center"/>
              <w:rPr>
                <w:rFonts w:ascii="Times New Roman" w:hAnsi="Times New Roman" w:cs="Times New Roman"/>
              </w:rPr>
            </w:pPr>
            <w:r>
              <w:rPr>
                <w:rFonts w:ascii="Times New Roman" w:hAnsi="Times New Roman" w:cs="Times New Roman"/>
              </w:rPr>
              <w:t>m</w:t>
            </w:r>
          </w:p>
        </w:tc>
        <w:tc>
          <w:tcPr>
            <w:tcW w:w="614" w:type="pct"/>
            <w:vAlign w:val="center"/>
          </w:tcPr>
          <w:p>
            <w:pPr>
              <w:widowControl w:val="0"/>
              <w:jc w:val="center"/>
              <w:rPr>
                <w:rFonts w:ascii="Times New Roman" w:hAnsi="Times New Roman" w:cs="Times New Roman"/>
              </w:rPr>
            </w:pPr>
            <w:r>
              <w:rPr>
                <w:rFonts w:ascii="Times New Roman" w:hAnsi="Times New Roman" w:cs="Times New Roman"/>
              </w:rPr>
              <w:t>20</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25</w:t>
            </w:r>
          </w:p>
        </w:tc>
        <w:tc>
          <w:tcPr>
            <w:tcW w:w="715" w:type="pct"/>
            <w:vAlign w:val="center"/>
          </w:tcPr>
          <w:p>
            <w:pPr>
              <w:widowControl w:val="0"/>
              <w:jc w:val="center"/>
              <w:rPr>
                <w:rFonts w:ascii="Times New Roman" w:hAnsi="Times New Roman" w:cs="Times New Roman"/>
              </w:rPr>
            </w:pPr>
            <w:r>
              <w:rPr>
                <w:rFonts w:ascii="Times New Roman" w:hAnsi="Times New Roman" w:cs="Times New Roman"/>
              </w:rPr>
              <w:t>30</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35</w:t>
            </w:r>
          </w:p>
        </w:tc>
        <w:tc>
          <w:tcPr>
            <w:tcW w:w="714" w:type="pct"/>
            <w:vAlign w:val="center"/>
          </w:tcPr>
          <w:p>
            <w:pPr>
              <w:widowControl w:val="0"/>
              <w:jc w:val="center"/>
              <w:rPr>
                <w:rFonts w:ascii="Times New Roman" w:hAnsi="Times New Roman" w:cs="Times New Roman"/>
              </w:rPr>
            </w:pPr>
            <w:r>
              <w:rPr>
                <w:rFonts w:ascii="Times New Roman" w:hAnsi="Times New Roman" w:cs="Times New Roman"/>
              </w:rPr>
              <w:t>40</w:t>
            </w:r>
          </w:p>
        </w:tc>
      </w:tr>
    </w:tbl>
    <w:p>
      <w:pPr>
        <w:pStyle w:val="3"/>
        <w:ind w:firstLine="480"/>
        <w:rPr>
          <w:rFonts w:cs="Times New Roman"/>
          <w:kern w:val="0"/>
        </w:rPr>
      </w:pPr>
      <w:r>
        <w:rPr>
          <w:rFonts w:hint="eastAsia" w:cs="Times New Roman"/>
          <w:kern w:val="0"/>
        </w:rPr>
        <w:t>项目使用</w:t>
      </w:r>
      <w:r>
        <w:rPr>
          <w:rFonts w:cs="Times New Roman"/>
          <w:kern w:val="0"/>
        </w:rPr>
        <w:t>1t/h</w:t>
      </w:r>
      <w:r>
        <w:rPr>
          <w:rFonts w:hint="eastAsia" w:cs="Times New Roman"/>
          <w:kern w:val="0"/>
        </w:rPr>
        <w:t>锅炉供热，排气筒设置高度为</w:t>
      </w:r>
      <w:r>
        <w:rPr>
          <w:rFonts w:cs="Times New Roman"/>
          <w:kern w:val="0"/>
        </w:rPr>
        <w:t>25m</w:t>
      </w:r>
      <w:r>
        <w:rPr>
          <w:rFonts w:hint="eastAsia" w:cs="Times New Roman"/>
          <w:kern w:val="0"/>
        </w:rPr>
        <w:t>，区域最高建筑物为改扩建工程办公楼，为三层混凝土结构楼层，每层高约</w:t>
      </w:r>
      <w:r>
        <w:rPr>
          <w:rFonts w:cs="Times New Roman"/>
          <w:kern w:val="0"/>
        </w:rPr>
        <w:t>4m</w:t>
      </w:r>
      <w:r>
        <w:rPr>
          <w:rFonts w:hint="eastAsia" w:cs="Times New Roman"/>
          <w:kern w:val="0"/>
        </w:rPr>
        <w:t>，总高</w:t>
      </w:r>
      <w:r>
        <w:rPr>
          <w:rFonts w:cs="Times New Roman"/>
          <w:kern w:val="0"/>
        </w:rPr>
        <w:t>12m</w:t>
      </w:r>
      <w:r>
        <w:rPr>
          <w:rFonts w:hint="eastAsia" w:cs="Times New Roman"/>
          <w:kern w:val="0"/>
        </w:rPr>
        <w:t>。由此可见，项目锅炉排气筒高度符合相应标准要求。</w:t>
      </w:r>
    </w:p>
    <w:p>
      <w:pPr>
        <w:pStyle w:val="3"/>
        <w:ind w:firstLine="0" w:firstLineChars="0"/>
        <w:outlineLvl w:val="3"/>
        <w:rPr>
          <w:rFonts w:eastAsia="黑体" w:cstheme="majorBidi"/>
          <w:bCs/>
          <w:szCs w:val="32"/>
        </w:rPr>
      </w:pPr>
      <w:r>
        <w:rPr>
          <w:rFonts w:hint="eastAsia" w:eastAsia="黑体" w:cstheme="majorBidi"/>
          <w:bCs/>
          <w:szCs w:val="32"/>
        </w:rPr>
        <w:t>8.2.1.3</w:t>
      </w:r>
      <w:r>
        <w:rPr>
          <w:rFonts w:hint="eastAsia" w:eastAsia="黑体" w:cstheme="majorBidi"/>
          <w:bCs/>
          <w:szCs w:val="32"/>
        </w:rPr>
        <w:tab/>
      </w:r>
      <w:r>
        <w:rPr>
          <w:rFonts w:hint="eastAsia" w:eastAsia="黑体" w:cstheme="majorBidi"/>
          <w:bCs/>
          <w:szCs w:val="32"/>
        </w:rPr>
        <w:t>废气治理措施经济可行性</w:t>
      </w:r>
    </w:p>
    <w:p>
      <w:pPr>
        <w:pStyle w:val="3"/>
        <w:ind w:firstLine="480"/>
        <w:rPr>
          <w:kern w:val="0"/>
        </w:rPr>
      </w:pPr>
      <w:r>
        <w:rPr>
          <w:rFonts w:hint="eastAsia"/>
          <w:kern w:val="0"/>
        </w:rPr>
        <w:t>通过类比同类型项目的治理措施，本项目各废气拟采取的污染防治工艺成熟、运行稳定、处理效果良好，污染物均可做到达标排放，具备技术可行性。</w:t>
      </w:r>
    </w:p>
    <w:p>
      <w:pPr>
        <w:pStyle w:val="3"/>
        <w:ind w:firstLine="480"/>
        <w:rPr>
          <w:kern w:val="0"/>
        </w:rPr>
      </w:pPr>
      <w:r>
        <w:rPr>
          <w:rFonts w:hint="eastAsia"/>
          <w:kern w:val="0"/>
        </w:rPr>
        <w:t>废气处理设施总投资预计60</w:t>
      </w:r>
      <w:r>
        <w:rPr>
          <w:kern w:val="0"/>
        </w:rPr>
        <w:t xml:space="preserve"> </w:t>
      </w:r>
      <w:r>
        <w:rPr>
          <w:rFonts w:hint="eastAsia"/>
          <w:kern w:val="0"/>
        </w:rPr>
        <w:t>万元，该费用占项目总投资费用（1500万元）的4</w:t>
      </w:r>
      <w:r>
        <w:rPr>
          <w:kern w:val="0"/>
        </w:rPr>
        <w:t>%</w:t>
      </w:r>
      <w:r>
        <w:rPr>
          <w:rFonts w:hint="eastAsia"/>
          <w:kern w:val="0"/>
        </w:rPr>
        <w:t>，废气处理设施建设费用均在企业承受范围内。本项目采取的废气污染防治措施具有经济可行性。</w:t>
      </w:r>
    </w:p>
    <w:p>
      <w:pPr>
        <w:pStyle w:val="3"/>
        <w:ind w:firstLine="0" w:firstLineChars="0"/>
        <w:outlineLvl w:val="2"/>
      </w:pPr>
      <w:r>
        <w:rPr>
          <w:rFonts w:hint="eastAsia"/>
        </w:rPr>
        <w:t>8.2.2</w:t>
      </w:r>
      <w:r>
        <w:rPr>
          <w:rFonts w:hint="eastAsia"/>
        </w:rPr>
        <w:tab/>
      </w:r>
      <w:r>
        <w:rPr>
          <w:rFonts w:hint="eastAsia" w:eastAsia="黑体" w:cstheme="majorBidi"/>
          <w:bCs/>
          <w:szCs w:val="32"/>
        </w:rPr>
        <w:t>地表水污染防治措施及其可行性分析</w:t>
      </w:r>
    </w:p>
    <w:p>
      <w:pPr>
        <w:pStyle w:val="3"/>
        <w:ind w:firstLine="0" w:firstLineChars="0"/>
        <w:outlineLvl w:val="3"/>
        <w:rPr>
          <w:kern w:val="0"/>
        </w:rPr>
      </w:pPr>
      <w:r>
        <w:rPr>
          <w:rFonts w:hint="eastAsia" w:eastAsia="黑体" w:cstheme="majorBidi"/>
          <w:bCs/>
          <w:szCs w:val="32"/>
        </w:rPr>
        <w:t>8.2.2.1</w:t>
      </w:r>
      <w:r>
        <w:rPr>
          <w:rFonts w:hint="eastAsia" w:eastAsia="黑体" w:cstheme="majorBidi"/>
          <w:bCs/>
          <w:szCs w:val="32"/>
        </w:rPr>
        <w:tab/>
      </w:r>
      <w:r>
        <w:rPr>
          <w:rFonts w:hint="eastAsia" w:eastAsia="黑体" w:cstheme="majorBidi"/>
          <w:bCs/>
          <w:szCs w:val="32"/>
        </w:rPr>
        <w:t>废水处理措施及规模</w:t>
      </w:r>
    </w:p>
    <w:p>
      <w:pPr>
        <w:pStyle w:val="3"/>
        <w:ind w:firstLine="480"/>
        <w:rPr>
          <w:color w:val="FF0000"/>
          <w:kern w:val="0"/>
          <w:u w:val="single"/>
        </w:rPr>
      </w:pPr>
      <w:r>
        <w:rPr>
          <w:rFonts w:hint="eastAsia"/>
          <w:color w:val="FF0000"/>
          <w:kern w:val="0"/>
          <w:u w:val="single"/>
        </w:rPr>
        <w:t>根据工程分析及水平衡分析，本项目废水包括屠宰生产废水、办公生活污水等。</w:t>
      </w:r>
      <w:r>
        <w:rPr>
          <w:rFonts w:hint="eastAsia"/>
          <w:color w:val="FF0000"/>
          <w:u w:val="single"/>
        </w:rPr>
        <w:t>生活污水经隔油池+三级化粪池处理后用作农肥，不外排。</w:t>
      </w:r>
      <w:r>
        <w:rPr>
          <w:rFonts w:hint="eastAsia" w:cs="Times New Roman"/>
          <w:color w:val="FF0000"/>
          <w:u w:val="single"/>
        </w:rPr>
        <w:t>生产废水经自建粪污处理系统处理达《农田灌溉水质标准》（</w:t>
      </w:r>
      <w:r>
        <w:rPr>
          <w:rFonts w:cs="Times New Roman"/>
          <w:color w:val="FF0000"/>
          <w:u w:val="single"/>
        </w:rPr>
        <w:t>GB5084-2021</w:t>
      </w:r>
      <w:r>
        <w:rPr>
          <w:rFonts w:hint="eastAsia" w:cs="Times New Roman"/>
          <w:color w:val="FF0000"/>
          <w:u w:val="single"/>
        </w:rPr>
        <w:t>）旱作标准后，交由衡阳县喜耕田有机肥厂回收处理，不外排。</w:t>
      </w:r>
    </w:p>
    <w:p>
      <w:pPr>
        <w:pStyle w:val="3"/>
        <w:ind w:firstLine="480"/>
        <w:rPr>
          <w:color w:val="FF0000"/>
          <w:kern w:val="0"/>
          <w:u w:val="single"/>
        </w:rPr>
      </w:pPr>
      <w:r>
        <w:rPr>
          <w:rFonts w:hint="eastAsia"/>
          <w:color w:val="FF0000"/>
          <w:kern w:val="0"/>
          <w:u w:val="single"/>
        </w:rPr>
        <w:t>项目废水产生情况详见表8.2-3。</w:t>
      </w:r>
    </w:p>
    <w:p>
      <w:pPr>
        <w:pStyle w:val="3"/>
        <w:spacing w:line="240" w:lineRule="auto"/>
        <w:ind w:firstLine="0" w:firstLineChars="0"/>
        <w:jc w:val="center"/>
        <w:rPr>
          <w:color w:val="FF0000"/>
          <w:kern w:val="0"/>
          <w:u w:val="single"/>
        </w:rPr>
      </w:pPr>
      <w:r>
        <w:rPr>
          <w:rFonts w:hint="eastAsia" w:cs="Times New Roman" w:eastAsiaTheme="minorEastAsia"/>
          <w:b/>
          <w:color w:val="FF0000"/>
          <w:u w:val="single"/>
        </w:rPr>
        <w:t xml:space="preserve">图8.2-3 </w:t>
      </w:r>
      <w:r>
        <w:rPr>
          <w:rFonts w:cs="Times New Roman" w:eastAsiaTheme="minorEastAsia"/>
          <w:b/>
          <w:color w:val="FF0000"/>
          <w:u w:val="single"/>
        </w:rPr>
        <w:t xml:space="preserve"> </w:t>
      </w:r>
      <w:r>
        <w:rPr>
          <w:rFonts w:hint="eastAsia" w:cs="Times New Roman" w:eastAsiaTheme="minorEastAsia"/>
          <w:b/>
          <w:color w:val="FF0000"/>
          <w:u w:val="single"/>
        </w:rPr>
        <w:t>废水产生情况一览表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03"/>
        <w:gridCol w:w="950"/>
        <w:gridCol w:w="925"/>
        <w:gridCol w:w="899"/>
        <w:gridCol w:w="827"/>
        <w:gridCol w:w="827"/>
        <w:gridCol w:w="84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9" w:type="pct"/>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废水类型</w:t>
            </w:r>
          </w:p>
        </w:tc>
        <w:tc>
          <w:tcPr>
            <w:tcW w:w="765" w:type="pct"/>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分析项</w:t>
            </w:r>
          </w:p>
        </w:tc>
        <w:tc>
          <w:tcPr>
            <w:tcW w:w="3326" w:type="pct"/>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9" w:type="pct"/>
            <w:vMerge w:val="continue"/>
            <w:vAlign w:val="center"/>
          </w:tcPr>
          <w:p>
            <w:pPr>
              <w:jc w:val="center"/>
              <w:rPr>
                <w:rFonts w:ascii="Times New Roman" w:hAnsi="Times New Roman" w:cs="Times New Roman"/>
                <w:color w:val="FF0000"/>
                <w:kern w:val="0"/>
                <w:u w:val="single"/>
              </w:rPr>
            </w:pPr>
          </w:p>
        </w:tc>
        <w:tc>
          <w:tcPr>
            <w:tcW w:w="765" w:type="pct"/>
            <w:vMerge w:val="continue"/>
            <w:vAlign w:val="center"/>
          </w:tcPr>
          <w:p>
            <w:pPr>
              <w:jc w:val="center"/>
              <w:rPr>
                <w:rFonts w:ascii="Times New Roman" w:hAnsi="Times New Roman" w:cs="Times New Roman"/>
                <w:color w:val="FF0000"/>
                <w:kern w:val="0"/>
                <w:u w:val="single"/>
              </w:rPr>
            </w:pPr>
          </w:p>
        </w:tc>
        <w:tc>
          <w:tcPr>
            <w:tcW w:w="518"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COD</w:t>
            </w:r>
          </w:p>
        </w:tc>
        <w:tc>
          <w:tcPr>
            <w:tcW w:w="504"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BOD</w:t>
            </w:r>
            <w:r>
              <w:rPr>
                <w:rFonts w:ascii="Times New Roman" w:hAnsi="Times New Roman" w:cs="Times New Roman"/>
                <w:color w:val="FF0000"/>
                <w:kern w:val="0"/>
                <w:u w:val="single"/>
                <w:vertAlign w:val="subscript"/>
              </w:rPr>
              <w:t>5</w:t>
            </w:r>
          </w:p>
        </w:tc>
        <w:tc>
          <w:tcPr>
            <w:tcW w:w="49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氨氮</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总磷</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总氮</w:t>
            </w:r>
          </w:p>
        </w:tc>
        <w:tc>
          <w:tcPr>
            <w:tcW w:w="462"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SS</w:t>
            </w:r>
          </w:p>
        </w:tc>
        <w:tc>
          <w:tcPr>
            <w:tcW w:w="45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9" w:type="pct"/>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生产废水</w:t>
            </w:r>
          </w:p>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r>
              <w:rPr>
                <w:rFonts w:ascii="Times New Roman" w:hAnsi="Times New Roman" w:cs="Times New Roman"/>
                <w:color w:val="FF0000"/>
                <w:u w:val="single"/>
              </w:rPr>
              <w:t>167450m</w:t>
            </w:r>
            <w:r>
              <w:rPr>
                <w:rFonts w:ascii="Times New Roman" w:hAnsi="Times New Roman" w:cs="Times New Roman"/>
                <w:color w:val="FF0000"/>
                <w:u w:val="single"/>
                <w:vertAlign w:val="superscript"/>
              </w:rPr>
              <w:t>3</w:t>
            </w:r>
            <w:r>
              <w:rPr>
                <w:rFonts w:ascii="Times New Roman" w:hAnsi="Times New Roman" w:cs="Times New Roman"/>
                <w:color w:val="FF0000"/>
                <w:u w:val="single"/>
              </w:rPr>
              <w:t>/a</w:t>
            </w:r>
            <w:r>
              <w:rPr>
                <w:rFonts w:ascii="Times New Roman" w:hAnsi="Times New Roman" w:cs="Times New Roman"/>
                <w:color w:val="FF0000"/>
                <w:kern w:val="0"/>
                <w:u w:val="single"/>
              </w:rPr>
              <w:t>）</w:t>
            </w:r>
          </w:p>
        </w:tc>
        <w:tc>
          <w:tcPr>
            <w:tcW w:w="765"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产生浓度mg/L</w:t>
            </w:r>
          </w:p>
        </w:tc>
        <w:tc>
          <w:tcPr>
            <w:tcW w:w="518"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2000</w:t>
            </w:r>
          </w:p>
        </w:tc>
        <w:tc>
          <w:tcPr>
            <w:tcW w:w="504" w:type="pct"/>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760</w:t>
            </w:r>
          </w:p>
        </w:tc>
        <w:tc>
          <w:tcPr>
            <w:tcW w:w="49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7.15</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176</w:t>
            </w:r>
          </w:p>
        </w:tc>
        <w:tc>
          <w:tcPr>
            <w:tcW w:w="462"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1000</w:t>
            </w:r>
          </w:p>
        </w:tc>
        <w:tc>
          <w:tcPr>
            <w:tcW w:w="45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9" w:type="pct"/>
            <w:vMerge w:val="continue"/>
            <w:vAlign w:val="center"/>
          </w:tcPr>
          <w:p>
            <w:pPr>
              <w:jc w:val="center"/>
              <w:rPr>
                <w:rFonts w:ascii="Times New Roman" w:hAnsi="Times New Roman" w:cs="Times New Roman"/>
                <w:color w:val="FF0000"/>
                <w:kern w:val="0"/>
                <w:u w:val="single"/>
              </w:rPr>
            </w:pPr>
          </w:p>
        </w:tc>
        <w:tc>
          <w:tcPr>
            <w:tcW w:w="765"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产生量t/a</w:t>
            </w:r>
          </w:p>
        </w:tc>
        <w:tc>
          <w:tcPr>
            <w:tcW w:w="518"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c>
          <w:tcPr>
            <w:tcW w:w="504"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127.26</w:t>
            </w:r>
          </w:p>
        </w:tc>
        <w:tc>
          <w:tcPr>
            <w:tcW w:w="49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25.12</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29.47</w:t>
            </w:r>
          </w:p>
        </w:tc>
        <w:tc>
          <w:tcPr>
            <w:tcW w:w="462"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167.45</w:t>
            </w:r>
          </w:p>
        </w:tc>
        <w:tc>
          <w:tcPr>
            <w:tcW w:w="45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09" w:type="pct"/>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生活污水</w:t>
            </w:r>
          </w:p>
          <w:p>
            <w:pPr>
              <w:jc w:val="center"/>
              <w:rPr>
                <w:rFonts w:ascii="Times New Roman" w:hAnsi="Times New Roman" w:cs="Times New Roman"/>
                <w:color w:val="FF0000"/>
                <w:kern w:val="0"/>
                <w:u w:val="single"/>
              </w:rPr>
            </w:pPr>
            <w:r>
              <w:rPr>
                <w:rFonts w:ascii="Times New Roman" w:hAnsi="Times New Roman" w:cs="Times New Roman"/>
                <w:color w:val="FF0000"/>
                <w:u w:val="single"/>
              </w:rPr>
              <w:t>（432m</w:t>
            </w:r>
            <w:r>
              <w:rPr>
                <w:rFonts w:ascii="Times New Roman" w:hAnsi="Times New Roman" w:cs="Times New Roman"/>
                <w:color w:val="FF0000"/>
                <w:u w:val="single"/>
                <w:vertAlign w:val="superscript"/>
              </w:rPr>
              <w:t>3</w:t>
            </w:r>
            <w:r>
              <w:rPr>
                <w:rFonts w:ascii="Times New Roman" w:hAnsi="Times New Roman" w:cs="Times New Roman"/>
                <w:color w:val="FF0000"/>
                <w:u w:val="single"/>
              </w:rPr>
              <w:t>/a）</w:t>
            </w:r>
          </w:p>
        </w:tc>
        <w:tc>
          <w:tcPr>
            <w:tcW w:w="765"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产生浓度mg/L</w:t>
            </w:r>
          </w:p>
        </w:tc>
        <w:tc>
          <w:tcPr>
            <w:tcW w:w="518"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250</w:t>
            </w:r>
          </w:p>
        </w:tc>
        <w:tc>
          <w:tcPr>
            <w:tcW w:w="504"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49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30</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462"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c>
          <w:tcPr>
            <w:tcW w:w="45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09" w:type="pct"/>
            <w:vMerge w:val="continue"/>
            <w:vAlign w:val="center"/>
          </w:tcPr>
          <w:p>
            <w:pPr>
              <w:jc w:val="center"/>
              <w:rPr>
                <w:rFonts w:ascii="Times New Roman" w:hAnsi="Times New Roman" w:cs="Times New Roman"/>
                <w:color w:val="FF0000"/>
                <w:kern w:val="0"/>
                <w:u w:val="single"/>
              </w:rPr>
            </w:pPr>
          </w:p>
        </w:tc>
        <w:tc>
          <w:tcPr>
            <w:tcW w:w="765"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产生量t/a</w:t>
            </w:r>
          </w:p>
        </w:tc>
        <w:tc>
          <w:tcPr>
            <w:tcW w:w="518"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0.108</w:t>
            </w:r>
          </w:p>
        </w:tc>
        <w:tc>
          <w:tcPr>
            <w:tcW w:w="504" w:type="pct"/>
            <w:vAlign w:val="center"/>
          </w:tcPr>
          <w:p>
            <w:pPr>
              <w:jc w:val="center"/>
              <w:rPr>
                <w:rFonts w:ascii="Times New Roman" w:hAnsi="Times New Roman" w:cs="Times New Roman"/>
                <w:color w:val="FF0000"/>
                <w:u w:val="single"/>
              </w:rPr>
            </w:pPr>
            <w:r>
              <w:rPr>
                <w:rFonts w:ascii="Times New Roman" w:hAnsi="Times New Roman" w:cs="Times New Roman"/>
                <w:color w:val="FF0000"/>
                <w:u w:val="single"/>
              </w:rPr>
              <w:t>0.0648</w:t>
            </w:r>
          </w:p>
        </w:tc>
        <w:tc>
          <w:tcPr>
            <w:tcW w:w="49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0.013</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451"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462"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0.0864</w:t>
            </w:r>
          </w:p>
        </w:tc>
        <w:tc>
          <w:tcPr>
            <w:tcW w:w="450" w:type="pc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bl>
    <w:p>
      <w:pPr>
        <w:pStyle w:val="3"/>
        <w:ind w:firstLine="480"/>
        <w:rPr>
          <w:color w:val="FF0000"/>
          <w:kern w:val="0"/>
          <w:u w:val="single"/>
        </w:rPr>
      </w:pPr>
      <w:r>
        <w:rPr>
          <w:rFonts w:hint="eastAsia"/>
          <w:color w:val="FF0000"/>
          <w:kern w:val="0"/>
          <w:u w:val="single"/>
        </w:rPr>
        <w:t>根据《屠宰与肉类加工废水治理工程技术规范》（</w:t>
      </w:r>
      <w:r>
        <w:rPr>
          <w:color w:val="FF0000"/>
          <w:kern w:val="0"/>
          <w:u w:val="single"/>
        </w:rPr>
        <w:t>HJ 2004-2010</w:t>
      </w:r>
      <w:r>
        <w:rPr>
          <w:rFonts w:hint="eastAsia"/>
          <w:color w:val="FF0000"/>
          <w:kern w:val="0"/>
          <w:u w:val="single"/>
        </w:rPr>
        <w:t>）、</w:t>
      </w:r>
      <w:r>
        <w:rPr>
          <w:color w:val="FF0000"/>
          <w:kern w:val="0"/>
          <w:u w:val="single"/>
        </w:rPr>
        <w:t>HJ 860.3</w:t>
      </w:r>
      <w:r>
        <w:rPr>
          <w:rFonts w:hint="eastAsia"/>
          <w:color w:val="FF0000"/>
          <w:kern w:val="0"/>
          <w:u w:val="single"/>
        </w:rPr>
        <w:t>—</w:t>
      </w:r>
      <w:r>
        <w:rPr>
          <w:color w:val="FF0000"/>
          <w:kern w:val="0"/>
          <w:u w:val="single"/>
        </w:rPr>
        <w:t>2018</w:t>
      </w:r>
      <w:r>
        <w:rPr>
          <w:rFonts w:hint="eastAsia"/>
          <w:color w:val="FF0000"/>
          <w:kern w:val="0"/>
          <w:u w:val="single"/>
        </w:rPr>
        <w:t>相关要求，其中提到工艺选取原则：</w:t>
      </w:r>
    </w:p>
    <w:p>
      <w:pPr>
        <w:pStyle w:val="3"/>
        <w:ind w:firstLine="480"/>
        <w:rPr>
          <w:color w:val="FF0000"/>
          <w:kern w:val="0"/>
          <w:u w:val="single"/>
        </w:rPr>
      </w:pPr>
      <w:r>
        <w:rPr>
          <w:rFonts w:hint="eastAsia"/>
          <w:color w:val="FF0000"/>
          <w:kern w:val="0"/>
          <w:u w:val="single"/>
        </w:rPr>
        <w:t>（</w:t>
      </w:r>
      <w:r>
        <w:rPr>
          <w:color w:val="FF0000"/>
          <w:kern w:val="0"/>
          <w:u w:val="single"/>
        </w:rPr>
        <w:t>1</w:t>
      </w:r>
      <w:r>
        <w:rPr>
          <w:rFonts w:hint="eastAsia"/>
          <w:color w:val="FF0000"/>
          <w:kern w:val="0"/>
          <w:u w:val="single"/>
        </w:rPr>
        <w:t>）工艺选择应以连续稳定达标排放为前提，选择成熟、可靠的废水处理工艺。</w:t>
      </w:r>
    </w:p>
    <w:p>
      <w:pPr>
        <w:pStyle w:val="3"/>
        <w:ind w:firstLine="480"/>
        <w:rPr>
          <w:color w:val="FF0000"/>
          <w:kern w:val="0"/>
          <w:u w:val="single"/>
        </w:rPr>
      </w:pPr>
      <w:r>
        <w:rPr>
          <w:rFonts w:hint="eastAsia"/>
          <w:color w:val="FF0000"/>
          <w:kern w:val="0"/>
          <w:u w:val="single"/>
        </w:rPr>
        <w:t>（</w:t>
      </w:r>
      <w:r>
        <w:rPr>
          <w:color w:val="FF0000"/>
          <w:kern w:val="0"/>
          <w:u w:val="single"/>
        </w:rPr>
        <w:t>2</w:t>
      </w:r>
      <w:r>
        <w:rPr>
          <w:rFonts w:hint="eastAsia"/>
          <w:color w:val="FF0000"/>
          <w:kern w:val="0"/>
          <w:u w:val="single"/>
        </w:rPr>
        <w:t>）应根据废水的水量、水质特征、排放标准、地域特点及管理水平等因素确定工艺流程及处理目标。</w:t>
      </w:r>
    </w:p>
    <w:p>
      <w:pPr>
        <w:pStyle w:val="3"/>
        <w:ind w:firstLine="480"/>
        <w:rPr>
          <w:color w:val="FF0000"/>
          <w:kern w:val="0"/>
          <w:u w:val="single"/>
        </w:rPr>
      </w:pPr>
      <w:r>
        <w:rPr>
          <w:rFonts w:hint="eastAsia"/>
          <w:color w:val="FF0000"/>
          <w:kern w:val="0"/>
          <w:u w:val="single"/>
        </w:rPr>
        <w:t>（</w:t>
      </w:r>
      <w:r>
        <w:rPr>
          <w:color w:val="FF0000"/>
          <w:kern w:val="0"/>
          <w:u w:val="single"/>
        </w:rPr>
        <w:t>3</w:t>
      </w:r>
      <w:r>
        <w:rPr>
          <w:rFonts w:hint="eastAsia"/>
          <w:color w:val="FF0000"/>
          <w:kern w:val="0"/>
          <w:u w:val="single"/>
        </w:rPr>
        <w:t>）在达标排放的前提下，优先选择低运行成本、技术先进的处理工艺。处理工艺过程应尽可能做到自动控制。</w:t>
      </w:r>
    </w:p>
    <w:p>
      <w:pPr>
        <w:pStyle w:val="3"/>
        <w:ind w:firstLine="480"/>
        <w:rPr>
          <w:color w:val="FF0000"/>
          <w:kern w:val="0"/>
          <w:u w:val="single"/>
        </w:rPr>
      </w:pPr>
      <w:r>
        <w:rPr>
          <w:rFonts w:hint="eastAsia"/>
          <w:color w:val="FF0000"/>
          <w:kern w:val="0"/>
          <w:u w:val="single"/>
        </w:rPr>
        <w:t>（</w:t>
      </w:r>
      <w:r>
        <w:rPr>
          <w:color w:val="FF0000"/>
          <w:kern w:val="0"/>
          <w:u w:val="single"/>
        </w:rPr>
        <w:t>4</w:t>
      </w:r>
      <w:r>
        <w:rPr>
          <w:rFonts w:hint="eastAsia"/>
          <w:color w:val="FF0000"/>
          <w:kern w:val="0"/>
          <w:u w:val="single"/>
        </w:rPr>
        <w:t>）屠宰与肉类加工废水处理应采用生化处理为主、物化处理为辅的组合处理工艺，并按照国家相关政策要求，因地制宜考虑废水深度处理及再用。</w:t>
      </w:r>
    </w:p>
    <w:p>
      <w:pPr>
        <w:pStyle w:val="3"/>
        <w:ind w:firstLine="480"/>
        <w:rPr>
          <w:color w:val="FF0000"/>
          <w:kern w:val="0"/>
          <w:u w:val="single"/>
        </w:rPr>
      </w:pPr>
      <w:r>
        <w:rPr>
          <w:rFonts w:hint="eastAsia"/>
          <w:color w:val="FF0000"/>
          <w:kern w:val="0"/>
          <w:u w:val="single"/>
        </w:rPr>
        <w:t>根据上述原则，结合废水特点和经济投入，本项目建设单位拟建设</w:t>
      </w:r>
      <w:r>
        <w:rPr>
          <w:color w:val="FF0000"/>
          <w:kern w:val="0"/>
          <w:u w:val="single"/>
        </w:rPr>
        <w:t xml:space="preserve">1 </w:t>
      </w:r>
      <w:r>
        <w:rPr>
          <w:rFonts w:hint="eastAsia"/>
          <w:color w:val="FF0000"/>
          <w:kern w:val="0"/>
          <w:u w:val="single"/>
        </w:rPr>
        <w:t>座采取“</w:t>
      </w:r>
      <w:r>
        <w:rPr>
          <w:rFonts w:hint="eastAsia" w:cs="Times New Roman"/>
          <w:color w:val="FF0000"/>
          <w:u w:val="single"/>
        </w:rPr>
        <w:t>隔栅→粪污调节池→固液分离→污水→沼气池→三级曝气沉淀池→杀菌除臭</w:t>
      </w:r>
      <w:r>
        <w:rPr>
          <w:rFonts w:hint="eastAsia"/>
          <w:color w:val="FF0000"/>
          <w:kern w:val="0"/>
          <w:u w:val="single"/>
        </w:rPr>
        <w:t>”工艺的600</w:t>
      </w:r>
      <w:r>
        <w:rPr>
          <w:color w:val="FF0000"/>
          <w:kern w:val="0"/>
          <w:u w:val="single"/>
        </w:rPr>
        <w:t xml:space="preserve">t/d </w:t>
      </w:r>
      <w:r>
        <w:rPr>
          <w:rFonts w:hint="eastAsia"/>
          <w:color w:val="FF0000"/>
          <w:kern w:val="0"/>
          <w:u w:val="single"/>
        </w:rPr>
        <w:t>粪污处理系统处理废水，处理后交由</w:t>
      </w:r>
      <w:r>
        <w:rPr>
          <w:rFonts w:hint="eastAsia" w:cs="Times New Roman"/>
          <w:color w:val="FF0000"/>
          <w:u w:val="single"/>
        </w:rPr>
        <w:t>衡阳县喜耕田有机肥厂回收处理</w:t>
      </w:r>
      <w:r>
        <w:rPr>
          <w:rFonts w:hint="eastAsia"/>
          <w:color w:val="FF0000"/>
          <w:kern w:val="0"/>
          <w:u w:val="single"/>
        </w:rPr>
        <w:t>，不外排。</w:t>
      </w:r>
    </w:p>
    <w:p>
      <w:pPr>
        <w:pStyle w:val="3"/>
        <w:ind w:firstLine="0" w:firstLineChars="0"/>
        <w:outlineLvl w:val="3"/>
        <w:rPr>
          <w:rFonts w:eastAsia="黑体" w:cstheme="majorBidi"/>
          <w:bCs/>
          <w:color w:val="FF0000"/>
          <w:szCs w:val="32"/>
          <w:u w:val="single"/>
        </w:rPr>
      </w:pPr>
      <w:r>
        <w:rPr>
          <w:rFonts w:hint="eastAsia" w:eastAsia="黑体" w:cstheme="majorBidi"/>
          <w:bCs/>
          <w:color w:val="FF0000"/>
          <w:szCs w:val="32"/>
          <w:u w:val="single"/>
        </w:rPr>
        <w:t>8.2.2.2</w:t>
      </w:r>
      <w:r>
        <w:rPr>
          <w:rFonts w:hint="eastAsia" w:eastAsia="黑体" w:cstheme="majorBidi"/>
          <w:bCs/>
          <w:color w:val="FF0000"/>
          <w:szCs w:val="32"/>
          <w:u w:val="single"/>
        </w:rPr>
        <w:tab/>
      </w:r>
      <w:r>
        <w:rPr>
          <w:rFonts w:hint="eastAsia" w:eastAsia="黑体" w:cstheme="majorBidi"/>
          <w:bCs/>
          <w:color w:val="FF0000"/>
          <w:szCs w:val="32"/>
          <w:u w:val="single"/>
        </w:rPr>
        <w:t>废水组成特点</w:t>
      </w:r>
    </w:p>
    <w:p>
      <w:pPr>
        <w:pStyle w:val="3"/>
        <w:ind w:firstLine="480"/>
        <w:rPr>
          <w:color w:val="FF0000"/>
          <w:kern w:val="0"/>
          <w:u w:val="single"/>
        </w:rPr>
      </w:pPr>
      <w:r>
        <w:rPr>
          <w:rFonts w:hint="eastAsia"/>
          <w:color w:val="FF0000"/>
          <w:kern w:val="0"/>
          <w:u w:val="single"/>
        </w:rPr>
        <w:t>本项目废水主要来源为屠宰过程清洗废水、清洗内脏废水、设备清洗废水、车间地面清洗废水等。废水</w:t>
      </w:r>
      <w:r>
        <w:rPr>
          <w:color w:val="FF0000"/>
          <w:kern w:val="0"/>
          <w:u w:val="single"/>
        </w:rPr>
        <w:t>COD</w:t>
      </w:r>
      <w:r>
        <w:rPr>
          <w:rFonts w:hint="eastAsia"/>
          <w:color w:val="FF0000"/>
          <w:kern w:val="0"/>
          <w:u w:val="single"/>
        </w:rPr>
        <w:t>、</w:t>
      </w:r>
      <w:r>
        <w:rPr>
          <w:color w:val="FF0000"/>
          <w:kern w:val="0"/>
          <w:u w:val="single"/>
        </w:rPr>
        <w:t>BOD</w:t>
      </w:r>
      <w:r>
        <w:rPr>
          <w:color w:val="FF0000"/>
          <w:kern w:val="0"/>
          <w:u w:val="single"/>
          <w:vertAlign w:val="subscript"/>
        </w:rPr>
        <w:t>5</w:t>
      </w:r>
      <w:r>
        <w:rPr>
          <w:rFonts w:hint="eastAsia"/>
          <w:color w:val="FF0000"/>
          <w:kern w:val="0"/>
          <w:u w:val="single"/>
        </w:rPr>
        <w:t>、</w:t>
      </w:r>
      <w:r>
        <w:rPr>
          <w:color w:val="FF0000"/>
          <w:kern w:val="0"/>
          <w:u w:val="single"/>
        </w:rPr>
        <w:t>NH</w:t>
      </w:r>
      <w:r>
        <w:rPr>
          <w:color w:val="FF0000"/>
          <w:kern w:val="0"/>
          <w:u w:val="single"/>
          <w:vertAlign w:val="subscript"/>
        </w:rPr>
        <w:t>3</w:t>
      </w:r>
      <w:r>
        <w:rPr>
          <w:color w:val="FF0000"/>
          <w:kern w:val="0"/>
          <w:u w:val="single"/>
        </w:rPr>
        <w:t>-N</w:t>
      </w:r>
      <w:r>
        <w:rPr>
          <w:rFonts w:hint="eastAsia"/>
          <w:color w:val="FF0000"/>
          <w:kern w:val="0"/>
          <w:u w:val="single"/>
        </w:rPr>
        <w:t>、油脂、</w:t>
      </w:r>
      <w:r>
        <w:rPr>
          <w:color w:val="FF0000"/>
          <w:kern w:val="0"/>
          <w:u w:val="single"/>
        </w:rPr>
        <w:t xml:space="preserve">SS </w:t>
      </w:r>
      <w:r>
        <w:rPr>
          <w:rFonts w:hint="eastAsia"/>
          <w:color w:val="FF0000"/>
          <w:kern w:val="0"/>
          <w:u w:val="single"/>
        </w:rPr>
        <w:t>都较高，属于中等浓度有机废水。屠宰场生产废水具有以下特点：</w:t>
      </w:r>
    </w:p>
    <w:p>
      <w:pPr>
        <w:pStyle w:val="3"/>
        <w:ind w:firstLine="480"/>
        <w:rPr>
          <w:color w:val="FF0000"/>
          <w:kern w:val="0"/>
          <w:u w:val="single"/>
        </w:rPr>
      </w:pPr>
      <w:r>
        <w:rPr>
          <w:rFonts w:hint="eastAsia"/>
          <w:color w:val="FF0000"/>
          <w:kern w:val="0"/>
          <w:u w:val="single"/>
        </w:rPr>
        <w:t>（1）水质、水量在一天内的变化比较大。因为屠宰过程集中在</w:t>
      </w:r>
      <w:r>
        <w:rPr>
          <w:color w:val="FF0000"/>
          <w:kern w:val="0"/>
          <w:u w:val="single"/>
        </w:rPr>
        <w:t xml:space="preserve">00:00~03:00 </w:t>
      </w:r>
      <w:r>
        <w:rPr>
          <w:rFonts w:hint="eastAsia"/>
          <w:color w:val="FF0000"/>
          <w:kern w:val="0"/>
          <w:u w:val="single"/>
        </w:rPr>
        <w:t>，</w:t>
      </w:r>
      <w:r>
        <w:rPr>
          <w:color w:val="FF0000"/>
          <w:kern w:val="0"/>
          <w:u w:val="single"/>
        </w:rPr>
        <w:t>12:00~15:00</w:t>
      </w:r>
      <w:r>
        <w:rPr>
          <w:rFonts w:hint="eastAsia"/>
          <w:color w:val="FF0000"/>
          <w:kern w:val="0"/>
          <w:u w:val="single"/>
        </w:rPr>
        <w:t>，其他时间短较少。</w:t>
      </w:r>
    </w:p>
    <w:p>
      <w:pPr>
        <w:pStyle w:val="3"/>
        <w:ind w:firstLine="480"/>
        <w:rPr>
          <w:color w:val="FF0000"/>
          <w:kern w:val="0"/>
          <w:u w:val="single"/>
        </w:rPr>
      </w:pPr>
      <w:r>
        <w:rPr>
          <w:rFonts w:hint="eastAsia"/>
          <w:color w:val="FF0000"/>
          <w:kern w:val="0"/>
          <w:u w:val="single"/>
        </w:rPr>
        <w:t>（2）有机污染物含量高。废水主要成分有动物血污、油脂、粪便和内脏残屑类等。</w:t>
      </w:r>
    </w:p>
    <w:p>
      <w:pPr>
        <w:pStyle w:val="3"/>
        <w:ind w:firstLine="480"/>
        <w:rPr>
          <w:color w:val="FF0000"/>
          <w:kern w:val="0"/>
          <w:u w:val="single"/>
        </w:rPr>
      </w:pPr>
      <w:r>
        <w:rPr>
          <w:rFonts w:hint="eastAsia"/>
          <w:color w:val="FF0000"/>
          <w:kern w:val="0"/>
          <w:u w:val="single"/>
        </w:rPr>
        <w:t>（3）可生化性较好；</w:t>
      </w:r>
    </w:p>
    <w:p>
      <w:pPr>
        <w:pStyle w:val="3"/>
        <w:ind w:firstLine="480"/>
        <w:rPr>
          <w:color w:val="FF0000"/>
          <w:kern w:val="0"/>
          <w:u w:val="single"/>
        </w:rPr>
      </w:pPr>
      <w:r>
        <w:rPr>
          <w:rFonts w:hint="eastAsia"/>
          <w:color w:val="FF0000"/>
          <w:kern w:val="0"/>
          <w:u w:val="single"/>
        </w:rPr>
        <w:t>（4）废水中会含有大量的毛、肉屑和食物残渣等，悬浮物含量高。</w:t>
      </w:r>
    </w:p>
    <w:p>
      <w:pPr>
        <w:pStyle w:val="3"/>
        <w:ind w:firstLine="0" w:firstLineChars="0"/>
        <w:outlineLvl w:val="3"/>
        <w:rPr>
          <w:rFonts w:eastAsia="黑体" w:cstheme="majorBidi"/>
          <w:bCs/>
          <w:color w:val="FF0000"/>
          <w:szCs w:val="32"/>
          <w:u w:val="single"/>
        </w:rPr>
      </w:pPr>
      <w:r>
        <w:rPr>
          <w:rFonts w:hint="eastAsia" w:eastAsia="黑体" w:cstheme="majorBidi"/>
          <w:bCs/>
          <w:color w:val="FF0000"/>
          <w:szCs w:val="32"/>
          <w:u w:val="single"/>
        </w:rPr>
        <w:t>8.2.2.3</w:t>
      </w:r>
      <w:r>
        <w:rPr>
          <w:rFonts w:hint="eastAsia" w:eastAsia="黑体" w:cstheme="majorBidi"/>
          <w:bCs/>
          <w:color w:val="FF0000"/>
          <w:szCs w:val="32"/>
          <w:u w:val="single"/>
        </w:rPr>
        <w:tab/>
      </w:r>
      <w:r>
        <w:rPr>
          <w:rFonts w:hint="eastAsia" w:eastAsia="黑体" w:cstheme="majorBidi"/>
          <w:bCs/>
          <w:color w:val="FF0000"/>
          <w:szCs w:val="32"/>
          <w:u w:val="single"/>
        </w:rPr>
        <w:t>废水处理工艺</w:t>
      </w:r>
    </w:p>
    <w:p>
      <w:pPr>
        <w:pStyle w:val="3"/>
        <w:ind w:firstLine="480"/>
        <w:rPr>
          <w:color w:val="FF0000"/>
          <w:kern w:val="0"/>
          <w:u w:val="single"/>
        </w:rPr>
      </w:pPr>
    </w:p>
    <w:p>
      <w:pPr>
        <w:pStyle w:val="3"/>
        <w:spacing w:line="240" w:lineRule="auto"/>
        <w:ind w:firstLine="0" w:firstLineChars="0"/>
        <w:jc w:val="center"/>
        <w:rPr>
          <w:color w:val="FF0000"/>
          <w:u w:val="single"/>
        </w:rPr>
      </w:pPr>
      <w:r>
        <w:object>
          <v:shape id="_x0000_i1036" o:spt="75" type="#_x0000_t75" style="height:240.75pt;width:447.75pt;" o:ole="t" filled="f" o:preferrelative="t" stroked="f" coordsize="21600,21600">
            <v:path/>
            <v:fill on="f" focussize="0,0"/>
            <v:stroke on="f" joinstyle="miter"/>
            <v:imagedata r:id="rId43" o:title=""/>
            <o:lock v:ext="edit" aspectratio="t"/>
            <w10:wrap type="none"/>
            <w10:anchorlock/>
          </v:shape>
          <o:OLEObject Type="Embed" ProgID="Visio.Drawing.11" ShapeID="_x0000_i1036" DrawAspect="Content" ObjectID="_1468075736" r:id="rId42">
            <o:LockedField>false</o:LockedField>
          </o:OLEObject>
        </w:object>
      </w:r>
    </w:p>
    <w:p>
      <w:pPr>
        <w:pStyle w:val="3"/>
        <w:spacing w:line="240" w:lineRule="auto"/>
        <w:ind w:firstLine="0" w:firstLineChars="0"/>
        <w:jc w:val="center"/>
        <w:rPr>
          <w:color w:val="FF0000"/>
          <w:kern w:val="0"/>
          <w:u w:val="single"/>
        </w:rPr>
      </w:pPr>
      <w:r>
        <w:rPr>
          <w:rFonts w:hint="eastAsia" w:cs="Times New Roman" w:eastAsiaTheme="minorEastAsia"/>
          <w:b/>
          <w:color w:val="FF0000"/>
          <w:u w:val="single"/>
        </w:rPr>
        <w:t xml:space="preserve">图8.2-2 </w:t>
      </w:r>
      <w:r>
        <w:rPr>
          <w:rFonts w:cs="Times New Roman" w:eastAsiaTheme="minorEastAsia"/>
          <w:b/>
          <w:color w:val="FF0000"/>
          <w:u w:val="single"/>
        </w:rPr>
        <w:t xml:space="preserve"> </w:t>
      </w:r>
      <w:r>
        <w:rPr>
          <w:rFonts w:hint="eastAsia" w:cs="Times New Roman" w:eastAsiaTheme="minorEastAsia"/>
          <w:b/>
          <w:color w:val="FF0000"/>
          <w:u w:val="single"/>
        </w:rPr>
        <w:t>粪污处理系统工艺图</w:t>
      </w:r>
    </w:p>
    <w:p>
      <w:pPr>
        <w:pStyle w:val="3"/>
        <w:ind w:firstLine="480"/>
        <w:rPr>
          <w:color w:val="FF0000"/>
          <w:kern w:val="0"/>
          <w:u w:val="single"/>
        </w:rPr>
      </w:pPr>
      <w:r>
        <w:rPr>
          <w:rFonts w:hint="eastAsia"/>
          <w:color w:val="FF0000"/>
          <w:kern w:val="0"/>
          <w:u w:val="single"/>
        </w:rPr>
        <w:t>工艺流程描述如下：</w:t>
      </w:r>
    </w:p>
    <w:p>
      <w:pPr>
        <w:pStyle w:val="3"/>
        <w:ind w:firstLine="480"/>
        <w:rPr>
          <w:color w:val="FF0000"/>
          <w:kern w:val="0"/>
          <w:u w:val="single"/>
        </w:rPr>
      </w:pPr>
      <w:r>
        <w:rPr>
          <w:rFonts w:hint="eastAsia"/>
          <w:color w:val="FF0000"/>
          <w:kern w:val="0"/>
          <w:u w:val="single"/>
        </w:rPr>
        <w:t>废水汇集后，首先流入格栅池脏物被格栅、格网阻挡清除后，废水流入隔油沉淀池，沉淀去除废水中大颗粒可沉淀的物质。经沉淀后经沉淀后再流入调节池，经调节池匀质后再用泵提升到固液分离池，经固液分离池分离，其中污水进入沼气池，在沼气池中去除污水中绝大部分的有机污染物，厌氧去除大部分污染物</w:t>
      </w:r>
      <w:r>
        <w:rPr>
          <w:color w:val="FF0000"/>
          <w:kern w:val="0"/>
          <w:u w:val="single"/>
        </w:rPr>
        <w:t>CODcr</w:t>
      </w:r>
      <w:r>
        <w:rPr>
          <w:rFonts w:hint="eastAsia"/>
          <w:color w:val="FF0000"/>
          <w:kern w:val="0"/>
          <w:u w:val="single"/>
        </w:rPr>
        <w:t>，在沼气池中在进行沼液、沼渣分离。分离出的沼液再流入沉淀池沉淀，沉淀后进一步去除了沼液中的杂质，余下的沼液富含肥力，通过消毒杀菌除臭处理后，</w:t>
      </w:r>
      <w:r>
        <w:rPr>
          <w:rFonts w:hint="eastAsia" w:cs="Times New Roman"/>
          <w:color w:val="FF0000"/>
          <w:u w:val="single"/>
        </w:rPr>
        <w:t>交衡阳县喜耕田有机肥厂回收处理</w:t>
      </w:r>
      <w:r>
        <w:rPr>
          <w:rFonts w:hint="eastAsia"/>
          <w:color w:val="FF0000"/>
          <w:kern w:val="0"/>
          <w:u w:val="single"/>
        </w:rPr>
        <w:t>。</w:t>
      </w:r>
    </w:p>
    <w:p>
      <w:pPr>
        <w:pStyle w:val="3"/>
        <w:ind w:firstLine="480"/>
        <w:rPr>
          <w:color w:val="FF0000"/>
          <w:kern w:val="0"/>
          <w:u w:val="single"/>
        </w:rPr>
      </w:pPr>
      <w:r>
        <w:rPr>
          <w:rFonts w:hint="eastAsia"/>
          <w:color w:val="FF0000"/>
          <w:kern w:val="0"/>
          <w:u w:val="single"/>
        </w:rPr>
        <w:t>粪污处理中格栅、隔油池产生的栅渣收集后交由有能力处置单位回收，后续工艺中固液分离产生的粪渣、沼渣作为有机肥</w:t>
      </w:r>
      <w:r>
        <w:rPr>
          <w:rFonts w:hint="eastAsia" w:cs="Times New Roman"/>
          <w:color w:val="FF0000"/>
          <w:u w:val="single"/>
        </w:rPr>
        <w:t>交衡阳县喜耕田有机肥厂回收处理</w:t>
      </w:r>
      <w:r>
        <w:rPr>
          <w:rFonts w:hint="eastAsia"/>
          <w:color w:val="FF0000"/>
          <w:kern w:val="0"/>
          <w:u w:val="single"/>
        </w:rPr>
        <w:t>。</w:t>
      </w:r>
    </w:p>
    <w:p>
      <w:pPr>
        <w:pStyle w:val="3"/>
        <w:ind w:firstLine="0" w:firstLineChars="0"/>
        <w:outlineLvl w:val="3"/>
        <w:rPr>
          <w:rFonts w:eastAsia="黑体" w:cstheme="majorBidi"/>
          <w:bCs/>
          <w:color w:val="FF0000"/>
          <w:szCs w:val="32"/>
          <w:u w:val="single"/>
        </w:rPr>
      </w:pPr>
      <w:r>
        <w:rPr>
          <w:rFonts w:hint="eastAsia" w:eastAsia="黑体" w:cstheme="majorBidi"/>
          <w:bCs/>
          <w:color w:val="FF0000"/>
          <w:szCs w:val="32"/>
          <w:u w:val="single"/>
        </w:rPr>
        <w:t>8.2.2.4</w:t>
      </w:r>
      <w:r>
        <w:rPr>
          <w:rFonts w:hint="eastAsia" w:eastAsia="黑体" w:cstheme="majorBidi"/>
          <w:bCs/>
          <w:color w:val="FF0000"/>
          <w:szCs w:val="32"/>
          <w:u w:val="single"/>
        </w:rPr>
        <w:tab/>
      </w:r>
      <w:r>
        <w:rPr>
          <w:rFonts w:hint="eastAsia" w:eastAsia="黑体" w:cstheme="majorBidi"/>
          <w:bCs/>
          <w:color w:val="FF0000"/>
          <w:szCs w:val="32"/>
          <w:u w:val="single"/>
        </w:rPr>
        <w:t>废水处理效率及可行性分析</w:t>
      </w:r>
    </w:p>
    <w:p>
      <w:pPr>
        <w:pStyle w:val="3"/>
        <w:ind w:firstLine="480"/>
        <w:rPr>
          <w:color w:val="FF0000"/>
          <w:kern w:val="0"/>
          <w:u w:val="single"/>
        </w:rPr>
      </w:pPr>
      <w:r>
        <w:rPr>
          <w:rFonts w:hint="eastAsia"/>
          <w:color w:val="FF0000"/>
          <w:kern w:val="0"/>
          <w:u w:val="single"/>
        </w:rPr>
        <w:t>根据提供的设计方案，项目粪污处理系统对各类污染物的预计去除效率见下表。</w:t>
      </w:r>
    </w:p>
    <w:p>
      <w:pPr>
        <w:pStyle w:val="3"/>
        <w:spacing w:line="240" w:lineRule="auto"/>
        <w:ind w:firstLine="0" w:firstLineChars="0"/>
        <w:jc w:val="center"/>
        <w:rPr>
          <w:color w:val="FF0000"/>
          <w:kern w:val="0"/>
          <w:u w:val="single"/>
        </w:rPr>
      </w:pPr>
      <w:r>
        <w:rPr>
          <w:rFonts w:hint="eastAsia" w:cs="Times New Roman" w:eastAsiaTheme="minorEastAsia"/>
          <w:b/>
          <w:color w:val="FF0000"/>
          <w:u w:val="single"/>
        </w:rPr>
        <w:t xml:space="preserve">图8.2-4 </w:t>
      </w:r>
      <w:r>
        <w:rPr>
          <w:rFonts w:cs="Times New Roman" w:eastAsiaTheme="minorEastAsia"/>
          <w:b/>
          <w:color w:val="FF0000"/>
          <w:u w:val="single"/>
        </w:rPr>
        <w:t xml:space="preserve"> </w:t>
      </w:r>
      <w:r>
        <w:rPr>
          <w:rFonts w:hint="eastAsia" w:cs="Times New Roman" w:eastAsiaTheme="minorEastAsia"/>
          <w:b/>
          <w:color w:val="FF0000"/>
          <w:u w:val="single"/>
        </w:rPr>
        <w:t>项目粪污处理系统处理效率一览表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418"/>
        <w:gridCol w:w="951"/>
        <w:gridCol w:w="925"/>
        <w:gridCol w:w="899"/>
        <w:gridCol w:w="827"/>
        <w:gridCol w:w="827"/>
        <w:gridCol w:w="847"/>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废水类型</w:t>
            </w:r>
          </w:p>
        </w:tc>
        <w:tc>
          <w:tcPr>
            <w:tcW w:w="1418"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分析项</w:t>
            </w:r>
          </w:p>
        </w:tc>
        <w:tc>
          <w:tcPr>
            <w:tcW w:w="6103" w:type="dxa"/>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Merge w:val="continue"/>
            <w:vAlign w:val="center"/>
          </w:tcPr>
          <w:p>
            <w:pPr>
              <w:jc w:val="center"/>
              <w:rPr>
                <w:rFonts w:ascii="Times New Roman" w:hAnsi="Times New Roman" w:cs="Times New Roman"/>
                <w:color w:val="FF0000"/>
                <w:kern w:val="0"/>
                <w:u w:val="single"/>
              </w:rPr>
            </w:pP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COD</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BOD</w:t>
            </w:r>
            <w:r>
              <w:rPr>
                <w:rFonts w:ascii="Times New Roman" w:hAnsi="Times New Roman" w:cs="Times New Roman"/>
                <w:color w:val="FF0000"/>
                <w:kern w:val="0"/>
                <w:u w:val="single"/>
                <w:vertAlign w:val="subscript"/>
              </w:rPr>
              <w:t>5</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氨氮</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总磷</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总氮</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SS</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restart"/>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生产废水</w:t>
            </w:r>
          </w:p>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r>
              <w:rPr>
                <w:rFonts w:ascii="Times New Roman" w:hAnsi="Times New Roman" w:cs="Times New Roman"/>
                <w:color w:val="FF0000"/>
                <w:u w:val="single"/>
              </w:rPr>
              <w:t>167450m</w:t>
            </w:r>
            <w:r>
              <w:rPr>
                <w:rFonts w:ascii="Times New Roman" w:hAnsi="Times New Roman" w:cs="Times New Roman"/>
                <w:color w:val="FF0000"/>
                <w:u w:val="single"/>
                <w:vertAlign w:val="superscript"/>
              </w:rPr>
              <w:t>3</w:t>
            </w:r>
            <w:r>
              <w:rPr>
                <w:rFonts w:ascii="Times New Roman" w:hAnsi="Times New Roman" w:cs="Times New Roman"/>
                <w:color w:val="FF0000"/>
                <w:u w:val="single"/>
              </w:rPr>
              <w:t>/a</w:t>
            </w:r>
            <w:r>
              <w:rPr>
                <w:rFonts w:ascii="Times New Roman" w:hAnsi="Times New Roman" w:cs="Times New Roman"/>
                <w:color w:val="FF0000"/>
                <w:kern w:val="0"/>
                <w:u w:val="single"/>
              </w:rPr>
              <w:t>）</w:t>
            </w: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2000</w:t>
            </w:r>
          </w:p>
        </w:tc>
        <w:tc>
          <w:tcPr>
            <w:tcW w:w="925" w:type="dxa"/>
            <w:vAlign w:val="center"/>
          </w:tcPr>
          <w:p>
            <w:pPr>
              <w:jc w:val="center"/>
              <w:rPr>
                <w:rFonts w:ascii="Times New Roman" w:hAnsi="Times New Roman" w:cs="Times New Roman"/>
                <w:color w:val="FF0000"/>
                <w:kern w:val="0"/>
                <w:u w:val="single"/>
              </w:rPr>
            </w:pPr>
            <w:r>
              <w:rPr>
                <w:rFonts w:hint="eastAsia" w:ascii="Times New Roman" w:hAnsi="Times New Roman" w:cs="Times New Roman"/>
                <w:color w:val="FF0000"/>
                <w:kern w:val="0"/>
                <w:u w:val="single"/>
              </w:rPr>
              <w:t>760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7.15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176</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产生量t/a</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127.26</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25.12</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29.47</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167.45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治理措施</w:t>
            </w:r>
          </w:p>
        </w:tc>
        <w:tc>
          <w:tcPr>
            <w:tcW w:w="6103" w:type="dxa"/>
            <w:gridSpan w:val="7"/>
            <w:vAlign w:val="center"/>
          </w:tcPr>
          <w:p>
            <w:pPr>
              <w:jc w:val="center"/>
              <w:rPr>
                <w:rFonts w:ascii="Times New Roman" w:hAnsi="Times New Roman" w:cs="Times New Roman"/>
                <w:color w:val="FF0000"/>
                <w:kern w:val="0"/>
                <w:u w:val="single"/>
              </w:rPr>
            </w:pPr>
            <w:r>
              <w:rPr>
                <w:rFonts w:ascii="Times New Roman" w:hAnsi="Times New Roman" w:cs="Times New Roman"/>
                <w:color w:val="FF0000"/>
                <w:u w:val="single"/>
              </w:rPr>
              <w:t>粪污处理系统（处理工艺：</w:t>
            </w:r>
            <w:r>
              <w:rPr>
                <w:rFonts w:hint="eastAsia" w:ascii="Times New Roman" w:hAnsi="Times New Roman" w:cs="Times New Roman"/>
                <w:color w:val="FF0000"/>
                <w:u w:val="single"/>
              </w:rPr>
              <w:t>隔栅→粪污调节池→固液分离→污水→沼气池→三级曝气沉淀池→杀菌除臭</w:t>
            </w:r>
            <w:r>
              <w:rPr>
                <w:rFonts w:ascii="Times New Roman" w:hAnsi="Times New Roman" w:cs="Times New Roman"/>
                <w:color w:val="FF0000"/>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处理效率</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95%</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95%</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95%</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排放浓度mg/L</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120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6.44</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158.4</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50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排放量t/a</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16.75</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8.37</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20.10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1.08</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26.52</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8.37</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2" w:type="dxa"/>
            <w:vMerge w:val="continue"/>
            <w:vAlign w:val="center"/>
          </w:tcPr>
          <w:p>
            <w:pPr>
              <w:jc w:val="center"/>
              <w:rPr>
                <w:rFonts w:ascii="Times New Roman" w:hAnsi="Times New Roman" w:cs="Times New Roman"/>
                <w:color w:val="FF0000"/>
                <w:kern w:val="0"/>
                <w:u w:val="single"/>
              </w:rPr>
            </w:pPr>
          </w:p>
        </w:tc>
        <w:tc>
          <w:tcPr>
            <w:tcW w:w="1418"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GB5084-2005</w:t>
            </w:r>
          </w:p>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旱作标准</w:t>
            </w:r>
          </w:p>
        </w:tc>
        <w:tc>
          <w:tcPr>
            <w:tcW w:w="951"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≤200</w:t>
            </w:r>
          </w:p>
        </w:tc>
        <w:tc>
          <w:tcPr>
            <w:tcW w:w="925"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899"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c>
          <w:tcPr>
            <w:tcW w:w="84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≤100</w:t>
            </w:r>
          </w:p>
        </w:tc>
        <w:tc>
          <w:tcPr>
            <w:tcW w:w="827" w:type="dxa"/>
            <w:vAlign w:val="center"/>
          </w:tcPr>
          <w:p>
            <w:pPr>
              <w:jc w:val="center"/>
              <w:rPr>
                <w:rFonts w:ascii="Times New Roman" w:hAnsi="Times New Roman" w:cs="Times New Roman"/>
                <w:color w:val="FF0000"/>
                <w:kern w:val="0"/>
                <w:u w:val="single"/>
              </w:rPr>
            </w:pPr>
            <w:r>
              <w:rPr>
                <w:rFonts w:ascii="Times New Roman" w:hAnsi="Times New Roman" w:cs="Times New Roman"/>
                <w:color w:val="FF0000"/>
                <w:kern w:val="0"/>
                <w:u w:val="single"/>
              </w:rPr>
              <w:t>/</w:t>
            </w:r>
          </w:p>
        </w:tc>
      </w:tr>
    </w:tbl>
    <w:p>
      <w:pPr>
        <w:pStyle w:val="3"/>
        <w:ind w:firstLine="480"/>
        <w:rPr>
          <w:color w:val="FF0000"/>
          <w:kern w:val="0"/>
          <w:u w:val="single"/>
        </w:rPr>
      </w:pPr>
      <w:r>
        <w:rPr>
          <w:rFonts w:hint="eastAsia"/>
          <w:color w:val="FF0000"/>
          <w:kern w:val="0"/>
          <w:u w:val="single"/>
        </w:rPr>
        <w:t>根据《屠宰与肉类加工废水治理工程技术规范》（HJ2004-2010）知：屠宰与肉类加工废水处理应采用生化处理为主、物化处理为辅的阻隔处理工艺，并按照国家相关政策要求，因地制宜考虑废水深度处理后再用。</w:t>
      </w:r>
    </w:p>
    <w:p>
      <w:pPr>
        <w:pStyle w:val="3"/>
        <w:ind w:firstLine="480"/>
        <w:rPr>
          <w:color w:val="FF0000"/>
          <w:u w:val="single"/>
        </w:rPr>
      </w:pPr>
      <w:r>
        <w:rPr>
          <w:rFonts w:hint="eastAsia"/>
          <w:color w:val="FF0000"/>
          <w:kern w:val="0"/>
          <w:u w:val="single"/>
        </w:rPr>
        <w:t>本项目粪污处理工艺方案依照“农办农【2021】10号”文件设计，针对屠宰废水污染物的特点，处理工艺在保证生产废水经处理后出水中各污染物浓度均能达到</w:t>
      </w:r>
      <w:r>
        <w:rPr>
          <w:rFonts w:hint="eastAsia"/>
          <w:color w:val="FF0000"/>
          <w:u w:val="single"/>
        </w:rPr>
        <w:t>《农田灌溉水质标准》（GB5084-2021）旱作标准要求同时，保障了氨氮、总磷、总氮的含量，确保了沼液的肥力，经过处理的沼液、沼渣交由衡阳县喜耕田有机肥厂回收处理。</w:t>
      </w:r>
    </w:p>
    <w:p>
      <w:pPr>
        <w:pStyle w:val="3"/>
        <w:ind w:firstLine="480"/>
        <w:rPr>
          <w:color w:val="FF0000"/>
          <w:u w:val="single"/>
        </w:rPr>
      </w:pPr>
      <w:r>
        <w:rPr>
          <w:rFonts w:hint="eastAsia"/>
          <w:color w:val="FF0000"/>
          <w:u w:val="single"/>
        </w:rPr>
        <w:t>综上所述</w:t>
      </w:r>
      <w:r>
        <w:rPr>
          <w:color w:val="FF0000"/>
          <w:u w:val="single"/>
        </w:rPr>
        <w:t>，</w:t>
      </w:r>
      <w:r>
        <w:rPr>
          <w:rFonts w:hint="eastAsia"/>
          <w:color w:val="FF0000"/>
          <w:u w:val="single"/>
        </w:rPr>
        <w:t>废水</w:t>
      </w:r>
      <w:r>
        <w:rPr>
          <w:color w:val="FF0000"/>
          <w:u w:val="single"/>
        </w:rPr>
        <w:t>经</w:t>
      </w:r>
      <w:r>
        <w:rPr>
          <w:rFonts w:hint="eastAsia"/>
          <w:color w:val="FF0000"/>
          <w:u w:val="single"/>
        </w:rPr>
        <w:t>粪污处理系统</w:t>
      </w:r>
      <w:r>
        <w:rPr>
          <w:color w:val="FF0000"/>
          <w:u w:val="single"/>
        </w:rPr>
        <w:t>处理从技术是可行的。</w:t>
      </w:r>
    </w:p>
    <w:p>
      <w:pPr>
        <w:pStyle w:val="3"/>
        <w:ind w:firstLine="0" w:firstLineChars="0"/>
        <w:outlineLvl w:val="3"/>
        <w:rPr>
          <w:rFonts w:eastAsia="黑体" w:cstheme="majorBidi"/>
          <w:bCs/>
          <w:szCs w:val="32"/>
        </w:rPr>
      </w:pPr>
      <w:r>
        <w:rPr>
          <w:rFonts w:hint="eastAsia" w:eastAsia="黑体" w:cstheme="majorBidi"/>
          <w:bCs/>
          <w:szCs w:val="32"/>
        </w:rPr>
        <w:t>8.2.2.5</w:t>
      </w:r>
      <w:r>
        <w:rPr>
          <w:rFonts w:hint="eastAsia" w:eastAsia="黑体" w:cstheme="majorBidi"/>
          <w:bCs/>
          <w:szCs w:val="32"/>
        </w:rPr>
        <w:tab/>
      </w:r>
      <w:r>
        <w:rPr>
          <w:rFonts w:hint="eastAsia" w:eastAsia="黑体" w:cstheme="majorBidi"/>
          <w:bCs/>
          <w:szCs w:val="32"/>
        </w:rPr>
        <w:t>废水排放达标分析</w:t>
      </w:r>
    </w:p>
    <w:p>
      <w:pPr>
        <w:pStyle w:val="3"/>
        <w:ind w:firstLine="480"/>
        <w:rPr>
          <w:kern w:val="0"/>
        </w:rPr>
      </w:pPr>
      <w:r>
        <w:rPr>
          <w:kern w:val="0"/>
        </w:rPr>
        <w:t>根据</w:t>
      </w:r>
      <w:r>
        <w:rPr>
          <w:rFonts w:hint="eastAsia"/>
          <w:kern w:val="0"/>
        </w:rPr>
        <w:t>上述</w:t>
      </w:r>
      <w:r>
        <w:rPr>
          <w:kern w:val="0"/>
        </w:rPr>
        <w:t>，项目生活污水经</w:t>
      </w:r>
      <w:r>
        <w:rPr>
          <w:rFonts w:hint="eastAsia"/>
        </w:rPr>
        <w:t>隔油池+三级</w:t>
      </w:r>
      <w:r>
        <w:rPr>
          <w:kern w:val="0"/>
        </w:rPr>
        <w:t>化粪池处理后用于周边农田灌溉，不外排；屠宰废水经新建</w:t>
      </w:r>
      <w:r>
        <w:rPr>
          <w:rFonts w:hint="eastAsia"/>
          <w:kern w:val="0"/>
        </w:rPr>
        <w:t>粪污处系统“</w:t>
      </w:r>
      <w:r>
        <w:rPr>
          <w:rFonts w:hint="eastAsia" w:cs="Times New Roman"/>
        </w:rPr>
        <w:t>隔栅→粪污调节池→固液分离→污水→沼气池→三级曝气沉淀池→杀菌除臭</w:t>
      </w:r>
      <w:r>
        <w:rPr>
          <w:rFonts w:hint="eastAsia"/>
          <w:kern w:val="0"/>
        </w:rPr>
        <w:t>”</w:t>
      </w:r>
      <w:r>
        <w:rPr>
          <w:kern w:val="0"/>
        </w:rPr>
        <w:t>处置，可达到</w:t>
      </w:r>
      <w:r>
        <w:rPr>
          <w:rFonts w:hint="eastAsia"/>
        </w:rPr>
        <w:t>《农田灌溉水质标准》（GB5084-2021）旱作标准要求</w:t>
      </w:r>
      <w:r>
        <w:rPr>
          <w:kern w:val="0"/>
        </w:rPr>
        <w:t>，</w:t>
      </w:r>
      <w:r>
        <w:rPr>
          <w:rFonts w:hint="eastAsia"/>
          <w:kern w:val="0"/>
        </w:rPr>
        <w:t>交衡阳县喜耕田有机肥厂回收处理，</w:t>
      </w:r>
      <w:r>
        <w:rPr>
          <w:kern w:val="0"/>
        </w:rPr>
        <w:t>不外排。</w:t>
      </w:r>
    </w:p>
    <w:p>
      <w:pPr>
        <w:pStyle w:val="3"/>
        <w:ind w:firstLine="480"/>
        <w:rPr>
          <w:kern w:val="0"/>
        </w:rPr>
      </w:pPr>
      <w:r>
        <w:rPr>
          <w:kern w:val="0"/>
        </w:rPr>
        <w:t>本项目年工作300天，不属于季节性生产的项目，不存在废水处理设施长期停运的情况。</w:t>
      </w:r>
    </w:p>
    <w:p>
      <w:pPr>
        <w:pStyle w:val="3"/>
        <w:ind w:firstLine="0" w:firstLineChars="0"/>
        <w:outlineLvl w:val="3"/>
        <w:rPr>
          <w:rFonts w:eastAsia="黑体" w:cstheme="majorBidi"/>
          <w:bCs/>
          <w:szCs w:val="32"/>
        </w:rPr>
      </w:pPr>
      <w:r>
        <w:rPr>
          <w:rFonts w:hint="eastAsia" w:eastAsia="黑体" w:cstheme="majorBidi"/>
          <w:bCs/>
          <w:szCs w:val="32"/>
        </w:rPr>
        <w:t>8.2.2.6</w:t>
      </w:r>
      <w:r>
        <w:rPr>
          <w:rFonts w:hint="eastAsia" w:eastAsia="黑体" w:cstheme="majorBidi"/>
          <w:bCs/>
          <w:szCs w:val="32"/>
        </w:rPr>
        <w:tab/>
      </w:r>
      <w:r>
        <w:rPr>
          <w:rFonts w:hint="eastAsia" w:eastAsia="黑体" w:cstheme="majorBidi"/>
          <w:bCs/>
          <w:szCs w:val="32"/>
        </w:rPr>
        <w:t>废水处理规模分析</w:t>
      </w:r>
    </w:p>
    <w:p>
      <w:pPr>
        <w:pStyle w:val="3"/>
        <w:ind w:firstLine="480"/>
        <w:rPr>
          <w:kern w:val="0"/>
        </w:rPr>
      </w:pPr>
      <w:r>
        <w:rPr>
          <w:rFonts w:hint="eastAsia"/>
        </w:rPr>
        <w:t>本项目粪污处理系统设计处理规模为</w:t>
      </w:r>
      <w:r>
        <w:t>600m</w:t>
      </w:r>
      <w:r>
        <w:rPr>
          <w:vertAlign w:val="superscript"/>
        </w:rPr>
        <w:t>3</w:t>
      </w:r>
      <w:r>
        <w:t>/d</w:t>
      </w:r>
      <w:r>
        <w:rPr>
          <w:rFonts w:hint="eastAsia"/>
        </w:rPr>
        <w:t>，日常废水产生量约为564.91</w:t>
      </w:r>
      <w:r>
        <w:t xml:space="preserve"> m</w:t>
      </w:r>
      <w:r>
        <w:rPr>
          <w:vertAlign w:val="superscript"/>
        </w:rPr>
        <w:t>3</w:t>
      </w:r>
      <w:r>
        <w:t>/d</w:t>
      </w:r>
      <w:r>
        <w:rPr>
          <w:rFonts w:hint="eastAsia"/>
        </w:rPr>
        <w:t>，污水处理站处理规模是合理的。</w:t>
      </w:r>
    </w:p>
    <w:p>
      <w:pPr>
        <w:pStyle w:val="3"/>
        <w:ind w:firstLine="0" w:firstLineChars="0"/>
        <w:outlineLvl w:val="3"/>
        <w:rPr>
          <w:rFonts w:eastAsia="黑体" w:cstheme="majorBidi"/>
          <w:bCs/>
          <w:szCs w:val="32"/>
        </w:rPr>
      </w:pPr>
      <w:r>
        <w:rPr>
          <w:rFonts w:hint="eastAsia" w:eastAsia="黑体" w:cstheme="majorBidi"/>
          <w:bCs/>
          <w:szCs w:val="32"/>
        </w:rPr>
        <w:t>8.2.2.7</w:t>
      </w:r>
      <w:r>
        <w:rPr>
          <w:rFonts w:hint="eastAsia" w:eastAsia="黑体" w:cstheme="majorBidi"/>
          <w:bCs/>
          <w:szCs w:val="32"/>
        </w:rPr>
        <w:tab/>
      </w:r>
      <w:r>
        <w:rPr>
          <w:rFonts w:hint="eastAsia" w:eastAsia="黑体" w:cstheme="majorBidi"/>
          <w:bCs/>
          <w:szCs w:val="32"/>
        </w:rPr>
        <w:t>废水治理措施经济可行性</w:t>
      </w:r>
    </w:p>
    <w:p>
      <w:pPr>
        <w:pStyle w:val="3"/>
        <w:ind w:firstLine="480"/>
        <w:rPr>
          <w:color w:val="FF0000"/>
          <w:kern w:val="0"/>
        </w:rPr>
        <w:sectPr>
          <w:pgSz w:w="11906" w:h="16838"/>
          <w:pgMar w:top="1474" w:right="1361" w:bottom="1474" w:left="1588" w:header="851" w:footer="992" w:gutter="0"/>
          <w:cols w:space="425" w:num="1"/>
          <w:docGrid w:type="lines" w:linePitch="312" w:charSpace="0"/>
        </w:sectPr>
      </w:pPr>
      <w:r>
        <w:rPr>
          <w:rFonts w:hint="eastAsia"/>
          <w:kern w:val="0"/>
        </w:rPr>
        <w:t>本项目废水治理措施投资约为144万元（包含生产废水及监测井的设置），占本项目总投资总额（1500万元）的9.6</w:t>
      </w:r>
      <w:r>
        <w:rPr>
          <w:kern w:val="0"/>
        </w:rPr>
        <w:t>%</w:t>
      </w:r>
      <w:r>
        <w:rPr>
          <w:rFonts w:hint="eastAsia"/>
          <w:kern w:val="0"/>
        </w:rPr>
        <w:t>，投资费用在建设单位可承受范围内，此外采用上述治理措施后可有效减少废水中的污染物同时保持水的肥力，交衡阳县喜耕田有机肥厂回收处理，产生较好的经济和环境效益。因此本项目废水治理措施在经济上是可行的。</w:t>
      </w:r>
    </w:p>
    <w:p>
      <w:pPr>
        <w:pStyle w:val="3"/>
        <w:ind w:firstLine="0" w:firstLineChars="0"/>
        <w:outlineLvl w:val="2"/>
      </w:pPr>
      <w:r>
        <w:rPr>
          <w:rFonts w:hint="eastAsia"/>
        </w:rPr>
        <w:t>8.2.3</w:t>
      </w:r>
      <w:r>
        <w:rPr>
          <w:rFonts w:hint="eastAsia"/>
        </w:rPr>
        <w:tab/>
      </w:r>
      <w:r>
        <w:rPr>
          <w:rFonts w:hint="eastAsia" w:eastAsia="黑体" w:cstheme="majorBidi"/>
          <w:bCs/>
          <w:szCs w:val="32"/>
        </w:rPr>
        <w:t>地下水环境保护措施及其可行性分析</w:t>
      </w:r>
    </w:p>
    <w:p>
      <w:pPr>
        <w:pStyle w:val="3"/>
        <w:ind w:firstLine="480"/>
        <w:rPr>
          <w:kern w:val="0"/>
        </w:rPr>
      </w:pPr>
      <w:r>
        <w:rPr>
          <w:rFonts w:hint="eastAsia"/>
          <w:kern w:val="0"/>
        </w:rPr>
        <w:t>污染防治措施首先应根据污染源分布调查结果和水文地质特点，提出布局优化的建议。生产车间装置根据《环境影响评价技术导则</w:t>
      </w:r>
      <w:r>
        <w:rPr>
          <w:kern w:val="0"/>
        </w:rPr>
        <w:t>-</w:t>
      </w:r>
      <w:r>
        <w:rPr>
          <w:rFonts w:hint="eastAsia"/>
          <w:kern w:val="0"/>
        </w:rPr>
        <w:t>地下水环境》（</w:t>
      </w:r>
      <w:r>
        <w:rPr>
          <w:kern w:val="0"/>
        </w:rPr>
        <w:t>HJ610-2016</w:t>
      </w:r>
      <w:r>
        <w:rPr>
          <w:rFonts w:hint="eastAsia"/>
          <w:kern w:val="0"/>
        </w:rPr>
        <w:t>）要求进行分区防渗，在地下水敏感地区应提标。提出加强地下水环境管理的对策、制定地下水环境长期监测计划和应急治理方案。</w:t>
      </w:r>
    </w:p>
    <w:p>
      <w:pPr>
        <w:pStyle w:val="3"/>
        <w:ind w:firstLine="0" w:firstLineChars="0"/>
        <w:outlineLvl w:val="3"/>
        <w:rPr>
          <w:rFonts w:eastAsia="黑体" w:cstheme="majorBidi"/>
          <w:bCs/>
          <w:szCs w:val="32"/>
        </w:rPr>
      </w:pPr>
      <w:r>
        <w:rPr>
          <w:rFonts w:hint="eastAsia" w:eastAsia="黑体" w:cstheme="majorBidi"/>
          <w:bCs/>
          <w:szCs w:val="32"/>
        </w:rPr>
        <w:t>8.2.3.1</w:t>
      </w:r>
      <w:r>
        <w:rPr>
          <w:rFonts w:hint="eastAsia" w:eastAsia="黑体" w:cstheme="majorBidi"/>
          <w:bCs/>
          <w:szCs w:val="32"/>
        </w:rPr>
        <w:tab/>
      </w:r>
      <w:r>
        <w:rPr>
          <w:rFonts w:hint="eastAsia" w:eastAsia="黑体" w:cstheme="majorBidi"/>
          <w:bCs/>
          <w:szCs w:val="32"/>
        </w:rPr>
        <w:t>污染源控制措施</w:t>
      </w:r>
    </w:p>
    <w:p>
      <w:pPr>
        <w:pStyle w:val="3"/>
        <w:ind w:firstLine="480"/>
        <w:rPr>
          <w:kern w:val="0"/>
        </w:rPr>
      </w:pPr>
      <w:r>
        <w:rPr>
          <w:rFonts w:hint="eastAsia"/>
          <w:kern w:val="0"/>
        </w:rPr>
        <w:t>本项目将选择先进、成熟、可靠的工艺技术和较清洁的原辅材料，对产生的废物进行合理的回用和治理，尽可能从源头上减少污染物排放；严格按照国家相关规范要求，对工艺、管道、设备、污水储存及处理构筑物采取相应的措施，以防止和降低污染物的跑、冒、滴、漏，将污染物泄漏的环境风险事故降低到最低程度；优化排水系统设计，生产废水在厂界内收集并经过自建粪污处理系统处理；管线敷设尽量采用“可视化”原则，即管道尽可能地上敷设，做到污染物“早发现、早处理”，以减少由于埋地管道泄漏而可能造成的地下水污染。</w:t>
      </w:r>
    </w:p>
    <w:p>
      <w:pPr>
        <w:pStyle w:val="3"/>
        <w:ind w:firstLine="0" w:firstLineChars="0"/>
        <w:outlineLvl w:val="3"/>
        <w:rPr>
          <w:rFonts w:eastAsia="黑体" w:cstheme="majorBidi"/>
          <w:bCs/>
          <w:szCs w:val="32"/>
        </w:rPr>
      </w:pPr>
      <w:r>
        <w:rPr>
          <w:rFonts w:hint="eastAsia" w:eastAsia="黑体" w:cstheme="majorBidi"/>
          <w:bCs/>
          <w:szCs w:val="32"/>
        </w:rPr>
        <w:t>8.2.3.2</w:t>
      </w:r>
      <w:r>
        <w:rPr>
          <w:rFonts w:hint="eastAsia" w:eastAsia="黑体" w:cstheme="majorBidi"/>
          <w:bCs/>
          <w:szCs w:val="32"/>
        </w:rPr>
        <w:tab/>
      </w:r>
      <w:r>
        <w:rPr>
          <w:rFonts w:hint="eastAsia" w:eastAsia="黑体" w:cstheme="majorBidi"/>
          <w:bCs/>
          <w:szCs w:val="32"/>
        </w:rPr>
        <w:t>分区防渗控制措施</w:t>
      </w:r>
    </w:p>
    <w:p>
      <w:pPr>
        <w:pStyle w:val="3"/>
        <w:ind w:firstLine="480"/>
        <w:rPr>
          <w:kern w:val="0"/>
        </w:rPr>
      </w:pPr>
      <w:r>
        <w:rPr>
          <w:rFonts w:hint="eastAsia"/>
          <w:kern w:val="0"/>
        </w:rPr>
        <w:t>根据《环境影响评价技术导则地下水环境》（</w:t>
      </w:r>
      <w:r>
        <w:rPr>
          <w:kern w:val="0"/>
        </w:rPr>
        <w:t>HJ610-2016</w:t>
      </w:r>
      <w:r>
        <w:rPr>
          <w:rFonts w:hint="eastAsia"/>
          <w:kern w:val="0"/>
        </w:rPr>
        <w:t>），并结合各生产功能单元可能产生污染的地区，本次评价将项目区划分为重点污染防渗区、一般污染防渗区和简单防渗区，并按要求进行地面防渗。本项目不涉及重金属、持久性有机物污染物，厂区内各建筑防渗区划分及各区防渗要求如下表所示：</w:t>
      </w:r>
    </w:p>
    <w:p>
      <w:pPr>
        <w:pStyle w:val="3"/>
        <w:spacing w:line="240" w:lineRule="auto"/>
        <w:ind w:firstLine="0" w:firstLineChars="0"/>
        <w:jc w:val="center"/>
        <w:rPr>
          <w:rFonts w:cs="Times New Roman"/>
          <w:kern w:val="0"/>
        </w:rPr>
      </w:pPr>
      <w:r>
        <w:rPr>
          <w:rFonts w:hint="eastAsia" w:cs="Times New Roman" w:eastAsiaTheme="minorEastAsia"/>
          <w:b/>
        </w:rPr>
        <w:t xml:space="preserve">图8.2-5 </w:t>
      </w:r>
      <w:r>
        <w:rPr>
          <w:rFonts w:cs="Times New Roman" w:eastAsiaTheme="minorEastAsia"/>
          <w:b/>
        </w:rPr>
        <w:t xml:space="preserve"> </w:t>
      </w:r>
      <w:r>
        <w:rPr>
          <w:rFonts w:hint="eastAsia" w:cs="Times New Roman" w:eastAsiaTheme="minorEastAsia"/>
          <w:b/>
        </w:rPr>
        <w:t>分区防渗要求</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3952"/>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jc w:val="center"/>
              <w:rPr>
                <w:kern w:val="0"/>
              </w:rPr>
            </w:pPr>
            <w:r>
              <w:rPr>
                <w:rFonts w:hint="eastAsia"/>
                <w:kern w:val="0"/>
              </w:rPr>
              <w:t>防治</w:t>
            </w:r>
            <w:r>
              <w:rPr>
                <w:kern w:val="0"/>
              </w:rPr>
              <w:t>区分区</w:t>
            </w:r>
          </w:p>
        </w:tc>
        <w:tc>
          <w:tcPr>
            <w:tcW w:w="2154" w:type="pct"/>
            <w:vAlign w:val="center"/>
          </w:tcPr>
          <w:p>
            <w:pPr>
              <w:jc w:val="center"/>
              <w:rPr>
                <w:kern w:val="0"/>
              </w:rPr>
            </w:pPr>
            <w:r>
              <w:rPr>
                <w:rFonts w:hint="eastAsia"/>
                <w:kern w:val="0"/>
              </w:rPr>
              <w:t>生产单元</w:t>
            </w:r>
          </w:p>
        </w:tc>
        <w:tc>
          <w:tcPr>
            <w:tcW w:w="1860" w:type="pct"/>
            <w:vAlign w:val="center"/>
          </w:tcPr>
          <w:p>
            <w:pPr>
              <w:jc w:val="center"/>
              <w:rPr>
                <w:kern w:val="0"/>
              </w:rPr>
            </w:pPr>
            <w:r>
              <w:rPr>
                <w:rFonts w:hint="eastAsia"/>
                <w:kern w:val="0"/>
              </w:rPr>
              <w:t>防渗</w:t>
            </w:r>
            <w:r>
              <w:rPr>
                <w:kern w:val="0"/>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jc w:val="center"/>
              <w:rPr>
                <w:kern w:val="0"/>
              </w:rPr>
            </w:pPr>
            <w:r>
              <w:rPr>
                <w:rFonts w:hint="eastAsia"/>
                <w:kern w:val="0"/>
              </w:rPr>
              <w:t>重点防渗区</w:t>
            </w:r>
          </w:p>
        </w:tc>
        <w:tc>
          <w:tcPr>
            <w:tcW w:w="2154" w:type="pct"/>
            <w:vAlign w:val="center"/>
          </w:tcPr>
          <w:p>
            <w:pPr>
              <w:widowControl w:val="0"/>
              <w:autoSpaceDE w:val="0"/>
              <w:autoSpaceDN w:val="0"/>
              <w:snapToGrid/>
              <w:jc w:val="center"/>
              <w:rPr>
                <w:kern w:val="0"/>
              </w:rPr>
            </w:pPr>
            <w:r>
              <w:rPr>
                <w:rFonts w:hint="eastAsia" w:ascii="宋体" w:cs="宋体"/>
                <w:kern w:val="0"/>
              </w:rPr>
              <w:t>急宰间、待宰圈、储粪池、屠宰车间、粪污处理区、危险废物暂存间、一般固废暂存间、堆肥间</w:t>
            </w:r>
          </w:p>
        </w:tc>
        <w:tc>
          <w:tcPr>
            <w:tcW w:w="1860" w:type="pct"/>
            <w:vMerge w:val="restart"/>
            <w:vAlign w:val="center"/>
          </w:tcPr>
          <w:p>
            <w:pPr>
              <w:pStyle w:val="49"/>
              <w:rPr>
                <w:kern w:val="0"/>
              </w:rPr>
            </w:pPr>
            <w:r>
              <w:rPr>
                <w:rFonts w:hint="eastAsia"/>
                <w:kern w:val="0"/>
              </w:rPr>
              <w:t>防渗层为至少1m 后粘土（渗透系数≤10</w:t>
            </w:r>
            <w:r>
              <w:rPr>
                <w:rFonts w:hint="eastAsia"/>
                <w:kern w:val="0"/>
                <w:vertAlign w:val="superscript"/>
              </w:rPr>
              <w:t>-7</w:t>
            </w:r>
            <w:r>
              <w:rPr>
                <w:rFonts w:hint="eastAsia"/>
                <w:kern w:val="0"/>
              </w:rPr>
              <w:t>cm/s，或2mm厚高密度聚乙烯，或执照2mm厚的其他人工材料，渗透系数≤10</w:t>
            </w:r>
            <w:r>
              <w:rPr>
                <w:rFonts w:hint="eastAsia"/>
                <w:kern w:val="0"/>
                <w:vertAlign w:val="superscript"/>
              </w:rPr>
              <w:t>-10</w:t>
            </w:r>
            <w:r>
              <w:rPr>
                <w:rFonts w:hint="eastAsia"/>
                <w:kern w:val="0"/>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jc w:val="center"/>
              <w:rPr>
                <w:kern w:val="0"/>
              </w:rPr>
            </w:pPr>
            <w:r>
              <w:rPr>
                <w:rFonts w:hint="eastAsia"/>
                <w:kern w:val="0"/>
              </w:rPr>
              <w:t>一般防渗区</w:t>
            </w:r>
          </w:p>
        </w:tc>
        <w:tc>
          <w:tcPr>
            <w:tcW w:w="2154" w:type="pct"/>
            <w:vAlign w:val="center"/>
          </w:tcPr>
          <w:p>
            <w:pPr>
              <w:widowControl w:val="0"/>
              <w:autoSpaceDE w:val="0"/>
              <w:autoSpaceDN w:val="0"/>
              <w:snapToGrid/>
              <w:jc w:val="center"/>
              <w:rPr>
                <w:kern w:val="0"/>
              </w:rPr>
            </w:pPr>
            <w:r>
              <w:rPr>
                <w:rFonts w:hint="eastAsia" w:ascii="宋体" w:cs="宋体"/>
                <w:kern w:val="0"/>
              </w:rPr>
              <w:t>分割车间、冻结冷藏车间、冷库</w:t>
            </w:r>
          </w:p>
        </w:tc>
        <w:tc>
          <w:tcPr>
            <w:tcW w:w="1860" w:type="pct"/>
            <w:vMerge w:val="continue"/>
            <w:vAlign w:val="center"/>
          </w:tcPr>
          <w:p>
            <w:pPr>
              <w:pStyle w:val="49"/>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pPr>
              <w:jc w:val="center"/>
              <w:rPr>
                <w:kern w:val="0"/>
              </w:rPr>
            </w:pPr>
            <w:r>
              <w:rPr>
                <w:rFonts w:hint="eastAsia"/>
                <w:kern w:val="0"/>
              </w:rPr>
              <w:t>简单防渗区</w:t>
            </w:r>
          </w:p>
        </w:tc>
        <w:tc>
          <w:tcPr>
            <w:tcW w:w="2154" w:type="pct"/>
            <w:vAlign w:val="center"/>
          </w:tcPr>
          <w:p>
            <w:pPr>
              <w:jc w:val="center"/>
              <w:rPr>
                <w:kern w:val="0"/>
              </w:rPr>
            </w:pPr>
            <w:r>
              <w:rPr>
                <w:rFonts w:hint="eastAsia"/>
                <w:kern w:val="0"/>
              </w:rPr>
              <w:t>办公生活区</w:t>
            </w:r>
          </w:p>
        </w:tc>
        <w:tc>
          <w:tcPr>
            <w:tcW w:w="1860" w:type="pct"/>
            <w:vAlign w:val="center"/>
          </w:tcPr>
          <w:p>
            <w:pPr>
              <w:jc w:val="center"/>
              <w:rPr>
                <w:kern w:val="0"/>
              </w:rPr>
            </w:pPr>
            <w:r>
              <w:rPr>
                <w:rFonts w:hint="eastAsia"/>
                <w:kern w:val="0"/>
              </w:rPr>
              <w:t>地面硬化</w:t>
            </w:r>
          </w:p>
        </w:tc>
      </w:tr>
    </w:tbl>
    <w:p>
      <w:pPr>
        <w:pStyle w:val="3"/>
        <w:ind w:firstLine="480"/>
        <w:jc w:val="center"/>
        <w:rPr>
          <w:rFonts w:cs="Times New Roman"/>
          <w:kern w:val="0"/>
        </w:rPr>
      </w:pPr>
    </w:p>
    <w:p>
      <w:pPr>
        <w:pStyle w:val="3"/>
        <w:ind w:firstLine="0" w:firstLineChars="0"/>
        <w:outlineLvl w:val="3"/>
        <w:rPr>
          <w:rFonts w:eastAsia="黑体" w:cstheme="majorBidi"/>
          <w:bCs/>
          <w:szCs w:val="32"/>
        </w:rPr>
      </w:pPr>
      <w:r>
        <w:rPr>
          <w:rFonts w:hint="eastAsia" w:eastAsia="黑体" w:cstheme="majorBidi"/>
          <w:bCs/>
          <w:szCs w:val="32"/>
        </w:rPr>
        <w:t>8.2.3.3</w:t>
      </w:r>
      <w:r>
        <w:rPr>
          <w:rFonts w:hint="eastAsia" w:eastAsia="黑体" w:cstheme="majorBidi"/>
          <w:bCs/>
          <w:szCs w:val="32"/>
        </w:rPr>
        <w:tab/>
      </w:r>
      <w:r>
        <w:rPr>
          <w:rFonts w:hint="eastAsia" w:eastAsia="黑体" w:cstheme="majorBidi"/>
          <w:bCs/>
          <w:szCs w:val="32"/>
        </w:rPr>
        <w:t>地下水环境监控与管理</w:t>
      </w:r>
    </w:p>
    <w:p>
      <w:pPr>
        <w:pStyle w:val="3"/>
        <w:ind w:firstLine="480"/>
        <w:rPr>
          <w:kern w:val="0"/>
        </w:rPr>
      </w:pPr>
      <w:r>
        <w:rPr>
          <w:rFonts w:hint="eastAsia"/>
          <w:kern w:val="0"/>
        </w:rPr>
        <w:t>1、地下水监测原则</w:t>
      </w:r>
    </w:p>
    <w:p>
      <w:pPr>
        <w:pStyle w:val="3"/>
        <w:ind w:firstLine="480"/>
        <w:rPr>
          <w:kern w:val="0"/>
        </w:rPr>
      </w:pPr>
      <w:r>
        <w:rPr>
          <w:rFonts w:hint="eastAsia"/>
          <w:kern w:val="0"/>
        </w:rPr>
        <w:t>地下水监测将遵循以下原则：</w:t>
      </w:r>
    </w:p>
    <w:p>
      <w:pPr>
        <w:pStyle w:val="3"/>
        <w:ind w:firstLine="480"/>
        <w:rPr>
          <w:kern w:val="0"/>
        </w:rPr>
      </w:pPr>
      <w:r>
        <w:rPr>
          <w:rFonts w:hint="eastAsia"/>
          <w:kern w:val="0"/>
        </w:rPr>
        <w:t>（1）加强重点污染防治区监测；</w:t>
      </w:r>
    </w:p>
    <w:p>
      <w:pPr>
        <w:pStyle w:val="3"/>
        <w:ind w:firstLine="480"/>
        <w:rPr>
          <w:kern w:val="0"/>
        </w:rPr>
      </w:pPr>
      <w:r>
        <w:rPr>
          <w:rFonts w:hint="eastAsia"/>
          <w:kern w:val="0"/>
        </w:rPr>
        <w:t>（2）以潜水含水层地下水监测为主；</w:t>
      </w:r>
    </w:p>
    <w:p>
      <w:pPr>
        <w:pStyle w:val="3"/>
        <w:ind w:firstLine="480"/>
        <w:rPr>
          <w:kern w:val="0"/>
        </w:rPr>
      </w:pPr>
      <w:r>
        <w:rPr>
          <w:rFonts w:hint="eastAsia"/>
          <w:kern w:val="0"/>
        </w:rPr>
        <w:t>（3）充分利用现有监测孔；</w:t>
      </w:r>
    </w:p>
    <w:p>
      <w:pPr>
        <w:pStyle w:val="3"/>
        <w:ind w:firstLine="480"/>
        <w:rPr>
          <w:kern w:val="0"/>
        </w:rPr>
      </w:pPr>
      <w:r>
        <w:rPr>
          <w:rFonts w:hint="eastAsia"/>
          <w:kern w:val="0"/>
        </w:rPr>
        <w:t>（4）水质监测项目参照《地下水质量标准》（</w:t>
      </w:r>
      <w:r>
        <w:rPr>
          <w:kern w:val="0"/>
        </w:rPr>
        <w:t>GB/T14848-2017</w:t>
      </w:r>
      <w:r>
        <w:rPr>
          <w:rFonts w:hint="eastAsia"/>
          <w:kern w:val="0"/>
        </w:rPr>
        <w:t>）相关要求和潜在污染源特征污染因子确定，各监测井可依据监测目的不同适当增加和减少监测项目。</w:t>
      </w:r>
    </w:p>
    <w:p>
      <w:pPr>
        <w:pStyle w:val="3"/>
        <w:ind w:firstLine="480"/>
        <w:rPr>
          <w:kern w:val="0"/>
        </w:rPr>
      </w:pPr>
      <w:r>
        <w:rPr>
          <w:rFonts w:hint="eastAsia"/>
          <w:kern w:val="0"/>
        </w:rPr>
        <w:t>依据地下水监测原则，参照《地下水环境监测技术规范》（</w:t>
      </w:r>
      <w:r>
        <w:rPr>
          <w:kern w:val="0"/>
        </w:rPr>
        <w:t>HJ/T164-2004</w:t>
      </w:r>
      <w:r>
        <w:rPr>
          <w:rFonts w:hint="eastAsia"/>
          <w:kern w:val="0"/>
        </w:rPr>
        <w:t>）的要求，结合项目区水文地质条件、地下水流场方向以及厂区平面布置，项目共布设</w:t>
      </w:r>
      <w:r>
        <w:rPr>
          <w:kern w:val="0"/>
        </w:rPr>
        <w:t xml:space="preserve">1 </w:t>
      </w:r>
      <w:r>
        <w:rPr>
          <w:rFonts w:hint="eastAsia"/>
          <w:kern w:val="0"/>
        </w:rPr>
        <w:t>口地下水监测井眼；地下水监测孔位置、监测计划、孔深、监测层位、监测项目、监测频率等如表8.2-6。</w:t>
      </w:r>
    </w:p>
    <w:p>
      <w:pPr>
        <w:pStyle w:val="3"/>
        <w:spacing w:line="240" w:lineRule="auto"/>
        <w:ind w:firstLine="0" w:firstLineChars="0"/>
        <w:jc w:val="center"/>
        <w:rPr>
          <w:rFonts w:cs="Times New Roman"/>
          <w:kern w:val="0"/>
        </w:rPr>
      </w:pPr>
      <w:r>
        <w:rPr>
          <w:rFonts w:hint="eastAsia" w:cs="Times New Roman" w:eastAsiaTheme="minorEastAsia"/>
          <w:b/>
        </w:rPr>
        <w:t xml:space="preserve">图8.2-5 </w:t>
      </w:r>
      <w:r>
        <w:rPr>
          <w:rFonts w:cs="Times New Roman" w:eastAsiaTheme="minorEastAsia"/>
          <w:b/>
        </w:rPr>
        <w:t xml:space="preserve"> </w:t>
      </w:r>
      <w:r>
        <w:rPr>
          <w:rFonts w:hint="eastAsia" w:cs="Times New Roman" w:eastAsiaTheme="minorEastAsia"/>
          <w:b/>
        </w:rPr>
        <w:t>场地水质监测点基本情况表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43"/>
        <w:gridCol w:w="1134"/>
        <w:gridCol w:w="1134"/>
        <w:gridCol w:w="1134"/>
        <w:gridCol w:w="3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jc w:val="center"/>
              <w:rPr>
                <w:kern w:val="0"/>
              </w:rPr>
            </w:pPr>
            <w:r>
              <w:rPr>
                <w:rFonts w:hint="eastAsia"/>
                <w:kern w:val="0"/>
              </w:rPr>
              <w:t>序号</w:t>
            </w:r>
          </w:p>
        </w:tc>
        <w:tc>
          <w:tcPr>
            <w:tcW w:w="1843" w:type="dxa"/>
            <w:vAlign w:val="center"/>
          </w:tcPr>
          <w:p>
            <w:pPr>
              <w:jc w:val="center"/>
              <w:rPr>
                <w:kern w:val="0"/>
              </w:rPr>
            </w:pPr>
            <w:r>
              <w:rPr>
                <w:rFonts w:hint="eastAsia"/>
                <w:kern w:val="0"/>
              </w:rPr>
              <w:t>监测点位置</w:t>
            </w:r>
          </w:p>
        </w:tc>
        <w:tc>
          <w:tcPr>
            <w:tcW w:w="1134" w:type="dxa"/>
            <w:vAlign w:val="center"/>
          </w:tcPr>
          <w:p>
            <w:pPr>
              <w:jc w:val="center"/>
              <w:rPr>
                <w:kern w:val="0"/>
              </w:rPr>
            </w:pPr>
            <w:r>
              <w:rPr>
                <w:rFonts w:hint="eastAsia"/>
                <w:kern w:val="0"/>
              </w:rPr>
              <w:t>孔深/m</w:t>
            </w:r>
          </w:p>
        </w:tc>
        <w:tc>
          <w:tcPr>
            <w:tcW w:w="1134" w:type="dxa"/>
            <w:vAlign w:val="center"/>
          </w:tcPr>
          <w:p>
            <w:pPr>
              <w:jc w:val="center"/>
              <w:rPr>
                <w:kern w:val="0"/>
              </w:rPr>
            </w:pPr>
            <w:r>
              <w:rPr>
                <w:rFonts w:hint="eastAsia"/>
                <w:kern w:val="0"/>
              </w:rPr>
              <w:t>监测层位</w:t>
            </w:r>
          </w:p>
        </w:tc>
        <w:tc>
          <w:tcPr>
            <w:tcW w:w="1134" w:type="dxa"/>
            <w:vAlign w:val="center"/>
          </w:tcPr>
          <w:p>
            <w:pPr>
              <w:jc w:val="center"/>
              <w:rPr>
                <w:kern w:val="0"/>
              </w:rPr>
            </w:pPr>
            <w:r>
              <w:rPr>
                <w:rFonts w:hint="eastAsia"/>
                <w:kern w:val="0"/>
              </w:rPr>
              <w:t>监测频率</w:t>
            </w:r>
          </w:p>
        </w:tc>
        <w:tc>
          <w:tcPr>
            <w:tcW w:w="3253" w:type="dxa"/>
            <w:vAlign w:val="center"/>
          </w:tcPr>
          <w:p>
            <w:pPr>
              <w:jc w:val="center"/>
              <w:rPr>
                <w:kern w:val="0"/>
              </w:rPr>
            </w:pPr>
            <w:r>
              <w:rPr>
                <w:rFonts w:hint="eastAsia"/>
                <w:kern w:val="0"/>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jc w:val="center"/>
              <w:rPr>
                <w:kern w:val="0"/>
              </w:rPr>
            </w:pPr>
            <w:r>
              <w:rPr>
                <w:rFonts w:hint="eastAsia"/>
                <w:kern w:val="0"/>
              </w:rPr>
              <w:t>1</w:t>
            </w:r>
          </w:p>
        </w:tc>
        <w:tc>
          <w:tcPr>
            <w:tcW w:w="1843" w:type="dxa"/>
            <w:vAlign w:val="center"/>
          </w:tcPr>
          <w:p>
            <w:pPr>
              <w:jc w:val="center"/>
              <w:rPr>
                <w:kern w:val="0"/>
              </w:rPr>
            </w:pPr>
            <w:r>
              <w:rPr>
                <w:rFonts w:hint="eastAsia"/>
                <w:kern w:val="0"/>
              </w:rPr>
              <w:t>D1 项目厂区污水处理站，场地地下水下游方向</w:t>
            </w:r>
          </w:p>
        </w:tc>
        <w:tc>
          <w:tcPr>
            <w:tcW w:w="1134" w:type="dxa"/>
            <w:vAlign w:val="center"/>
          </w:tcPr>
          <w:p>
            <w:pPr>
              <w:jc w:val="center"/>
              <w:rPr>
                <w:kern w:val="0"/>
              </w:rPr>
            </w:pPr>
            <w:r>
              <w:rPr>
                <w:rFonts w:hint="eastAsia"/>
                <w:kern w:val="0"/>
              </w:rPr>
              <w:t>最大地下水埋深以下2m</w:t>
            </w:r>
          </w:p>
        </w:tc>
        <w:tc>
          <w:tcPr>
            <w:tcW w:w="1134" w:type="dxa"/>
            <w:vAlign w:val="center"/>
          </w:tcPr>
          <w:p>
            <w:pPr>
              <w:jc w:val="center"/>
              <w:rPr>
                <w:kern w:val="0"/>
              </w:rPr>
            </w:pPr>
            <w:r>
              <w:rPr>
                <w:rFonts w:hint="eastAsia"/>
                <w:kern w:val="0"/>
              </w:rPr>
              <w:t>潜水</w:t>
            </w:r>
          </w:p>
        </w:tc>
        <w:tc>
          <w:tcPr>
            <w:tcW w:w="1134" w:type="dxa"/>
            <w:vAlign w:val="center"/>
          </w:tcPr>
          <w:p>
            <w:pPr>
              <w:jc w:val="center"/>
              <w:rPr>
                <w:kern w:val="0"/>
              </w:rPr>
            </w:pPr>
            <w:r>
              <w:rPr>
                <w:rFonts w:hint="eastAsia"/>
                <w:kern w:val="0"/>
              </w:rPr>
              <w:t>每年一次</w:t>
            </w:r>
          </w:p>
        </w:tc>
        <w:tc>
          <w:tcPr>
            <w:tcW w:w="3253" w:type="dxa"/>
            <w:vAlign w:val="center"/>
          </w:tcPr>
          <w:p>
            <w:pPr>
              <w:jc w:val="center"/>
              <w:rPr>
                <w:kern w:val="0"/>
              </w:rPr>
            </w:pPr>
            <w:r>
              <w:rPr>
                <w:rFonts w:hint="eastAsia"/>
                <w:kern w:val="0"/>
              </w:rPr>
              <w:t>pH、总硬度、耗氧量、挥发酚、氨氮、硝酸盐、亚硝酸盐、色度、溶解性总固体、总大肠菌群等</w:t>
            </w:r>
          </w:p>
        </w:tc>
      </w:tr>
    </w:tbl>
    <w:p>
      <w:pPr>
        <w:pStyle w:val="3"/>
        <w:ind w:firstLine="480"/>
        <w:rPr>
          <w:kern w:val="0"/>
        </w:rPr>
      </w:pPr>
      <w:r>
        <w:rPr>
          <w:rFonts w:hint="eastAsia"/>
          <w:kern w:val="0"/>
        </w:rPr>
        <w:t>2、地下水监测数据管理</w:t>
      </w:r>
    </w:p>
    <w:p>
      <w:pPr>
        <w:pStyle w:val="3"/>
        <w:ind w:firstLine="480"/>
        <w:rPr>
          <w:kern w:val="0"/>
        </w:rPr>
      </w:pPr>
      <w:r>
        <w:rPr>
          <w:rFonts w:hint="eastAsia"/>
          <w:kern w:val="0"/>
        </w:rPr>
        <w:t>上述监测结果应按项目有关规定及时建立档案，并定期向厂安全环保部门汇报，对于常规监测数据应该进行公开。如发现异常或发生事故，加密监测频次，改为每天监测一次，并分析污染原因，确定泄漏污染源，及时采取应急措施。</w:t>
      </w:r>
    </w:p>
    <w:p>
      <w:pPr>
        <w:pStyle w:val="3"/>
        <w:ind w:firstLine="480"/>
        <w:rPr>
          <w:kern w:val="0"/>
        </w:rPr>
      </w:pPr>
      <w:r>
        <w:rPr>
          <w:rFonts w:hint="eastAsia"/>
          <w:kern w:val="0"/>
        </w:rPr>
        <w:t>进行质量体系认证，实现“质量、安全、环境”三位一体的全面质量管理目标。</w:t>
      </w:r>
    </w:p>
    <w:p>
      <w:pPr>
        <w:pStyle w:val="3"/>
        <w:ind w:firstLine="480"/>
        <w:rPr>
          <w:kern w:val="0"/>
        </w:rPr>
      </w:pPr>
      <w:r>
        <w:rPr>
          <w:rFonts w:hint="eastAsia"/>
          <w:kern w:val="0"/>
        </w:rPr>
        <w:t>设立地下水动态监测小组，负责对地下水环境监测和管理，或者委托专业的机构完成。建立有关规章制度和岗位责任制。制定风险预警方案，设立应急设施减少环境污染影响。</w:t>
      </w:r>
    </w:p>
    <w:p>
      <w:pPr>
        <w:pStyle w:val="3"/>
        <w:ind w:firstLine="480"/>
        <w:rPr>
          <w:kern w:val="0"/>
        </w:rPr>
      </w:pPr>
      <w:r>
        <w:rPr>
          <w:rFonts w:hint="eastAsia"/>
          <w:kern w:val="0"/>
        </w:rPr>
        <w:t>为保证地下水监测有效、有序管理，须制定相关规定、明确职责，采取以下管理措施和技术措施。</w:t>
      </w:r>
    </w:p>
    <w:p>
      <w:pPr>
        <w:pStyle w:val="3"/>
        <w:ind w:firstLine="480"/>
        <w:rPr>
          <w:rFonts w:ascii="宋体" w:cs="宋体" w:eastAsiaTheme="minorEastAsia"/>
          <w:kern w:val="0"/>
          <w:szCs w:val="24"/>
        </w:rPr>
      </w:pPr>
      <w:r>
        <w:rPr>
          <w:rFonts w:hint="eastAsia"/>
          <w:kern w:val="0"/>
        </w:rPr>
        <w:t>3、</w:t>
      </w:r>
      <w:r>
        <w:rPr>
          <w:rFonts w:hint="eastAsia" w:ascii="宋体" w:cs="宋体"/>
          <w:kern w:val="0"/>
          <w:szCs w:val="24"/>
        </w:rPr>
        <w:t>地下水环境管理措施</w:t>
      </w:r>
    </w:p>
    <w:p>
      <w:pPr>
        <w:pStyle w:val="3"/>
        <w:ind w:firstLine="480"/>
        <w:rPr>
          <w:kern w:val="0"/>
        </w:rPr>
      </w:pPr>
      <w:r>
        <w:rPr>
          <w:rFonts w:hint="eastAsia"/>
          <w:kern w:val="0"/>
        </w:rPr>
        <w:t>（1）防止地下水污染管理的职责属于环境保护管理部门的职责之一。厂内环境保护管理部门指派专人负责防治地下水污染管理工作。</w:t>
      </w:r>
    </w:p>
    <w:p>
      <w:pPr>
        <w:pStyle w:val="3"/>
        <w:ind w:firstLine="480"/>
        <w:rPr>
          <w:kern w:val="0"/>
        </w:rPr>
      </w:pPr>
      <w:r>
        <w:rPr>
          <w:rFonts w:hint="eastAsia"/>
          <w:kern w:val="0"/>
        </w:rPr>
        <w:t>（2）企业环境保护管理部门应委托具有监测资质的单位负责地下水监测工作，按要求及时分析整理原始资料、监测报告的编写工作。</w:t>
      </w:r>
    </w:p>
    <w:p>
      <w:pPr>
        <w:pStyle w:val="3"/>
        <w:ind w:firstLine="480"/>
        <w:rPr>
          <w:kern w:val="0"/>
        </w:rPr>
      </w:pPr>
      <w:r>
        <w:rPr>
          <w:rFonts w:hint="eastAsia"/>
          <w:kern w:val="0"/>
        </w:rPr>
        <w:t>（3）建立地下水监测数据信息管理系统，与场环境管理系统相联系。</w:t>
      </w:r>
    </w:p>
    <w:p>
      <w:pPr>
        <w:pStyle w:val="3"/>
        <w:ind w:firstLine="480"/>
        <w:rPr>
          <w:kern w:val="0"/>
        </w:rPr>
      </w:pPr>
      <w:r>
        <w:rPr>
          <w:rFonts w:hint="eastAsia"/>
          <w:kern w:val="0"/>
        </w:rPr>
        <w:t>（4）根据实际情况，按事故的性质、类型、影响范围、严重后果分等级地制订相应的预案。在制定预案时要根据本场环境污染事故潜在威胁的情况，认真细致地考虑各项影响因素，适当的时候组织有关部门、人员进行演练，不断补充完善。</w:t>
      </w:r>
    </w:p>
    <w:p>
      <w:pPr>
        <w:pStyle w:val="3"/>
        <w:ind w:firstLine="480"/>
        <w:rPr>
          <w:rFonts w:ascii="宋体" w:cs="宋体" w:eastAsiaTheme="minorEastAsia"/>
          <w:kern w:val="0"/>
          <w:szCs w:val="24"/>
        </w:rPr>
      </w:pPr>
      <w:r>
        <w:rPr>
          <w:rFonts w:hint="eastAsia"/>
          <w:kern w:val="0"/>
        </w:rPr>
        <w:t>4、</w:t>
      </w:r>
      <w:r>
        <w:rPr>
          <w:rFonts w:hint="eastAsia" w:ascii="宋体" w:cs="宋体"/>
          <w:kern w:val="0"/>
          <w:szCs w:val="24"/>
        </w:rPr>
        <w:t>地下水监测技术措施</w:t>
      </w:r>
    </w:p>
    <w:p>
      <w:pPr>
        <w:pStyle w:val="3"/>
        <w:ind w:firstLine="480"/>
        <w:rPr>
          <w:kern w:val="0"/>
        </w:rPr>
      </w:pPr>
      <w:r>
        <w:rPr>
          <w:rFonts w:hint="eastAsia"/>
          <w:kern w:val="0"/>
        </w:rPr>
        <w:t>按照《地下水环境监测技术规范》（</w:t>
      </w:r>
      <w:r>
        <w:rPr>
          <w:kern w:val="0"/>
        </w:rPr>
        <w:t>HJ/T164-2004</w:t>
      </w:r>
      <w:r>
        <w:rPr>
          <w:rFonts w:hint="eastAsia"/>
          <w:kern w:val="0"/>
        </w:rPr>
        <w:t>）要求，及时上报监测数据和有关表格。在日常例行监测中，一旦发现地下水水质监测数据异常，应尽快核查数据，确保数据的正确性。并将核查过的监测数据通告场安全环保部门，由专人负责对数据进行分析、核实，并密切关注生产设施的运行情况，为防止地下水污染采取措施提供正确的依据。应采取的措施如下：</w:t>
      </w:r>
    </w:p>
    <w:p>
      <w:pPr>
        <w:pStyle w:val="3"/>
        <w:ind w:firstLine="480"/>
        <w:rPr>
          <w:kern w:val="0"/>
        </w:rPr>
      </w:pPr>
      <w:r>
        <w:rPr>
          <w:rFonts w:hint="eastAsia"/>
          <w:kern w:val="0"/>
        </w:rPr>
        <w:t>（1）了解全厂生产是否出现异常情况，出现异常情况的装置、原因。加大监测密度，如监测频率由每月（季）一次临时加密为每天一次或更多，连续多天，分析变化动向；</w:t>
      </w:r>
    </w:p>
    <w:p>
      <w:pPr>
        <w:pStyle w:val="3"/>
        <w:ind w:firstLine="480"/>
        <w:rPr>
          <w:kern w:val="0"/>
        </w:rPr>
      </w:pPr>
      <w:r>
        <w:rPr>
          <w:rFonts w:hint="eastAsia"/>
          <w:kern w:val="0"/>
        </w:rPr>
        <w:t>（2）周期性地编写地下水动态监测报告；</w:t>
      </w:r>
    </w:p>
    <w:p>
      <w:pPr>
        <w:pStyle w:val="3"/>
        <w:ind w:firstLine="480"/>
        <w:rPr>
          <w:kern w:val="0"/>
        </w:rPr>
      </w:pPr>
      <w:r>
        <w:rPr>
          <w:rFonts w:hint="eastAsia"/>
          <w:kern w:val="0"/>
        </w:rPr>
        <w:t>（3）定期对污染区的生产装置进行检查。</w:t>
      </w:r>
    </w:p>
    <w:p>
      <w:pPr>
        <w:pStyle w:val="3"/>
        <w:ind w:firstLine="0" w:firstLineChars="0"/>
        <w:outlineLvl w:val="2"/>
      </w:pPr>
      <w:r>
        <w:rPr>
          <w:rFonts w:hint="eastAsia"/>
        </w:rPr>
        <w:t>8.2.4</w:t>
      </w:r>
      <w:r>
        <w:rPr>
          <w:rFonts w:hint="eastAsia"/>
        </w:rPr>
        <w:tab/>
      </w:r>
      <w:r>
        <w:rPr>
          <w:rFonts w:hint="eastAsia" w:eastAsia="黑体" w:cstheme="majorBidi"/>
          <w:bCs/>
          <w:szCs w:val="32"/>
        </w:rPr>
        <w:t>噪声防治措施及可行性分析</w:t>
      </w:r>
    </w:p>
    <w:p>
      <w:pPr>
        <w:pStyle w:val="3"/>
        <w:ind w:firstLine="480"/>
        <w:rPr>
          <w:kern w:val="0"/>
        </w:rPr>
      </w:pPr>
      <w:r>
        <w:rPr>
          <w:rFonts w:hint="eastAsia"/>
          <w:kern w:val="0"/>
        </w:rPr>
        <w:t>项目实施后，生产中有一些转动设备，因此应加强噪声的治理工作，主要从设备选型、阻隔传播途径和受声者保护三方面入手。</w:t>
      </w:r>
    </w:p>
    <w:p>
      <w:pPr>
        <w:pStyle w:val="3"/>
        <w:ind w:firstLine="480"/>
        <w:rPr>
          <w:kern w:val="0"/>
        </w:rPr>
      </w:pPr>
      <w:r>
        <w:rPr>
          <w:rFonts w:hint="eastAsia"/>
          <w:kern w:val="0"/>
        </w:rPr>
        <w:t>（</w:t>
      </w:r>
      <w:r>
        <w:rPr>
          <w:kern w:val="0"/>
        </w:rPr>
        <w:t>1</w:t>
      </w:r>
      <w:r>
        <w:rPr>
          <w:rFonts w:hint="eastAsia"/>
          <w:kern w:val="0"/>
        </w:rPr>
        <w:t>）在设备选型中选择可靠先进的低噪声设施。</w:t>
      </w:r>
    </w:p>
    <w:p>
      <w:pPr>
        <w:pStyle w:val="3"/>
        <w:ind w:firstLine="480"/>
        <w:rPr>
          <w:kern w:val="0"/>
        </w:rPr>
      </w:pPr>
      <w:r>
        <w:rPr>
          <w:rFonts w:hint="eastAsia"/>
          <w:kern w:val="0"/>
        </w:rPr>
        <w:t>（</w:t>
      </w:r>
      <w:r>
        <w:rPr>
          <w:kern w:val="0"/>
        </w:rPr>
        <w:t>2</w:t>
      </w:r>
      <w:r>
        <w:rPr>
          <w:rFonts w:hint="eastAsia"/>
          <w:kern w:val="0"/>
        </w:rPr>
        <w:t>）振动转动设备安装时设置减振支座，包扎阻尼材料，并提高安装质量。</w:t>
      </w:r>
    </w:p>
    <w:p>
      <w:pPr>
        <w:pStyle w:val="3"/>
        <w:ind w:firstLine="480"/>
        <w:rPr>
          <w:kern w:val="0"/>
        </w:rPr>
      </w:pPr>
      <w:r>
        <w:rPr>
          <w:rFonts w:hint="eastAsia"/>
          <w:kern w:val="0"/>
        </w:rPr>
        <w:t>（</w:t>
      </w:r>
      <w:r>
        <w:rPr>
          <w:kern w:val="0"/>
        </w:rPr>
        <w:t>3</w:t>
      </w:r>
      <w:r>
        <w:rPr>
          <w:rFonts w:hint="eastAsia"/>
          <w:kern w:val="0"/>
        </w:rPr>
        <w:t>）对于主要生产设备通过设置阻尼基础、厂房墙体隔声等措施；设备基础减震处理，并布置在厂房或设备房内。</w:t>
      </w:r>
    </w:p>
    <w:p>
      <w:pPr>
        <w:pStyle w:val="3"/>
        <w:ind w:firstLine="480"/>
        <w:rPr>
          <w:kern w:val="0"/>
        </w:rPr>
      </w:pPr>
      <w:r>
        <w:rPr>
          <w:rFonts w:hint="eastAsia"/>
          <w:kern w:val="0"/>
        </w:rPr>
        <w:t>（</w:t>
      </w:r>
      <w:r>
        <w:rPr>
          <w:kern w:val="0"/>
        </w:rPr>
        <w:t>4</w:t>
      </w:r>
      <w:r>
        <w:rPr>
          <w:rFonts w:hint="eastAsia"/>
          <w:kern w:val="0"/>
        </w:rPr>
        <w:t>）合理布局：将各类机械设备等噪声源尽量布置在厂区中部，通过距离衰减减轻噪声对外环境的影响。</w:t>
      </w:r>
    </w:p>
    <w:p>
      <w:pPr>
        <w:pStyle w:val="3"/>
        <w:ind w:firstLine="480"/>
        <w:rPr>
          <w:kern w:val="0"/>
        </w:rPr>
      </w:pPr>
      <w:r>
        <w:rPr>
          <w:rFonts w:hint="eastAsia"/>
          <w:kern w:val="0"/>
        </w:rPr>
        <w:t>（</w:t>
      </w:r>
      <w:r>
        <w:rPr>
          <w:kern w:val="0"/>
        </w:rPr>
        <w:t>5</w:t>
      </w:r>
      <w:r>
        <w:rPr>
          <w:rFonts w:hint="eastAsia"/>
          <w:kern w:val="0"/>
        </w:rPr>
        <w:t>）加强设备运营管理，定期进行设备维护，避免由于长时间使用、操作不当等原因造成设备异常运转，而引起噪声超标。</w:t>
      </w:r>
    </w:p>
    <w:p>
      <w:pPr>
        <w:pStyle w:val="3"/>
        <w:ind w:firstLine="480"/>
        <w:rPr>
          <w:kern w:val="0"/>
        </w:rPr>
      </w:pPr>
      <w:r>
        <w:rPr>
          <w:rFonts w:hint="eastAsia"/>
          <w:kern w:val="0"/>
        </w:rPr>
        <w:t>（</w:t>
      </w:r>
      <w:r>
        <w:rPr>
          <w:kern w:val="0"/>
        </w:rPr>
        <w:t>6</w:t>
      </w:r>
      <w:r>
        <w:rPr>
          <w:rFonts w:hint="eastAsia"/>
          <w:kern w:val="0"/>
        </w:rPr>
        <w:t>）对待宰圈畜禽进行分类管理，避免之间互相咬叫，同时应减少外界噪声等对待宰圈的干扰，以缓解动物的紧张情绪。</w:t>
      </w:r>
    </w:p>
    <w:p>
      <w:pPr>
        <w:pStyle w:val="3"/>
        <w:ind w:firstLine="480"/>
        <w:rPr>
          <w:kern w:val="0"/>
        </w:rPr>
      </w:pPr>
      <w:r>
        <w:rPr>
          <w:rFonts w:hint="eastAsia"/>
          <w:kern w:val="0"/>
        </w:rPr>
        <w:t>（</w:t>
      </w:r>
      <w:r>
        <w:rPr>
          <w:kern w:val="0"/>
        </w:rPr>
        <w:t>7</w:t>
      </w:r>
      <w:r>
        <w:rPr>
          <w:rFonts w:hint="eastAsia"/>
          <w:kern w:val="0"/>
        </w:rPr>
        <w:t>）对待宰圈墙体增设隔声吸声材料，待宰圈周围加强绿化，种植花草树木，生态屏障，吸附部分噪声，以减轻畜禽叫对厂外环境影响。</w:t>
      </w:r>
    </w:p>
    <w:p>
      <w:pPr>
        <w:pStyle w:val="3"/>
        <w:ind w:firstLine="480"/>
        <w:rPr>
          <w:kern w:val="0"/>
        </w:rPr>
      </w:pPr>
      <w:r>
        <w:rPr>
          <w:rFonts w:hint="eastAsia"/>
          <w:kern w:val="0"/>
        </w:rPr>
        <w:t>总之，项目对其噪声源所采取的控制措施均为目前国内普遍采用的经济、实用的有效手段，实践表明其控制效果明显。经采取上述控制措施后，能够确保厂界昼夜噪声值均可符合《工业企业厂界环境噪声标准》</w:t>
      </w:r>
      <w:r>
        <w:rPr>
          <w:kern w:val="0"/>
        </w:rPr>
        <w:t>(GB12348-2008)</w:t>
      </w:r>
      <w:r>
        <w:rPr>
          <w:rFonts w:hint="eastAsia"/>
          <w:kern w:val="0"/>
        </w:rPr>
        <w:t>中的2类标准限值。因此，拟建项目对其噪声源所采取的控制措施是有效可行的。</w:t>
      </w:r>
    </w:p>
    <w:p>
      <w:pPr>
        <w:pStyle w:val="3"/>
        <w:ind w:firstLine="0" w:firstLineChars="0"/>
        <w:outlineLvl w:val="2"/>
      </w:pPr>
      <w:r>
        <w:rPr>
          <w:rFonts w:hint="eastAsia"/>
        </w:rPr>
        <w:t>8.2.5</w:t>
      </w:r>
      <w:r>
        <w:rPr>
          <w:rFonts w:hint="eastAsia"/>
        </w:rPr>
        <w:tab/>
      </w:r>
      <w:r>
        <w:rPr>
          <w:rFonts w:hint="eastAsia" w:eastAsia="黑体" w:cstheme="majorBidi"/>
          <w:bCs/>
          <w:szCs w:val="32"/>
        </w:rPr>
        <w:t>固废防治措施及可行性分析</w:t>
      </w:r>
    </w:p>
    <w:p>
      <w:pPr>
        <w:pStyle w:val="3"/>
        <w:ind w:firstLine="0" w:firstLineChars="0"/>
        <w:outlineLvl w:val="3"/>
        <w:rPr>
          <w:rFonts w:eastAsia="黑体" w:cstheme="majorBidi"/>
          <w:bCs/>
          <w:szCs w:val="32"/>
        </w:rPr>
      </w:pPr>
      <w:r>
        <w:rPr>
          <w:rFonts w:hint="eastAsia" w:eastAsia="黑体" w:cstheme="majorBidi"/>
          <w:bCs/>
          <w:szCs w:val="32"/>
        </w:rPr>
        <w:t>8.2.5.1</w:t>
      </w:r>
      <w:r>
        <w:rPr>
          <w:rFonts w:hint="eastAsia" w:eastAsia="黑体" w:cstheme="majorBidi"/>
          <w:bCs/>
          <w:szCs w:val="32"/>
        </w:rPr>
        <w:tab/>
      </w:r>
      <w:r>
        <w:rPr>
          <w:rFonts w:hint="eastAsia" w:eastAsia="黑体" w:cstheme="majorBidi"/>
          <w:bCs/>
          <w:szCs w:val="32"/>
        </w:rPr>
        <w:t>危险废物污染防治措施</w:t>
      </w:r>
    </w:p>
    <w:p>
      <w:pPr>
        <w:pStyle w:val="3"/>
        <w:ind w:firstLine="480"/>
        <w:rPr>
          <w:kern w:val="0"/>
        </w:rPr>
      </w:pPr>
      <w:r>
        <w:rPr>
          <w:rFonts w:hint="eastAsia"/>
          <w:kern w:val="0"/>
        </w:rPr>
        <w:t>本项目制冷系统设备保养过程中会产生少部分废冷冻机油，胴体检疫过程中会产生检疫废物，根据《国家危险废物名录》（</w:t>
      </w:r>
      <w:r>
        <w:rPr>
          <w:kern w:val="0"/>
        </w:rPr>
        <w:t>2021</w:t>
      </w:r>
      <w:r>
        <w:rPr>
          <w:rFonts w:hint="eastAsia"/>
          <w:kern w:val="0"/>
        </w:rPr>
        <w:t>），这部分废料均属于危险废物，收集后委托有资质的危废处置单位进行处置。</w:t>
      </w:r>
    </w:p>
    <w:p>
      <w:pPr>
        <w:pStyle w:val="3"/>
        <w:ind w:firstLine="480"/>
        <w:rPr>
          <w:kern w:val="0"/>
        </w:rPr>
      </w:pPr>
      <w:r>
        <w:rPr>
          <w:rFonts w:hint="eastAsia"/>
          <w:kern w:val="0"/>
        </w:rPr>
        <w:t>按照《中华人民共和国固体废物污染环境防治法》要求，项目实施单位应将具体的危险废物处置办法报请环保行政管理部门批准后，该项目方可实施，严禁将危险废物私自处理。</w:t>
      </w:r>
    </w:p>
    <w:p>
      <w:pPr>
        <w:pStyle w:val="3"/>
        <w:ind w:firstLine="480"/>
        <w:rPr>
          <w:kern w:val="0"/>
        </w:rPr>
      </w:pPr>
      <w:r>
        <w:rPr>
          <w:rFonts w:hint="eastAsia"/>
          <w:kern w:val="0"/>
        </w:rPr>
        <w:t>1、危险废物的储存</w:t>
      </w:r>
    </w:p>
    <w:p>
      <w:pPr>
        <w:pStyle w:val="3"/>
        <w:ind w:firstLine="480"/>
        <w:rPr>
          <w:kern w:val="0"/>
        </w:rPr>
      </w:pPr>
      <w:r>
        <w:rPr>
          <w:rFonts w:hint="eastAsia"/>
          <w:kern w:val="0"/>
        </w:rPr>
        <w:t>环评要求建设单位在厂内设一间危废暂存间，建筑面积</w:t>
      </w:r>
      <w:r>
        <w:rPr>
          <w:kern w:val="0"/>
        </w:rPr>
        <w:t>20m</w:t>
      </w:r>
      <w:r>
        <w:rPr>
          <w:kern w:val="0"/>
          <w:vertAlign w:val="superscript"/>
        </w:rPr>
        <w:t>2</w:t>
      </w:r>
      <w:r>
        <w:rPr>
          <w:rFonts w:hint="eastAsia"/>
          <w:kern w:val="0"/>
        </w:rPr>
        <w:t>，可以满足危险废物日常暂存量的需要。危废暂存间严格按照《危险废物贮存污染控制标准》（</w:t>
      </w:r>
      <w:r>
        <w:rPr>
          <w:kern w:val="0"/>
        </w:rPr>
        <w:t>GB18597-2001</w:t>
      </w:r>
      <w:r>
        <w:rPr>
          <w:rFonts w:hint="eastAsia"/>
          <w:kern w:val="0"/>
        </w:rPr>
        <w:t>）及其修改单的要求设计，拟采取措施如下：</w:t>
      </w:r>
    </w:p>
    <w:p>
      <w:pPr>
        <w:pStyle w:val="3"/>
        <w:ind w:firstLine="480"/>
        <w:rPr>
          <w:kern w:val="0"/>
        </w:rPr>
      </w:pPr>
      <w:r>
        <w:rPr>
          <w:rFonts w:hint="eastAsia"/>
          <w:kern w:val="0"/>
        </w:rPr>
        <w:t>（1）项目各危险废物存放于相应的专用容器中，并贴上废物分类专用标签，临时堆放在危废暂存间中，累积一定数量后由有资质单位统一运输。</w:t>
      </w:r>
    </w:p>
    <w:p>
      <w:pPr>
        <w:pStyle w:val="3"/>
        <w:ind w:firstLine="480"/>
        <w:rPr>
          <w:kern w:val="0"/>
        </w:rPr>
      </w:pPr>
      <w:r>
        <w:rPr>
          <w:rFonts w:hint="eastAsia"/>
          <w:kern w:val="0"/>
        </w:rPr>
        <w:t>（2）不相容的危险废物必须分开存放，并设有隔离间隔断。项目危险废物包括废检疫废物（</w:t>
      </w:r>
      <w:r>
        <w:rPr>
          <w:kern w:val="0"/>
        </w:rPr>
        <w:t>900-047-49</w:t>
      </w:r>
      <w:r>
        <w:rPr>
          <w:rFonts w:hint="eastAsia"/>
          <w:kern w:val="0"/>
        </w:rPr>
        <w:t>）、废冷冻机油（</w:t>
      </w:r>
      <w:r>
        <w:rPr>
          <w:kern w:val="0"/>
        </w:rPr>
        <w:t>900-219-08</w:t>
      </w:r>
      <w:r>
        <w:rPr>
          <w:rFonts w:hint="eastAsia"/>
          <w:kern w:val="0"/>
        </w:rPr>
        <w:t>），危险废物中不含强氧化剂、强酸、强碱等腐蚀性废物，危险废物性质相容，不会发生化学反应。危险废物外包装必须完好无损，各危险废物单独收集后独立密封包装，并设置物品名称、处置方式、禁忌物、防护措施等警示标识，分类分区存放。</w:t>
      </w:r>
    </w:p>
    <w:p>
      <w:pPr>
        <w:pStyle w:val="3"/>
        <w:ind w:firstLine="480"/>
        <w:rPr>
          <w:kern w:val="0"/>
        </w:rPr>
      </w:pPr>
      <w:r>
        <w:rPr>
          <w:rFonts w:hint="eastAsia"/>
          <w:kern w:val="0"/>
        </w:rPr>
        <w:t>（3）危险废物全部暂存于危险暂存间内，做到防风、防雨、防晒，内设通讯设备、照明设施、防火、防雷装置，并配备一定的消防器材，严禁烟火。</w:t>
      </w:r>
    </w:p>
    <w:p>
      <w:pPr>
        <w:pStyle w:val="3"/>
        <w:ind w:firstLine="480"/>
        <w:rPr>
          <w:kern w:val="0"/>
        </w:rPr>
      </w:pPr>
      <w:r>
        <w:rPr>
          <w:rFonts w:hint="eastAsia"/>
          <w:kern w:val="0"/>
        </w:rPr>
        <w:t>（4）危险废物暂存间地面基础必须防渗，防渗层渗透系≤</w:t>
      </w:r>
      <w:r>
        <w:rPr>
          <w:kern w:val="0"/>
        </w:rPr>
        <w:t>10</w:t>
      </w:r>
      <w:r>
        <w:rPr>
          <w:kern w:val="0"/>
          <w:vertAlign w:val="superscript"/>
        </w:rPr>
        <w:t>-7</w:t>
      </w:r>
      <w:r>
        <w:rPr>
          <w:kern w:val="0"/>
        </w:rPr>
        <w:t>cm/s</w:t>
      </w:r>
      <w:r>
        <w:rPr>
          <w:rFonts w:hint="eastAsia"/>
          <w:kern w:val="0"/>
        </w:rPr>
        <w:t>。</w:t>
      </w:r>
    </w:p>
    <w:p>
      <w:pPr>
        <w:pStyle w:val="3"/>
        <w:ind w:firstLine="480"/>
        <w:rPr>
          <w:kern w:val="0"/>
        </w:rPr>
      </w:pPr>
      <w:r>
        <w:rPr>
          <w:rFonts w:hint="eastAsia"/>
          <w:kern w:val="0"/>
        </w:rPr>
        <w:t>（5）危废暂存间应设有隔离设施，并建有堵截泄漏的裙脚，地面与裙脚用坚固防渗材料建造。</w:t>
      </w:r>
    </w:p>
    <w:p>
      <w:pPr>
        <w:pStyle w:val="3"/>
        <w:ind w:firstLine="480"/>
        <w:rPr>
          <w:kern w:val="0"/>
        </w:rPr>
      </w:pPr>
      <w:r>
        <w:rPr>
          <w:rFonts w:hint="eastAsia"/>
          <w:kern w:val="0"/>
        </w:rPr>
        <w:t>（6）危险废物收集时应填写危险废物收集记录表，并将记录表作为危废管理的重要档案妥善保存；包装好的危废应设置相应标签，标签信息应填写完整。建立危险废物贮存的台账制度，危废出入库应填写危险废物出入库交接记录表。</w:t>
      </w:r>
    </w:p>
    <w:p>
      <w:pPr>
        <w:pStyle w:val="3"/>
        <w:ind w:firstLine="480"/>
        <w:rPr>
          <w:kern w:val="0"/>
        </w:rPr>
      </w:pPr>
      <w:r>
        <w:rPr>
          <w:rFonts w:hint="eastAsia"/>
          <w:kern w:val="0"/>
        </w:rPr>
        <w:t>（7）危险废物临时贮存场所容量按满足企业存放需求设置，设置有警示标志，周围有安全照明系统，需达到防风、防雨、防晒、防渗，地面渗透系数小于</w:t>
      </w:r>
      <w:r>
        <w:rPr>
          <w:kern w:val="0"/>
        </w:rPr>
        <w:t>10</w:t>
      </w:r>
      <w:r>
        <w:rPr>
          <w:kern w:val="0"/>
          <w:vertAlign w:val="superscript"/>
        </w:rPr>
        <w:t>-7</w:t>
      </w:r>
      <w:r>
        <w:rPr>
          <w:kern w:val="0"/>
        </w:rPr>
        <w:t>cm/s</w:t>
      </w:r>
      <w:r>
        <w:rPr>
          <w:rFonts w:hint="eastAsia"/>
          <w:kern w:val="0"/>
        </w:rPr>
        <w:t>，周围的水沟能及时疏导地面径流。</w:t>
      </w:r>
    </w:p>
    <w:p>
      <w:pPr>
        <w:pStyle w:val="3"/>
        <w:ind w:firstLine="480"/>
        <w:rPr>
          <w:kern w:val="0"/>
        </w:rPr>
      </w:pPr>
      <w:r>
        <w:rPr>
          <w:rFonts w:hint="eastAsia"/>
          <w:kern w:val="0"/>
        </w:rPr>
        <w:t>危废临时储存场所严格按照《危险废物贮存污染控制标准》（</w:t>
      </w:r>
      <w:r>
        <w:rPr>
          <w:kern w:val="0"/>
        </w:rPr>
        <w:t>GB18597-2001</w:t>
      </w:r>
      <w:r>
        <w:rPr>
          <w:rFonts w:hint="eastAsia"/>
          <w:kern w:val="0"/>
        </w:rPr>
        <w:t>）及其修改单相关要求进行防雨、防渗、防腐处理，安全可靠，不会受到风雨侵蚀，可有效地防止临时存放过程中的二次污染。</w:t>
      </w:r>
    </w:p>
    <w:p>
      <w:pPr>
        <w:pStyle w:val="3"/>
        <w:ind w:firstLine="480"/>
        <w:rPr>
          <w:rFonts w:ascii="宋体" w:cs="宋体" w:eastAsiaTheme="minorEastAsia"/>
          <w:kern w:val="0"/>
          <w:szCs w:val="24"/>
        </w:rPr>
      </w:pPr>
      <w:r>
        <w:rPr>
          <w:rFonts w:hint="eastAsia"/>
          <w:kern w:val="0"/>
        </w:rPr>
        <w:t>2、</w:t>
      </w:r>
      <w:r>
        <w:rPr>
          <w:rFonts w:hint="eastAsia" w:ascii="宋体" w:cs="宋体"/>
          <w:kern w:val="0"/>
          <w:szCs w:val="24"/>
        </w:rPr>
        <w:t>危险废物的转移</w:t>
      </w:r>
    </w:p>
    <w:p>
      <w:pPr>
        <w:pStyle w:val="3"/>
        <w:ind w:firstLine="480"/>
        <w:rPr>
          <w:kern w:val="0"/>
        </w:rPr>
      </w:pPr>
      <w:r>
        <w:rPr>
          <w:rFonts w:hint="eastAsia"/>
          <w:kern w:val="0"/>
        </w:rPr>
        <w:t>项目内危险废物约每年清运一次，根据中华人民共和国国务院令第</w:t>
      </w:r>
      <w:r>
        <w:rPr>
          <w:kern w:val="0"/>
        </w:rPr>
        <w:t xml:space="preserve">591 </w:t>
      </w:r>
      <w:r>
        <w:rPr>
          <w:rFonts w:hint="eastAsia"/>
          <w:kern w:val="0"/>
        </w:rPr>
        <w:t>号《危险化学品安全管理条例》以及《危险废物转移联单管理办法》的有关规定，在危险废物外运转移时必须严格落实转移联单制度，并委托有相应资质的单位外运进行处置。</w:t>
      </w:r>
    </w:p>
    <w:p>
      <w:pPr>
        <w:pStyle w:val="3"/>
        <w:ind w:firstLine="0" w:firstLineChars="0"/>
        <w:outlineLvl w:val="3"/>
        <w:rPr>
          <w:rFonts w:eastAsia="黑体" w:cstheme="majorBidi"/>
          <w:bCs/>
          <w:szCs w:val="32"/>
        </w:rPr>
      </w:pPr>
      <w:r>
        <w:rPr>
          <w:rFonts w:hint="eastAsia" w:eastAsia="黑体" w:cstheme="majorBidi"/>
          <w:bCs/>
          <w:szCs w:val="32"/>
        </w:rPr>
        <w:t>8.2.5.2</w:t>
      </w:r>
      <w:r>
        <w:rPr>
          <w:rFonts w:hint="eastAsia" w:eastAsia="黑体" w:cstheme="majorBidi"/>
          <w:bCs/>
          <w:szCs w:val="32"/>
        </w:rPr>
        <w:tab/>
      </w:r>
      <w:r>
        <w:rPr>
          <w:rFonts w:hint="eastAsia" w:eastAsia="黑体" w:cstheme="majorBidi"/>
          <w:bCs/>
          <w:szCs w:val="32"/>
        </w:rPr>
        <w:t>一般固废污染防治措施</w:t>
      </w:r>
    </w:p>
    <w:p>
      <w:pPr>
        <w:pStyle w:val="3"/>
        <w:ind w:firstLine="480"/>
        <w:rPr>
          <w:rFonts w:cs="Times New Roman"/>
          <w:kern w:val="0"/>
        </w:rPr>
      </w:pPr>
      <w:r>
        <w:rPr>
          <w:rFonts w:cs="Times New Roman"/>
          <w:kern w:val="0"/>
        </w:rPr>
        <w:t>（1）畜禽粪便：粪便采用“干清粪”工艺清理暂存于待宰间设置的储粪池，</w:t>
      </w:r>
      <w:r>
        <w:rPr>
          <w:rFonts w:cs="Times New Roman"/>
        </w:rPr>
        <w:t>日产日清，</w:t>
      </w:r>
      <w:r>
        <w:rPr>
          <w:rFonts w:hint="eastAsia" w:cs="Times New Roman"/>
        </w:rPr>
        <w:t>交由衡阳县喜耕田有机肥厂回收处理</w:t>
      </w:r>
      <w:r>
        <w:rPr>
          <w:rFonts w:cs="Times New Roman"/>
          <w:kern w:val="0"/>
        </w:rPr>
        <w:t>；</w:t>
      </w:r>
    </w:p>
    <w:p>
      <w:pPr>
        <w:pStyle w:val="3"/>
        <w:ind w:firstLine="480"/>
        <w:rPr>
          <w:rFonts w:cs="Times New Roman"/>
          <w:kern w:val="0"/>
        </w:rPr>
      </w:pPr>
      <w:r>
        <w:rPr>
          <w:rFonts w:cs="Times New Roman"/>
          <w:kern w:val="0"/>
        </w:rPr>
        <w:t>（2）内脏容物、屠宰废弃物：</w:t>
      </w:r>
      <w:r>
        <w:rPr>
          <w:rFonts w:cs="Times New Roman"/>
        </w:rPr>
        <w:t>密闭容器收集后，暂存于冷柜内一般固废暂存区，日产日清，由附近养殖户清运作为饲料</w:t>
      </w:r>
      <w:r>
        <w:rPr>
          <w:rFonts w:cs="Times New Roman"/>
          <w:kern w:val="0"/>
        </w:rPr>
        <w:t>；</w:t>
      </w:r>
    </w:p>
    <w:p>
      <w:pPr>
        <w:pStyle w:val="3"/>
        <w:ind w:firstLine="480"/>
        <w:rPr>
          <w:rFonts w:cs="Times New Roman"/>
          <w:kern w:val="0"/>
        </w:rPr>
      </w:pPr>
      <w:r>
        <w:rPr>
          <w:rFonts w:cs="Times New Roman"/>
          <w:kern w:val="0"/>
        </w:rPr>
        <w:t>（3）</w:t>
      </w:r>
      <w:r>
        <w:rPr>
          <w:rFonts w:cs="Times New Roman"/>
        </w:rPr>
        <w:t>腊鸭毛混合物</w:t>
      </w:r>
      <w:r>
        <w:rPr>
          <w:rFonts w:cs="Times New Roman"/>
          <w:kern w:val="0"/>
        </w:rPr>
        <w:t>：</w:t>
      </w:r>
      <w:r>
        <w:rPr>
          <w:rFonts w:cs="Times New Roman"/>
        </w:rPr>
        <w:t>收集后由食用蜡供应厂家回收</w:t>
      </w:r>
      <w:r>
        <w:rPr>
          <w:rFonts w:cs="Times New Roman"/>
          <w:kern w:val="0"/>
        </w:rPr>
        <w:t>；</w:t>
      </w:r>
    </w:p>
    <w:p>
      <w:pPr>
        <w:pStyle w:val="3"/>
        <w:ind w:firstLine="480"/>
        <w:rPr>
          <w:rFonts w:cs="Times New Roman"/>
        </w:rPr>
      </w:pPr>
      <w:r>
        <w:rPr>
          <w:rFonts w:cs="Times New Roman"/>
          <w:kern w:val="0"/>
        </w:rPr>
        <w:t>（4）</w:t>
      </w:r>
      <w:r>
        <w:rPr>
          <w:rFonts w:cs="Times New Roman"/>
        </w:rPr>
        <w:t>栅渣：日产日清，交有处理能力单位回收利用；</w:t>
      </w:r>
    </w:p>
    <w:p>
      <w:pPr>
        <w:pStyle w:val="3"/>
        <w:ind w:firstLine="480"/>
        <w:rPr>
          <w:rFonts w:ascii="宋体" w:cs="宋体"/>
        </w:rPr>
      </w:pPr>
      <w:r>
        <w:rPr>
          <w:rFonts w:cs="Times New Roman"/>
        </w:rPr>
        <w:t>（5）</w:t>
      </w:r>
      <w:r>
        <w:rPr>
          <w:rFonts w:hint="eastAsia" w:ascii="宋体" w:cs="宋体"/>
        </w:rPr>
        <w:t>粪渣、沼渣：定期清理，交由衡阳县喜耕田有机肥厂回收处理；</w:t>
      </w:r>
    </w:p>
    <w:p>
      <w:pPr>
        <w:pStyle w:val="3"/>
        <w:ind w:firstLine="480"/>
        <w:rPr>
          <w:rFonts w:cs="Times New Roman"/>
        </w:rPr>
      </w:pPr>
      <w:r>
        <w:rPr>
          <w:rFonts w:cs="Times New Roman"/>
        </w:rPr>
        <w:t>（6）生物质炉渣：收集后用作农肥</w:t>
      </w:r>
      <w:r>
        <w:rPr>
          <w:rFonts w:hint="eastAsia" w:cs="Times New Roman"/>
        </w:rPr>
        <w:t>；</w:t>
      </w:r>
    </w:p>
    <w:p>
      <w:pPr>
        <w:pStyle w:val="3"/>
        <w:ind w:firstLine="480"/>
        <w:rPr>
          <w:rFonts w:cs="Times New Roman"/>
          <w:kern w:val="0"/>
        </w:rPr>
      </w:pPr>
      <w:r>
        <w:rPr>
          <w:rFonts w:hint="eastAsia" w:cs="Times New Roman"/>
        </w:rPr>
        <w:t>（7）</w:t>
      </w:r>
      <w:r>
        <w:rPr>
          <w:rFonts w:hint="eastAsia" w:ascii="宋体" w:cs="宋体"/>
        </w:rPr>
        <w:t>不合格家禽</w:t>
      </w:r>
      <w:r>
        <w:rPr>
          <w:rFonts w:hint="eastAsia"/>
        </w:rPr>
        <w:t>、病死牛：</w:t>
      </w:r>
      <w:r>
        <w:rPr>
          <w:rFonts w:hint="eastAsia" w:ascii="宋体" w:cs="宋体"/>
        </w:rPr>
        <w:t>急宰后冷柜贮存，交由有资质的集中病死畜禽无害化处理中心收集处理</w:t>
      </w:r>
      <w:r>
        <w:rPr>
          <w:rFonts w:cs="Times New Roman"/>
          <w:kern w:val="0"/>
        </w:rPr>
        <w:t>。</w:t>
      </w:r>
    </w:p>
    <w:p>
      <w:pPr>
        <w:pStyle w:val="3"/>
        <w:ind w:firstLine="480"/>
        <w:rPr>
          <w:kern w:val="0"/>
        </w:rPr>
      </w:pPr>
      <w:r>
        <w:rPr>
          <w:rFonts w:hint="eastAsia"/>
          <w:kern w:val="0"/>
        </w:rPr>
        <w:t>本项目一般固废暂存间、冷库均需地面硬底化，进行防渗处理的基础上采用封闭贮存，做好围护、棚遮。</w:t>
      </w:r>
    </w:p>
    <w:p>
      <w:pPr>
        <w:pStyle w:val="3"/>
        <w:ind w:firstLine="0" w:firstLineChars="0"/>
        <w:outlineLvl w:val="3"/>
        <w:rPr>
          <w:rFonts w:eastAsia="黑体" w:cstheme="majorBidi"/>
          <w:bCs/>
          <w:szCs w:val="32"/>
        </w:rPr>
      </w:pPr>
      <w:r>
        <w:rPr>
          <w:rFonts w:hint="eastAsia" w:eastAsia="黑体" w:cstheme="majorBidi"/>
          <w:bCs/>
          <w:szCs w:val="32"/>
        </w:rPr>
        <w:t>8.2.5.3</w:t>
      </w:r>
      <w:r>
        <w:rPr>
          <w:rFonts w:hint="eastAsia" w:eastAsia="黑体" w:cstheme="majorBidi"/>
          <w:bCs/>
          <w:szCs w:val="32"/>
        </w:rPr>
        <w:tab/>
      </w:r>
      <w:r>
        <w:rPr>
          <w:rFonts w:hint="eastAsia" w:eastAsia="黑体" w:cstheme="majorBidi"/>
          <w:bCs/>
          <w:szCs w:val="32"/>
        </w:rPr>
        <w:t>生活垃圾防治措施</w:t>
      </w:r>
    </w:p>
    <w:p>
      <w:pPr>
        <w:pStyle w:val="3"/>
        <w:ind w:firstLine="480"/>
        <w:rPr>
          <w:kern w:val="0"/>
        </w:rPr>
      </w:pPr>
      <w:r>
        <w:rPr>
          <w:rFonts w:hint="eastAsia"/>
          <w:kern w:val="0"/>
        </w:rPr>
        <w:t>生活垃圾按环卫部门要求分类收集、集中存放，并由环卫部门定期清运。</w:t>
      </w:r>
    </w:p>
    <w:p>
      <w:pPr>
        <w:pStyle w:val="3"/>
        <w:ind w:firstLine="480"/>
        <w:rPr>
          <w:kern w:val="0"/>
        </w:rPr>
      </w:pPr>
      <w:r>
        <w:rPr>
          <w:rFonts w:hint="eastAsia"/>
          <w:kern w:val="0"/>
        </w:rPr>
        <w:t>经采取以上措施，项目固废对周围环境影响较小，固体废物污染防治措施经济、技术可行。</w:t>
      </w:r>
    </w:p>
    <w:p>
      <w:pPr>
        <w:pStyle w:val="3"/>
        <w:ind w:firstLine="480"/>
        <w:rPr>
          <w:kern w:val="0"/>
        </w:rPr>
      </w:pPr>
    </w:p>
    <w:p>
      <w:pPr>
        <w:pStyle w:val="3"/>
        <w:ind w:firstLine="480"/>
        <w:rPr>
          <w:rFonts w:cs="Times New Roman"/>
          <w:kern w:val="0"/>
        </w:rPr>
        <w:sectPr>
          <w:pgSz w:w="11906" w:h="16838"/>
          <w:pgMar w:top="1474" w:right="1361" w:bottom="1474" w:left="1588" w:header="851" w:footer="992" w:gutter="0"/>
          <w:cols w:space="425" w:num="1"/>
          <w:docGrid w:type="lines" w:linePitch="312" w:charSpace="0"/>
        </w:sectPr>
      </w:pPr>
    </w:p>
    <w:p>
      <w:pPr>
        <w:pStyle w:val="2"/>
        <w:ind w:left="0"/>
      </w:pPr>
      <w:bookmarkStart w:id="44" w:name="_Toc116993084"/>
      <w:r>
        <w:rPr>
          <w:rFonts w:hint="eastAsia"/>
        </w:rPr>
        <w:t>环境</w:t>
      </w:r>
      <w:r>
        <w:t>经济损益分析</w:t>
      </w:r>
      <w:bookmarkEnd w:id="44"/>
    </w:p>
    <w:p>
      <w:pPr>
        <w:pStyle w:val="3"/>
        <w:ind w:firstLine="480"/>
      </w:pPr>
      <w:r>
        <w:rPr>
          <w:rFonts w:hint="eastAsia"/>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w:t>
      </w:r>
    </w:p>
    <w:p>
      <w:pPr>
        <w:pStyle w:val="3"/>
        <w:ind w:firstLine="480"/>
      </w:pPr>
      <w:r>
        <w:rPr>
          <w:rFonts w:hint="eastAsia"/>
        </w:rPr>
        <w:t>然而，经济效益比较直观，很容易用货币直接计算，而污染影响带来的损失一般是间接的，很难用货币直接计算。因此，目前环境影响经济损益的定量分析难度较大，本项目环境经济损益采用定性与半定量相结合的方法进行简要分析。</w:t>
      </w:r>
    </w:p>
    <w:p>
      <w:pPr>
        <w:pStyle w:val="5"/>
      </w:pPr>
      <w:bookmarkStart w:id="45" w:name="_Toc116993085"/>
      <w:r>
        <w:rPr>
          <w:rFonts w:hint="eastAsia"/>
        </w:rPr>
        <w:t>环境</w:t>
      </w:r>
      <w:r>
        <w:t>保护估算</w:t>
      </w:r>
      <w:bookmarkEnd w:id="45"/>
    </w:p>
    <w:p>
      <w:pPr>
        <w:pStyle w:val="3"/>
        <w:ind w:firstLine="480"/>
        <w:rPr>
          <w:color w:val="FF0000"/>
          <w:u w:val="single"/>
        </w:rPr>
      </w:pPr>
      <w:r>
        <w:rPr>
          <w:rFonts w:hint="eastAsia"/>
          <w:color w:val="FF0000"/>
          <w:u w:val="single"/>
        </w:rPr>
        <w:t>《建设项目环境保护设计规定》规定：“凡属于污染治理和保护环境所需的装置、设备、监测手段和工程设施等属于环境保护设施”，“凡有环境保护设施的建设项目均应列入环境保护设施的投资概算”。根据工程分析和环境影响预测可知，项目建成投产后，产生的废气、废水、噪声、废渣等将对周围环境造成一定的影响，因此必须投入一定的资金，采取相应的污染治理措施，使工程对环境的影响降到最小程度</w:t>
      </w:r>
      <w:r>
        <w:rPr>
          <w:color w:val="FF0000"/>
          <w:u w:val="single"/>
        </w:rPr>
        <w:t>，项目</w:t>
      </w:r>
      <w:r>
        <w:rPr>
          <w:rFonts w:hint="eastAsia"/>
          <w:color w:val="FF0000"/>
          <w:u w:val="single"/>
        </w:rPr>
        <w:t>具体的环保措施及投资估算见表9.1-1。</w:t>
      </w:r>
    </w:p>
    <w:p>
      <w:pPr>
        <w:pStyle w:val="3"/>
        <w:ind w:firstLine="480"/>
        <w:rPr>
          <w:rFonts w:cs="Times New Roman"/>
          <w:color w:val="FF0000"/>
          <w:u w:val="single"/>
        </w:rPr>
      </w:pPr>
      <w:r>
        <w:rPr>
          <w:rFonts w:cs="Times New Roman"/>
          <w:color w:val="FF0000"/>
          <w:u w:val="single"/>
        </w:rPr>
        <w:t>本工程环保投资估算为</w:t>
      </w:r>
      <w:r>
        <w:rPr>
          <w:rFonts w:hint="eastAsia" w:cs="Times New Roman"/>
          <w:color w:val="FF0000"/>
          <w:u w:val="single"/>
        </w:rPr>
        <w:t>275</w:t>
      </w:r>
      <w:r>
        <w:rPr>
          <w:rFonts w:cs="Times New Roman"/>
          <w:color w:val="FF0000"/>
          <w:u w:val="single"/>
        </w:rPr>
        <w:t>万元，占总投资（1500万元）的</w:t>
      </w:r>
      <w:r>
        <w:rPr>
          <w:rFonts w:hint="eastAsia" w:cs="Times New Roman"/>
          <w:color w:val="FF0000"/>
          <w:u w:val="single"/>
        </w:rPr>
        <w:t>18.33</w:t>
      </w:r>
      <w:r>
        <w:rPr>
          <w:rFonts w:cs="Times New Roman"/>
          <w:color w:val="FF0000"/>
          <w:u w:val="single"/>
        </w:rPr>
        <w:t>%。具体见表</w:t>
      </w:r>
      <w:r>
        <w:rPr>
          <w:rFonts w:hint="eastAsia" w:cs="Times New Roman"/>
          <w:color w:val="FF0000"/>
          <w:u w:val="single"/>
        </w:rPr>
        <w:t>9.1-1</w:t>
      </w:r>
      <w:r>
        <w:rPr>
          <w:rFonts w:cs="Times New Roman"/>
          <w:color w:val="FF0000"/>
          <w:u w:val="single"/>
        </w:rPr>
        <w:t>。</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w:t>
      </w:r>
      <w:r>
        <w:rPr>
          <w:rFonts w:hint="eastAsia" w:cs="Times New Roman" w:eastAsiaTheme="minorEastAsia"/>
          <w:b/>
          <w:color w:val="FF0000"/>
          <w:u w:val="single"/>
        </w:rPr>
        <w:t>9</w:t>
      </w:r>
      <w:r>
        <w:rPr>
          <w:rFonts w:cs="Times New Roman" w:eastAsiaTheme="minorEastAsia"/>
          <w:b/>
          <w:color w:val="FF0000"/>
          <w:u w:val="single"/>
        </w:rPr>
        <w:t>.1-1    环保措施投资估算表</w:t>
      </w:r>
    </w:p>
    <w:tbl>
      <w:tblPr>
        <w:tblStyle w:val="30"/>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59"/>
        <w:gridCol w:w="4207"/>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Align w:val="center"/>
          </w:tcPr>
          <w:p>
            <w:pPr>
              <w:pStyle w:val="49"/>
              <w:rPr>
                <w:rFonts w:cs="Times New Roman"/>
                <w:color w:val="FF0000"/>
                <w:u w:val="single"/>
              </w:rPr>
            </w:pPr>
            <w:r>
              <w:rPr>
                <w:rFonts w:cs="Times New Roman"/>
                <w:color w:val="FF0000"/>
                <w:u w:val="single"/>
              </w:rPr>
              <w:t>时段</w:t>
            </w:r>
          </w:p>
        </w:tc>
        <w:tc>
          <w:tcPr>
            <w:tcW w:w="1559" w:type="dxa"/>
            <w:vAlign w:val="center"/>
          </w:tcPr>
          <w:p>
            <w:pPr>
              <w:pStyle w:val="49"/>
              <w:rPr>
                <w:rFonts w:cs="Times New Roman"/>
                <w:color w:val="FF0000"/>
                <w:u w:val="single"/>
              </w:rPr>
            </w:pPr>
            <w:r>
              <w:rPr>
                <w:rFonts w:cs="Times New Roman"/>
                <w:color w:val="FF0000"/>
                <w:u w:val="single"/>
              </w:rPr>
              <w:t>污染源</w:t>
            </w:r>
          </w:p>
        </w:tc>
        <w:tc>
          <w:tcPr>
            <w:tcW w:w="4207" w:type="dxa"/>
            <w:vAlign w:val="center"/>
          </w:tcPr>
          <w:p>
            <w:pPr>
              <w:pStyle w:val="49"/>
              <w:rPr>
                <w:rFonts w:cs="Times New Roman"/>
                <w:color w:val="FF0000"/>
                <w:u w:val="single"/>
              </w:rPr>
            </w:pPr>
            <w:r>
              <w:rPr>
                <w:rFonts w:cs="Times New Roman"/>
                <w:color w:val="FF0000"/>
                <w:u w:val="single"/>
              </w:rPr>
              <w:t>环保设施名称</w:t>
            </w:r>
          </w:p>
        </w:tc>
        <w:tc>
          <w:tcPr>
            <w:tcW w:w="2306" w:type="dxa"/>
            <w:vAlign w:val="center"/>
          </w:tcPr>
          <w:p>
            <w:pPr>
              <w:pStyle w:val="49"/>
              <w:rPr>
                <w:rFonts w:cs="Times New Roman"/>
                <w:color w:val="FF0000"/>
                <w:u w:val="single"/>
              </w:rPr>
            </w:pPr>
            <w:r>
              <w:rPr>
                <w:rFonts w:cs="Times New Roman"/>
                <w:color w:val="FF0000"/>
                <w:u w:val="singl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pPr>
              <w:pStyle w:val="49"/>
              <w:rPr>
                <w:rFonts w:cs="Times New Roman"/>
                <w:color w:val="FF0000"/>
                <w:u w:val="single"/>
              </w:rPr>
            </w:pPr>
            <w:r>
              <w:rPr>
                <w:rFonts w:cs="Times New Roman"/>
                <w:color w:val="FF0000"/>
                <w:u w:val="single"/>
              </w:rPr>
              <w:t>施工期</w:t>
            </w:r>
          </w:p>
        </w:tc>
        <w:tc>
          <w:tcPr>
            <w:tcW w:w="1559" w:type="dxa"/>
            <w:vAlign w:val="center"/>
          </w:tcPr>
          <w:p>
            <w:pPr>
              <w:pStyle w:val="49"/>
              <w:rPr>
                <w:rFonts w:cs="Times New Roman"/>
                <w:color w:val="FF0000"/>
                <w:u w:val="single"/>
              </w:rPr>
            </w:pPr>
            <w:r>
              <w:rPr>
                <w:rFonts w:cs="Times New Roman"/>
                <w:color w:val="FF0000"/>
                <w:u w:val="single"/>
              </w:rPr>
              <w:t>废水处理</w:t>
            </w:r>
          </w:p>
        </w:tc>
        <w:tc>
          <w:tcPr>
            <w:tcW w:w="4207" w:type="dxa"/>
            <w:vAlign w:val="center"/>
          </w:tcPr>
          <w:p>
            <w:pPr>
              <w:pStyle w:val="49"/>
              <w:rPr>
                <w:rFonts w:cs="Times New Roman"/>
                <w:color w:val="FF0000"/>
                <w:u w:val="single"/>
              </w:rPr>
            </w:pPr>
            <w:r>
              <w:rPr>
                <w:rFonts w:cs="Times New Roman"/>
                <w:color w:val="FF0000"/>
                <w:u w:val="single"/>
              </w:rPr>
              <w:t>隔油沉淀池（2×2×1m）</w:t>
            </w:r>
          </w:p>
        </w:tc>
        <w:tc>
          <w:tcPr>
            <w:tcW w:w="2306" w:type="dxa"/>
            <w:vAlign w:val="center"/>
          </w:tcPr>
          <w:p>
            <w:pPr>
              <w:pStyle w:val="49"/>
              <w:rPr>
                <w:rFonts w:cs="Times New Roman"/>
                <w:color w:val="FF0000"/>
                <w:u w:val="single"/>
              </w:rPr>
            </w:pPr>
            <w:r>
              <w:rPr>
                <w:rFonts w:cs="Times New Roman"/>
                <w:color w:val="FF0000"/>
                <w:u w:val="singl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扬尘控制</w:t>
            </w:r>
          </w:p>
        </w:tc>
        <w:tc>
          <w:tcPr>
            <w:tcW w:w="4207" w:type="dxa"/>
            <w:vAlign w:val="center"/>
          </w:tcPr>
          <w:p>
            <w:pPr>
              <w:pStyle w:val="49"/>
              <w:rPr>
                <w:rFonts w:cs="Times New Roman"/>
                <w:color w:val="FF0000"/>
                <w:u w:val="single"/>
              </w:rPr>
            </w:pPr>
            <w:r>
              <w:rPr>
                <w:rFonts w:cs="Times New Roman"/>
                <w:color w:val="FF0000"/>
                <w:u w:val="single"/>
              </w:rPr>
              <w:t>围挡、洒水</w:t>
            </w:r>
          </w:p>
        </w:tc>
        <w:tc>
          <w:tcPr>
            <w:tcW w:w="2306" w:type="dxa"/>
            <w:vAlign w:val="center"/>
          </w:tcPr>
          <w:p>
            <w:pPr>
              <w:pStyle w:val="49"/>
              <w:rPr>
                <w:rFonts w:cs="Times New Roman"/>
                <w:color w:val="FF0000"/>
                <w:u w:val="single"/>
              </w:rPr>
            </w:pPr>
            <w:r>
              <w:rPr>
                <w:rFonts w:cs="Times New Roman"/>
                <w:color w:val="FF0000"/>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噪声控制</w:t>
            </w:r>
          </w:p>
        </w:tc>
        <w:tc>
          <w:tcPr>
            <w:tcW w:w="4207" w:type="dxa"/>
            <w:vAlign w:val="center"/>
          </w:tcPr>
          <w:p>
            <w:pPr>
              <w:pStyle w:val="49"/>
              <w:rPr>
                <w:rFonts w:cs="Times New Roman"/>
                <w:color w:val="FF0000"/>
                <w:u w:val="single"/>
              </w:rPr>
            </w:pPr>
            <w:r>
              <w:rPr>
                <w:rFonts w:cs="Times New Roman"/>
                <w:color w:val="FF0000"/>
                <w:u w:val="single"/>
              </w:rPr>
              <w:t>可拆卸性活动板隔声屏</w:t>
            </w:r>
          </w:p>
        </w:tc>
        <w:tc>
          <w:tcPr>
            <w:tcW w:w="2306" w:type="dxa"/>
            <w:vAlign w:val="center"/>
          </w:tcPr>
          <w:p>
            <w:pPr>
              <w:pStyle w:val="49"/>
              <w:rPr>
                <w:rFonts w:cs="Times New Roman"/>
                <w:color w:val="FF0000"/>
                <w:u w:val="single"/>
              </w:rPr>
            </w:pPr>
            <w:r>
              <w:rPr>
                <w:rFonts w:cs="Times New Roman"/>
                <w:color w:val="FF0000"/>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固废处理</w:t>
            </w:r>
          </w:p>
        </w:tc>
        <w:tc>
          <w:tcPr>
            <w:tcW w:w="4207" w:type="dxa"/>
            <w:vAlign w:val="center"/>
          </w:tcPr>
          <w:p>
            <w:pPr>
              <w:pStyle w:val="49"/>
              <w:rPr>
                <w:rFonts w:cs="Times New Roman"/>
                <w:color w:val="FF0000"/>
                <w:u w:val="single"/>
              </w:rPr>
            </w:pPr>
            <w:r>
              <w:rPr>
                <w:rFonts w:cs="Times New Roman"/>
                <w:color w:val="FF0000"/>
                <w:u w:val="single"/>
              </w:rPr>
              <w:t>垃圾收集及清运</w:t>
            </w:r>
          </w:p>
        </w:tc>
        <w:tc>
          <w:tcPr>
            <w:tcW w:w="2306" w:type="dxa"/>
            <w:vAlign w:val="center"/>
          </w:tcPr>
          <w:p>
            <w:pPr>
              <w:pStyle w:val="49"/>
              <w:rPr>
                <w:rFonts w:cs="Times New Roman"/>
                <w:color w:val="FF0000"/>
                <w:u w:val="single"/>
              </w:rPr>
            </w:pPr>
            <w:r>
              <w:rPr>
                <w:rFonts w:cs="Times New Roman"/>
                <w:color w:val="FF0000"/>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水土流失</w:t>
            </w:r>
          </w:p>
        </w:tc>
        <w:tc>
          <w:tcPr>
            <w:tcW w:w="4207" w:type="dxa"/>
            <w:vAlign w:val="center"/>
          </w:tcPr>
          <w:p>
            <w:pPr>
              <w:pStyle w:val="49"/>
              <w:rPr>
                <w:rFonts w:cs="Times New Roman"/>
                <w:color w:val="FF0000"/>
                <w:u w:val="single"/>
              </w:rPr>
            </w:pPr>
            <w:r>
              <w:rPr>
                <w:rFonts w:cs="Times New Roman"/>
                <w:color w:val="FF0000"/>
                <w:u w:val="single"/>
              </w:rPr>
              <w:t>排水系统、渣土覆盖、施工地生态恢复</w:t>
            </w:r>
          </w:p>
        </w:tc>
        <w:tc>
          <w:tcPr>
            <w:tcW w:w="2306" w:type="dxa"/>
            <w:vAlign w:val="center"/>
          </w:tcPr>
          <w:p>
            <w:pPr>
              <w:pStyle w:val="49"/>
              <w:rPr>
                <w:rFonts w:cs="Times New Roman"/>
                <w:color w:val="FF0000"/>
                <w:u w:val="single"/>
              </w:rPr>
            </w:pPr>
            <w:r>
              <w:rPr>
                <w:rFonts w:hint="eastAsia" w:cs="Times New Roman"/>
                <w:color w:val="FF0000"/>
                <w:u w:val="singl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5766" w:type="dxa"/>
            <w:gridSpan w:val="2"/>
            <w:vAlign w:val="center"/>
          </w:tcPr>
          <w:p>
            <w:pPr>
              <w:pStyle w:val="49"/>
              <w:rPr>
                <w:rFonts w:cs="Times New Roman"/>
                <w:color w:val="FF0000"/>
                <w:u w:val="single"/>
              </w:rPr>
            </w:pPr>
            <w:r>
              <w:rPr>
                <w:rFonts w:cs="Times New Roman"/>
                <w:color w:val="FF0000"/>
                <w:u w:val="single"/>
              </w:rPr>
              <w:t>小计</w:t>
            </w:r>
          </w:p>
        </w:tc>
        <w:tc>
          <w:tcPr>
            <w:tcW w:w="2306" w:type="dxa"/>
            <w:vAlign w:val="center"/>
          </w:tcPr>
          <w:p>
            <w:pPr>
              <w:pStyle w:val="49"/>
              <w:rPr>
                <w:rFonts w:cs="Times New Roman"/>
                <w:color w:val="FF0000"/>
                <w:u w:val="single"/>
              </w:rPr>
            </w:pPr>
            <w:r>
              <w:rPr>
                <w:rFonts w:hint="eastAsia" w:cs="Times New Roman"/>
                <w:color w:val="FF0000"/>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pPr>
              <w:pStyle w:val="49"/>
              <w:rPr>
                <w:rFonts w:cs="Times New Roman"/>
                <w:color w:val="FF0000"/>
                <w:u w:val="single"/>
              </w:rPr>
            </w:pPr>
            <w:r>
              <w:rPr>
                <w:rFonts w:cs="Times New Roman"/>
                <w:color w:val="FF0000"/>
                <w:u w:val="single"/>
              </w:rPr>
              <w:t>营运期</w:t>
            </w:r>
          </w:p>
        </w:tc>
        <w:tc>
          <w:tcPr>
            <w:tcW w:w="1559" w:type="dxa"/>
            <w:vMerge w:val="restart"/>
            <w:vAlign w:val="center"/>
          </w:tcPr>
          <w:p>
            <w:pPr>
              <w:pStyle w:val="49"/>
              <w:rPr>
                <w:rFonts w:cs="Times New Roman"/>
                <w:color w:val="FF0000"/>
                <w:u w:val="single"/>
              </w:rPr>
            </w:pPr>
            <w:r>
              <w:rPr>
                <w:rFonts w:cs="Times New Roman"/>
                <w:color w:val="FF0000"/>
                <w:u w:val="single"/>
              </w:rPr>
              <w:t>废水处理</w:t>
            </w:r>
          </w:p>
        </w:tc>
        <w:tc>
          <w:tcPr>
            <w:tcW w:w="4207" w:type="dxa"/>
            <w:vAlign w:val="center"/>
          </w:tcPr>
          <w:p>
            <w:pPr>
              <w:pStyle w:val="49"/>
              <w:rPr>
                <w:rFonts w:cs="Times New Roman"/>
                <w:color w:val="FF0000"/>
                <w:u w:val="single"/>
              </w:rPr>
            </w:pPr>
            <w:r>
              <w:rPr>
                <w:rFonts w:cs="Times New Roman"/>
                <w:color w:val="FF0000"/>
                <w:u w:val="single"/>
              </w:rPr>
              <w:t>粪污处理系统（</w:t>
            </w:r>
            <w:r>
              <w:rPr>
                <w:rFonts w:hint="eastAsia" w:cs="Times New Roman"/>
                <w:color w:val="FF0000"/>
                <w:u w:val="single"/>
              </w:rPr>
              <w:t>600</w:t>
            </w:r>
            <w:r>
              <w:rPr>
                <w:rFonts w:cs="Times New Roman"/>
                <w:color w:val="FF0000"/>
                <w:u w:val="single"/>
              </w:rPr>
              <w:t>m</w:t>
            </w:r>
            <w:r>
              <w:rPr>
                <w:rFonts w:cs="Times New Roman"/>
                <w:color w:val="FF0000"/>
                <w:u w:val="single"/>
                <w:vertAlign w:val="superscript"/>
              </w:rPr>
              <w:t>3</w:t>
            </w:r>
            <w:r>
              <w:rPr>
                <w:rFonts w:cs="Times New Roman"/>
                <w:color w:val="FF0000"/>
                <w:u w:val="single"/>
              </w:rPr>
              <w:t>/d）</w:t>
            </w:r>
            <w:r>
              <w:rPr>
                <w:rFonts w:hint="eastAsia" w:cs="Times New Roman"/>
                <w:color w:val="FF0000"/>
                <w:u w:val="single"/>
              </w:rPr>
              <w:t>并建设相关配套设施</w:t>
            </w:r>
          </w:p>
        </w:tc>
        <w:tc>
          <w:tcPr>
            <w:tcW w:w="2306" w:type="dxa"/>
            <w:vAlign w:val="center"/>
          </w:tcPr>
          <w:p>
            <w:pPr>
              <w:pStyle w:val="49"/>
              <w:rPr>
                <w:rFonts w:cs="Times New Roman"/>
                <w:color w:val="FF0000"/>
                <w:u w:val="single"/>
              </w:rPr>
            </w:pPr>
            <w:r>
              <w:rPr>
                <w:rFonts w:hint="eastAsia" w:cs="Times New Roman"/>
                <w:color w:val="FF0000"/>
                <w:u w:val="single"/>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continue"/>
            <w:vAlign w:val="center"/>
          </w:tcPr>
          <w:p>
            <w:pPr>
              <w:pStyle w:val="49"/>
              <w:rPr>
                <w:rFonts w:cs="Times New Roman"/>
                <w:color w:val="FF0000"/>
                <w:u w:val="single"/>
              </w:rPr>
            </w:pPr>
          </w:p>
        </w:tc>
        <w:tc>
          <w:tcPr>
            <w:tcW w:w="4207" w:type="dxa"/>
            <w:vAlign w:val="center"/>
          </w:tcPr>
          <w:p>
            <w:pPr>
              <w:pStyle w:val="49"/>
              <w:rPr>
                <w:rFonts w:cs="Times New Roman"/>
                <w:color w:val="FF0000"/>
                <w:u w:val="single"/>
              </w:rPr>
            </w:pPr>
            <w:r>
              <w:rPr>
                <w:rFonts w:cs="Times New Roman"/>
                <w:color w:val="FF0000"/>
                <w:u w:val="single"/>
              </w:rPr>
              <w:t>监控井（1个）</w:t>
            </w:r>
          </w:p>
        </w:tc>
        <w:tc>
          <w:tcPr>
            <w:tcW w:w="2306" w:type="dxa"/>
            <w:vAlign w:val="center"/>
          </w:tcPr>
          <w:p>
            <w:pPr>
              <w:pStyle w:val="49"/>
              <w:rPr>
                <w:rFonts w:cs="Times New Roman"/>
                <w:color w:val="FF0000"/>
                <w:u w:val="single"/>
              </w:rPr>
            </w:pPr>
            <w:r>
              <w:rPr>
                <w:rFonts w:cs="Times New Roman"/>
                <w:color w:val="FF0000"/>
                <w:u w:val="singl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restart"/>
            <w:vAlign w:val="center"/>
          </w:tcPr>
          <w:p>
            <w:pPr>
              <w:pStyle w:val="49"/>
              <w:rPr>
                <w:rFonts w:cs="Times New Roman"/>
                <w:color w:val="FF0000"/>
                <w:u w:val="single"/>
              </w:rPr>
            </w:pPr>
            <w:r>
              <w:rPr>
                <w:rFonts w:cs="Times New Roman"/>
                <w:color w:val="FF0000"/>
                <w:u w:val="single"/>
              </w:rPr>
              <w:t>废气治理</w:t>
            </w:r>
          </w:p>
        </w:tc>
        <w:tc>
          <w:tcPr>
            <w:tcW w:w="4207" w:type="dxa"/>
            <w:vAlign w:val="center"/>
          </w:tcPr>
          <w:p>
            <w:pPr>
              <w:pStyle w:val="49"/>
              <w:rPr>
                <w:rFonts w:cs="Times New Roman"/>
                <w:color w:val="FF0000"/>
                <w:u w:val="single"/>
              </w:rPr>
            </w:pPr>
            <w:r>
              <w:rPr>
                <w:rFonts w:hint="eastAsia"/>
                <w:color w:val="FF0000"/>
                <w:u w:val="single"/>
              </w:rPr>
              <w:t>厂房加强通风换气，按时喷洒生物除臭剂，厂界绿化；栅渣、粪渣、沼渣及时清运，水处理池加盖并喷洒除臭剂，加强绿化</w:t>
            </w:r>
          </w:p>
        </w:tc>
        <w:tc>
          <w:tcPr>
            <w:tcW w:w="2306" w:type="dxa"/>
            <w:vAlign w:val="center"/>
          </w:tcPr>
          <w:p>
            <w:pPr>
              <w:pStyle w:val="49"/>
              <w:rPr>
                <w:rFonts w:cs="Times New Roman"/>
                <w:color w:val="FF0000"/>
                <w:u w:val="single"/>
              </w:rPr>
            </w:pPr>
            <w:r>
              <w:rPr>
                <w:rFonts w:hint="eastAsia" w:cs="Times New Roman"/>
                <w:color w:val="FF0000"/>
                <w:u w:val="singl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continue"/>
            <w:vAlign w:val="center"/>
          </w:tcPr>
          <w:p>
            <w:pPr>
              <w:pStyle w:val="49"/>
              <w:rPr>
                <w:rFonts w:cs="Times New Roman"/>
                <w:color w:val="FF0000"/>
                <w:u w:val="single"/>
              </w:rPr>
            </w:pPr>
          </w:p>
        </w:tc>
        <w:tc>
          <w:tcPr>
            <w:tcW w:w="4207" w:type="dxa"/>
            <w:vAlign w:val="center"/>
          </w:tcPr>
          <w:p>
            <w:pPr>
              <w:pStyle w:val="49"/>
              <w:rPr>
                <w:rFonts w:cs="Times New Roman"/>
                <w:color w:val="FF0000"/>
                <w:u w:val="single"/>
              </w:rPr>
            </w:pPr>
            <w:r>
              <w:rPr>
                <w:rFonts w:hint="eastAsia" w:cs="Times New Roman"/>
                <w:color w:val="FF0000"/>
                <w:u w:val="single"/>
              </w:rPr>
              <w:t>锅炉废气：</w:t>
            </w:r>
            <w:r>
              <w:rPr>
                <w:rFonts w:hint="eastAsia" w:eastAsiaTheme="minorEastAsia"/>
                <w:color w:val="FF0000"/>
                <w:u w:val="single"/>
              </w:rPr>
              <w:t>布袋除尘处理</w:t>
            </w:r>
            <w:r>
              <w:rPr>
                <w:rFonts w:eastAsiaTheme="minorEastAsia"/>
                <w:color w:val="FF0000"/>
                <w:u w:val="single"/>
              </w:rPr>
              <w:t>+20m高排气筒</w:t>
            </w:r>
          </w:p>
        </w:tc>
        <w:tc>
          <w:tcPr>
            <w:tcW w:w="2306" w:type="dxa"/>
            <w:vAlign w:val="center"/>
          </w:tcPr>
          <w:p>
            <w:pPr>
              <w:pStyle w:val="49"/>
              <w:rPr>
                <w:rFonts w:cs="Times New Roman"/>
                <w:color w:val="FF0000"/>
                <w:u w:val="single"/>
              </w:rPr>
            </w:pPr>
            <w:r>
              <w:rPr>
                <w:rFonts w:hint="eastAsia" w:cs="Times New Roman"/>
                <w:color w:val="FF0000"/>
                <w:u w:val="singl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噪声防治</w:t>
            </w:r>
          </w:p>
        </w:tc>
        <w:tc>
          <w:tcPr>
            <w:tcW w:w="4207" w:type="dxa"/>
            <w:vAlign w:val="center"/>
          </w:tcPr>
          <w:p>
            <w:pPr>
              <w:pStyle w:val="49"/>
              <w:rPr>
                <w:rFonts w:cs="Times New Roman"/>
                <w:color w:val="FF0000"/>
                <w:u w:val="single"/>
              </w:rPr>
            </w:pPr>
            <w:r>
              <w:rPr>
                <w:rFonts w:cs="Times New Roman"/>
                <w:color w:val="FF0000"/>
                <w:u w:val="single"/>
              </w:rPr>
              <w:t>消声减振、吸声设备</w:t>
            </w:r>
          </w:p>
        </w:tc>
        <w:tc>
          <w:tcPr>
            <w:tcW w:w="2306" w:type="dxa"/>
            <w:vAlign w:val="center"/>
          </w:tcPr>
          <w:p>
            <w:pPr>
              <w:pStyle w:val="49"/>
              <w:rPr>
                <w:rFonts w:cs="Times New Roman"/>
                <w:color w:val="FF0000"/>
                <w:u w:val="single"/>
              </w:rPr>
            </w:pPr>
            <w:r>
              <w:rPr>
                <w:rFonts w:cs="Times New Roman"/>
                <w:color w:val="FF0000"/>
                <w:u w:val="singl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restart"/>
            <w:vAlign w:val="center"/>
          </w:tcPr>
          <w:p>
            <w:pPr>
              <w:pStyle w:val="49"/>
              <w:rPr>
                <w:rFonts w:cs="Times New Roman"/>
                <w:color w:val="FF0000"/>
                <w:u w:val="single"/>
              </w:rPr>
            </w:pPr>
            <w:r>
              <w:rPr>
                <w:rFonts w:cs="Times New Roman"/>
                <w:color w:val="FF0000"/>
                <w:u w:val="single"/>
              </w:rPr>
              <w:t>固废处理</w:t>
            </w:r>
          </w:p>
        </w:tc>
        <w:tc>
          <w:tcPr>
            <w:tcW w:w="4207" w:type="dxa"/>
            <w:vAlign w:val="center"/>
          </w:tcPr>
          <w:p>
            <w:pPr>
              <w:pStyle w:val="49"/>
              <w:rPr>
                <w:rFonts w:cs="Times New Roman"/>
                <w:color w:val="FF0000"/>
                <w:u w:val="single"/>
              </w:rPr>
            </w:pPr>
            <w:r>
              <w:rPr>
                <w:rFonts w:hint="eastAsia" w:cs="Times New Roman"/>
                <w:color w:val="FF0000"/>
                <w:u w:val="single"/>
              </w:rPr>
              <w:t>病死畜禽冷库贮存，</w:t>
            </w:r>
            <w:r>
              <w:rPr>
                <w:color w:val="FF0000"/>
                <w:u w:val="single"/>
              </w:rPr>
              <w:t>交由有资质的集中病死畜禽无害化处理中心收集处理</w:t>
            </w:r>
            <w:r>
              <w:rPr>
                <w:rFonts w:hint="eastAsia"/>
                <w:color w:val="FF0000"/>
                <w:u w:val="single"/>
              </w:rPr>
              <w:t>。</w:t>
            </w:r>
          </w:p>
        </w:tc>
        <w:tc>
          <w:tcPr>
            <w:tcW w:w="2306" w:type="dxa"/>
            <w:vAlign w:val="center"/>
          </w:tcPr>
          <w:p>
            <w:pPr>
              <w:pStyle w:val="49"/>
              <w:rPr>
                <w:rFonts w:cs="Times New Roman"/>
                <w:color w:val="FF0000"/>
                <w:u w:val="single"/>
              </w:rPr>
            </w:pPr>
            <w:r>
              <w:rPr>
                <w:rFonts w:hint="eastAsia" w:cs="Times New Roman"/>
                <w:color w:val="FF0000"/>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continue"/>
            <w:vAlign w:val="center"/>
          </w:tcPr>
          <w:p>
            <w:pPr>
              <w:pStyle w:val="49"/>
              <w:rPr>
                <w:rFonts w:cs="Times New Roman"/>
                <w:color w:val="FF0000"/>
                <w:u w:val="single"/>
              </w:rPr>
            </w:pPr>
          </w:p>
        </w:tc>
        <w:tc>
          <w:tcPr>
            <w:tcW w:w="4207" w:type="dxa"/>
            <w:vAlign w:val="center"/>
          </w:tcPr>
          <w:p>
            <w:pPr>
              <w:pStyle w:val="49"/>
              <w:rPr>
                <w:rFonts w:cs="Times New Roman"/>
                <w:color w:val="FF0000"/>
                <w:u w:val="single"/>
              </w:rPr>
            </w:pPr>
            <w:r>
              <w:rPr>
                <w:rFonts w:cs="Times New Roman"/>
                <w:color w:val="FF0000"/>
                <w:u w:val="single"/>
              </w:rPr>
              <w:t>一般固废暂存间（5m</w:t>
            </w:r>
            <w:r>
              <w:rPr>
                <w:rFonts w:cs="Times New Roman"/>
                <w:color w:val="FF0000"/>
                <w:u w:val="single"/>
                <w:vertAlign w:val="superscript"/>
              </w:rPr>
              <w:t>2</w:t>
            </w:r>
            <w:r>
              <w:rPr>
                <w:rFonts w:cs="Times New Roman"/>
                <w:color w:val="FF0000"/>
                <w:u w:val="single"/>
              </w:rPr>
              <w:t>）</w:t>
            </w:r>
          </w:p>
        </w:tc>
        <w:tc>
          <w:tcPr>
            <w:tcW w:w="2306" w:type="dxa"/>
            <w:vAlign w:val="center"/>
          </w:tcPr>
          <w:p>
            <w:pPr>
              <w:pStyle w:val="49"/>
              <w:rPr>
                <w:rFonts w:cs="Times New Roman"/>
                <w:color w:val="FF0000"/>
                <w:u w:val="single"/>
              </w:rPr>
            </w:pPr>
            <w:r>
              <w:rPr>
                <w:rFonts w:cs="Times New Roman"/>
                <w:color w:val="FF0000"/>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continue"/>
            <w:vAlign w:val="center"/>
          </w:tcPr>
          <w:p>
            <w:pPr>
              <w:pStyle w:val="49"/>
              <w:rPr>
                <w:rFonts w:cs="Times New Roman"/>
                <w:color w:val="FF0000"/>
                <w:u w:val="single"/>
              </w:rPr>
            </w:pPr>
          </w:p>
        </w:tc>
        <w:tc>
          <w:tcPr>
            <w:tcW w:w="4207" w:type="dxa"/>
            <w:vAlign w:val="center"/>
          </w:tcPr>
          <w:p>
            <w:pPr>
              <w:pStyle w:val="49"/>
              <w:rPr>
                <w:rFonts w:cs="Times New Roman"/>
                <w:color w:val="FF0000"/>
                <w:u w:val="single"/>
              </w:rPr>
            </w:pPr>
            <w:r>
              <w:rPr>
                <w:rFonts w:hint="eastAsia" w:cs="Times New Roman"/>
                <w:color w:val="FF0000"/>
                <w:u w:val="single"/>
              </w:rPr>
              <w:t>危废暂存间</w:t>
            </w:r>
            <w:r>
              <w:rPr>
                <w:rFonts w:cs="Times New Roman"/>
                <w:color w:val="FF0000"/>
                <w:u w:val="single"/>
              </w:rPr>
              <w:t>（</w:t>
            </w:r>
            <w:r>
              <w:rPr>
                <w:rFonts w:hint="eastAsia" w:cs="Times New Roman"/>
                <w:color w:val="FF0000"/>
                <w:u w:val="single"/>
              </w:rPr>
              <w:t>20</w:t>
            </w:r>
            <w:r>
              <w:rPr>
                <w:rFonts w:cs="Times New Roman"/>
                <w:color w:val="FF0000"/>
                <w:u w:val="single"/>
              </w:rPr>
              <w:t>m</w:t>
            </w:r>
            <w:r>
              <w:rPr>
                <w:rFonts w:cs="Times New Roman"/>
                <w:color w:val="FF0000"/>
                <w:u w:val="single"/>
                <w:vertAlign w:val="superscript"/>
              </w:rPr>
              <w:t>2</w:t>
            </w:r>
            <w:r>
              <w:rPr>
                <w:rFonts w:cs="Times New Roman"/>
                <w:color w:val="FF0000"/>
                <w:u w:val="single"/>
              </w:rPr>
              <w:t>）</w:t>
            </w:r>
          </w:p>
        </w:tc>
        <w:tc>
          <w:tcPr>
            <w:tcW w:w="2306" w:type="dxa"/>
            <w:vAlign w:val="center"/>
          </w:tcPr>
          <w:p>
            <w:pPr>
              <w:pStyle w:val="49"/>
              <w:rPr>
                <w:rFonts w:cs="Times New Roman"/>
                <w:color w:val="FF0000"/>
                <w:u w:val="single"/>
              </w:rPr>
            </w:pPr>
            <w:r>
              <w:rPr>
                <w:rFonts w:hint="eastAsia" w:cs="Times New Roman"/>
                <w:color w:val="FF0000"/>
                <w:u w:val="singl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Merge w:val="continue"/>
            <w:vAlign w:val="center"/>
          </w:tcPr>
          <w:p>
            <w:pPr>
              <w:pStyle w:val="49"/>
              <w:rPr>
                <w:rFonts w:cs="Times New Roman"/>
                <w:color w:val="FF0000"/>
                <w:u w:val="single"/>
              </w:rPr>
            </w:pPr>
          </w:p>
        </w:tc>
        <w:tc>
          <w:tcPr>
            <w:tcW w:w="4207" w:type="dxa"/>
            <w:vAlign w:val="center"/>
          </w:tcPr>
          <w:p>
            <w:pPr>
              <w:pStyle w:val="49"/>
              <w:rPr>
                <w:rFonts w:cs="Times New Roman"/>
                <w:color w:val="FF0000"/>
                <w:u w:val="single"/>
              </w:rPr>
            </w:pPr>
            <w:r>
              <w:rPr>
                <w:rFonts w:cs="Times New Roman"/>
                <w:color w:val="FF0000"/>
                <w:u w:val="single"/>
              </w:rPr>
              <w:t>生活垃圾收集桶</w:t>
            </w:r>
          </w:p>
        </w:tc>
        <w:tc>
          <w:tcPr>
            <w:tcW w:w="2306" w:type="dxa"/>
            <w:vAlign w:val="center"/>
          </w:tcPr>
          <w:p>
            <w:pPr>
              <w:pStyle w:val="49"/>
              <w:rPr>
                <w:rFonts w:cs="Times New Roman"/>
                <w:color w:val="FF0000"/>
                <w:u w:val="single"/>
              </w:rPr>
            </w:pPr>
            <w:r>
              <w:rPr>
                <w:rFonts w:cs="Times New Roman"/>
                <w:color w:val="FF0000"/>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生态保护</w:t>
            </w:r>
          </w:p>
        </w:tc>
        <w:tc>
          <w:tcPr>
            <w:tcW w:w="4207" w:type="dxa"/>
            <w:vAlign w:val="center"/>
          </w:tcPr>
          <w:p>
            <w:pPr>
              <w:pStyle w:val="49"/>
              <w:rPr>
                <w:rFonts w:cs="Times New Roman"/>
                <w:color w:val="FF0000"/>
                <w:u w:val="single"/>
              </w:rPr>
            </w:pPr>
            <w:r>
              <w:rPr>
                <w:rFonts w:cs="Times New Roman"/>
                <w:color w:val="FF0000"/>
                <w:u w:val="single"/>
              </w:rPr>
              <w:t>场区场界绿化</w:t>
            </w:r>
          </w:p>
        </w:tc>
        <w:tc>
          <w:tcPr>
            <w:tcW w:w="2306" w:type="dxa"/>
            <w:vAlign w:val="center"/>
          </w:tcPr>
          <w:p>
            <w:pPr>
              <w:pStyle w:val="49"/>
              <w:rPr>
                <w:rFonts w:cs="Times New Roman"/>
                <w:color w:val="FF0000"/>
                <w:u w:val="single"/>
              </w:rPr>
            </w:pPr>
            <w:r>
              <w:rPr>
                <w:rFonts w:hint="eastAsia" w:cs="Times New Roman"/>
                <w:color w:val="FF0000"/>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1559" w:type="dxa"/>
            <w:vAlign w:val="center"/>
          </w:tcPr>
          <w:p>
            <w:pPr>
              <w:pStyle w:val="49"/>
              <w:rPr>
                <w:rFonts w:cs="Times New Roman"/>
                <w:color w:val="FF0000"/>
                <w:u w:val="single"/>
              </w:rPr>
            </w:pPr>
            <w:r>
              <w:rPr>
                <w:rFonts w:cs="Times New Roman"/>
                <w:color w:val="FF0000"/>
                <w:u w:val="single"/>
              </w:rPr>
              <w:t>环境风险</w:t>
            </w:r>
          </w:p>
        </w:tc>
        <w:tc>
          <w:tcPr>
            <w:tcW w:w="4207" w:type="dxa"/>
            <w:vAlign w:val="center"/>
          </w:tcPr>
          <w:p>
            <w:pPr>
              <w:pStyle w:val="49"/>
              <w:rPr>
                <w:rFonts w:cs="Times New Roman"/>
                <w:color w:val="FF0000"/>
                <w:u w:val="single"/>
              </w:rPr>
            </w:pPr>
            <w:r>
              <w:rPr>
                <w:rFonts w:cs="Times New Roman"/>
                <w:color w:val="FF0000"/>
                <w:u w:val="single"/>
              </w:rPr>
              <w:t>粪污处理系统等重点防渗区加强防渗措施</w:t>
            </w:r>
          </w:p>
        </w:tc>
        <w:tc>
          <w:tcPr>
            <w:tcW w:w="2306" w:type="dxa"/>
            <w:vAlign w:val="center"/>
          </w:tcPr>
          <w:p>
            <w:pPr>
              <w:pStyle w:val="49"/>
              <w:rPr>
                <w:rFonts w:cs="Times New Roman"/>
                <w:color w:val="FF0000"/>
                <w:u w:val="single"/>
              </w:rPr>
            </w:pPr>
            <w:r>
              <w:rPr>
                <w:rFonts w:cs="Times New Roman"/>
                <w:color w:val="FF0000"/>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pPr>
              <w:pStyle w:val="49"/>
              <w:rPr>
                <w:rFonts w:cs="Times New Roman"/>
                <w:color w:val="FF0000"/>
                <w:u w:val="single"/>
              </w:rPr>
            </w:pPr>
          </w:p>
        </w:tc>
        <w:tc>
          <w:tcPr>
            <w:tcW w:w="5766" w:type="dxa"/>
            <w:gridSpan w:val="2"/>
            <w:vAlign w:val="center"/>
          </w:tcPr>
          <w:p>
            <w:pPr>
              <w:pStyle w:val="49"/>
              <w:rPr>
                <w:rFonts w:cs="Times New Roman"/>
                <w:color w:val="FF0000"/>
                <w:u w:val="single"/>
              </w:rPr>
            </w:pPr>
            <w:r>
              <w:rPr>
                <w:rFonts w:cs="Times New Roman"/>
                <w:color w:val="FF0000"/>
                <w:u w:val="single"/>
              </w:rPr>
              <w:t>小计</w:t>
            </w:r>
          </w:p>
        </w:tc>
        <w:tc>
          <w:tcPr>
            <w:tcW w:w="2306" w:type="dxa"/>
            <w:vAlign w:val="center"/>
          </w:tcPr>
          <w:p>
            <w:pPr>
              <w:pStyle w:val="49"/>
              <w:rPr>
                <w:rFonts w:cs="Times New Roman"/>
                <w:color w:val="FF0000"/>
                <w:u w:val="single"/>
              </w:rPr>
            </w:pPr>
            <w:r>
              <w:rPr>
                <w:rFonts w:hint="eastAsia" w:cs="Times New Roman"/>
                <w:color w:val="FF0000"/>
                <w:u w:val="single"/>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gridSpan w:val="3"/>
            <w:vAlign w:val="center"/>
          </w:tcPr>
          <w:p>
            <w:pPr>
              <w:pStyle w:val="49"/>
              <w:rPr>
                <w:rFonts w:cs="Times New Roman"/>
                <w:color w:val="FF0000"/>
                <w:u w:val="single"/>
              </w:rPr>
            </w:pPr>
            <w:r>
              <w:rPr>
                <w:rFonts w:cs="Times New Roman"/>
                <w:color w:val="FF0000"/>
                <w:u w:val="single"/>
              </w:rPr>
              <w:t>合计</w:t>
            </w:r>
          </w:p>
        </w:tc>
        <w:tc>
          <w:tcPr>
            <w:tcW w:w="2306" w:type="dxa"/>
            <w:vAlign w:val="center"/>
          </w:tcPr>
          <w:p>
            <w:pPr>
              <w:pStyle w:val="49"/>
              <w:rPr>
                <w:rFonts w:cs="Times New Roman"/>
                <w:color w:val="FF0000"/>
                <w:u w:val="single"/>
              </w:rPr>
            </w:pPr>
            <w:r>
              <w:rPr>
                <w:rFonts w:hint="eastAsia" w:cs="Times New Roman"/>
                <w:color w:val="FF0000"/>
                <w:u w:val="single"/>
              </w:rPr>
              <w:t>275</w:t>
            </w:r>
          </w:p>
        </w:tc>
      </w:tr>
    </w:tbl>
    <w:p>
      <w:pPr>
        <w:pStyle w:val="3"/>
        <w:ind w:firstLine="480"/>
        <w:rPr>
          <w:color w:val="FF0000"/>
          <w:u w:val="single"/>
        </w:rPr>
      </w:pPr>
      <w:r>
        <w:rPr>
          <w:rFonts w:cs="Times New Roman"/>
          <w:color w:val="FF0000"/>
          <w:u w:val="single"/>
        </w:rPr>
        <w:t>由上表</w:t>
      </w:r>
      <w:r>
        <w:rPr>
          <w:rFonts w:hint="eastAsia" w:cs="Times New Roman"/>
          <w:color w:val="FF0000"/>
          <w:u w:val="single"/>
        </w:rPr>
        <w:t>9.1-1</w:t>
      </w:r>
      <w:r>
        <w:rPr>
          <w:rFonts w:cs="Times New Roman"/>
          <w:color w:val="FF0000"/>
          <w:u w:val="single"/>
        </w:rPr>
        <w:t>可知，本项目环保总投资为</w:t>
      </w:r>
      <w:r>
        <w:rPr>
          <w:rFonts w:hint="eastAsia" w:cs="Times New Roman"/>
          <w:color w:val="FF0000"/>
          <w:u w:val="single"/>
        </w:rPr>
        <w:t>275</w:t>
      </w:r>
      <w:r>
        <w:rPr>
          <w:rFonts w:cs="Times New Roman"/>
          <w:color w:val="FF0000"/>
          <w:u w:val="single"/>
        </w:rPr>
        <w:t>万元，占建设总投资（1500万元）的</w:t>
      </w:r>
      <w:r>
        <w:rPr>
          <w:rFonts w:hint="eastAsia" w:cs="Times New Roman"/>
          <w:color w:val="FF0000"/>
          <w:u w:val="single"/>
        </w:rPr>
        <w:t>18.33</w:t>
      </w:r>
      <w:r>
        <w:rPr>
          <w:rFonts w:cs="Times New Roman"/>
          <w:color w:val="FF0000"/>
          <w:u w:val="single"/>
        </w:rPr>
        <w:t>%；其中用于粪污处理的投资最大，共</w:t>
      </w:r>
      <w:r>
        <w:rPr>
          <w:rFonts w:hint="eastAsia" w:cs="Times New Roman"/>
          <w:color w:val="FF0000"/>
          <w:u w:val="single"/>
        </w:rPr>
        <w:t>165</w:t>
      </w:r>
      <w:r>
        <w:rPr>
          <w:rFonts w:cs="Times New Roman"/>
          <w:color w:val="FF0000"/>
          <w:u w:val="single"/>
        </w:rPr>
        <w:t>万元，占环保投资的</w:t>
      </w:r>
      <w:r>
        <w:rPr>
          <w:rFonts w:hint="eastAsia" w:cs="Times New Roman"/>
          <w:color w:val="FF0000"/>
          <w:u w:val="single"/>
        </w:rPr>
        <w:t>60</w:t>
      </w:r>
      <w:r>
        <w:rPr>
          <w:rFonts w:cs="Times New Roman"/>
          <w:color w:val="FF0000"/>
          <w:u w:val="single"/>
        </w:rPr>
        <w:t>%；其次为废气污染治理、绿化措施。从环保投资比例来看，抓住了工程的废水污染治理、绿化及臭气治理的主要特征。因此，环保投资比例适当，分配较为合理。</w:t>
      </w:r>
    </w:p>
    <w:p>
      <w:pPr>
        <w:pStyle w:val="5"/>
      </w:pPr>
      <w:bookmarkStart w:id="46" w:name="_Toc116993086"/>
      <w:r>
        <w:rPr>
          <w:rFonts w:hint="eastAsia"/>
        </w:rPr>
        <w:t>经济</w:t>
      </w:r>
      <w:r>
        <w:t>效益分析</w:t>
      </w:r>
      <w:bookmarkEnd w:id="46"/>
    </w:p>
    <w:p>
      <w:pPr>
        <w:pStyle w:val="3"/>
        <w:ind w:firstLine="480"/>
      </w:pPr>
      <w:r>
        <w:rPr>
          <w:rFonts w:hint="eastAsia"/>
        </w:rPr>
        <w:t>本项目</w:t>
      </w:r>
      <w:r>
        <w:t>的建设，不仅将提高</w:t>
      </w:r>
      <w:r>
        <w:rPr>
          <w:rFonts w:hint="eastAsia"/>
        </w:rPr>
        <w:t>当地屠宰业</w:t>
      </w:r>
      <w:r>
        <w:t>的科技技术发展和产品质量，还可</w:t>
      </w:r>
      <w:r>
        <w:rPr>
          <w:rFonts w:hint="eastAsia"/>
        </w:rPr>
        <w:t>带动</w:t>
      </w:r>
      <w:r>
        <w:t>当地农民脱贫致富</w:t>
      </w:r>
      <w:r>
        <w:rPr>
          <w:rFonts w:hint="eastAsia"/>
        </w:rPr>
        <w:t>。</w:t>
      </w:r>
      <w:r>
        <w:t>本项目的建设将有效解决</w:t>
      </w:r>
      <w:r>
        <w:rPr>
          <w:rFonts w:hint="eastAsia"/>
        </w:rPr>
        <w:t>“三农”问题</w:t>
      </w:r>
      <w:r>
        <w:t>，有利于提高</w:t>
      </w:r>
      <w:r>
        <w:rPr>
          <w:rFonts w:hint="eastAsia"/>
        </w:rPr>
        <w:t>农村</w:t>
      </w:r>
      <w:r>
        <w:t>经济收入，加快农民脱贫致富奔小康的步伐；</w:t>
      </w:r>
      <w:r>
        <w:rPr>
          <w:rFonts w:hint="eastAsia"/>
        </w:rPr>
        <w:t>有利于促进农业生产结构的调整，繁荣农村经济；有利于增加当地劳动就业机会，激活农村剩余劳动力；有利于提高屠宰质量，提高市场竞争力。该项目的实施可带动当地其他种植业、运输业等行业的发展，形成产业链，对于繁荣区域经济起到积极的作用。</w:t>
      </w:r>
    </w:p>
    <w:p>
      <w:pPr>
        <w:pStyle w:val="5"/>
      </w:pPr>
      <w:bookmarkStart w:id="47" w:name="_Toc116993087"/>
      <w:r>
        <w:rPr>
          <w:rFonts w:hint="eastAsia"/>
        </w:rPr>
        <w:t>经济损益</w:t>
      </w:r>
      <w:r>
        <w:t>分析</w:t>
      </w:r>
      <w:bookmarkEnd w:id="47"/>
    </w:p>
    <w:p>
      <w:pPr>
        <w:pStyle w:val="3"/>
        <w:ind w:firstLine="480"/>
      </w:pPr>
      <w:r>
        <w:rPr>
          <w:rFonts w:hint="eastAsia"/>
        </w:rPr>
        <w:t>关于建设项目的环境经济损益分析，国内目前尚无统一标准。此外，项目所排污染物作用于自然环境而造成的经济损失，其过程和机理是十分复杂的，其中有许多不确定因素。而且，许多因环境污染而造成的经济损失和由于污染防治而带来的环境收益，较难计量或是很难准确以货币形式来表达。为此，本报告在环境损益分析中，对于可计量部分给予定量表达，其它则采用类比分析方法予以估算，或者是给予忽略。</w:t>
      </w:r>
    </w:p>
    <w:p>
      <w:pPr>
        <w:pStyle w:val="3"/>
        <w:ind w:firstLine="0" w:firstLineChars="0"/>
        <w:outlineLvl w:val="2"/>
      </w:pPr>
      <w:r>
        <w:rPr>
          <w:rFonts w:hint="eastAsia"/>
        </w:rPr>
        <w:t>9.3.1</w:t>
      </w:r>
      <w:r>
        <w:rPr>
          <w:rFonts w:hint="eastAsia"/>
        </w:rPr>
        <w:tab/>
      </w:r>
      <w:r>
        <w:rPr>
          <w:rFonts w:hint="eastAsia" w:eastAsia="黑体" w:cstheme="majorBidi"/>
          <w:bCs/>
          <w:szCs w:val="32"/>
        </w:rPr>
        <w:t>环境污染的损失</w:t>
      </w:r>
    </w:p>
    <w:p>
      <w:pPr>
        <w:pStyle w:val="3"/>
        <w:ind w:firstLine="480"/>
      </w:pPr>
      <w:r>
        <w:rPr>
          <w:rFonts w:hint="eastAsia"/>
        </w:rPr>
        <w:t>本项目的环境影响主要包括地表水环境、大气环境和声环境。从本报告的环境影响预测评价的结果可知，环境空气污染物、水污染物、噪声的排放均能满足有关排放标准的要求。本项目在营运期正常生产期间环境影响较少，但如发生事故性排放时或多或少对周围的环境产生一定影响并造成损失，但这些污染通过环保设施的有效运行管理和监测工作，可以使其不利的环境影响减小到最低。</w:t>
      </w:r>
    </w:p>
    <w:p>
      <w:pPr>
        <w:pStyle w:val="3"/>
        <w:ind w:firstLine="0" w:firstLineChars="0"/>
        <w:outlineLvl w:val="2"/>
      </w:pPr>
      <w:r>
        <w:rPr>
          <w:rFonts w:hint="eastAsia"/>
        </w:rPr>
        <w:t>9.3.2</w:t>
      </w:r>
      <w:r>
        <w:rPr>
          <w:rFonts w:hint="eastAsia"/>
        </w:rPr>
        <w:tab/>
      </w:r>
      <w:r>
        <w:rPr>
          <w:rFonts w:hint="eastAsia" w:eastAsia="黑体" w:cstheme="majorBidi"/>
          <w:bCs/>
          <w:szCs w:val="32"/>
        </w:rPr>
        <w:t>环境效益分析</w:t>
      </w:r>
    </w:p>
    <w:p>
      <w:pPr>
        <w:pStyle w:val="3"/>
        <w:ind w:firstLine="480"/>
      </w:pPr>
      <w:r>
        <w:rPr>
          <w:rFonts w:hint="eastAsia"/>
        </w:rPr>
        <w:t>项目建成后，废水经过粪污处系统处理后，交由衡阳县喜耕田有机肥厂回收处理后用于</w:t>
      </w:r>
      <w:r>
        <w:rPr>
          <w:rFonts w:hint="eastAsia" w:hAnsi="宋体"/>
        </w:rPr>
        <w:t>灌溉</w:t>
      </w:r>
      <w:r>
        <w:rPr>
          <w:rFonts w:hint="eastAsia"/>
        </w:rPr>
        <w:t>，畜禽粪便交由衡阳县喜耕田有机肥厂回收处理制作优质有机肥。不仅节约了宝贵的水资源，而且还可以推动使用有机肥，改善土壤肥力，节约化肥使用量，还可避免因施用化肥对周围环境产生的影响，增加农作物的收成，是“一举多得”的环保措施。</w:t>
      </w:r>
    </w:p>
    <w:p>
      <w:pPr>
        <w:pStyle w:val="3"/>
        <w:ind w:firstLine="480"/>
      </w:pPr>
      <w:r>
        <w:rPr>
          <w:rFonts w:hint="eastAsia"/>
        </w:rPr>
        <w:t>建设项目环保治理措施的实施，不仅可以有效地控制污染，而且通过对废物的综合利用还能带来一定的经济效益和环境效益。通过对拟建项目生产工艺的分析，项目因环保治理能带来的直接的经济效益和间接的环境效益。直接的经济效益一方面来自污染治理而减少的排污收费，另一方面来自废水回用、废物综合利用所得的经济效益。</w:t>
      </w:r>
    </w:p>
    <w:p>
      <w:pPr>
        <w:pStyle w:val="5"/>
      </w:pPr>
      <w:bookmarkStart w:id="48" w:name="_Toc46322521"/>
      <w:bookmarkStart w:id="49" w:name="_Toc48813095"/>
      <w:bookmarkStart w:id="50" w:name="_Toc62651511"/>
      <w:bookmarkStart w:id="51" w:name="_Toc83392291"/>
      <w:bookmarkStart w:id="52" w:name="_Toc116993088"/>
      <w:r>
        <w:rPr>
          <w:rFonts w:hint="eastAsia"/>
        </w:rPr>
        <w:t>综合评价</w:t>
      </w:r>
      <w:bookmarkEnd w:id="48"/>
      <w:bookmarkEnd w:id="49"/>
      <w:bookmarkEnd w:id="50"/>
      <w:bookmarkEnd w:id="51"/>
      <w:bookmarkEnd w:id="52"/>
    </w:p>
    <w:p>
      <w:pPr>
        <w:pStyle w:val="3"/>
        <w:ind w:firstLine="480"/>
      </w:pPr>
      <w:r>
        <w:rPr>
          <w:rFonts w:hint="eastAsia"/>
        </w:rPr>
        <w:t>在社会效益方面，本项目并对解决周边村民的就业、促进地方的经济发展有重要贡献。</w:t>
      </w:r>
    </w:p>
    <w:p>
      <w:pPr>
        <w:pStyle w:val="3"/>
        <w:ind w:firstLine="480"/>
      </w:pPr>
      <w:r>
        <w:rPr>
          <w:rFonts w:hint="eastAsia"/>
        </w:rPr>
        <w:t>在环境效益方面，本项目的建设和运营会对环境产生一定的影响，但在工程建设中，只要严格执行有关的法律、法规，环保措施执行“三同时”制度，可保证对环境的影响控制在允许范围之内。</w:t>
      </w:r>
    </w:p>
    <w:p>
      <w:pPr>
        <w:pStyle w:val="3"/>
        <w:ind w:firstLine="480"/>
      </w:pPr>
      <w:r>
        <w:rPr>
          <w:rFonts w:hint="eastAsia"/>
        </w:rPr>
        <w:t>在经济效益方面，项目投资利润率与投资利税率较高，有较好的经济效益。</w:t>
      </w:r>
    </w:p>
    <w:p>
      <w:pPr>
        <w:pStyle w:val="3"/>
        <w:ind w:firstLine="480"/>
        <w:sectPr>
          <w:pgSz w:w="11906" w:h="16838"/>
          <w:pgMar w:top="1474" w:right="1361" w:bottom="1474" w:left="1588" w:header="851" w:footer="992" w:gutter="0"/>
          <w:cols w:space="425" w:num="1"/>
          <w:docGrid w:type="lines" w:linePitch="312" w:charSpace="0"/>
        </w:sectPr>
      </w:pPr>
      <w:r>
        <w:rPr>
          <w:rFonts w:hint="eastAsia"/>
        </w:rPr>
        <w:t>综合以上分析，本项目的开发建设，将带来相当大的社会效益，针对项目暴露出来的环境问题而采取相应的污染防治措施后，其环境代价较小。本项目所带来的社会和环境效益远远大于资源和环境污染造成的损失，从环境经济方面来看，项目具备可行性。</w:t>
      </w:r>
    </w:p>
    <w:p>
      <w:pPr>
        <w:pStyle w:val="2"/>
        <w:ind w:left="0"/>
      </w:pPr>
      <w:bookmarkStart w:id="53" w:name="_Toc116993089"/>
      <w:r>
        <w:rPr>
          <w:rFonts w:hint="eastAsia"/>
        </w:rPr>
        <w:t>环境</w:t>
      </w:r>
      <w:r>
        <w:t>管理与环境监测</w:t>
      </w:r>
      <w:bookmarkEnd w:id="53"/>
    </w:p>
    <w:p>
      <w:pPr>
        <w:pStyle w:val="5"/>
      </w:pPr>
      <w:bookmarkStart w:id="54" w:name="_Toc116993090"/>
      <w:r>
        <w:rPr>
          <w:rFonts w:hint="eastAsia"/>
        </w:rPr>
        <w:t>环境</w:t>
      </w:r>
      <w:r>
        <w:t>管理</w:t>
      </w:r>
      <w:bookmarkEnd w:id="54"/>
    </w:p>
    <w:p>
      <w:pPr>
        <w:pStyle w:val="3"/>
        <w:ind w:firstLine="0" w:firstLineChars="0"/>
        <w:outlineLvl w:val="2"/>
      </w:pPr>
      <w:r>
        <w:rPr>
          <w:rFonts w:hint="eastAsia"/>
        </w:rPr>
        <w:t>10.1.1</w:t>
      </w:r>
      <w:r>
        <w:rPr>
          <w:rFonts w:hint="eastAsia"/>
        </w:rPr>
        <w:tab/>
      </w:r>
      <w:r>
        <w:rPr>
          <w:rFonts w:hint="eastAsia" w:eastAsia="黑体" w:cstheme="majorBidi"/>
          <w:bCs/>
          <w:szCs w:val="32"/>
        </w:rPr>
        <w:t>环境管理的基本任务</w:t>
      </w:r>
    </w:p>
    <w:p>
      <w:pPr>
        <w:pStyle w:val="3"/>
        <w:ind w:firstLine="480"/>
        <w:rPr>
          <w:rFonts w:cs="Times New Roman"/>
        </w:rPr>
      </w:pPr>
      <w:r>
        <w:rPr>
          <w:rFonts w:cs="Times New Roman"/>
        </w:rPr>
        <w:t>本项目环境管理的基本任务是：控制污染物排放量，避免污染物对环境质量的损害。</w:t>
      </w:r>
    </w:p>
    <w:p>
      <w:pPr>
        <w:pStyle w:val="3"/>
        <w:ind w:firstLine="480"/>
        <w:rPr>
          <w:rFonts w:cs="Times New Roman"/>
        </w:rPr>
      </w:pPr>
      <w:r>
        <w:rPr>
          <w:rFonts w:cs="Times New Roman"/>
        </w:rPr>
        <w:t>为了控制污染物的排放，就需要加强计划、生产、技术、质量、设备、劳动、财务等方面的管理，把环境管理渗透到整个企业管理中，将环境管理溶合在一起，以减少从生产过程中各环节排出的污染物。</w:t>
      </w:r>
    </w:p>
    <w:p>
      <w:pPr>
        <w:pStyle w:val="3"/>
        <w:ind w:firstLine="480"/>
        <w:rPr>
          <w:rFonts w:cs="Times New Roman"/>
        </w:rPr>
      </w:pPr>
      <w:r>
        <w:rPr>
          <w:rFonts w:cs="Times New Roman"/>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pPr>
        <w:pStyle w:val="3"/>
        <w:ind w:firstLine="0" w:firstLineChars="0"/>
        <w:outlineLvl w:val="2"/>
      </w:pPr>
      <w:r>
        <w:rPr>
          <w:rFonts w:hint="eastAsia"/>
        </w:rPr>
        <w:t>10.1.2</w:t>
      </w:r>
      <w:r>
        <w:rPr>
          <w:rFonts w:hint="eastAsia"/>
        </w:rPr>
        <w:tab/>
      </w:r>
      <w:r>
        <w:rPr>
          <w:rFonts w:hint="eastAsia" w:eastAsia="黑体" w:cstheme="majorBidi"/>
          <w:bCs/>
          <w:szCs w:val="32"/>
        </w:rPr>
        <w:t>环境管理机构</w:t>
      </w:r>
    </w:p>
    <w:p>
      <w:pPr>
        <w:pStyle w:val="3"/>
        <w:ind w:firstLine="480"/>
        <w:rPr>
          <w:rFonts w:cs="Times New Roman"/>
        </w:rPr>
      </w:pPr>
      <w:r>
        <w:rPr>
          <w:rFonts w:cs="Times New Roman"/>
        </w:rPr>
        <w:t>根据国家有关环境保护法规的要求和本项目生产的实际需要，建议该企业在设置组织机构时，考虑设置专门的环保管理机构，配备专职（兼职）环保管理人员1~2名。环保管理人员应有熟悉企业排污状况、具备一定清洁生产知识、责任心强和组织协调能力强的人员担任，以利于监督管理，负责全场的环境保护管理工作，发现问题能及时解决并向上级环保主管部门报告，其主要职责如下：</w:t>
      </w:r>
    </w:p>
    <w:p>
      <w:pPr>
        <w:pStyle w:val="3"/>
        <w:ind w:firstLine="480"/>
        <w:rPr>
          <w:rFonts w:cs="Times New Roman"/>
        </w:rPr>
      </w:pPr>
      <w:r>
        <w:rPr>
          <w:rFonts w:cs="Times New Roman"/>
        </w:rPr>
        <w:t>（1）宣传、贯彻和执行环境保护政策、法律法规及环境保护标准。开展环境保护宣传、教育、培训等专业知识普及工作；</w:t>
      </w:r>
    </w:p>
    <w:p>
      <w:pPr>
        <w:pStyle w:val="3"/>
        <w:ind w:firstLine="480"/>
        <w:rPr>
          <w:rFonts w:cs="Times New Roman"/>
        </w:rPr>
      </w:pPr>
      <w:r>
        <w:rPr>
          <w:rFonts w:cs="Times New Roman"/>
        </w:rPr>
        <w:t>（2）编制并组织实施环境保护规划和计划，并监督执行，负责日常环境保护的管理工作；</w:t>
      </w:r>
    </w:p>
    <w:p>
      <w:pPr>
        <w:pStyle w:val="3"/>
        <w:ind w:firstLine="480"/>
        <w:rPr>
          <w:rFonts w:cs="Times New Roman"/>
        </w:rPr>
      </w:pPr>
      <w:r>
        <w:rPr>
          <w:rFonts w:cs="Times New Roman"/>
        </w:rPr>
        <w:t>（3）领导并组织企业的环境监测工作，建立监测台帐和档案，编写环保简报，做好环境统计，使企业领导、上级部门及时掌握污染治理动态；</w:t>
      </w:r>
    </w:p>
    <w:p>
      <w:pPr>
        <w:pStyle w:val="3"/>
        <w:ind w:firstLine="480"/>
        <w:rPr>
          <w:rFonts w:cs="Times New Roman"/>
        </w:rPr>
      </w:pPr>
      <w:r>
        <w:rPr>
          <w:rFonts w:cs="Times New Roman"/>
        </w:rPr>
        <w:t>（4）建立建全环境保护与劳动安全管理制度，监督工程施工期、运行期和服务期满后环保措施的有效实施；</w:t>
      </w:r>
    </w:p>
    <w:p>
      <w:pPr>
        <w:pStyle w:val="3"/>
        <w:ind w:firstLine="480"/>
        <w:rPr>
          <w:rFonts w:cs="Times New Roman"/>
        </w:rPr>
      </w:pPr>
      <w:r>
        <w:rPr>
          <w:rFonts w:cs="Times New Roman"/>
        </w:rPr>
        <w:t>（5）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pPr>
        <w:pStyle w:val="3"/>
        <w:ind w:firstLine="480"/>
        <w:rPr>
          <w:rFonts w:cs="Times New Roman"/>
        </w:rPr>
      </w:pPr>
      <w:r>
        <w:rPr>
          <w:rFonts w:cs="Times New Roman"/>
        </w:rPr>
        <w:t>（6）检查各环境保护设施的运行情况、负责污染事故性排放的处理和调查。</w:t>
      </w:r>
    </w:p>
    <w:p>
      <w:pPr>
        <w:pStyle w:val="3"/>
        <w:ind w:firstLine="0" w:firstLineChars="0"/>
        <w:outlineLvl w:val="2"/>
      </w:pPr>
      <w:r>
        <w:rPr>
          <w:rFonts w:hint="eastAsia"/>
        </w:rPr>
        <w:t>10.1.3</w:t>
      </w:r>
      <w:r>
        <w:rPr>
          <w:rFonts w:hint="eastAsia"/>
        </w:rPr>
        <w:tab/>
      </w:r>
      <w:r>
        <w:rPr>
          <w:rFonts w:hint="eastAsia" w:eastAsia="黑体" w:cstheme="majorBidi"/>
          <w:bCs/>
          <w:szCs w:val="32"/>
        </w:rPr>
        <w:t>环境保护规章制度和措施</w:t>
      </w:r>
    </w:p>
    <w:p>
      <w:pPr>
        <w:pStyle w:val="3"/>
        <w:ind w:firstLine="480"/>
        <w:rPr>
          <w:rFonts w:cs="Times New Roman"/>
          <w:color w:val="FF0000"/>
          <w:u w:val="single"/>
        </w:rPr>
      </w:pPr>
      <w:r>
        <w:rPr>
          <w:rFonts w:cs="Times New Roman"/>
          <w:color w:val="FF0000"/>
          <w:u w:val="single"/>
        </w:rPr>
        <w:t>（1）制定环保设施的运行管理和定期监测制度；</w:t>
      </w:r>
    </w:p>
    <w:p>
      <w:pPr>
        <w:pStyle w:val="3"/>
        <w:ind w:firstLine="480"/>
        <w:rPr>
          <w:rFonts w:cs="Times New Roman"/>
          <w:color w:val="FF0000"/>
          <w:u w:val="single"/>
        </w:rPr>
      </w:pPr>
      <w:r>
        <w:rPr>
          <w:rFonts w:cs="Times New Roman"/>
          <w:color w:val="FF0000"/>
          <w:u w:val="single"/>
        </w:rPr>
        <w:t>（2）制定污染处理设施操作规程；</w:t>
      </w:r>
    </w:p>
    <w:p>
      <w:pPr>
        <w:pStyle w:val="3"/>
        <w:ind w:firstLine="480"/>
        <w:rPr>
          <w:rFonts w:cs="Times New Roman"/>
          <w:color w:val="FF0000"/>
          <w:u w:val="single"/>
        </w:rPr>
      </w:pPr>
      <w:r>
        <w:rPr>
          <w:rFonts w:cs="Times New Roman"/>
          <w:color w:val="FF0000"/>
          <w:u w:val="single"/>
        </w:rPr>
        <w:t>（3）制定危险品管理、使用和防护制度；</w:t>
      </w:r>
    </w:p>
    <w:p>
      <w:pPr>
        <w:pStyle w:val="3"/>
        <w:ind w:firstLine="480"/>
        <w:rPr>
          <w:rFonts w:cs="Times New Roman"/>
          <w:color w:val="FF0000"/>
          <w:u w:val="single"/>
        </w:rPr>
      </w:pPr>
      <w:r>
        <w:rPr>
          <w:rFonts w:cs="Times New Roman"/>
          <w:color w:val="FF0000"/>
          <w:u w:val="single"/>
        </w:rPr>
        <w:t>（4）制定事故防范和应急处理制度，制定劳动安全、卫生防护制度；</w:t>
      </w:r>
    </w:p>
    <w:p>
      <w:pPr>
        <w:pStyle w:val="3"/>
        <w:ind w:firstLine="480"/>
        <w:rPr>
          <w:rFonts w:cs="Times New Roman"/>
          <w:color w:val="FF0000"/>
          <w:u w:val="single"/>
        </w:rPr>
      </w:pPr>
      <w:r>
        <w:rPr>
          <w:rFonts w:cs="Times New Roman"/>
          <w:color w:val="FF0000"/>
          <w:u w:val="single"/>
        </w:rPr>
        <w:t>（5）搞好场区绿化工程，提高场区绿化率，美化场区环境</w:t>
      </w:r>
      <w:r>
        <w:rPr>
          <w:rFonts w:hint="eastAsia" w:cs="Times New Roman"/>
          <w:color w:val="FF0000"/>
          <w:u w:val="single"/>
        </w:rPr>
        <w:t>；</w:t>
      </w:r>
    </w:p>
    <w:p>
      <w:pPr>
        <w:pStyle w:val="3"/>
        <w:ind w:firstLine="480"/>
        <w:rPr>
          <w:rFonts w:cs="Times New Roman"/>
          <w:color w:val="FF0000"/>
          <w:u w:val="single"/>
        </w:rPr>
      </w:pPr>
      <w:r>
        <w:rPr>
          <w:rFonts w:hint="eastAsia" w:cs="Times New Roman"/>
          <w:color w:val="FF0000"/>
          <w:u w:val="single"/>
        </w:rPr>
        <w:t>（6）定期定时对生产车间喷洒生物除臭剂</w:t>
      </w:r>
      <w:r>
        <w:rPr>
          <w:rFonts w:cs="Times New Roman"/>
          <w:color w:val="FF0000"/>
          <w:u w:val="single"/>
        </w:rPr>
        <w:t>。</w:t>
      </w:r>
    </w:p>
    <w:p>
      <w:pPr>
        <w:pStyle w:val="5"/>
      </w:pPr>
      <w:bookmarkStart w:id="55" w:name="_Toc116993091"/>
      <w:r>
        <w:rPr>
          <w:rFonts w:hint="eastAsia"/>
        </w:rPr>
        <w:t>环境</w:t>
      </w:r>
      <w:r>
        <w:t>监测</w:t>
      </w:r>
      <w:r>
        <w:rPr>
          <w:rFonts w:hint="eastAsia"/>
        </w:rPr>
        <w:t>计划</w:t>
      </w:r>
      <w:bookmarkEnd w:id="55"/>
    </w:p>
    <w:p>
      <w:pPr>
        <w:pStyle w:val="3"/>
        <w:ind w:firstLine="0" w:firstLineChars="0"/>
        <w:outlineLvl w:val="2"/>
      </w:pPr>
      <w:r>
        <w:rPr>
          <w:rFonts w:hint="eastAsia"/>
        </w:rPr>
        <w:t>10.2.1</w:t>
      </w:r>
      <w:r>
        <w:rPr>
          <w:rFonts w:hint="eastAsia"/>
        </w:rPr>
        <w:tab/>
      </w:r>
      <w:r>
        <w:rPr>
          <w:rFonts w:hint="eastAsia" w:eastAsia="黑体" w:cstheme="majorBidi"/>
          <w:bCs/>
          <w:szCs w:val="32"/>
        </w:rPr>
        <w:t>环境监测目的</w:t>
      </w:r>
    </w:p>
    <w:p>
      <w:pPr>
        <w:pStyle w:val="3"/>
        <w:ind w:firstLine="480"/>
        <w:rPr>
          <w:rFonts w:cs="Times New Roman"/>
        </w:rPr>
      </w:pPr>
      <w:r>
        <w:rPr>
          <w:rFonts w:hint="eastAsia" w:cs="Times New Roman"/>
        </w:rPr>
        <w:t>检查、跟踪运行期内各项环保措施实施的情况与效果，以及环境质量变化动态。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pPr>
        <w:pStyle w:val="3"/>
        <w:ind w:firstLine="0" w:firstLineChars="0"/>
        <w:outlineLvl w:val="2"/>
      </w:pPr>
      <w:r>
        <w:rPr>
          <w:rFonts w:hint="eastAsia"/>
        </w:rPr>
        <w:t>10.2.2</w:t>
      </w:r>
      <w:r>
        <w:rPr>
          <w:rFonts w:hint="eastAsia"/>
        </w:rPr>
        <w:tab/>
      </w:r>
      <w:r>
        <w:rPr>
          <w:rFonts w:hint="eastAsia" w:eastAsia="黑体" w:cstheme="majorBidi"/>
          <w:bCs/>
          <w:szCs w:val="32"/>
        </w:rPr>
        <w:t>环境监测计划</w:t>
      </w:r>
    </w:p>
    <w:p>
      <w:pPr>
        <w:pStyle w:val="3"/>
        <w:ind w:firstLine="480"/>
        <w:rPr>
          <w:rFonts w:cs="Times New Roman"/>
          <w:color w:val="FF0000"/>
          <w:u w:val="single"/>
        </w:rPr>
      </w:pPr>
      <w:r>
        <w:rPr>
          <w:rFonts w:hint="eastAsia" w:cs="Times New Roman"/>
          <w:color w:val="FF0000"/>
          <w:u w:val="single"/>
        </w:rPr>
        <w:t>（</w:t>
      </w:r>
      <w:r>
        <w:rPr>
          <w:rFonts w:cs="Times New Roman"/>
          <w:color w:val="FF0000"/>
          <w:u w:val="single"/>
        </w:rPr>
        <w:t>1</w:t>
      </w:r>
      <w:r>
        <w:rPr>
          <w:rFonts w:hint="eastAsia" w:cs="Times New Roman"/>
          <w:color w:val="FF0000"/>
          <w:u w:val="single"/>
        </w:rPr>
        <w:t>）对项目运营的废水处理设施的运行效果、运行过程的维护和检修进行检查和监督，定期向地方环保管理部门汇报设施的运行状况。</w:t>
      </w:r>
    </w:p>
    <w:p>
      <w:pPr>
        <w:pStyle w:val="3"/>
        <w:ind w:firstLine="480"/>
        <w:rPr>
          <w:rFonts w:cs="Times New Roman"/>
          <w:color w:val="FF0000"/>
          <w:u w:val="single"/>
        </w:rPr>
      </w:pPr>
      <w:r>
        <w:rPr>
          <w:rFonts w:hint="eastAsia" w:cs="Times New Roman"/>
          <w:color w:val="FF0000"/>
          <w:u w:val="single"/>
        </w:rPr>
        <w:t>（</w:t>
      </w:r>
      <w:r>
        <w:rPr>
          <w:rFonts w:cs="Times New Roman"/>
          <w:color w:val="FF0000"/>
          <w:u w:val="single"/>
        </w:rPr>
        <w:t>2</w:t>
      </w:r>
      <w:r>
        <w:rPr>
          <w:rFonts w:hint="eastAsia" w:cs="Times New Roman"/>
          <w:color w:val="FF0000"/>
          <w:u w:val="single"/>
        </w:rPr>
        <w:t>）定期对项目外排废气和噪声进行监测。</w:t>
      </w:r>
    </w:p>
    <w:p>
      <w:pPr>
        <w:pStyle w:val="3"/>
        <w:ind w:firstLine="480"/>
        <w:rPr>
          <w:rFonts w:cs="Times New Roman"/>
          <w:color w:val="FF0000"/>
          <w:u w:val="single"/>
        </w:rPr>
      </w:pPr>
      <w:r>
        <w:rPr>
          <w:rFonts w:hint="eastAsia" w:cs="Times New Roman"/>
          <w:color w:val="FF0000"/>
          <w:u w:val="single"/>
        </w:rPr>
        <w:t>（</w:t>
      </w:r>
      <w:r>
        <w:rPr>
          <w:rFonts w:cs="Times New Roman"/>
          <w:color w:val="FF0000"/>
          <w:u w:val="single"/>
        </w:rPr>
        <w:t>3</w:t>
      </w:r>
      <w:r>
        <w:rPr>
          <w:rFonts w:hint="eastAsia" w:cs="Times New Roman"/>
          <w:color w:val="FF0000"/>
          <w:u w:val="single"/>
        </w:rPr>
        <w:t>）及时发现和排除非正常排污隐患的检查制度和实施。</w:t>
      </w:r>
    </w:p>
    <w:p>
      <w:pPr>
        <w:pStyle w:val="3"/>
        <w:ind w:firstLine="480"/>
        <w:rPr>
          <w:rFonts w:cs="Times New Roman"/>
          <w:color w:val="FF0000"/>
          <w:u w:val="single"/>
        </w:rPr>
      </w:pPr>
      <w:r>
        <w:rPr>
          <w:rFonts w:hint="eastAsia" w:cs="Times New Roman"/>
          <w:color w:val="FF0000"/>
          <w:u w:val="single"/>
        </w:rPr>
        <w:t>（</w:t>
      </w:r>
      <w:r>
        <w:rPr>
          <w:rFonts w:cs="Times New Roman"/>
          <w:color w:val="FF0000"/>
          <w:u w:val="single"/>
        </w:rPr>
        <w:t>4</w:t>
      </w:r>
      <w:r>
        <w:rPr>
          <w:rFonts w:hint="eastAsia" w:cs="Times New Roman"/>
          <w:color w:val="FF0000"/>
          <w:u w:val="single"/>
        </w:rPr>
        <w:t>）本项目产生的固废外售综合利用或外运处理。建议对废弃物进行定期检查，查清在固体废物暂存、运输等环节是否符合有关规定。根据《排污许可证申请与核发技术规范总则》（</w:t>
      </w:r>
      <w:r>
        <w:rPr>
          <w:rFonts w:cs="Times New Roman"/>
          <w:color w:val="FF0000"/>
          <w:u w:val="single"/>
        </w:rPr>
        <w:t>HJ942-2018</w:t>
      </w:r>
      <w:r>
        <w:rPr>
          <w:rFonts w:hint="eastAsia" w:cs="Times New Roman"/>
          <w:color w:val="FF0000"/>
          <w:u w:val="single"/>
        </w:rPr>
        <w:t>）、《排污许可证申请与核发技术规范农副食品加工工业</w:t>
      </w:r>
      <w:r>
        <w:rPr>
          <w:rFonts w:cs="Times New Roman"/>
          <w:color w:val="FF0000"/>
          <w:u w:val="single"/>
        </w:rPr>
        <w:t>-</w:t>
      </w:r>
      <w:r>
        <w:rPr>
          <w:rFonts w:hint="eastAsia" w:cs="Times New Roman"/>
          <w:color w:val="FF0000"/>
          <w:u w:val="single"/>
        </w:rPr>
        <w:t>屠宰及肉类加工业》（</w:t>
      </w:r>
      <w:r>
        <w:rPr>
          <w:rFonts w:cs="Times New Roman"/>
          <w:color w:val="FF0000"/>
          <w:u w:val="single"/>
        </w:rPr>
        <w:t>HJ860.3-2018</w:t>
      </w:r>
      <w:r>
        <w:rPr>
          <w:rFonts w:hint="eastAsia" w:cs="Times New Roman"/>
          <w:color w:val="FF0000"/>
          <w:u w:val="single"/>
        </w:rPr>
        <w:t>）、《排污许可证申请与核发技术规范锅炉》（</w:t>
      </w:r>
      <w:r>
        <w:rPr>
          <w:rFonts w:cs="Times New Roman"/>
          <w:color w:val="FF0000"/>
          <w:u w:val="single"/>
        </w:rPr>
        <w:t>HJ953-2018</w:t>
      </w:r>
      <w:r>
        <w:rPr>
          <w:rFonts w:hint="eastAsia" w:cs="Times New Roman"/>
          <w:color w:val="FF0000"/>
          <w:u w:val="single"/>
        </w:rPr>
        <w:t>）、《排污单位自行监测技术指南总则》（</w:t>
      </w:r>
      <w:r>
        <w:rPr>
          <w:rFonts w:cs="Times New Roman"/>
          <w:color w:val="FF0000"/>
          <w:u w:val="single"/>
        </w:rPr>
        <w:t>HJ819-2017</w:t>
      </w:r>
      <w:r>
        <w:rPr>
          <w:rFonts w:hint="eastAsia" w:cs="Times New Roman"/>
          <w:color w:val="FF0000"/>
          <w:u w:val="single"/>
        </w:rPr>
        <w:t>）、《排污单位自行监测技术指南农副食品加工业》（</w:t>
      </w:r>
      <w:r>
        <w:rPr>
          <w:rFonts w:cs="Times New Roman"/>
          <w:color w:val="FF0000"/>
          <w:u w:val="single"/>
        </w:rPr>
        <w:t>HJ986-2018</w:t>
      </w:r>
      <w:r>
        <w:rPr>
          <w:rFonts w:hint="eastAsia" w:cs="Times New Roman"/>
          <w:color w:val="FF0000"/>
          <w:u w:val="single"/>
        </w:rPr>
        <w:t>）中的相关要求</w:t>
      </w:r>
      <w:r>
        <w:rPr>
          <w:rFonts w:cs="Times New Roman"/>
          <w:color w:val="FF0000"/>
          <w:u w:val="single"/>
        </w:rPr>
        <w:t>。</w:t>
      </w:r>
    </w:p>
    <w:p>
      <w:pPr>
        <w:pStyle w:val="3"/>
        <w:ind w:firstLine="480"/>
        <w:rPr>
          <w:rFonts w:cs="Times New Roman"/>
          <w:color w:val="FF0000"/>
          <w:u w:val="single"/>
        </w:rPr>
      </w:pPr>
      <w:r>
        <w:rPr>
          <w:rFonts w:hint="eastAsia" w:cs="Times New Roman"/>
          <w:color w:val="FF0000"/>
          <w:u w:val="single"/>
        </w:rPr>
        <w:t>本项目营运期监测计划见表10.2-1</w:t>
      </w:r>
      <w:r>
        <w:rPr>
          <w:rFonts w:cs="Times New Roman"/>
          <w:color w:val="FF0000"/>
          <w:u w:val="single"/>
        </w:rPr>
        <w:t>。</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w:t>
      </w:r>
      <w:r>
        <w:rPr>
          <w:rFonts w:hint="eastAsia" w:cs="Times New Roman" w:eastAsiaTheme="minorEastAsia"/>
          <w:b/>
          <w:color w:val="FF0000"/>
          <w:u w:val="single"/>
        </w:rPr>
        <w:t>10</w:t>
      </w:r>
      <w:r>
        <w:rPr>
          <w:rFonts w:cs="Times New Roman" w:eastAsiaTheme="minorEastAsia"/>
          <w:b/>
          <w:color w:val="FF0000"/>
          <w:u w:val="single"/>
        </w:rPr>
        <w:t>.</w:t>
      </w:r>
      <w:r>
        <w:rPr>
          <w:rFonts w:hint="eastAsia" w:cs="Times New Roman" w:eastAsiaTheme="minorEastAsia"/>
          <w:b/>
          <w:color w:val="FF0000"/>
          <w:u w:val="single"/>
        </w:rPr>
        <w:t>2</w:t>
      </w:r>
      <w:r>
        <w:rPr>
          <w:rFonts w:cs="Times New Roman" w:eastAsiaTheme="minorEastAsia"/>
          <w:b/>
          <w:color w:val="FF0000"/>
          <w:u w:val="single"/>
        </w:rPr>
        <w:t xml:space="preserve">-1    </w:t>
      </w:r>
      <w:r>
        <w:rPr>
          <w:rFonts w:hint="eastAsia" w:cs="Times New Roman" w:eastAsiaTheme="minorEastAsia"/>
          <w:b/>
          <w:color w:val="FF0000"/>
          <w:u w:val="single"/>
        </w:rPr>
        <w:t>营运期监测计划一览表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09"/>
        <w:gridCol w:w="1984"/>
        <w:gridCol w:w="2605"/>
        <w:gridCol w:w="1529"/>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26" w:type="dxa"/>
            <w:gridSpan w:val="2"/>
            <w:vAlign w:val="center"/>
          </w:tcPr>
          <w:p>
            <w:pPr>
              <w:pStyle w:val="49"/>
              <w:rPr>
                <w:rFonts w:cs="Times New Roman"/>
                <w:color w:val="FF0000"/>
                <w:u w:val="single"/>
              </w:rPr>
            </w:pPr>
            <w:r>
              <w:rPr>
                <w:rFonts w:hint="eastAsia" w:cs="Times New Roman"/>
                <w:color w:val="FF0000"/>
                <w:u w:val="single"/>
              </w:rPr>
              <w:t>类别</w:t>
            </w:r>
          </w:p>
        </w:tc>
        <w:tc>
          <w:tcPr>
            <w:tcW w:w="1984" w:type="dxa"/>
            <w:vAlign w:val="center"/>
          </w:tcPr>
          <w:p>
            <w:pPr>
              <w:pStyle w:val="49"/>
              <w:rPr>
                <w:rFonts w:cs="Times New Roman"/>
                <w:color w:val="FF0000"/>
                <w:u w:val="single"/>
              </w:rPr>
            </w:pPr>
            <w:r>
              <w:rPr>
                <w:rFonts w:hint="eastAsia" w:cs="Times New Roman"/>
                <w:color w:val="FF0000"/>
                <w:u w:val="single"/>
              </w:rPr>
              <w:t>监测点位</w:t>
            </w:r>
          </w:p>
        </w:tc>
        <w:tc>
          <w:tcPr>
            <w:tcW w:w="2605" w:type="dxa"/>
            <w:vAlign w:val="center"/>
          </w:tcPr>
          <w:p>
            <w:pPr>
              <w:pStyle w:val="49"/>
              <w:rPr>
                <w:rFonts w:cs="Times New Roman"/>
                <w:color w:val="FF0000"/>
                <w:u w:val="single"/>
              </w:rPr>
            </w:pPr>
            <w:r>
              <w:rPr>
                <w:rFonts w:hint="eastAsia" w:cs="Times New Roman"/>
                <w:color w:val="FF0000"/>
                <w:u w:val="single"/>
              </w:rPr>
              <w:t>监测项目</w:t>
            </w:r>
          </w:p>
        </w:tc>
        <w:tc>
          <w:tcPr>
            <w:tcW w:w="1529" w:type="dxa"/>
            <w:vAlign w:val="center"/>
          </w:tcPr>
          <w:p>
            <w:pPr>
              <w:pStyle w:val="49"/>
              <w:rPr>
                <w:rFonts w:cs="Times New Roman"/>
                <w:color w:val="FF0000"/>
                <w:u w:val="single"/>
              </w:rPr>
            </w:pPr>
            <w:r>
              <w:rPr>
                <w:rFonts w:hint="eastAsia" w:cs="Times New Roman"/>
                <w:color w:val="FF0000"/>
                <w:u w:val="single"/>
              </w:rPr>
              <w:t>监测频率</w:t>
            </w:r>
          </w:p>
        </w:tc>
        <w:tc>
          <w:tcPr>
            <w:tcW w:w="1529" w:type="dxa"/>
            <w:vAlign w:val="center"/>
          </w:tcPr>
          <w:p>
            <w:pPr>
              <w:pStyle w:val="49"/>
              <w:rPr>
                <w:rFonts w:cs="Times New Roman"/>
                <w:color w:val="FF0000"/>
                <w:u w:val="single"/>
              </w:rPr>
            </w:pPr>
            <w:r>
              <w:rPr>
                <w:rFonts w:hint="eastAsia" w:cs="Times New Roman"/>
                <w:color w:val="FF0000"/>
                <w:u w:val="singl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restart"/>
            <w:vAlign w:val="center"/>
          </w:tcPr>
          <w:p>
            <w:pPr>
              <w:pStyle w:val="49"/>
              <w:rPr>
                <w:rFonts w:cs="Times New Roman"/>
                <w:color w:val="FF0000"/>
                <w:u w:val="single"/>
              </w:rPr>
            </w:pPr>
            <w:r>
              <w:rPr>
                <w:rFonts w:hint="eastAsia" w:cs="Times New Roman"/>
                <w:color w:val="FF0000"/>
                <w:u w:val="single"/>
              </w:rPr>
              <w:t>污染排放监测</w:t>
            </w:r>
          </w:p>
        </w:tc>
        <w:tc>
          <w:tcPr>
            <w:tcW w:w="709" w:type="dxa"/>
            <w:vMerge w:val="restart"/>
            <w:vAlign w:val="center"/>
          </w:tcPr>
          <w:p>
            <w:pPr>
              <w:pStyle w:val="49"/>
              <w:rPr>
                <w:rFonts w:cs="Times New Roman"/>
                <w:color w:val="FF0000"/>
                <w:u w:val="single"/>
              </w:rPr>
            </w:pPr>
            <w:r>
              <w:rPr>
                <w:rFonts w:hint="eastAsia" w:cs="Times New Roman"/>
                <w:color w:val="FF0000"/>
                <w:u w:val="single"/>
              </w:rPr>
              <w:t>废气</w:t>
            </w:r>
          </w:p>
        </w:tc>
        <w:tc>
          <w:tcPr>
            <w:tcW w:w="1984" w:type="dxa"/>
            <w:vAlign w:val="center"/>
          </w:tcPr>
          <w:p>
            <w:pPr>
              <w:pStyle w:val="49"/>
              <w:rPr>
                <w:rFonts w:cs="Times New Roman"/>
                <w:color w:val="FF0000"/>
                <w:u w:val="single"/>
              </w:rPr>
            </w:pPr>
            <w:r>
              <w:rPr>
                <w:rFonts w:hint="eastAsia" w:cs="Times New Roman"/>
                <w:color w:val="FF0000"/>
                <w:u w:val="single"/>
              </w:rPr>
              <w:t>生物质锅炉排气筒</w:t>
            </w:r>
          </w:p>
          <w:p>
            <w:pPr>
              <w:pStyle w:val="49"/>
              <w:rPr>
                <w:rFonts w:cs="Times New Roman"/>
                <w:color w:val="FF0000"/>
                <w:u w:val="single"/>
              </w:rPr>
            </w:pPr>
            <w:r>
              <w:rPr>
                <w:rFonts w:hint="eastAsia" w:cs="Times New Roman"/>
                <w:color w:val="FF0000"/>
                <w:u w:val="single"/>
              </w:rPr>
              <w:t>（DA001）</w:t>
            </w:r>
          </w:p>
        </w:tc>
        <w:tc>
          <w:tcPr>
            <w:tcW w:w="2605" w:type="dxa"/>
            <w:vAlign w:val="center"/>
          </w:tcPr>
          <w:p>
            <w:pPr>
              <w:pStyle w:val="49"/>
              <w:rPr>
                <w:rFonts w:cs="Times New Roman"/>
                <w:color w:val="FF0000"/>
                <w:u w:val="single"/>
              </w:rPr>
            </w:pPr>
            <w:r>
              <w:rPr>
                <w:rFonts w:hint="eastAsia" w:cs="Times New Roman"/>
                <w:color w:val="FF0000"/>
                <w:u w:val="single"/>
              </w:rPr>
              <w:t>SO</w:t>
            </w:r>
            <w:r>
              <w:rPr>
                <w:rFonts w:hint="eastAsia" w:cs="Times New Roman"/>
                <w:color w:val="FF0000"/>
                <w:u w:val="single"/>
                <w:vertAlign w:val="subscript"/>
              </w:rPr>
              <w:t>2</w:t>
            </w:r>
            <w:r>
              <w:rPr>
                <w:rFonts w:hint="eastAsia" w:cs="Times New Roman"/>
                <w:color w:val="FF0000"/>
                <w:u w:val="single"/>
              </w:rPr>
              <w:t>、NO</w:t>
            </w:r>
            <w:r>
              <w:rPr>
                <w:rFonts w:hint="eastAsia" w:cs="Times New Roman"/>
                <w:color w:val="FF0000"/>
                <w:u w:val="single"/>
                <w:vertAlign w:val="subscript"/>
              </w:rPr>
              <w:t>X</w:t>
            </w:r>
            <w:r>
              <w:rPr>
                <w:rFonts w:hint="eastAsia" w:cs="Times New Roman"/>
                <w:color w:val="FF0000"/>
                <w:u w:val="single"/>
              </w:rPr>
              <w:t>、颗粒物</w:t>
            </w:r>
          </w:p>
        </w:tc>
        <w:tc>
          <w:tcPr>
            <w:tcW w:w="1529" w:type="dxa"/>
            <w:vAlign w:val="center"/>
          </w:tcPr>
          <w:p>
            <w:pPr>
              <w:pStyle w:val="49"/>
              <w:rPr>
                <w:rFonts w:cs="Times New Roman"/>
                <w:color w:val="FF0000"/>
                <w:u w:val="single"/>
              </w:rPr>
            </w:pPr>
            <w:r>
              <w:rPr>
                <w:rFonts w:hint="eastAsia" w:cs="Times New Roman"/>
                <w:color w:val="FF0000"/>
                <w:u w:val="single"/>
              </w:rPr>
              <w:t>1次/半年</w:t>
            </w:r>
          </w:p>
        </w:tc>
        <w:tc>
          <w:tcPr>
            <w:tcW w:w="1529" w:type="dxa"/>
            <w:vAlign w:val="center"/>
          </w:tcPr>
          <w:p>
            <w:pPr>
              <w:pStyle w:val="49"/>
              <w:rPr>
                <w:rFonts w:cs="Times New Roman"/>
                <w:color w:val="FF0000"/>
                <w:u w:val="single"/>
              </w:rPr>
            </w:pPr>
            <w:r>
              <w:rPr>
                <w:rFonts w:hint="eastAsia" w:cs="Times New Roman"/>
                <w:color w:val="FF0000"/>
                <w:u w:val="single"/>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continue"/>
            <w:vAlign w:val="center"/>
          </w:tcPr>
          <w:p>
            <w:pPr>
              <w:pStyle w:val="49"/>
              <w:rPr>
                <w:rFonts w:cs="Times New Roman"/>
                <w:color w:val="FF0000"/>
                <w:u w:val="single"/>
              </w:rPr>
            </w:pPr>
          </w:p>
        </w:tc>
        <w:tc>
          <w:tcPr>
            <w:tcW w:w="709" w:type="dxa"/>
            <w:vMerge w:val="continue"/>
            <w:vAlign w:val="center"/>
          </w:tcPr>
          <w:p>
            <w:pPr>
              <w:pStyle w:val="49"/>
              <w:rPr>
                <w:rFonts w:cs="Times New Roman"/>
                <w:color w:val="FF0000"/>
                <w:u w:val="single"/>
              </w:rPr>
            </w:pPr>
          </w:p>
        </w:tc>
        <w:tc>
          <w:tcPr>
            <w:tcW w:w="1984" w:type="dxa"/>
            <w:vAlign w:val="center"/>
          </w:tcPr>
          <w:p>
            <w:pPr>
              <w:pStyle w:val="49"/>
              <w:rPr>
                <w:rFonts w:cs="Times New Roman"/>
                <w:color w:val="FF0000"/>
                <w:u w:val="single"/>
              </w:rPr>
            </w:pPr>
            <w:r>
              <w:rPr>
                <w:rFonts w:hint="eastAsia" w:cs="Times New Roman"/>
                <w:color w:val="FF0000"/>
                <w:u w:val="single"/>
              </w:rPr>
              <w:t>厂界外1 米处</w:t>
            </w:r>
          </w:p>
        </w:tc>
        <w:tc>
          <w:tcPr>
            <w:tcW w:w="2605" w:type="dxa"/>
            <w:vAlign w:val="center"/>
          </w:tcPr>
          <w:p>
            <w:pPr>
              <w:pStyle w:val="49"/>
              <w:rPr>
                <w:rFonts w:cs="Times New Roman"/>
                <w:color w:val="FF0000"/>
                <w:u w:val="single"/>
              </w:rPr>
            </w:pPr>
            <w:r>
              <w:rPr>
                <w:rFonts w:hint="eastAsia" w:cs="Times New Roman"/>
                <w:color w:val="FF0000"/>
                <w:u w:val="single"/>
              </w:rPr>
              <w:t>NH</w:t>
            </w:r>
            <w:r>
              <w:rPr>
                <w:rFonts w:hint="eastAsia" w:cs="Times New Roman"/>
                <w:color w:val="FF0000"/>
                <w:u w:val="single"/>
                <w:vertAlign w:val="subscript"/>
              </w:rPr>
              <w:t>3</w:t>
            </w:r>
            <w:r>
              <w:rPr>
                <w:rFonts w:hint="eastAsia" w:cs="Times New Roman"/>
                <w:color w:val="FF0000"/>
                <w:u w:val="single"/>
              </w:rPr>
              <w:t>、H</w:t>
            </w:r>
            <w:r>
              <w:rPr>
                <w:rFonts w:hint="eastAsia" w:cs="Times New Roman"/>
                <w:color w:val="FF0000"/>
                <w:u w:val="single"/>
                <w:vertAlign w:val="subscript"/>
              </w:rPr>
              <w:t>2</w:t>
            </w:r>
            <w:r>
              <w:rPr>
                <w:rFonts w:hint="eastAsia" w:cs="Times New Roman"/>
                <w:color w:val="FF0000"/>
                <w:u w:val="single"/>
              </w:rPr>
              <w:t>S、臭气浓度</w:t>
            </w:r>
          </w:p>
        </w:tc>
        <w:tc>
          <w:tcPr>
            <w:tcW w:w="1529" w:type="dxa"/>
            <w:vAlign w:val="center"/>
          </w:tcPr>
          <w:p>
            <w:pPr>
              <w:pStyle w:val="49"/>
              <w:rPr>
                <w:rFonts w:cs="Times New Roman"/>
                <w:color w:val="FF0000"/>
                <w:u w:val="single"/>
              </w:rPr>
            </w:pPr>
            <w:r>
              <w:rPr>
                <w:rFonts w:hint="eastAsia" w:ascii="宋体" w:cs="宋体"/>
                <w:color w:val="FF0000"/>
                <w:kern w:val="0"/>
                <w:u w:val="single"/>
              </w:rPr>
              <w:t>每季</w:t>
            </w:r>
            <w:r>
              <w:rPr>
                <w:rFonts w:hint="eastAsia" w:cs="Times New Roman"/>
                <w:color w:val="FF0000"/>
                <w:u w:val="single"/>
              </w:rPr>
              <w:t>监测</w:t>
            </w:r>
            <w:r>
              <w:rPr>
                <w:rFonts w:cs="Times New Roman"/>
                <w:color w:val="FF0000"/>
                <w:u w:val="single"/>
              </w:rPr>
              <w:t>1</w:t>
            </w:r>
            <w:r>
              <w:rPr>
                <w:rFonts w:hint="eastAsia" w:cs="Times New Roman"/>
                <w:color w:val="FF0000"/>
                <w:u w:val="single"/>
              </w:rPr>
              <w:t>天，每天</w:t>
            </w:r>
            <w:r>
              <w:rPr>
                <w:rFonts w:cs="Times New Roman"/>
                <w:color w:val="FF0000"/>
                <w:u w:val="single"/>
              </w:rPr>
              <w:t xml:space="preserve">4 </w:t>
            </w:r>
            <w:r>
              <w:rPr>
                <w:rFonts w:hint="eastAsia" w:cs="Times New Roman"/>
                <w:color w:val="FF0000"/>
                <w:u w:val="single"/>
              </w:rPr>
              <w:t>次</w:t>
            </w:r>
          </w:p>
        </w:tc>
        <w:tc>
          <w:tcPr>
            <w:tcW w:w="1529" w:type="dxa"/>
            <w:vAlign w:val="center"/>
          </w:tcPr>
          <w:p>
            <w:pPr>
              <w:pStyle w:val="49"/>
              <w:rPr>
                <w:rFonts w:cs="Times New Roman"/>
                <w:color w:val="FF0000"/>
                <w:u w:val="single"/>
              </w:rPr>
            </w:pPr>
            <w:r>
              <w:rPr>
                <w:rFonts w:hint="eastAsia" w:cs="Times New Roman"/>
                <w:color w:val="FF0000"/>
                <w:u w:val="single"/>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continue"/>
            <w:vAlign w:val="center"/>
          </w:tcPr>
          <w:p>
            <w:pPr>
              <w:pStyle w:val="49"/>
              <w:rPr>
                <w:rFonts w:cs="Times New Roman"/>
                <w:color w:val="FF0000"/>
                <w:u w:val="single"/>
              </w:rPr>
            </w:pPr>
          </w:p>
        </w:tc>
        <w:tc>
          <w:tcPr>
            <w:tcW w:w="709" w:type="dxa"/>
            <w:vAlign w:val="center"/>
          </w:tcPr>
          <w:p>
            <w:pPr>
              <w:pStyle w:val="49"/>
              <w:rPr>
                <w:rFonts w:cs="Times New Roman"/>
                <w:color w:val="FF0000"/>
                <w:u w:val="single"/>
              </w:rPr>
            </w:pPr>
            <w:r>
              <w:rPr>
                <w:rFonts w:hint="eastAsia" w:cs="Times New Roman"/>
                <w:color w:val="FF0000"/>
                <w:u w:val="single"/>
              </w:rPr>
              <w:t>噪声</w:t>
            </w:r>
          </w:p>
        </w:tc>
        <w:tc>
          <w:tcPr>
            <w:tcW w:w="1984" w:type="dxa"/>
            <w:vAlign w:val="center"/>
          </w:tcPr>
          <w:p>
            <w:pPr>
              <w:pStyle w:val="49"/>
              <w:rPr>
                <w:rFonts w:cs="Times New Roman"/>
                <w:color w:val="FF0000"/>
                <w:u w:val="single"/>
              </w:rPr>
            </w:pPr>
            <w:r>
              <w:rPr>
                <w:rFonts w:hint="eastAsia" w:cs="Times New Roman"/>
                <w:color w:val="FF0000"/>
                <w:u w:val="single"/>
              </w:rPr>
              <w:t>厂界四周1米处</w:t>
            </w:r>
          </w:p>
        </w:tc>
        <w:tc>
          <w:tcPr>
            <w:tcW w:w="2605" w:type="dxa"/>
            <w:vAlign w:val="center"/>
          </w:tcPr>
          <w:p>
            <w:pPr>
              <w:pStyle w:val="49"/>
              <w:rPr>
                <w:rFonts w:cs="Times New Roman"/>
                <w:color w:val="FF0000"/>
                <w:u w:val="single"/>
              </w:rPr>
            </w:pPr>
            <w:r>
              <w:rPr>
                <w:rFonts w:hint="eastAsia" w:cs="Times New Roman"/>
                <w:color w:val="FF0000"/>
                <w:u w:val="single"/>
              </w:rPr>
              <w:t>噪声</w:t>
            </w:r>
          </w:p>
        </w:tc>
        <w:tc>
          <w:tcPr>
            <w:tcW w:w="1529" w:type="dxa"/>
            <w:vAlign w:val="center"/>
          </w:tcPr>
          <w:p>
            <w:pPr>
              <w:pStyle w:val="49"/>
              <w:rPr>
                <w:rFonts w:cs="Times New Roman"/>
                <w:color w:val="FF0000"/>
                <w:u w:val="single"/>
              </w:rPr>
            </w:pPr>
            <w:r>
              <w:rPr>
                <w:rFonts w:hint="eastAsia" w:cs="Times New Roman"/>
                <w:color w:val="FF0000"/>
                <w:u w:val="single"/>
              </w:rPr>
              <w:t>1 次/季度</w:t>
            </w:r>
          </w:p>
        </w:tc>
        <w:tc>
          <w:tcPr>
            <w:tcW w:w="1529" w:type="dxa"/>
            <w:vAlign w:val="center"/>
          </w:tcPr>
          <w:p>
            <w:pPr>
              <w:pStyle w:val="49"/>
              <w:rPr>
                <w:rFonts w:cs="Times New Roman"/>
                <w:color w:val="FF0000"/>
                <w:u w:val="single"/>
              </w:rPr>
            </w:pPr>
            <w:r>
              <w:rPr>
                <w:rFonts w:hint="eastAsia" w:cs="Times New Roman"/>
                <w:color w:val="FF0000"/>
                <w:u w:val="single"/>
              </w:rPr>
              <w:t>1天内昼、夜各一时段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continue"/>
            <w:vAlign w:val="center"/>
          </w:tcPr>
          <w:p>
            <w:pPr>
              <w:pStyle w:val="49"/>
              <w:rPr>
                <w:rFonts w:cs="Times New Roman"/>
                <w:color w:val="FF0000"/>
                <w:u w:val="single"/>
              </w:rPr>
            </w:pPr>
          </w:p>
        </w:tc>
        <w:tc>
          <w:tcPr>
            <w:tcW w:w="709" w:type="dxa"/>
            <w:vAlign w:val="center"/>
          </w:tcPr>
          <w:p>
            <w:pPr>
              <w:pStyle w:val="49"/>
              <w:rPr>
                <w:rFonts w:cs="Times New Roman"/>
                <w:color w:val="FF0000"/>
                <w:u w:val="single"/>
              </w:rPr>
            </w:pPr>
            <w:r>
              <w:rPr>
                <w:rFonts w:hint="eastAsia" w:cs="Times New Roman"/>
                <w:color w:val="FF0000"/>
                <w:u w:val="single"/>
              </w:rPr>
              <w:t>废水</w:t>
            </w:r>
          </w:p>
        </w:tc>
        <w:tc>
          <w:tcPr>
            <w:tcW w:w="1984" w:type="dxa"/>
            <w:vAlign w:val="center"/>
          </w:tcPr>
          <w:p>
            <w:pPr>
              <w:pStyle w:val="49"/>
              <w:rPr>
                <w:rFonts w:cs="Times New Roman"/>
                <w:color w:val="FF0000"/>
                <w:u w:val="single"/>
              </w:rPr>
            </w:pPr>
            <w:r>
              <w:rPr>
                <w:rFonts w:hint="eastAsia" w:cs="Times New Roman"/>
                <w:color w:val="FF0000"/>
                <w:u w:val="single"/>
              </w:rPr>
              <w:t>粪污处理系统进水口、粪污处理系统最终沉淀池</w:t>
            </w:r>
          </w:p>
        </w:tc>
        <w:tc>
          <w:tcPr>
            <w:tcW w:w="2605" w:type="dxa"/>
            <w:vAlign w:val="center"/>
          </w:tcPr>
          <w:p>
            <w:pPr>
              <w:pStyle w:val="49"/>
              <w:rPr>
                <w:rFonts w:cs="Times New Roman"/>
                <w:color w:val="FF0000"/>
                <w:u w:val="single"/>
              </w:rPr>
            </w:pPr>
            <w:r>
              <w:rPr>
                <w:rFonts w:hint="eastAsia" w:cs="Times New Roman"/>
                <w:color w:val="FF0000"/>
                <w:u w:val="single"/>
              </w:rPr>
              <w:t>水量、pH、COD、BOD</w:t>
            </w:r>
            <w:r>
              <w:rPr>
                <w:rFonts w:hint="eastAsia" w:cs="Times New Roman"/>
                <w:color w:val="FF0000"/>
                <w:u w:val="single"/>
                <w:vertAlign w:val="subscript"/>
              </w:rPr>
              <w:t>5</w:t>
            </w:r>
            <w:r>
              <w:rPr>
                <w:rFonts w:hint="eastAsia" w:cs="Times New Roman"/>
                <w:color w:val="FF0000"/>
                <w:u w:val="single"/>
              </w:rPr>
              <w:t>、总氮、氨氮、总磷、粪大肠菌群数、悬浮物、动植物油</w:t>
            </w:r>
          </w:p>
        </w:tc>
        <w:tc>
          <w:tcPr>
            <w:tcW w:w="1529" w:type="dxa"/>
            <w:vAlign w:val="center"/>
          </w:tcPr>
          <w:p>
            <w:pPr>
              <w:pStyle w:val="49"/>
              <w:rPr>
                <w:rFonts w:cs="Times New Roman"/>
                <w:color w:val="FF0000"/>
                <w:u w:val="single"/>
              </w:rPr>
            </w:pPr>
            <w:r>
              <w:rPr>
                <w:rFonts w:hint="eastAsia" w:cs="Times New Roman"/>
                <w:color w:val="FF0000"/>
                <w:u w:val="single"/>
              </w:rPr>
              <w:t>1 次/季度</w:t>
            </w:r>
          </w:p>
        </w:tc>
        <w:tc>
          <w:tcPr>
            <w:tcW w:w="1529" w:type="dxa"/>
            <w:vAlign w:val="center"/>
          </w:tcPr>
          <w:p>
            <w:pPr>
              <w:pStyle w:val="49"/>
              <w:rPr>
                <w:rFonts w:cs="Times New Roman"/>
                <w:color w:val="FF0000"/>
                <w:u w:val="single"/>
              </w:rPr>
            </w:pPr>
            <w:r>
              <w:rPr>
                <w:rFonts w:hint="eastAsia" w:cs="Times New Roman"/>
                <w:color w:val="FF0000"/>
                <w:u w:val="single"/>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restart"/>
            <w:vAlign w:val="center"/>
          </w:tcPr>
          <w:p>
            <w:pPr>
              <w:pStyle w:val="49"/>
              <w:rPr>
                <w:rFonts w:cs="Times New Roman"/>
                <w:color w:val="FF0000"/>
                <w:u w:val="single"/>
              </w:rPr>
            </w:pPr>
            <w:r>
              <w:rPr>
                <w:rFonts w:hint="eastAsia" w:cs="Times New Roman"/>
                <w:color w:val="FF0000"/>
                <w:u w:val="single"/>
              </w:rPr>
              <w:t>环境质量监测</w:t>
            </w:r>
          </w:p>
        </w:tc>
        <w:tc>
          <w:tcPr>
            <w:tcW w:w="709" w:type="dxa"/>
            <w:vAlign w:val="center"/>
          </w:tcPr>
          <w:p>
            <w:pPr>
              <w:pStyle w:val="49"/>
              <w:rPr>
                <w:rFonts w:cs="Times New Roman"/>
                <w:color w:val="FF0000"/>
                <w:u w:val="single"/>
              </w:rPr>
            </w:pPr>
            <w:r>
              <w:rPr>
                <w:rFonts w:hint="eastAsia" w:cs="Times New Roman"/>
                <w:color w:val="FF0000"/>
                <w:u w:val="single"/>
              </w:rPr>
              <w:t>大气</w:t>
            </w:r>
          </w:p>
        </w:tc>
        <w:tc>
          <w:tcPr>
            <w:tcW w:w="1984" w:type="dxa"/>
            <w:vAlign w:val="center"/>
          </w:tcPr>
          <w:p>
            <w:pPr>
              <w:pStyle w:val="49"/>
              <w:rPr>
                <w:rFonts w:cs="Times New Roman"/>
                <w:color w:val="FF0000"/>
                <w:u w:val="single"/>
              </w:rPr>
            </w:pPr>
            <w:r>
              <w:rPr>
                <w:rFonts w:hint="eastAsia" w:cs="Times New Roman"/>
                <w:color w:val="FF0000"/>
                <w:u w:val="single"/>
              </w:rPr>
              <w:t>厂址下风向</w:t>
            </w:r>
          </w:p>
        </w:tc>
        <w:tc>
          <w:tcPr>
            <w:tcW w:w="2605" w:type="dxa"/>
            <w:vAlign w:val="center"/>
          </w:tcPr>
          <w:p>
            <w:pPr>
              <w:pStyle w:val="49"/>
              <w:rPr>
                <w:rFonts w:cs="Times New Roman"/>
                <w:color w:val="FF0000"/>
                <w:u w:val="single"/>
              </w:rPr>
            </w:pPr>
            <w:r>
              <w:rPr>
                <w:rFonts w:hint="eastAsia" w:cs="Times New Roman"/>
                <w:color w:val="FF0000"/>
                <w:u w:val="single"/>
              </w:rPr>
              <w:t>NH</w:t>
            </w:r>
            <w:r>
              <w:rPr>
                <w:rFonts w:hint="eastAsia" w:cs="Times New Roman"/>
                <w:color w:val="FF0000"/>
                <w:u w:val="single"/>
                <w:vertAlign w:val="subscript"/>
              </w:rPr>
              <w:t>3</w:t>
            </w:r>
            <w:r>
              <w:rPr>
                <w:rFonts w:hint="eastAsia" w:cs="Times New Roman"/>
                <w:color w:val="FF0000"/>
                <w:u w:val="single"/>
              </w:rPr>
              <w:t>、H</w:t>
            </w:r>
            <w:r>
              <w:rPr>
                <w:rFonts w:hint="eastAsia" w:cs="Times New Roman"/>
                <w:color w:val="FF0000"/>
                <w:u w:val="single"/>
                <w:vertAlign w:val="subscript"/>
              </w:rPr>
              <w:t>2</w:t>
            </w:r>
            <w:r>
              <w:rPr>
                <w:rFonts w:hint="eastAsia" w:cs="Times New Roman"/>
                <w:color w:val="FF0000"/>
                <w:u w:val="single"/>
              </w:rPr>
              <w:t>S、臭气浓度</w:t>
            </w:r>
          </w:p>
        </w:tc>
        <w:tc>
          <w:tcPr>
            <w:tcW w:w="1529" w:type="dxa"/>
            <w:vAlign w:val="center"/>
          </w:tcPr>
          <w:p>
            <w:pPr>
              <w:pStyle w:val="49"/>
              <w:rPr>
                <w:rFonts w:cs="Times New Roman"/>
                <w:color w:val="FF0000"/>
                <w:u w:val="single"/>
              </w:rPr>
            </w:pPr>
            <w:r>
              <w:rPr>
                <w:rFonts w:hint="eastAsia" w:cs="Times New Roman"/>
                <w:color w:val="FF0000"/>
                <w:u w:val="single"/>
              </w:rPr>
              <w:t>1次/半年</w:t>
            </w:r>
          </w:p>
        </w:tc>
        <w:tc>
          <w:tcPr>
            <w:tcW w:w="1529" w:type="dxa"/>
            <w:vAlign w:val="center"/>
          </w:tcPr>
          <w:p>
            <w:pPr>
              <w:pStyle w:val="49"/>
              <w:rPr>
                <w:rFonts w:cs="Times New Roman"/>
                <w:color w:val="FF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continue"/>
            <w:vAlign w:val="center"/>
          </w:tcPr>
          <w:p>
            <w:pPr>
              <w:pStyle w:val="49"/>
              <w:rPr>
                <w:rFonts w:cs="Times New Roman"/>
                <w:color w:val="FF0000"/>
                <w:u w:val="single"/>
              </w:rPr>
            </w:pPr>
          </w:p>
        </w:tc>
        <w:tc>
          <w:tcPr>
            <w:tcW w:w="709" w:type="dxa"/>
            <w:vAlign w:val="center"/>
          </w:tcPr>
          <w:p>
            <w:pPr>
              <w:pStyle w:val="49"/>
              <w:rPr>
                <w:rFonts w:cs="Times New Roman"/>
                <w:color w:val="FF0000"/>
                <w:u w:val="single"/>
              </w:rPr>
            </w:pPr>
            <w:r>
              <w:rPr>
                <w:rFonts w:hint="eastAsia" w:cs="Times New Roman"/>
                <w:color w:val="FF0000"/>
                <w:u w:val="single"/>
              </w:rPr>
              <w:t>地下水</w:t>
            </w:r>
          </w:p>
        </w:tc>
        <w:tc>
          <w:tcPr>
            <w:tcW w:w="1984" w:type="dxa"/>
            <w:vAlign w:val="center"/>
          </w:tcPr>
          <w:p>
            <w:pPr>
              <w:pStyle w:val="49"/>
              <w:rPr>
                <w:rFonts w:cs="Times New Roman"/>
                <w:color w:val="FF0000"/>
                <w:u w:val="single"/>
              </w:rPr>
            </w:pPr>
            <w:r>
              <w:rPr>
                <w:rFonts w:hint="eastAsia" w:cs="Times New Roman"/>
                <w:color w:val="FF0000"/>
                <w:u w:val="single"/>
              </w:rPr>
              <w:t>项目厂内监控井</w:t>
            </w:r>
          </w:p>
        </w:tc>
        <w:tc>
          <w:tcPr>
            <w:tcW w:w="2605" w:type="dxa"/>
            <w:vAlign w:val="center"/>
          </w:tcPr>
          <w:p>
            <w:pPr>
              <w:pStyle w:val="49"/>
              <w:rPr>
                <w:rFonts w:cs="Times New Roman"/>
                <w:color w:val="FF0000"/>
                <w:u w:val="single"/>
              </w:rPr>
            </w:pPr>
            <w:r>
              <w:rPr>
                <w:rFonts w:hint="eastAsia"/>
                <w:color w:val="FF0000"/>
                <w:kern w:val="0"/>
                <w:u w:val="single"/>
              </w:rPr>
              <w:t>pH、总硬度、耗氧量、挥发酚、氨氮、硝酸盐、亚硝酸盐、色度、溶解性总固体、总大肠菌群等</w:t>
            </w:r>
          </w:p>
        </w:tc>
        <w:tc>
          <w:tcPr>
            <w:tcW w:w="1529" w:type="dxa"/>
            <w:vAlign w:val="center"/>
          </w:tcPr>
          <w:p>
            <w:pPr>
              <w:pStyle w:val="49"/>
              <w:rPr>
                <w:rFonts w:cs="Times New Roman"/>
                <w:color w:val="FF0000"/>
                <w:u w:val="single"/>
              </w:rPr>
            </w:pPr>
            <w:r>
              <w:rPr>
                <w:rFonts w:hint="eastAsia" w:cs="Times New Roman"/>
                <w:color w:val="FF0000"/>
                <w:u w:val="single"/>
              </w:rPr>
              <w:t>1 次/年</w:t>
            </w:r>
          </w:p>
        </w:tc>
        <w:tc>
          <w:tcPr>
            <w:tcW w:w="1529" w:type="dxa"/>
            <w:vAlign w:val="center"/>
          </w:tcPr>
          <w:p>
            <w:pPr>
              <w:pStyle w:val="49"/>
              <w:rPr>
                <w:rFonts w:cs="Times New Roman"/>
                <w:color w:val="FF0000"/>
                <w:u w:val="single"/>
              </w:rPr>
            </w:pPr>
          </w:p>
        </w:tc>
      </w:tr>
    </w:tbl>
    <w:p>
      <w:pPr>
        <w:pStyle w:val="3"/>
        <w:ind w:firstLine="480"/>
        <w:rPr>
          <w:rFonts w:cs="Times New Roman"/>
          <w:color w:val="FF0000"/>
          <w:u w:val="single"/>
        </w:rPr>
      </w:pPr>
      <w:r>
        <w:rPr>
          <w:rFonts w:hint="eastAsia" w:cs="Times New Roman"/>
          <w:color w:val="FF0000"/>
          <w:u w:val="single"/>
        </w:rPr>
        <w:t>对非正常排放要加强管理、监督，如果发生异常情况，应及时监测并同时做好事故排放数据统计，以便采取应急措施，减轻事故的环境影响。</w:t>
      </w:r>
    </w:p>
    <w:p>
      <w:pPr>
        <w:pStyle w:val="3"/>
        <w:ind w:firstLine="480"/>
        <w:rPr>
          <w:rFonts w:cs="Times New Roman"/>
          <w:color w:val="FF0000"/>
          <w:u w:val="single"/>
        </w:rPr>
      </w:pPr>
      <w:r>
        <w:rPr>
          <w:rFonts w:hint="eastAsia" w:cs="Times New Roman"/>
          <w:color w:val="FF0000"/>
          <w:u w:val="single"/>
        </w:rPr>
        <w:t>上述监测应委托有监测资质单位进行监测，监测结果和污染防治设施运行情况等以报表形式上报当地环境保护主管部门。</w:t>
      </w:r>
    </w:p>
    <w:p>
      <w:pPr>
        <w:pStyle w:val="3"/>
        <w:ind w:firstLine="480"/>
        <w:rPr>
          <w:rFonts w:cs="Times New Roman"/>
          <w:color w:val="FF0000"/>
          <w:u w:val="single"/>
        </w:rPr>
      </w:pPr>
      <w:r>
        <w:rPr>
          <w:rFonts w:hint="eastAsia" w:cs="Times New Roman"/>
          <w:color w:val="FF0000"/>
          <w:u w:val="single"/>
        </w:rPr>
        <w:t>本项目的建成将促进衡阳县的经济发展，鉴于目前国内外的技术现状，项目在投入运行后会对周边环境造成一定程度的影响。因此，为保障本项目废气处理设施正常运行，并减轻本项目的环境影响，应切实做好环境保护管理与监督，以及环境监测计划工作。</w:t>
      </w:r>
    </w:p>
    <w:p>
      <w:pPr>
        <w:pStyle w:val="5"/>
      </w:pPr>
      <w:bookmarkStart w:id="56" w:name="_Toc116993092"/>
      <w:r>
        <w:rPr>
          <w:rFonts w:hint="eastAsia"/>
        </w:rPr>
        <w:t>排污口</w:t>
      </w:r>
      <w:r>
        <w:t>设置及规范化管理</w:t>
      </w:r>
      <w:bookmarkEnd w:id="56"/>
    </w:p>
    <w:p>
      <w:pPr>
        <w:pStyle w:val="3"/>
        <w:ind w:firstLine="0" w:firstLineChars="0"/>
        <w:outlineLvl w:val="2"/>
      </w:pPr>
      <w:r>
        <w:rPr>
          <w:rFonts w:hint="eastAsia"/>
        </w:rPr>
        <w:t>10.3.1</w:t>
      </w:r>
      <w:r>
        <w:rPr>
          <w:rFonts w:hint="eastAsia"/>
        </w:rPr>
        <w:tab/>
      </w:r>
      <w:r>
        <w:rPr>
          <w:rFonts w:hint="eastAsia" w:eastAsia="黑体" w:cstheme="majorBidi"/>
          <w:bCs/>
          <w:szCs w:val="32"/>
        </w:rPr>
        <w:t>排污口规范化设置及管理</w:t>
      </w:r>
    </w:p>
    <w:p>
      <w:pPr>
        <w:pStyle w:val="3"/>
        <w:ind w:firstLine="480"/>
        <w:rPr>
          <w:rFonts w:cs="Times New Roman"/>
          <w:kern w:val="0"/>
          <w:szCs w:val="24"/>
        </w:rPr>
      </w:pPr>
      <w:r>
        <w:rPr>
          <w:rFonts w:cs="Times New Roman"/>
          <w:kern w:val="0"/>
          <w:szCs w:val="24"/>
        </w:rPr>
        <w:t>根据《关于开展排放口规范化整治工作的通知》（国家环境保护总局环发[1999]24号）和《排放口规范化整治技术》（国家环境保护总局环发[1999]24 号文）文件的要求，一切新建、改建的排污单位以及限期治理的排污单位，必须在建设污染治理设施的同时，建设规范化排污口。因此，建设单位在投产时，各类排污口必须规范化建设和管理，而且规范化工作应与污染治理同步实施，即治理设施完工时，规范化工作必须同时完成，并列入污染物治理设施的验收内容。</w:t>
      </w:r>
    </w:p>
    <w:p>
      <w:pPr>
        <w:pStyle w:val="3"/>
        <w:ind w:firstLine="480"/>
        <w:rPr>
          <w:rFonts w:cs="Times New Roman"/>
          <w:kern w:val="0"/>
          <w:szCs w:val="24"/>
        </w:rPr>
      </w:pPr>
      <w:r>
        <w:rPr>
          <w:rFonts w:cs="Times New Roman"/>
          <w:kern w:val="0"/>
          <w:szCs w:val="24"/>
        </w:rPr>
        <w:t>排污口是企业排放污染物进入环境的通道，强化排污口的管理是实施污染物总量控制的基础工作之一，也是区域环境管理逐步实现污染物排放的科学化、定量化的重要手段。</w:t>
      </w:r>
    </w:p>
    <w:p>
      <w:pPr>
        <w:pStyle w:val="3"/>
        <w:ind w:firstLine="480"/>
        <w:rPr>
          <w:rFonts w:cs="Times New Roman"/>
          <w:kern w:val="0"/>
          <w:szCs w:val="24"/>
        </w:rPr>
      </w:pPr>
      <w:r>
        <w:rPr>
          <w:rFonts w:cs="Times New Roman"/>
          <w:kern w:val="0"/>
          <w:szCs w:val="24"/>
        </w:rPr>
        <w:t>具体管理原则如下：</w:t>
      </w:r>
    </w:p>
    <w:p>
      <w:pPr>
        <w:pStyle w:val="3"/>
        <w:ind w:firstLine="480"/>
        <w:rPr>
          <w:rFonts w:cs="Times New Roman"/>
        </w:rPr>
      </w:pPr>
      <w:r>
        <w:rPr>
          <w:rFonts w:cs="Times New Roman"/>
        </w:rPr>
        <w:t>（1）本项目主要废气排放口为</w:t>
      </w:r>
      <w:r>
        <w:rPr>
          <w:rFonts w:hint="eastAsia" w:cs="Times New Roman"/>
        </w:rPr>
        <w:t>锅炉</w:t>
      </w:r>
      <w:r>
        <w:rPr>
          <w:rFonts w:cs="Times New Roman"/>
        </w:rPr>
        <w:t>排气筒</w:t>
      </w:r>
      <w:r>
        <w:rPr>
          <w:rFonts w:hint="eastAsia" w:cs="Times New Roman"/>
        </w:rPr>
        <w:t>，</w:t>
      </w:r>
      <w:r>
        <w:rPr>
          <w:rFonts w:cs="Times New Roman"/>
        </w:rPr>
        <w:t>排气筒进风口及出风口均应设置便于采样的取样口；</w:t>
      </w:r>
      <w:r>
        <w:rPr>
          <w:rFonts w:hint="eastAsia" w:cs="Times New Roman"/>
        </w:rPr>
        <w:t>粪污处理系统</w:t>
      </w:r>
      <w:r>
        <w:rPr>
          <w:rFonts w:cs="Times New Roman"/>
        </w:rPr>
        <w:t>进水口、</w:t>
      </w:r>
      <w:r>
        <w:rPr>
          <w:rFonts w:hint="eastAsia" w:cs="Times New Roman"/>
        </w:rPr>
        <w:t>及总排口</w:t>
      </w:r>
      <w:r>
        <w:rPr>
          <w:rFonts w:cs="Times New Roman"/>
        </w:rPr>
        <w:t>，设置便于采样的取水的采样口，项目不得设置</w:t>
      </w:r>
      <w:r>
        <w:rPr>
          <w:rFonts w:hint="eastAsia" w:cs="Times New Roman"/>
        </w:rPr>
        <w:t>未经处理达标的</w:t>
      </w:r>
      <w:r>
        <w:rPr>
          <w:rFonts w:cs="Times New Roman"/>
        </w:rPr>
        <w:t>污水对外排放口或生产生活废水与厂区雨水排放沟渠管网对接口。</w:t>
      </w:r>
    </w:p>
    <w:p>
      <w:pPr>
        <w:pStyle w:val="3"/>
        <w:ind w:firstLine="480"/>
        <w:rPr>
          <w:rFonts w:cs="Times New Roman"/>
        </w:rPr>
      </w:pPr>
      <w:r>
        <w:rPr>
          <w:rFonts w:cs="Times New Roman"/>
        </w:rPr>
        <w:t>（2）</w:t>
      </w:r>
      <w:r>
        <w:rPr>
          <w:rFonts w:hint="eastAsia" w:cs="Times New Roman"/>
        </w:rPr>
        <w:t>根据国家环保法和对建设项目的环境管理要求，采取项目建设单位自测和地方环境监测部门抽样监测相结合的方法监测，分别采取日常监测和定期监测的方法。厂区排放口既是污水处理设施的排放口，在排污口处树立明显的排污口标志，并注明排污单位、排放量、排放污染物及排放浓度等。</w:t>
      </w:r>
    </w:p>
    <w:p>
      <w:pPr>
        <w:pStyle w:val="3"/>
        <w:ind w:firstLine="480"/>
        <w:rPr>
          <w:rFonts w:cs="Times New Roman"/>
        </w:rPr>
      </w:pPr>
      <w:r>
        <w:rPr>
          <w:rFonts w:hint="eastAsia" w:cs="Times New Roman"/>
        </w:rPr>
        <w:t>（3）如实向环保管理部门申报排污口数量、位置及所排放的主要污染物种类、浓度、排放去向等情况。</w:t>
      </w:r>
    </w:p>
    <w:p>
      <w:pPr>
        <w:pStyle w:val="3"/>
        <w:ind w:firstLine="0" w:firstLineChars="0"/>
        <w:outlineLvl w:val="2"/>
      </w:pPr>
      <w:r>
        <w:rPr>
          <w:rFonts w:hint="eastAsia"/>
        </w:rPr>
        <w:t>10.3.2</w:t>
      </w:r>
      <w:r>
        <w:rPr>
          <w:rFonts w:hint="eastAsia"/>
        </w:rPr>
        <w:tab/>
      </w:r>
      <w:r>
        <w:rPr>
          <w:rFonts w:hint="eastAsia" w:eastAsia="黑体" w:cstheme="majorBidi"/>
          <w:bCs/>
          <w:szCs w:val="32"/>
        </w:rPr>
        <w:t>排污口立标管理</w:t>
      </w:r>
    </w:p>
    <w:p>
      <w:pPr>
        <w:pStyle w:val="3"/>
        <w:ind w:firstLine="480"/>
        <w:rPr>
          <w:rFonts w:cs="Times New Roman"/>
        </w:rPr>
      </w:pPr>
      <w:r>
        <w:rPr>
          <w:rFonts w:hint="eastAsia" w:cs="Times New Roman"/>
        </w:rPr>
        <w:t>（1）企业污染物排放口的标志，</w:t>
      </w:r>
      <w:r>
        <w:rPr>
          <w:rFonts w:cs="Times New Roman"/>
        </w:rPr>
        <w:t xml:space="preserve"> </w:t>
      </w:r>
      <w:r>
        <w:rPr>
          <w:rFonts w:hint="eastAsia" w:cs="Times New Roman"/>
        </w:rPr>
        <w:t>应按国家《环境保护图形标志排放口》（</w:t>
      </w:r>
      <w:r>
        <w:rPr>
          <w:rFonts w:cs="Times New Roman"/>
        </w:rPr>
        <w:t>15562.1-1995</w:t>
      </w:r>
      <w:r>
        <w:rPr>
          <w:rFonts w:hint="eastAsia" w:cs="Times New Roman"/>
        </w:rPr>
        <w:t>）及《环境保护图形标志固体废物贮存（处置）场》（</w:t>
      </w:r>
      <w:r>
        <w:rPr>
          <w:rFonts w:cs="Times New Roman"/>
        </w:rPr>
        <w:t>15562.2-1995</w:t>
      </w:r>
      <w:r>
        <w:rPr>
          <w:rFonts w:hint="eastAsia" w:cs="Times New Roman"/>
        </w:rPr>
        <w:t>）的规定，设置国家环保部统一制作的环境保护图形标志牌。示例见图10.3-1</w:t>
      </w:r>
      <w:r>
        <w:rPr>
          <w:rFonts w:cs="Times New Roman"/>
        </w:rPr>
        <w:t>。</w:t>
      </w:r>
    </w:p>
    <w:p>
      <w:pPr>
        <w:pStyle w:val="3"/>
        <w:spacing w:line="240" w:lineRule="auto"/>
        <w:ind w:firstLine="0" w:firstLineChars="0"/>
        <w:jc w:val="center"/>
        <w:rPr>
          <w:rFonts w:cs="Times New Roman"/>
        </w:rPr>
      </w:pPr>
      <w:r>
        <w:rPr>
          <w:rFonts w:cs="Times New Roman"/>
        </w:rPr>
        <w:drawing>
          <wp:inline distT="0" distB="0" distL="0" distR="0">
            <wp:extent cx="5095875" cy="2651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95875" cy="2651293"/>
                    </a:xfrm>
                    <a:prstGeom prst="rect">
                      <a:avLst/>
                    </a:prstGeom>
                    <a:noFill/>
                    <a:ln>
                      <a:noFill/>
                    </a:ln>
                  </pic:spPr>
                </pic:pic>
              </a:graphicData>
            </a:graphic>
          </wp:inline>
        </w:drawing>
      </w:r>
    </w:p>
    <w:p>
      <w:pPr>
        <w:pStyle w:val="3"/>
        <w:spacing w:line="240" w:lineRule="auto"/>
        <w:ind w:firstLine="0" w:firstLineChars="0"/>
        <w:jc w:val="center"/>
        <w:rPr>
          <w:rFonts w:cs="Times New Roman" w:eastAsiaTheme="minorEastAsia"/>
          <w:b/>
        </w:rPr>
      </w:pPr>
      <w:r>
        <w:rPr>
          <w:rFonts w:hint="eastAsia" w:cs="Times New Roman" w:eastAsiaTheme="minorEastAsia"/>
          <w:b/>
        </w:rPr>
        <w:t>图10</w:t>
      </w:r>
      <w:r>
        <w:rPr>
          <w:rFonts w:cs="Times New Roman" w:eastAsiaTheme="minorEastAsia"/>
          <w:b/>
        </w:rPr>
        <w:t>.</w:t>
      </w:r>
      <w:r>
        <w:rPr>
          <w:rFonts w:hint="eastAsia" w:cs="Times New Roman" w:eastAsiaTheme="minorEastAsia"/>
          <w:b/>
        </w:rPr>
        <w:t>3</w:t>
      </w:r>
      <w:r>
        <w:rPr>
          <w:rFonts w:cs="Times New Roman" w:eastAsiaTheme="minorEastAsia"/>
          <w:b/>
        </w:rPr>
        <w:t>-</w:t>
      </w:r>
      <w:r>
        <w:rPr>
          <w:rFonts w:hint="eastAsia" w:cs="Times New Roman" w:eastAsiaTheme="minorEastAsia"/>
          <w:b/>
        </w:rPr>
        <w:t>1</w:t>
      </w:r>
      <w:r>
        <w:rPr>
          <w:rFonts w:cs="Times New Roman" w:eastAsiaTheme="minorEastAsia"/>
          <w:b/>
        </w:rPr>
        <w:t xml:space="preserve">    </w:t>
      </w:r>
      <w:r>
        <w:rPr>
          <w:rFonts w:hint="eastAsia" w:cs="Times New Roman" w:eastAsiaTheme="minorEastAsia"/>
          <w:b/>
        </w:rPr>
        <w:t>排污口图形标志示例图</w:t>
      </w:r>
    </w:p>
    <w:p>
      <w:pPr>
        <w:pStyle w:val="3"/>
        <w:ind w:firstLine="480"/>
        <w:rPr>
          <w:rFonts w:cs="Times New Roman"/>
        </w:rPr>
      </w:pPr>
      <w:r>
        <w:rPr>
          <w:rFonts w:hint="eastAsia" w:cs="Times New Roman"/>
        </w:rPr>
        <w:t>（</w:t>
      </w:r>
      <w:r>
        <w:rPr>
          <w:rFonts w:cs="Times New Roman"/>
        </w:rPr>
        <w:t>2</w:t>
      </w:r>
      <w:r>
        <w:rPr>
          <w:rFonts w:hint="eastAsia" w:cs="Times New Roman"/>
        </w:rPr>
        <w:t>）污染物排放口的环保图形标志牌应设置在靠近采样点的醒目处，标志牌设置高度为其上缘距地面</w:t>
      </w:r>
      <w:r>
        <w:rPr>
          <w:rFonts w:cs="Times New Roman"/>
        </w:rPr>
        <w:t>2m</w:t>
      </w:r>
      <w:r>
        <w:rPr>
          <w:rFonts w:hint="eastAsia" w:cs="Times New Roman"/>
        </w:rPr>
        <w:t>。</w:t>
      </w:r>
    </w:p>
    <w:p>
      <w:pPr>
        <w:pStyle w:val="3"/>
        <w:spacing w:line="240" w:lineRule="auto"/>
        <w:ind w:firstLine="0" w:firstLineChars="0"/>
        <w:jc w:val="center"/>
        <w:rPr>
          <w:rFonts w:cs="Times New Roman" w:eastAsiaTheme="minorEastAsia"/>
          <w:b/>
        </w:rPr>
      </w:pPr>
      <w:r>
        <w:rPr>
          <w:rFonts w:cs="Times New Roman" w:eastAsiaTheme="minorEastAsia"/>
          <w:b/>
        </w:rPr>
        <w:t>表</w:t>
      </w:r>
      <w:r>
        <w:rPr>
          <w:rFonts w:hint="eastAsia" w:cs="Times New Roman" w:eastAsiaTheme="minorEastAsia"/>
          <w:b/>
        </w:rPr>
        <w:t>10</w:t>
      </w:r>
      <w:r>
        <w:rPr>
          <w:rFonts w:cs="Times New Roman" w:eastAsiaTheme="minorEastAsia"/>
          <w:b/>
        </w:rPr>
        <w:t>.</w:t>
      </w:r>
      <w:r>
        <w:rPr>
          <w:rFonts w:hint="eastAsia" w:cs="Times New Roman" w:eastAsiaTheme="minorEastAsia"/>
          <w:b/>
        </w:rPr>
        <w:t>3</w:t>
      </w:r>
      <w:r>
        <w:rPr>
          <w:rFonts w:cs="Times New Roman" w:eastAsiaTheme="minorEastAsia"/>
          <w:b/>
        </w:rPr>
        <w:t>-</w:t>
      </w:r>
      <w:r>
        <w:rPr>
          <w:rFonts w:hint="eastAsia" w:cs="Times New Roman" w:eastAsiaTheme="minorEastAsia"/>
          <w:b/>
        </w:rPr>
        <w:t>1</w:t>
      </w:r>
      <w:r>
        <w:rPr>
          <w:rFonts w:cs="Times New Roman" w:eastAsiaTheme="minorEastAsia"/>
          <w:b/>
        </w:rPr>
        <w:t xml:space="preserve">    </w:t>
      </w:r>
      <w:r>
        <w:rPr>
          <w:rFonts w:hint="eastAsia" w:cs="Times New Roman" w:eastAsiaTheme="minorEastAsia"/>
          <w:b/>
        </w:rPr>
        <w:t>环境保护图形标志的形状及颜色表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2293"/>
        <w:gridCol w:w="2293"/>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3" w:type="dxa"/>
            <w:vAlign w:val="center"/>
          </w:tcPr>
          <w:p>
            <w:pPr>
              <w:pStyle w:val="49"/>
              <w:rPr>
                <w:rFonts w:cs="Times New Roman"/>
              </w:rPr>
            </w:pPr>
            <w:r>
              <w:rPr>
                <w:rFonts w:hint="eastAsia" w:cs="Times New Roman"/>
              </w:rPr>
              <w:t>标识名称</w:t>
            </w:r>
          </w:p>
        </w:tc>
        <w:tc>
          <w:tcPr>
            <w:tcW w:w="2293" w:type="dxa"/>
            <w:vAlign w:val="center"/>
          </w:tcPr>
          <w:p>
            <w:pPr>
              <w:pStyle w:val="49"/>
              <w:rPr>
                <w:rFonts w:cs="Times New Roman"/>
              </w:rPr>
            </w:pPr>
            <w:r>
              <w:rPr>
                <w:rFonts w:hint="eastAsia" w:cs="Times New Roman"/>
              </w:rPr>
              <w:t>形状</w:t>
            </w:r>
          </w:p>
        </w:tc>
        <w:tc>
          <w:tcPr>
            <w:tcW w:w="2293" w:type="dxa"/>
            <w:vAlign w:val="center"/>
          </w:tcPr>
          <w:p>
            <w:pPr>
              <w:pStyle w:val="49"/>
              <w:rPr>
                <w:rFonts w:cs="Times New Roman"/>
              </w:rPr>
            </w:pPr>
            <w:r>
              <w:rPr>
                <w:rFonts w:hint="eastAsia" w:cs="Times New Roman"/>
              </w:rPr>
              <w:t>背景颜色</w:t>
            </w:r>
          </w:p>
        </w:tc>
        <w:tc>
          <w:tcPr>
            <w:tcW w:w="2294" w:type="dxa"/>
            <w:vAlign w:val="center"/>
          </w:tcPr>
          <w:p>
            <w:pPr>
              <w:pStyle w:val="49"/>
              <w:rPr>
                <w:rFonts w:cs="Times New Roman"/>
              </w:rPr>
            </w:pPr>
            <w:r>
              <w:rPr>
                <w:rFonts w:hint="eastAsia" w:cs="Times New Roman"/>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3" w:type="dxa"/>
            <w:vAlign w:val="center"/>
          </w:tcPr>
          <w:p>
            <w:pPr>
              <w:pStyle w:val="49"/>
              <w:rPr>
                <w:rFonts w:cs="Times New Roman"/>
              </w:rPr>
            </w:pPr>
            <w:r>
              <w:rPr>
                <w:rFonts w:hint="eastAsia" w:cs="Times New Roman"/>
              </w:rPr>
              <w:t>警告标志</w:t>
            </w:r>
          </w:p>
        </w:tc>
        <w:tc>
          <w:tcPr>
            <w:tcW w:w="2293" w:type="dxa"/>
            <w:vAlign w:val="center"/>
          </w:tcPr>
          <w:p>
            <w:pPr>
              <w:pStyle w:val="49"/>
              <w:rPr>
                <w:rFonts w:cs="Times New Roman"/>
              </w:rPr>
            </w:pPr>
            <w:r>
              <w:rPr>
                <w:rFonts w:hint="eastAsia" w:cs="Times New Roman"/>
              </w:rPr>
              <w:t>三角形边框</w:t>
            </w:r>
          </w:p>
        </w:tc>
        <w:tc>
          <w:tcPr>
            <w:tcW w:w="2293" w:type="dxa"/>
            <w:vAlign w:val="center"/>
          </w:tcPr>
          <w:p>
            <w:pPr>
              <w:pStyle w:val="49"/>
              <w:rPr>
                <w:rFonts w:cs="Times New Roman"/>
              </w:rPr>
            </w:pPr>
            <w:r>
              <w:rPr>
                <w:rFonts w:hint="eastAsia" w:cs="Times New Roman"/>
              </w:rPr>
              <w:t>黄色</w:t>
            </w:r>
          </w:p>
        </w:tc>
        <w:tc>
          <w:tcPr>
            <w:tcW w:w="2294" w:type="dxa"/>
            <w:vAlign w:val="center"/>
          </w:tcPr>
          <w:p>
            <w:pPr>
              <w:pStyle w:val="49"/>
              <w:rPr>
                <w:rFonts w:cs="Times New Roman"/>
              </w:rPr>
            </w:pPr>
            <w:r>
              <w:rPr>
                <w:rFonts w:hint="eastAsia" w:cs="Times New Roma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3" w:type="dxa"/>
            <w:vAlign w:val="center"/>
          </w:tcPr>
          <w:p>
            <w:pPr>
              <w:pStyle w:val="49"/>
              <w:rPr>
                <w:rFonts w:cs="Times New Roman"/>
              </w:rPr>
            </w:pPr>
            <w:r>
              <w:rPr>
                <w:rFonts w:hint="eastAsia" w:cs="Times New Roman"/>
              </w:rPr>
              <w:t>执行标志</w:t>
            </w:r>
          </w:p>
        </w:tc>
        <w:tc>
          <w:tcPr>
            <w:tcW w:w="2293" w:type="dxa"/>
            <w:vAlign w:val="center"/>
          </w:tcPr>
          <w:p>
            <w:pPr>
              <w:pStyle w:val="49"/>
              <w:rPr>
                <w:rFonts w:cs="Times New Roman"/>
              </w:rPr>
            </w:pPr>
            <w:r>
              <w:rPr>
                <w:rFonts w:hint="eastAsia" w:cs="Times New Roman"/>
              </w:rPr>
              <w:t>正方形边框</w:t>
            </w:r>
          </w:p>
        </w:tc>
        <w:tc>
          <w:tcPr>
            <w:tcW w:w="2293" w:type="dxa"/>
            <w:vAlign w:val="center"/>
          </w:tcPr>
          <w:p>
            <w:pPr>
              <w:pStyle w:val="49"/>
              <w:rPr>
                <w:rFonts w:cs="Times New Roman"/>
              </w:rPr>
            </w:pPr>
            <w:r>
              <w:rPr>
                <w:rFonts w:hint="eastAsia" w:cs="Times New Roman"/>
              </w:rPr>
              <w:t>绿色</w:t>
            </w:r>
          </w:p>
        </w:tc>
        <w:tc>
          <w:tcPr>
            <w:tcW w:w="2294" w:type="dxa"/>
            <w:vAlign w:val="center"/>
          </w:tcPr>
          <w:p>
            <w:pPr>
              <w:pStyle w:val="49"/>
              <w:rPr>
                <w:rFonts w:cs="Times New Roman"/>
              </w:rPr>
            </w:pPr>
            <w:r>
              <w:rPr>
                <w:rFonts w:hint="eastAsia" w:cs="Times New Roman"/>
              </w:rPr>
              <w:t>白色</w:t>
            </w:r>
          </w:p>
        </w:tc>
      </w:tr>
    </w:tbl>
    <w:p>
      <w:pPr>
        <w:pStyle w:val="3"/>
        <w:ind w:firstLine="480"/>
      </w:pPr>
    </w:p>
    <w:p>
      <w:pPr>
        <w:pStyle w:val="3"/>
        <w:ind w:firstLine="0" w:firstLineChars="0"/>
        <w:outlineLvl w:val="2"/>
      </w:pPr>
      <w:r>
        <w:rPr>
          <w:rFonts w:hint="eastAsia"/>
        </w:rPr>
        <w:t>10.3.3</w:t>
      </w:r>
      <w:r>
        <w:rPr>
          <w:rFonts w:hint="eastAsia"/>
        </w:rPr>
        <w:tab/>
      </w:r>
      <w:r>
        <w:rPr>
          <w:rFonts w:hint="eastAsia" w:eastAsia="黑体" w:cstheme="majorBidi"/>
          <w:bCs/>
          <w:szCs w:val="32"/>
        </w:rPr>
        <w:t>排污口建档管理</w:t>
      </w:r>
    </w:p>
    <w:p>
      <w:pPr>
        <w:pStyle w:val="3"/>
        <w:ind w:firstLine="480"/>
        <w:rPr>
          <w:rFonts w:cs="Times New Roman"/>
        </w:rPr>
      </w:pPr>
      <w:r>
        <w:rPr>
          <w:rFonts w:hint="eastAsia" w:cs="Times New Roman"/>
        </w:rPr>
        <w:t>（</w:t>
      </w:r>
      <w:r>
        <w:rPr>
          <w:rFonts w:cs="Times New Roman"/>
        </w:rPr>
        <w:t>1</w:t>
      </w:r>
      <w:r>
        <w:rPr>
          <w:rFonts w:hint="eastAsia" w:cs="Times New Roman"/>
        </w:rPr>
        <w:t>）本项目应使用国家环保部统一印制的《中华人民共和国规范化排污口标志登记证》，并按要求填写有关内容；</w:t>
      </w:r>
    </w:p>
    <w:p>
      <w:pPr>
        <w:pStyle w:val="3"/>
        <w:ind w:firstLine="480"/>
        <w:rPr>
          <w:rFonts w:cs="Times New Roman"/>
        </w:rPr>
      </w:pPr>
      <w:r>
        <w:rPr>
          <w:rFonts w:hint="eastAsia" w:cs="Times New Roman"/>
        </w:rPr>
        <w:t>（</w:t>
      </w:r>
      <w:r>
        <w:rPr>
          <w:rFonts w:cs="Times New Roman"/>
        </w:rPr>
        <w:t>2</w:t>
      </w:r>
      <w:r>
        <w:rPr>
          <w:rFonts w:hint="eastAsia" w:cs="Times New Roman"/>
        </w:rPr>
        <w:t>）根据排污口管理内容要求，应将主要污染物种类、数量、浓度、排放去向、达标情况及设施运行情况记录于档案。</w:t>
      </w:r>
    </w:p>
    <w:p>
      <w:pPr>
        <w:pStyle w:val="3"/>
        <w:ind w:firstLine="480"/>
        <w:rPr>
          <w:rFonts w:cs="Times New Roman"/>
        </w:rPr>
      </w:pPr>
      <w:r>
        <w:rPr>
          <w:rFonts w:hint="eastAsia" w:cs="Times New Roman"/>
        </w:rPr>
        <w:t>（</w:t>
      </w:r>
      <w:r>
        <w:rPr>
          <w:rFonts w:cs="Times New Roman"/>
        </w:rPr>
        <w:t>3</w:t>
      </w:r>
      <w:r>
        <w:rPr>
          <w:rFonts w:hint="eastAsia" w:cs="Times New Roman"/>
        </w:rPr>
        <w:t>）对于排污档案要做好保存工作，积极配合衡阳县生态环境部门定期或不定期的检查。</w:t>
      </w:r>
    </w:p>
    <w:p>
      <w:pPr>
        <w:pStyle w:val="5"/>
      </w:pPr>
      <w:bookmarkStart w:id="57" w:name="_Toc116993093"/>
      <w:r>
        <w:rPr>
          <w:rFonts w:hint="eastAsia"/>
        </w:rPr>
        <w:t>环保</w:t>
      </w:r>
      <w:r>
        <w:t>设施竣工验收</w:t>
      </w:r>
      <w:bookmarkEnd w:id="57"/>
    </w:p>
    <w:p>
      <w:pPr>
        <w:pStyle w:val="3"/>
        <w:ind w:firstLine="480"/>
        <w:rPr>
          <w:rFonts w:cs="Times New Roman"/>
        </w:rPr>
      </w:pPr>
      <w:r>
        <w:rPr>
          <w:rFonts w:cs="Times New Roman"/>
        </w:rPr>
        <w:t>项目在正式营运前，必须向负责审批的环保行政主管部门提交</w:t>
      </w:r>
      <w:r>
        <w:rPr>
          <w:rFonts w:hint="eastAsia" w:cs="Times New Roman"/>
        </w:rPr>
        <w:t>“</w:t>
      </w:r>
      <w:r>
        <w:rPr>
          <w:rFonts w:cs="Times New Roman"/>
        </w:rPr>
        <w:t>环保竣工验收报告</w:t>
      </w:r>
      <w:r>
        <w:rPr>
          <w:rFonts w:hint="eastAsia" w:cs="Times New Roman"/>
        </w:rPr>
        <w:t>”，</w:t>
      </w:r>
      <w:r>
        <w:rPr>
          <w:rFonts w:cs="Times New Roman"/>
        </w:rPr>
        <w:t>说明设施运行情况，治理的效果，达到的标准。</w:t>
      </w:r>
      <w:r>
        <w:rPr>
          <w:rFonts w:hint="eastAsia" w:cs="Times New Roman"/>
        </w:rPr>
        <w:t>项目</w:t>
      </w:r>
      <w:r>
        <w:rPr>
          <w:rFonts w:cs="Times New Roman"/>
        </w:rPr>
        <w:t>验收合格后，方可正式投入生产使用</w:t>
      </w:r>
      <w:r>
        <w:rPr>
          <w:rFonts w:hint="eastAsia" w:cs="Times New Roman"/>
        </w:rPr>
        <w:t>。</w:t>
      </w:r>
    </w:p>
    <w:p>
      <w:pPr>
        <w:pStyle w:val="3"/>
        <w:ind w:firstLine="480"/>
        <w:rPr>
          <w:rFonts w:cs="Times New Roman"/>
        </w:rPr>
      </w:pPr>
      <w:r>
        <w:rPr>
          <w:rFonts w:cs="Times New Roman"/>
        </w:rPr>
        <w:t>根据《建设项目竣工环境保护验收暂行办法》（国环规环评[2017]4号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pPr>
        <w:pStyle w:val="3"/>
        <w:ind w:firstLine="480"/>
        <w:rPr>
          <w:rFonts w:cs="Times New Roman"/>
        </w:rPr>
      </w:pPr>
      <w:r>
        <w:rPr>
          <w:rFonts w:cs="Times New Roman"/>
        </w:rPr>
        <w:t>建设项目竣工环境保护企业自行验收工作程序：</w:t>
      </w:r>
    </w:p>
    <w:p>
      <w:pPr>
        <w:pStyle w:val="3"/>
        <w:ind w:firstLine="480"/>
        <w:rPr>
          <w:rFonts w:cs="Times New Roman"/>
        </w:rPr>
      </w:pPr>
      <w:r>
        <w:rPr>
          <w:rFonts w:hint="eastAsia" w:cs="Times New Roman"/>
        </w:rPr>
        <w:t>①</w:t>
      </w:r>
      <w:r>
        <w:rPr>
          <w:rFonts w:cs="Times New Roman"/>
        </w:rPr>
        <w:t>在建设项目竣工后、正式投入生产或运行前，企业按照环境影响报告表及其批复文件要求，对与主体工程配套建设的环境保护设施落实情况进行查验。</w:t>
      </w:r>
    </w:p>
    <w:p>
      <w:pPr>
        <w:pStyle w:val="3"/>
        <w:ind w:firstLine="480"/>
        <w:rPr>
          <w:rFonts w:cs="Times New Roman"/>
        </w:rPr>
      </w:pPr>
      <w:r>
        <w:rPr>
          <w:rFonts w:hint="eastAsia" w:cs="Times New Roman"/>
        </w:rPr>
        <w:t>②</w:t>
      </w:r>
      <w:r>
        <w:rPr>
          <w:rFonts w:cs="Times New Roman"/>
        </w:rPr>
        <w:t>按照环境保护主管部门制定的竣工环境保护验收技术规范，企业自行编制或委托具备相应技术能力的机构，对建设项目环境保护设施落实情况进行调查，开展相关环境监测，编制竣工环境保护验收调查（监测）报告。企业、验收调查（监测）机构及其相关人员对验收调查（监测）报告结论终身负责。</w:t>
      </w:r>
    </w:p>
    <w:p>
      <w:pPr>
        <w:pStyle w:val="3"/>
        <w:ind w:firstLine="480"/>
        <w:rPr>
          <w:rFonts w:cs="Times New Roman"/>
        </w:rPr>
      </w:pPr>
      <w:r>
        <w:rPr>
          <w:rFonts w:hint="eastAsia" w:cs="Times New Roman"/>
        </w:rPr>
        <w:t>③</w:t>
      </w:r>
      <w:r>
        <w:rPr>
          <w:rFonts w:cs="Times New Roman"/>
        </w:rPr>
        <w:t>验收调查（监测）报告编制完成后，由企业法人组织对建设项目环境保护设施和环境保护措施进行验收，形成书面报告备查，并向社会公开。</w:t>
      </w:r>
    </w:p>
    <w:p>
      <w:pPr>
        <w:pStyle w:val="3"/>
        <w:ind w:firstLine="480"/>
        <w:rPr>
          <w:rFonts w:cs="Times New Roman"/>
        </w:rPr>
      </w:pPr>
      <w:r>
        <w:rPr>
          <w:rFonts w:hint="eastAsia" w:cs="Times New Roman"/>
        </w:rPr>
        <w:t>④</w:t>
      </w:r>
      <w:r>
        <w:rPr>
          <w:rFonts w:cs="Times New Roman"/>
        </w:rPr>
        <w:t>企业自行组织竣工环境保护验收时，应成立验收组，对建设项目环境保护设施及其他环境保护措施进行资料审查、现场踏勘，形成验收意见，验收组成员名单附后。验收意见应经三分之二以上验收组成员同意。</w:t>
      </w:r>
    </w:p>
    <w:p>
      <w:pPr>
        <w:pStyle w:val="3"/>
        <w:ind w:firstLine="480"/>
        <w:rPr>
          <w:rFonts w:cs="Times New Roman"/>
        </w:rPr>
      </w:pPr>
      <w:r>
        <w:rPr>
          <w:rFonts w:cs="Times New Roman"/>
        </w:rPr>
        <w:t>验收组应由项目法人、设计单位、施工单位、环境监理单位、环境监测单位、环境影响报告表编制单位、变更环境影响报告表编制单位、验收调查（监测）报告编制单位代表，以及不少于5名行业专家组成。</w:t>
      </w:r>
    </w:p>
    <w:p>
      <w:pPr>
        <w:pStyle w:val="3"/>
        <w:ind w:firstLine="480"/>
        <w:rPr>
          <w:rFonts w:cs="Times New Roman"/>
        </w:rPr>
      </w:pPr>
      <w:r>
        <w:rPr>
          <w:rFonts w:hint="eastAsia" w:cs="Times New Roman"/>
        </w:rPr>
        <w:t>⑤</w:t>
      </w:r>
      <w:r>
        <w:rPr>
          <w:rFonts w:cs="Times New Roman"/>
        </w:rPr>
        <w:t>企业应对验收意见中提出的环保问题进行整改。环境保护设施未经验收或者验收不合格的，建设项目主体工程不得投入生产或者使用。</w:t>
      </w:r>
    </w:p>
    <w:p>
      <w:pPr>
        <w:pStyle w:val="3"/>
        <w:ind w:firstLine="480"/>
        <w:rPr>
          <w:rFonts w:cs="Times New Roman"/>
        </w:rPr>
      </w:pPr>
      <w:r>
        <w:rPr>
          <w:rFonts w:hint="eastAsia" w:cs="Times New Roman"/>
        </w:rPr>
        <w:t>⑥</w:t>
      </w:r>
      <w:r>
        <w:rPr>
          <w:rFonts w:cs="Times New Roman"/>
        </w:rPr>
        <w:t>企业应自验收通过之日起30个工作日内，制作竣工环境保护验收意见书，并将验收意见书、验收调查（监测）报告和“三同时”验收登记表上传至建设项目竣工环境保护企业自行验收信息平台，并如实向社会公开。</w:t>
      </w:r>
    </w:p>
    <w:p>
      <w:pPr>
        <w:pStyle w:val="3"/>
        <w:ind w:firstLine="480"/>
        <w:rPr>
          <w:rFonts w:cs="Times New Roman"/>
        </w:rPr>
      </w:pPr>
      <w:r>
        <w:rPr>
          <w:rFonts w:cs="Times New Roman"/>
        </w:rPr>
        <w:t>根据建设项目污染源产生及排放情况和污染防治措施，提出本项目环境保护设施竣工验收内容见表</w:t>
      </w:r>
      <w:r>
        <w:rPr>
          <w:rFonts w:hint="eastAsia" w:cs="Times New Roman"/>
        </w:rPr>
        <w:t>10.4-1</w:t>
      </w:r>
      <w:r>
        <w:rPr>
          <w:rFonts w:cs="Times New Roman"/>
        </w:rPr>
        <w:t>。</w:t>
      </w:r>
    </w:p>
    <w:p>
      <w:pPr>
        <w:pStyle w:val="3"/>
        <w:spacing w:line="240" w:lineRule="auto"/>
        <w:ind w:firstLine="0" w:firstLineChars="0"/>
        <w:jc w:val="center"/>
        <w:rPr>
          <w:rFonts w:cs="Times New Roman" w:eastAsiaTheme="minorEastAsia"/>
          <w:b/>
          <w:color w:val="FF0000"/>
          <w:u w:val="single"/>
        </w:rPr>
      </w:pPr>
      <w:r>
        <w:rPr>
          <w:rFonts w:cs="Times New Roman" w:eastAsiaTheme="minorEastAsia"/>
          <w:b/>
          <w:color w:val="FF0000"/>
          <w:u w:val="single"/>
        </w:rPr>
        <w:t>表</w:t>
      </w:r>
      <w:r>
        <w:rPr>
          <w:rFonts w:hint="eastAsia" w:cs="Times New Roman" w:eastAsiaTheme="minorEastAsia"/>
          <w:b/>
          <w:color w:val="FF0000"/>
          <w:u w:val="single"/>
        </w:rPr>
        <w:t>10</w:t>
      </w:r>
      <w:r>
        <w:rPr>
          <w:rFonts w:cs="Times New Roman" w:eastAsiaTheme="minorEastAsia"/>
          <w:b/>
          <w:color w:val="FF0000"/>
          <w:u w:val="single"/>
        </w:rPr>
        <w:t>.</w:t>
      </w:r>
      <w:r>
        <w:rPr>
          <w:rFonts w:hint="eastAsia" w:cs="Times New Roman" w:eastAsiaTheme="minorEastAsia"/>
          <w:b/>
          <w:color w:val="FF0000"/>
          <w:u w:val="single"/>
        </w:rPr>
        <w:t>4</w:t>
      </w:r>
      <w:r>
        <w:rPr>
          <w:rFonts w:cs="Times New Roman" w:eastAsiaTheme="minorEastAsia"/>
          <w:b/>
          <w:color w:val="FF0000"/>
          <w:u w:val="single"/>
        </w:rPr>
        <w:t>-</w:t>
      </w:r>
      <w:r>
        <w:rPr>
          <w:rFonts w:hint="eastAsia" w:cs="Times New Roman" w:eastAsiaTheme="minorEastAsia"/>
          <w:b/>
          <w:color w:val="FF0000"/>
          <w:u w:val="single"/>
        </w:rPr>
        <w:t>1</w:t>
      </w:r>
      <w:r>
        <w:rPr>
          <w:rFonts w:cs="Times New Roman" w:eastAsiaTheme="minorEastAsia"/>
          <w:b/>
          <w:color w:val="FF0000"/>
          <w:u w:val="single"/>
        </w:rPr>
        <w:t xml:space="preserve">    </w:t>
      </w:r>
      <w:r>
        <w:rPr>
          <w:rFonts w:hint="eastAsia" w:cs="Times New Roman" w:eastAsiaTheme="minorEastAsia"/>
          <w:b/>
          <w:color w:val="FF0000"/>
          <w:u w:val="single"/>
        </w:rPr>
        <w:t>主要环境保护设施“三同时”验收一览表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587"/>
        <w:gridCol w:w="2704"/>
        <w:gridCol w:w="183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Align w:val="center"/>
          </w:tcPr>
          <w:p>
            <w:pPr>
              <w:pStyle w:val="49"/>
              <w:rPr>
                <w:color w:val="FF0000"/>
              </w:rPr>
            </w:pPr>
            <w:r>
              <w:rPr>
                <w:rFonts w:hint="eastAsia"/>
                <w:color w:val="FF0000"/>
              </w:rPr>
              <w:t>类别</w:t>
            </w:r>
          </w:p>
        </w:tc>
        <w:tc>
          <w:tcPr>
            <w:tcW w:w="865" w:type="pct"/>
            <w:vAlign w:val="center"/>
          </w:tcPr>
          <w:p>
            <w:pPr>
              <w:pStyle w:val="49"/>
              <w:rPr>
                <w:color w:val="FF0000"/>
              </w:rPr>
            </w:pPr>
            <w:r>
              <w:rPr>
                <w:rFonts w:hint="eastAsia"/>
                <w:color w:val="FF0000"/>
              </w:rPr>
              <w:t>污染源</w:t>
            </w:r>
          </w:p>
        </w:tc>
        <w:tc>
          <w:tcPr>
            <w:tcW w:w="1474" w:type="pct"/>
            <w:vAlign w:val="center"/>
          </w:tcPr>
          <w:p>
            <w:pPr>
              <w:pStyle w:val="49"/>
              <w:rPr>
                <w:color w:val="FF0000"/>
              </w:rPr>
            </w:pPr>
            <w:r>
              <w:rPr>
                <w:rFonts w:hint="eastAsia"/>
                <w:color w:val="FF0000"/>
              </w:rPr>
              <w:t>主要环保措施</w:t>
            </w:r>
          </w:p>
        </w:tc>
        <w:tc>
          <w:tcPr>
            <w:tcW w:w="999" w:type="pct"/>
            <w:vAlign w:val="center"/>
          </w:tcPr>
          <w:p>
            <w:pPr>
              <w:pStyle w:val="49"/>
              <w:rPr>
                <w:rFonts w:cs="Times New Roman"/>
                <w:color w:val="FF0000"/>
              </w:rPr>
            </w:pPr>
            <w:r>
              <w:rPr>
                <w:rFonts w:hint="eastAsia" w:cs="Times New Roman"/>
                <w:color w:val="FF0000"/>
              </w:rPr>
              <w:t>监测因子</w:t>
            </w:r>
          </w:p>
        </w:tc>
        <w:tc>
          <w:tcPr>
            <w:tcW w:w="1309" w:type="pct"/>
            <w:vAlign w:val="center"/>
          </w:tcPr>
          <w:p>
            <w:pPr>
              <w:pStyle w:val="49"/>
              <w:rPr>
                <w:color w:val="FF0000"/>
              </w:rPr>
            </w:pPr>
            <w:r>
              <w:rPr>
                <w:rFonts w:cs="Times New Roman"/>
                <w:color w:val="FF0000"/>
              </w:rPr>
              <w:t>环保要求/执行标准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353" w:type="pct"/>
            <w:vMerge w:val="restart"/>
            <w:tcBorders>
              <w:bottom w:val="single" w:color="auto" w:sz="4" w:space="0"/>
            </w:tcBorders>
            <w:vAlign w:val="center"/>
          </w:tcPr>
          <w:p>
            <w:pPr>
              <w:pStyle w:val="49"/>
              <w:rPr>
                <w:color w:val="FF0000"/>
              </w:rPr>
            </w:pPr>
            <w:r>
              <w:rPr>
                <w:rFonts w:hint="eastAsia"/>
                <w:color w:val="FF0000"/>
              </w:rPr>
              <w:t>废水</w:t>
            </w:r>
          </w:p>
        </w:tc>
        <w:tc>
          <w:tcPr>
            <w:tcW w:w="865" w:type="pct"/>
            <w:vMerge w:val="restart"/>
            <w:tcBorders>
              <w:bottom w:val="single" w:color="auto" w:sz="4" w:space="0"/>
            </w:tcBorders>
            <w:vAlign w:val="center"/>
          </w:tcPr>
          <w:p>
            <w:pPr>
              <w:pStyle w:val="49"/>
              <w:rPr>
                <w:color w:val="FF0000"/>
              </w:rPr>
            </w:pPr>
            <w:r>
              <w:rPr>
                <w:rFonts w:hint="eastAsia"/>
                <w:color w:val="FF0000"/>
              </w:rPr>
              <w:t>生厂废水</w:t>
            </w:r>
          </w:p>
        </w:tc>
        <w:tc>
          <w:tcPr>
            <w:tcW w:w="1474" w:type="pct"/>
            <w:tcBorders>
              <w:bottom w:val="single" w:color="auto" w:sz="4" w:space="0"/>
            </w:tcBorders>
            <w:vAlign w:val="center"/>
          </w:tcPr>
          <w:p>
            <w:pPr>
              <w:pStyle w:val="49"/>
              <w:rPr>
                <w:color w:val="FF0000"/>
              </w:rPr>
            </w:pPr>
            <w:r>
              <w:rPr>
                <w:rFonts w:hint="eastAsia" w:hAnsi="宋体"/>
                <w:color w:val="FF0000"/>
              </w:rPr>
              <w:t>粪污处理系统（处理工艺：</w:t>
            </w:r>
            <w:r>
              <w:rPr>
                <w:rFonts w:hint="eastAsia" w:cs="Times New Roman"/>
                <w:color w:val="FF0000"/>
              </w:rPr>
              <w:t>隔栅→粪污调节池→固液分离→污水→沼气池→三级曝气沉淀池→杀菌除臭</w:t>
            </w:r>
            <w:r>
              <w:rPr>
                <w:rFonts w:hint="eastAsia" w:hAnsi="宋体"/>
                <w:color w:val="FF0000"/>
              </w:rPr>
              <w:t>）</w:t>
            </w:r>
            <w:r>
              <w:rPr>
                <w:rFonts w:hint="eastAsia"/>
                <w:color w:val="FF0000"/>
              </w:rPr>
              <w:t>（污水</w:t>
            </w:r>
            <w:r>
              <w:rPr>
                <w:color w:val="FF0000"/>
              </w:rPr>
              <w:t>处理</w:t>
            </w:r>
            <w:r>
              <w:rPr>
                <w:rFonts w:hint="eastAsia"/>
                <w:color w:val="FF0000"/>
              </w:rPr>
              <w:t>规模600m</w:t>
            </w:r>
            <w:r>
              <w:rPr>
                <w:rFonts w:hint="eastAsia"/>
                <w:color w:val="FF0000"/>
                <w:vertAlign w:val="superscript"/>
              </w:rPr>
              <w:t>3</w:t>
            </w:r>
            <w:r>
              <w:rPr>
                <w:rFonts w:hint="eastAsia"/>
                <w:color w:val="FF0000"/>
              </w:rPr>
              <w:t>/d）</w:t>
            </w:r>
          </w:p>
        </w:tc>
        <w:tc>
          <w:tcPr>
            <w:tcW w:w="999" w:type="pct"/>
            <w:tcBorders>
              <w:bottom w:val="single" w:color="auto" w:sz="4" w:space="0"/>
            </w:tcBorders>
            <w:vAlign w:val="center"/>
          </w:tcPr>
          <w:p>
            <w:pPr>
              <w:pStyle w:val="49"/>
              <w:rPr>
                <w:rFonts w:cs="Times New Roman"/>
                <w:color w:val="FF0000"/>
              </w:rPr>
            </w:pPr>
            <w:r>
              <w:rPr>
                <w:color w:val="FF0000"/>
              </w:rPr>
              <w:t>PH、COD</w:t>
            </w:r>
            <w:r>
              <w:rPr>
                <w:color w:val="FF0000"/>
                <w:vertAlign w:val="subscript"/>
              </w:rPr>
              <w:t>Cr</w:t>
            </w:r>
            <w:r>
              <w:rPr>
                <w:color w:val="FF0000"/>
              </w:rPr>
              <w:t>、BOD</w:t>
            </w:r>
            <w:r>
              <w:rPr>
                <w:color w:val="FF0000"/>
                <w:vertAlign w:val="subscript"/>
              </w:rPr>
              <w:t>5</w:t>
            </w:r>
            <w:r>
              <w:rPr>
                <w:color w:val="FF0000"/>
              </w:rPr>
              <w:t>、NH</w:t>
            </w:r>
            <w:r>
              <w:rPr>
                <w:color w:val="FF0000"/>
                <w:vertAlign w:val="subscript"/>
              </w:rPr>
              <w:t>3</w:t>
            </w:r>
            <w:r>
              <w:rPr>
                <w:color w:val="FF0000"/>
              </w:rPr>
              <w:t>-N、SS、</w:t>
            </w:r>
            <w:r>
              <w:rPr>
                <w:rFonts w:hint="eastAsia"/>
                <w:color w:val="FF0000"/>
              </w:rPr>
              <w:t>动植物油</w:t>
            </w:r>
          </w:p>
        </w:tc>
        <w:tc>
          <w:tcPr>
            <w:tcW w:w="1309" w:type="pct"/>
            <w:tcBorders>
              <w:bottom w:val="single" w:color="auto" w:sz="4" w:space="0"/>
            </w:tcBorders>
            <w:vAlign w:val="center"/>
          </w:tcPr>
          <w:p>
            <w:pPr>
              <w:pStyle w:val="49"/>
              <w:rPr>
                <w:color w:val="FF0000"/>
              </w:rPr>
            </w:pPr>
            <w:r>
              <w:rPr>
                <w:rFonts w:hint="eastAsia" w:ascii="宋体" w:cs="宋体"/>
                <w:color w:val="FF0000"/>
                <w:kern w:val="0"/>
              </w:rPr>
              <w:t>《农田灌溉水质标准》</w:t>
            </w:r>
            <w:r>
              <w:rPr>
                <w:rFonts w:hint="eastAsia"/>
                <w:color w:val="FF0000"/>
              </w:rPr>
              <w:t>（</w:t>
            </w:r>
            <w:r>
              <w:rPr>
                <w:color w:val="FF0000"/>
              </w:rPr>
              <w:t>GB5084-2021</w:t>
            </w:r>
            <w:r>
              <w:rPr>
                <w:rFonts w:hint="eastAsia"/>
                <w:color w:val="FF0000"/>
              </w:rPr>
              <w:t>）</w:t>
            </w:r>
            <w:r>
              <w:rPr>
                <w:rFonts w:hint="eastAsia" w:ascii="宋体" w:cs="宋体"/>
                <w:color w:val="FF0000"/>
                <w:kern w:val="0"/>
              </w:rPr>
              <w:t>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Merge w:val="continue"/>
            <w:vAlign w:val="center"/>
          </w:tcPr>
          <w:p>
            <w:pPr>
              <w:pStyle w:val="49"/>
              <w:rPr>
                <w:color w:val="FF0000"/>
              </w:rPr>
            </w:pPr>
          </w:p>
        </w:tc>
        <w:tc>
          <w:tcPr>
            <w:tcW w:w="1474" w:type="pct"/>
            <w:vAlign w:val="center"/>
          </w:tcPr>
          <w:p>
            <w:pPr>
              <w:pStyle w:val="49"/>
              <w:rPr>
                <w:color w:val="FF0000"/>
              </w:rPr>
            </w:pPr>
            <w:r>
              <w:rPr>
                <w:rFonts w:hint="eastAsia"/>
                <w:color w:val="FF0000"/>
              </w:rPr>
              <w:t>达标尾水交由衡阳县喜耕田有机肥厂回收处理不外排</w:t>
            </w:r>
          </w:p>
        </w:tc>
        <w:tc>
          <w:tcPr>
            <w:tcW w:w="999" w:type="pct"/>
            <w:vAlign w:val="center"/>
          </w:tcPr>
          <w:p>
            <w:pPr>
              <w:pStyle w:val="49"/>
              <w:rPr>
                <w:color w:val="FF0000"/>
              </w:rPr>
            </w:pPr>
            <w:r>
              <w:rPr>
                <w:rFonts w:hint="eastAsia"/>
                <w:color w:val="FF0000"/>
              </w:rPr>
              <w:t>/</w:t>
            </w:r>
          </w:p>
        </w:tc>
        <w:tc>
          <w:tcPr>
            <w:tcW w:w="1309" w:type="pct"/>
            <w:vAlign w:val="center"/>
          </w:tcPr>
          <w:p>
            <w:pPr>
              <w:pStyle w:val="49"/>
              <w:rPr>
                <w:color w:val="FF0000"/>
              </w:rPr>
            </w:pPr>
            <w:r>
              <w:rPr>
                <w:rFonts w:hint="eastAsia"/>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场区</w:t>
            </w:r>
            <w:r>
              <w:rPr>
                <w:color w:val="FF0000"/>
              </w:rPr>
              <w:t>及周边监控</w:t>
            </w:r>
          </w:p>
        </w:tc>
        <w:tc>
          <w:tcPr>
            <w:tcW w:w="1474" w:type="pct"/>
            <w:vAlign w:val="center"/>
          </w:tcPr>
          <w:p>
            <w:pPr>
              <w:pStyle w:val="49"/>
              <w:rPr>
                <w:color w:val="FF0000"/>
              </w:rPr>
            </w:pPr>
            <w:r>
              <w:rPr>
                <w:rFonts w:hint="eastAsia"/>
                <w:color w:val="FF0000"/>
              </w:rPr>
              <w:t>监测井（1个）</w:t>
            </w:r>
          </w:p>
        </w:tc>
        <w:tc>
          <w:tcPr>
            <w:tcW w:w="999" w:type="pct"/>
            <w:vAlign w:val="center"/>
          </w:tcPr>
          <w:p>
            <w:pPr>
              <w:pStyle w:val="49"/>
              <w:rPr>
                <w:color w:val="FF0000"/>
              </w:rPr>
            </w:pPr>
            <w:r>
              <w:rPr>
                <w:rFonts w:hint="eastAsia"/>
                <w:color w:val="FF0000"/>
              </w:rPr>
              <w:t>/</w:t>
            </w:r>
          </w:p>
        </w:tc>
        <w:tc>
          <w:tcPr>
            <w:tcW w:w="1309" w:type="pct"/>
            <w:vAlign w:val="center"/>
          </w:tcPr>
          <w:p>
            <w:pPr>
              <w:pStyle w:val="49"/>
              <w:rPr>
                <w:color w:val="FF0000"/>
              </w:rPr>
            </w:pPr>
            <w:r>
              <w:rPr>
                <w:rFonts w:hint="eastAsia"/>
                <w:color w:val="FF0000"/>
              </w:rPr>
              <w:t>地下水监测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vAlign w:val="center"/>
          </w:tcPr>
          <w:p>
            <w:pPr>
              <w:pStyle w:val="49"/>
              <w:rPr>
                <w:color w:val="FF0000"/>
              </w:rPr>
            </w:pPr>
            <w:r>
              <w:rPr>
                <w:rFonts w:hint="eastAsia"/>
                <w:color w:val="FF0000"/>
              </w:rPr>
              <w:t>废气</w:t>
            </w:r>
          </w:p>
        </w:tc>
        <w:tc>
          <w:tcPr>
            <w:tcW w:w="865" w:type="pct"/>
            <w:vAlign w:val="center"/>
          </w:tcPr>
          <w:p>
            <w:pPr>
              <w:pStyle w:val="49"/>
              <w:rPr>
                <w:color w:val="FF0000"/>
              </w:rPr>
            </w:pPr>
            <w:r>
              <w:rPr>
                <w:rFonts w:hint="eastAsia"/>
                <w:color w:val="FF0000"/>
              </w:rPr>
              <w:t>生物质锅炉</w:t>
            </w:r>
          </w:p>
        </w:tc>
        <w:tc>
          <w:tcPr>
            <w:tcW w:w="1474" w:type="pct"/>
            <w:vAlign w:val="center"/>
          </w:tcPr>
          <w:p>
            <w:pPr>
              <w:pStyle w:val="49"/>
              <w:rPr>
                <w:color w:val="FF0000"/>
              </w:rPr>
            </w:pPr>
            <w:r>
              <w:rPr>
                <w:rFonts w:hint="eastAsia"/>
                <w:color w:val="FF0000"/>
              </w:rPr>
              <w:t>布袋除尘处理+25m高排气筒（1#）</w:t>
            </w:r>
          </w:p>
        </w:tc>
        <w:tc>
          <w:tcPr>
            <w:tcW w:w="999" w:type="pct"/>
            <w:vAlign w:val="center"/>
          </w:tcPr>
          <w:p>
            <w:pPr>
              <w:pStyle w:val="49"/>
              <w:rPr>
                <w:color w:val="FF0000"/>
              </w:rPr>
            </w:pPr>
            <w:r>
              <w:rPr>
                <w:rFonts w:hint="eastAsia"/>
                <w:color w:val="FF0000"/>
              </w:rPr>
              <w:t>烟尘、SO</w:t>
            </w:r>
            <w:r>
              <w:rPr>
                <w:rFonts w:hint="eastAsia"/>
                <w:color w:val="FF0000"/>
                <w:vertAlign w:val="subscript"/>
              </w:rPr>
              <w:t>2</w:t>
            </w:r>
            <w:r>
              <w:rPr>
                <w:rFonts w:hint="eastAsia"/>
                <w:color w:val="FF0000"/>
              </w:rPr>
              <w:t>、NO</w:t>
            </w:r>
            <w:r>
              <w:rPr>
                <w:color w:val="FF0000"/>
              </w:rPr>
              <w:t>x</w:t>
            </w:r>
          </w:p>
        </w:tc>
        <w:tc>
          <w:tcPr>
            <w:tcW w:w="1309" w:type="pct"/>
            <w:vAlign w:val="center"/>
          </w:tcPr>
          <w:p>
            <w:pPr>
              <w:pStyle w:val="49"/>
              <w:rPr>
                <w:color w:val="FF0000"/>
              </w:rPr>
            </w:pPr>
            <w:r>
              <w:rPr>
                <w:rFonts w:hint="eastAsia" w:eastAsiaTheme="minorEastAsia"/>
                <w:color w:val="FF0000"/>
                <w:kern w:val="0"/>
              </w:rPr>
              <w:t>《锅炉大气污染物排放标准》（</w:t>
            </w:r>
            <w:r>
              <w:rPr>
                <w:rFonts w:eastAsiaTheme="minorEastAsia"/>
                <w:color w:val="FF0000"/>
                <w:kern w:val="0"/>
              </w:rPr>
              <w:t>GB13271-2014</w:t>
            </w:r>
            <w:r>
              <w:rPr>
                <w:rFonts w:hint="eastAsia" w:eastAsiaTheme="minorEastAsia"/>
                <w:color w:val="FF0000"/>
                <w:kern w:val="0"/>
              </w:rPr>
              <w:t>）中新建燃煤锅炉排放标准要求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牛屠宰待宰车间</w:t>
            </w:r>
          </w:p>
        </w:tc>
        <w:tc>
          <w:tcPr>
            <w:tcW w:w="1474" w:type="pct"/>
            <w:vMerge w:val="restart"/>
            <w:vAlign w:val="center"/>
          </w:tcPr>
          <w:p>
            <w:pPr>
              <w:pStyle w:val="49"/>
              <w:rPr>
                <w:color w:val="FF0000"/>
              </w:rPr>
            </w:pPr>
            <w:r>
              <w:rPr>
                <w:rFonts w:hint="eastAsia"/>
                <w:color w:val="FF0000"/>
              </w:rPr>
              <w:t>通风换气，车间清洗，及时清理粪便、废弃物，使用除臭剂。</w:t>
            </w:r>
          </w:p>
        </w:tc>
        <w:tc>
          <w:tcPr>
            <w:tcW w:w="999" w:type="pct"/>
            <w:vMerge w:val="restart"/>
            <w:vAlign w:val="center"/>
          </w:tcPr>
          <w:p>
            <w:pPr>
              <w:pStyle w:val="49"/>
              <w:rPr>
                <w:color w:val="FF0000"/>
              </w:rPr>
            </w:pPr>
            <w:r>
              <w:rPr>
                <w:color w:val="FF0000"/>
              </w:rPr>
              <w:t>H</w:t>
            </w:r>
            <w:r>
              <w:rPr>
                <w:color w:val="FF0000"/>
                <w:vertAlign w:val="subscript"/>
              </w:rPr>
              <w:t>2</w:t>
            </w:r>
            <w:r>
              <w:rPr>
                <w:color w:val="FF0000"/>
              </w:rPr>
              <w:t>S、NH</w:t>
            </w:r>
            <w:r>
              <w:rPr>
                <w:color w:val="FF0000"/>
                <w:vertAlign w:val="subscript"/>
              </w:rPr>
              <w:t>3</w:t>
            </w:r>
            <w:r>
              <w:rPr>
                <w:color w:val="FF0000"/>
              </w:rPr>
              <w:t>、</w:t>
            </w:r>
            <w:r>
              <w:rPr>
                <w:rFonts w:hint="eastAsia"/>
                <w:color w:val="FF0000"/>
              </w:rPr>
              <w:t>恶臭浓度</w:t>
            </w:r>
          </w:p>
        </w:tc>
        <w:tc>
          <w:tcPr>
            <w:tcW w:w="1309" w:type="pct"/>
            <w:vMerge w:val="restart"/>
            <w:vAlign w:val="center"/>
          </w:tcPr>
          <w:p>
            <w:pPr>
              <w:pStyle w:val="49"/>
              <w:rPr>
                <w:color w:val="FF0000"/>
              </w:rPr>
            </w:pPr>
            <w:r>
              <w:rPr>
                <w:rFonts w:hint="eastAsia"/>
                <w:color w:val="FF0000"/>
              </w:rPr>
              <w:t>《恶臭污染物排放标准》（GB14554-93）中的二级厂界标准值（新扩改建）要求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禽类屠宰待宰车间</w:t>
            </w:r>
          </w:p>
        </w:tc>
        <w:tc>
          <w:tcPr>
            <w:tcW w:w="1474" w:type="pct"/>
            <w:vMerge w:val="continue"/>
            <w:vAlign w:val="center"/>
          </w:tcPr>
          <w:p>
            <w:pPr>
              <w:pStyle w:val="49"/>
              <w:rPr>
                <w:color w:val="FF0000"/>
              </w:rPr>
            </w:pPr>
          </w:p>
        </w:tc>
        <w:tc>
          <w:tcPr>
            <w:tcW w:w="999" w:type="pct"/>
            <w:vMerge w:val="continue"/>
            <w:vAlign w:val="center"/>
          </w:tcPr>
          <w:p>
            <w:pPr>
              <w:pStyle w:val="49"/>
              <w:rPr>
                <w:color w:val="FF0000"/>
              </w:rPr>
            </w:pPr>
          </w:p>
        </w:tc>
        <w:tc>
          <w:tcPr>
            <w:tcW w:w="1309" w:type="pct"/>
            <w:vMerge w:val="continue"/>
            <w:vAlign w:val="center"/>
          </w:tcPr>
          <w:p>
            <w:pPr>
              <w:pStyle w:val="49"/>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粪污处理系统</w:t>
            </w:r>
          </w:p>
        </w:tc>
        <w:tc>
          <w:tcPr>
            <w:tcW w:w="1474" w:type="pct"/>
            <w:vAlign w:val="center"/>
          </w:tcPr>
          <w:p>
            <w:pPr>
              <w:pStyle w:val="49"/>
              <w:rPr>
                <w:color w:val="FF0000"/>
              </w:rPr>
            </w:pPr>
            <w:r>
              <w:rPr>
                <w:rFonts w:hint="eastAsia"/>
                <w:color w:val="FF0000"/>
              </w:rPr>
              <w:t>加盖+喷洒除臭剂+绿化</w:t>
            </w:r>
          </w:p>
        </w:tc>
        <w:tc>
          <w:tcPr>
            <w:tcW w:w="999" w:type="pct"/>
            <w:vMerge w:val="continue"/>
            <w:vAlign w:val="center"/>
          </w:tcPr>
          <w:p>
            <w:pPr>
              <w:pStyle w:val="49"/>
              <w:rPr>
                <w:color w:val="FF0000"/>
              </w:rPr>
            </w:pPr>
          </w:p>
        </w:tc>
        <w:tc>
          <w:tcPr>
            <w:tcW w:w="1309" w:type="pct"/>
            <w:vMerge w:val="continue"/>
            <w:vAlign w:val="center"/>
          </w:tcPr>
          <w:p>
            <w:pPr>
              <w:pStyle w:val="49"/>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Align w:val="center"/>
          </w:tcPr>
          <w:p>
            <w:pPr>
              <w:pStyle w:val="49"/>
              <w:rPr>
                <w:color w:val="FF0000"/>
              </w:rPr>
            </w:pPr>
            <w:r>
              <w:rPr>
                <w:rFonts w:hint="eastAsia"/>
                <w:color w:val="FF0000"/>
              </w:rPr>
              <w:t>噪声</w:t>
            </w:r>
          </w:p>
        </w:tc>
        <w:tc>
          <w:tcPr>
            <w:tcW w:w="865" w:type="pct"/>
            <w:vAlign w:val="center"/>
          </w:tcPr>
          <w:p>
            <w:pPr>
              <w:pStyle w:val="49"/>
              <w:rPr>
                <w:color w:val="FF0000"/>
              </w:rPr>
            </w:pPr>
            <w:r>
              <w:rPr>
                <w:rFonts w:hint="eastAsia"/>
                <w:color w:val="FF0000"/>
              </w:rPr>
              <w:t>高噪声设备</w:t>
            </w:r>
          </w:p>
        </w:tc>
        <w:tc>
          <w:tcPr>
            <w:tcW w:w="1474" w:type="pct"/>
            <w:vAlign w:val="center"/>
          </w:tcPr>
          <w:p>
            <w:pPr>
              <w:pStyle w:val="49"/>
              <w:rPr>
                <w:color w:val="FF0000"/>
              </w:rPr>
            </w:pPr>
            <w:r>
              <w:rPr>
                <w:rFonts w:hint="eastAsia"/>
                <w:color w:val="FF0000"/>
              </w:rPr>
              <w:t>消声减振；场区、场界绿化</w:t>
            </w:r>
          </w:p>
        </w:tc>
        <w:tc>
          <w:tcPr>
            <w:tcW w:w="999" w:type="pct"/>
            <w:vAlign w:val="center"/>
          </w:tcPr>
          <w:p>
            <w:pPr>
              <w:pStyle w:val="49"/>
              <w:rPr>
                <w:color w:val="FF0000"/>
              </w:rPr>
            </w:pPr>
            <w:r>
              <w:rPr>
                <w:rFonts w:hint="eastAsia"/>
                <w:color w:val="FF0000"/>
              </w:rPr>
              <w:t>等效声级</w:t>
            </w:r>
          </w:p>
        </w:tc>
        <w:tc>
          <w:tcPr>
            <w:tcW w:w="1309" w:type="pct"/>
            <w:vAlign w:val="center"/>
          </w:tcPr>
          <w:p>
            <w:pPr>
              <w:pStyle w:val="49"/>
              <w:rPr>
                <w:color w:val="FF0000"/>
              </w:rPr>
            </w:pPr>
            <w:r>
              <w:rPr>
                <w:color w:val="FF0000"/>
              </w:rPr>
              <w:t>《工业企业厂界环境噪声排放标准》（GB12348-2008）中的</w:t>
            </w:r>
            <w:r>
              <w:rPr>
                <w:rFonts w:hint="eastAsia"/>
                <w:color w:val="FF0000"/>
              </w:rPr>
              <w:t>2</w:t>
            </w:r>
            <w:r>
              <w:rPr>
                <w:color w:val="FF0000"/>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vAlign w:val="center"/>
          </w:tcPr>
          <w:p>
            <w:pPr>
              <w:pStyle w:val="49"/>
              <w:jc w:val="both"/>
              <w:rPr>
                <w:color w:val="FF0000"/>
              </w:rPr>
            </w:pPr>
            <w:r>
              <w:rPr>
                <w:rFonts w:hint="eastAsia"/>
                <w:color w:val="FF0000"/>
              </w:rPr>
              <w:t>固废</w:t>
            </w:r>
          </w:p>
        </w:tc>
        <w:tc>
          <w:tcPr>
            <w:tcW w:w="865" w:type="pct"/>
            <w:vAlign w:val="center"/>
          </w:tcPr>
          <w:p>
            <w:pPr>
              <w:pStyle w:val="49"/>
              <w:rPr>
                <w:color w:val="FF0000"/>
              </w:rPr>
            </w:pPr>
            <w:r>
              <w:rPr>
                <w:rFonts w:hint="eastAsia" w:ascii="宋体" w:cs="宋体"/>
                <w:color w:val="FF0000"/>
                <w:kern w:val="0"/>
              </w:rPr>
              <w:t>一般固废</w:t>
            </w:r>
          </w:p>
        </w:tc>
        <w:tc>
          <w:tcPr>
            <w:tcW w:w="1474" w:type="pct"/>
            <w:vAlign w:val="center"/>
          </w:tcPr>
          <w:p>
            <w:pPr>
              <w:pStyle w:val="49"/>
              <w:rPr>
                <w:color w:val="FF0000"/>
              </w:rPr>
            </w:pPr>
            <w:r>
              <w:rPr>
                <w:rFonts w:hint="eastAsia"/>
                <w:color w:val="FF0000"/>
              </w:rPr>
              <w:t>冷库内设置一般固废暂存区，厂区设置一个5m</w:t>
            </w:r>
            <w:r>
              <w:rPr>
                <w:rFonts w:hint="eastAsia"/>
                <w:color w:val="FF0000"/>
                <w:vertAlign w:val="superscript"/>
              </w:rPr>
              <w:t>2</w:t>
            </w:r>
            <w:r>
              <w:rPr>
                <w:rFonts w:hint="eastAsia"/>
                <w:color w:val="FF0000"/>
              </w:rPr>
              <w:t>一般固废暂存区。</w:t>
            </w:r>
          </w:p>
        </w:tc>
        <w:tc>
          <w:tcPr>
            <w:tcW w:w="999" w:type="pct"/>
            <w:vAlign w:val="center"/>
          </w:tcPr>
          <w:p>
            <w:pPr>
              <w:pStyle w:val="49"/>
              <w:rPr>
                <w:color w:val="FF0000"/>
              </w:rPr>
            </w:pPr>
            <w:r>
              <w:rPr>
                <w:rFonts w:hint="eastAsia"/>
                <w:color w:val="FF0000"/>
              </w:rPr>
              <w:t>分类收集、安全暂存</w:t>
            </w:r>
          </w:p>
        </w:tc>
        <w:tc>
          <w:tcPr>
            <w:tcW w:w="1309" w:type="pct"/>
            <w:vAlign w:val="center"/>
          </w:tcPr>
          <w:p>
            <w:pPr>
              <w:pStyle w:val="49"/>
              <w:rPr>
                <w:color w:val="FF0000"/>
              </w:rPr>
            </w:pPr>
            <w:r>
              <w:rPr>
                <w:rFonts w:hint="eastAsia"/>
                <w:color w:val="FF0000"/>
              </w:rPr>
              <w:t>满足《一般工业固体废物贮存、处置场污染控制标准》（GB18599-2001）及2013年修改单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危险废物</w:t>
            </w:r>
          </w:p>
        </w:tc>
        <w:tc>
          <w:tcPr>
            <w:tcW w:w="1474" w:type="pct"/>
            <w:vAlign w:val="center"/>
          </w:tcPr>
          <w:p>
            <w:pPr>
              <w:pStyle w:val="49"/>
              <w:rPr>
                <w:color w:val="FF0000"/>
              </w:rPr>
            </w:pPr>
            <w:r>
              <w:rPr>
                <w:rFonts w:hint="eastAsia"/>
                <w:color w:val="FF0000"/>
              </w:rPr>
              <w:t>设置一间危险废物暂存间，建筑面积约20m</w:t>
            </w:r>
            <w:r>
              <w:rPr>
                <w:rFonts w:hint="eastAsia"/>
                <w:color w:val="FF0000"/>
                <w:vertAlign w:val="superscript"/>
              </w:rPr>
              <w:t>2</w:t>
            </w:r>
          </w:p>
        </w:tc>
        <w:tc>
          <w:tcPr>
            <w:tcW w:w="999" w:type="pct"/>
            <w:vAlign w:val="center"/>
          </w:tcPr>
          <w:p>
            <w:pPr>
              <w:pStyle w:val="49"/>
              <w:rPr>
                <w:color w:val="FF0000"/>
              </w:rPr>
            </w:pPr>
            <w:r>
              <w:rPr>
                <w:rFonts w:hint="eastAsia"/>
                <w:color w:val="FF0000"/>
              </w:rPr>
              <w:t>分类收集、安全暂存</w:t>
            </w:r>
          </w:p>
        </w:tc>
        <w:tc>
          <w:tcPr>
            <w:tcW w:w="1309" w:type="pct"/>
            <w:vAlign w:val="center"/>
          </w:tcPr>
          <w:p>
            <w:pPr>
              <w:pStyle w:val="49"/>
              <w:rPr>
                <w:color w:val="FF0000"/>
              </w:rPr>
            </w:pPr>
            <w:r>
              <w:rPr>
                <w:rFonts w:hint="eastAsia"/>
                <w:color w:val="FF0000"/>
              </w:rPr>
              <w:t>《危险废物贮存污染控制标准》（GB18597-2001）及2013 年修改单要求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865" w:type="pct"/>
            <w:vAlign w:val="center"/>
          </w:tcPr>
          <w:p>
            <w:pPr>
              <w:pStyle w:val="49"/>
              <w:rPr>
                <w:color w:val="FF0000"/>
              </w:rPr>
            </w:pPr>
            <w:r>
              <w:rPr>
                <w:rFonts w:hint="eastAsia"/>
                <w:color w:val="FF0000"/>
              </w:rPr>
              <w:t>生活垃圾</w:t>
            </w:r>
          </w:p>
        </w:tc>
        <w:tc>
          <w:tcPr>
            <w:tcW w:w="1474" w:type="pct"/>
            <w:vAlign w:val="center"/>
          </w:tcPr>
          <w:p>
            <w:pPr>
              <w:pStyle w:val="49"/>
              <w:rPr>
                <w:color w:val="FF0000"/>
              </w:rPr>
            </w:pPr>
            <w:r>
              <w:rPr>
                <w:rFonts w:hint="eastAsia"/>
                <w:color w:val="FF0000"/>
              </w:rPr>
              <w:t>垃圾桶</w:t>
            </w:r>
          </w:p>
        </w:tc>
        <w:tc>
          <w:tcPr>
            <w:tcW w:w="999" w:type="pct"/>
            <w:vAlign w:val="center"/>
          </w:tcPr>
          <w:p>
            <w:pPr>
              <w:pStyle w:val="49"/>
              <w:rPr>
                <w:color w:val="FF0000"/>
              </w:rPr>
            </w:pPr>
            <w:r>
              <w:rPr>
                <w:rFonts w:hint="eastAsia"/>
                <w:color w:val="FF0000"/>
              </w:rPr>
              <w:t>分类收集</w:t>
            </w:r>
          </w:p>
        </w:tc>
        <w:tc>
          <w:tcPr>
            <w:tcW w:w="1309" w:type="pct"/>
            <w:vAlign w:val="center"/>
          </w:tcPr>
          <w:p>
            <w:pPr>
              <w:pStyle w:val="49"/>
              <w:rPr>
                <w:color w:val="FF0000"/>
              </w:rPr>
            </w:pPr>
            <w:r>
              <w:rPr>
                <w:rFonts w:hint="eastAsia"/>
                <w:color w:val="FF0000"/>
              </w:rPr>
              <w:t>满足《生活垃圾填埋场污染控制标准》（GB 16889-2008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vAlign w:val="center"/>
          </w:tcPr>
          <w:p>
            <w:pPr>
              <w:pStyle w:val="49"/>
              <w:rPr>
                <w:color w:val="FF0000"/>
              </w:rPr>
            </w:pPr>
            <w:r>
              <w:rPr>
                <w:rFonts w:hint="eastAsia"/>
                <w:color w:val="FF0000"/>
              </w:rPr>
              <w:t>环境风险</w:t>
            </w:r>
          </w:p>
        </w:tc>
        <w:tc>
          <w:tcPr>
            <w:tcW w:w="2339" w:type="pct"/>
            <w:gridSpan w:val="2"/>
            <w:vAlign w:val="center"/>
          </w:tcPr>
          <w:p>
            <w:pPr>
              <w:pStyle w:val="49"/>
              <w:rPr>
                <w:color w:val="FF0000"/>
              </w:rPr>
            </w:pPr>
            <w:r>
              <w:rPr>
                <w:rFonts w:hint="eastAsia" w:asciiTheme="minorHAnsi" w:hAnsiTheme="minorHAnsi" w:eastAsiaTheme="minorEastAsia"/>
                <w:color w:val="FF0000"/>
              </w:rPr>
              <w:t>厂区分区防渗、设置地下水监测井及监测计划</w:t>
            </w:r>
          </w:p>
        </w:tc>
        <w:tc>
          <w:tcPr>
            <w:tcW w:w="999" w:type="pct"/>
            <w:vAlign w:val="center"/>
          </w:tcPr>
          <w:p>
            <w:pPr>
              <w:pStyle w:val="49"/>
              <w:rPr>
                <w:color w:val="FF0000"/>
              </w:rPr>
            </w:pPr>
            <w:r>
              <w:rPr>
                <w:rFonts w:hint="eastAsia"/>
                <w:color w:val="FF0000"/>
              </w:rPr>
              <w:t>满足地下水污染防治要求</w:t>
            </w:r>
          </w:p>
        </w:tc>
        <w:tc>
          <w:tcPr>
            <w:tcW w:w="1309" w:type="pct"/>
            <w:vAlign w:val="center"/>
          </w:tcPr>
          <w:p>
            <w:pPr>
              <w:pStyle w:val="49"/>
              <w:rPr>
                <w:color w:val="FF0000"/>
              </w:rPr>
            </w:pPr>
            <w:r>
              <w:rPr>
                <w:rFonts w:hint="eastAsia"/>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vAlign w:val="center"/>
          </w:tcPr>
          <w:p>
            <w:pPr>
              <w:pStyle w:val="49"/>
              <w:rPr>
                <w:color w:val="FF0000"/>
              </w:rPr>
            </w:pPr>
          </w:p>
        </w:tc>
        <w:tc>
          <w:tcPr>
            <w:tcW w:w="2339" w:type="pct"/>
            <w:gridSpan w:val="2"/>
            <w:vAlign w:val="center"/>
          </w:tcPr>
          <w:p>
            <w:pPr>
              <w:pStyle w:val="49"/>
              <w:rPr>
                <w:rFonts w:cs="Times New Roman"/>
                <w:color w:val="FF0000"/>
              </w:rPr>
            </w:pPr>
            <w:r>
              <w:rPr>
                <w:rFonts w:hint="eastAsia"/>
                <w:color w:val="FF0000"/>
              </w:rPr>
              <w:t>环境风险防范措施、突发环境事件应急预案</w:t>
            </w:r>
          </w:p>
        </w:tc>
        <w:tc>
          <w:tcPr>
            <w:tcW w:w="999" w:type="pct"/>
            <w:vAlign w:val="center"/>
          </w:tcPr>
          <w:p>
            <w:pPr>
              <w:pStyle w:val="49"/>
              <w:rPr>
                <w:color w:val="FF0000"/>
              </w:rPr>
            </w:pPr>
            <w:r>
              <w:rPr>
                <w:rFonts w:hint="eastAsia"/>
                <w:color w:val="FF0000"/>
              </w:rPr>
              <w:t>/</w:t>
            </w:r>
          </w:p>
        </w:tc>
        <w:tc>
          <w:tcPr>
            <w:tcW w:w="1309" w:type="pct"/>
            <w:vAlign w:val="center"/>
          </w:tcPr>
          <w:p>
            <w:pPr>
              <w:pStyle w:val="49"/>
              <w:rPr>
                <w:color w:val="FF0000"/>
              </w:rPr>
            </w:pPr>
            <w:r>
              <w:rPr>
                <w:rFonts w:hint="eastAsia"/>
                <w:color w:val="FF0000"/>
              </w:rPr>
              <w:t>是否齐全</w:t>
            </w:r>
          </w:p>
        </w:tc>
      </w:tr>
    </w:tbl>
    <w:p>
      <w:pPr>
        <w:pStyle w:val="5"/>
      </w:pPr>
      <w:bookmarkStart w:id="58" w:name="_Toc116993094"/>
      <w:r>
        <w:rPr>
          <w:rFonts w:hint="eastAsia"/>
        </w:rPr>
        <w:t>与排污许可制度衔接</w:t>
      </w:r>
      <w:bookmarkEnd w:id="58"/>
    </w:p>
    <w:p>
      <w:pPr>
        <w:pStyle w:val="3"/>
        <w:ind w:firstLine="480"/>
        <w:rPr>
          <w:rFonts w:cs="Times New Roman"/>
        </w:rPr>
      </w:pPr>
      <w:r>
        <w:rPr>
          <w:rFonts w:hint="eastAsia" w:cs="Times New Roman"/>
        </w:rPr>
        <w:t>根据生态环境部办公厅文件环办环评</w:t>
      </w:r>
      <w:r>
        <w:rPr>
          <w:rFonts w:cs="Times New Roman"/>
        </w:rPr>
        <w:t xml:space="preserve">[2017]84 </w:t>
      </w:r>
      <w:r>
        <w:rPr>
          <w:rFonts w:hint="eastAsia" w:cs="Times New Roman"/>
        </w:rPr>
        <w:t>号《关于做好环境影响评价制度与排污许可制衔接相关工作的通知》，纳入排污许可管理的建设项目，可能造成重大环境影响、应当编制环境影响报告书的，原则上实行排污许可重点管理。</w:t>
      </w:r>
    </w:p>
    <w:p>
      <w:pPr>
        <w:pStyle w:val="3"/>
        <w:ind w:firstLine="480"/>
        <w:rPr>
          <w:rFonts w:cs="Times New Roman"/>
        </w:rPr>
      </w:pPr>
      <w:r>
        <w:rPr>
          <w:rFonts w:hint="eastAsia" w:cs="Times New Roman"/>
        </w:rPr>
        <w:t>本项目排放口数量、位置以及每个排放口的污染物种类、允许排放浓度和允许排放量、排放方式、排放去向、自行监测计划等与污染物排放相关的主要内容做出评价，建设单位应据此申请排污许可证。例如《排污许可证申请与核发技术规范总则》（</w:t>
      </w:r>
      <w:r>
        <w:rPr>
          <w:rFonts w:cs="Times New Roman"/>
        </w:rPr>
        <w:t>HJ942-2018</w:t>
      </w:r>
      <w:r>
        <w:rPr>
          <w:rFonts w:hint="eastAsia" w:cs="Times New Roman"/>
        </w:rPr>
        <w:t>）、《排污许可证申请与核发技术规范农副食品加工工业</w:t>
      </w:r>
      <w:r>
        <w:rPr>
          <w:rFonts w:cs="Times New Roman"/>
        </w:rPr>
        <w:t>-</w:t>
      </w:r>
      <w:r>
        <w:rPr>
          <w:rFonts w:hint="eastAsia" w:cs="Times New Roman"/>
        </w:rPr>
        <w:t>屠宰及肉类加工业》（</w:t>
      </w:r>
      <w:r>
        <w:rPr>
          <w:rFonts w:cs="Times New Roman"/>
        </w:rPr>
        <w:t>HJ860.3-2018</w:t>
      </w:r>
      <w:r>
        <w:rPr>
          <w:rFonts w:hint="eastAsia" w:cs="Times New Roman"/>
        </w:rPr>
        <w:t>）、《排污许可证申请与核发技术规范锅炉》（</w:t>
      </w:r>
      <w:r>
        <w:rPr>
          <w:rFonts w:cs="Times New Roman"/>
        </w:rPr>
        <w:t>HJ953-2018</w:t>
      </w:r>
      <w:r>
        <w:rPr>
          <w:rFonts w:hint="eastAsia" w:cs="Times New Roman"/>
        </w:rPr>
        <w:t>）；《排污单位自行监测技术指南农副食品加工业》（</w:t>
      </w:r>
      <w:r>
        <w:rPr>
          <w:rFonts w:cs="Times New Roman"/>
        </w:rPr>
        <w:t>HJ986-2018</w:t>
      </w:r>
      <w:r>
        <w:rPr>
          <w:rFonts w:hint="eastAsia" w:cs="Times New Roman"/>
        </w:rPr>
        <w:t>）等。</w:t>
      </w:r>
    </w:p>
    <w:p>
      <w:pPr>
        <w:pStyle w:val="3"/>
        <w:ind w:firstLine="480"/>
        <w:rPr>
          <w:rFonts w:cs="Times New Roman"/>
        </w:rPr>
      </w:pPr>
      <w:r>
        <w:rPr>
          <w:rFonts w:hint="eastAsia" w:cs="Times New Roman"/>
        </w:rPr>
        <w:t>建设项目发生实际排污行为之前，建设单位应当按照国家环境保护相关法律法规以及排污许可证申请与核发技术规范要求申请排污许可证，不得无证排污或不按证排污。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pPr>
        <w:pStyle w:val="5"/>
      </w:pPr>
      <w:bookmarkStart w:id="59" w:name="_Toc116993095"/>
      <w:r>
        <w:rPr>
          <w:rFonts w:hint="eastAsia"/>
        </w:rPr>
        <w:t>社会公开的信息和要求</w:t>
      </w:r>
      <w:bookmarkEnd w:id="59"/>
    </w:p>
    <w:p>
      <w:pPr>
        <w:pStyle w:val="3"/>
        <w:ind w:firstLine="480"/>
        <w:rPr>
          <w:rFonts w:cs="Times New Roman"/>
        </w:rPr>
      </w:pPr>
      <w:r>
        <w:rPr>
          <w:rFonts w:hint="eastAsia" w:cs="Times New Roman"/>
        </w:rPr>
        <w:t>根据《建设项目环境影响评价信息公开机制方案》、《企业事业单位环境信息公开办法》中的相关规定，本项目建设单位应向社会公开以下信息：</w:t>
      </w:r>
    </w:p>
    <w:p>
      <w:pPr>
        <w:pStyle w:val="3"/>
        <w:ind w:firstLine="480"/>
        <w:rPr>
          <w:rFonts w:cs="Times New Roman"/>
        </w:rPr>
      </w:pPr>
      <w:r>
        <w:rPr>
          <w:rFonts w:hint="eastAsia" w:cs="Times New Roman"/>
        </w:rPr>
        <w:t>（</w:t>
      </w:r>
      <w:r>
        <w:rPr>
          <w:rFonts w:cs="Times New Roman"/>
        </w:rPr>
        <w:t>1</w:t>
      </w:r>
      <w:r>
        <w:rPr>
          <w:rFonts w:hint="eastAsia" w:cs="Times New Roman"/>
        </w:rPr>
        <w:t>）基础信息，包括单位名称、组织机构代码、法定代表人、生产地址、联系方式，以及生产经营和管理服务的主要内容、产品及规模。</w:t>
      </w:r>
    </w:p>
    <w:p>
      <w:pPr>
        <w:pStyle w:val="3"/>
        <w:ind w:firstLine="480"/>
        <w:rPr>
          <w:rFonts w:cs="Times New Roman"/>
        </w:rPr>
      </w:pPr>
      <w:r>
        <w:rPr>
          <w:rFonts w:hint="eastAsia" w:cs="Times New Roman"/>
        </w:rPr>
        <w:t>（</w:t>
      </w:r>
      <w:r>
        <w:rPr>
          <w:rFonts w:cs="Times New Roman"/>
        </w:rPr>
        <w:t>2</w:t>
      </w:r>
      <w:r>
        <w:rPr>
          <w:rFonts w:hint="eastAsia" w:cs="Times New Roman"/>
        </w:rPr>
        <w:t>）排污信息，包括主要污染物及特征污染物的名称、排放方式、排放口数量和分布情况、排放浓度和总量、超标情况，以及执行的污染物排放标准、核定的排放总量。</w:t>
      </w:r>
    </w:p>
    <w:p>
      <w:pPr>
        <w:pStyle w:val="3"/>
        <w:ind w:firstLine="480"/>
        <w:rPr>
          <w:rFonts w:cs="Times New Roman"/>
        </w:rPr>
      </w:pPr>
      <w:r>
        <w:rPr>
          <w:rFonts w:hint="eastAsia" w:cs="Times New Roman"/>
        </w:rPr>
        <w:t>（</w:t>
      </w:r>
      <w:r>
        <w:rPr>
          <w:rFonts w:cs="Times New Roman"/>
        </w:rPr>
        <w:t>3</w:t>
      </w:r>
      <w:r>
        <w:rPr>
          <w:rFonts w:hint="eastAsia" w:cs="Times New Roman"/>
        </w:rPr>
        <w:t>）防治污染设施的建设和运营情况。</w:t>
      </w:r>
    </w:p>
    <w:p>
      <w:pPr>
        <w:pStyle w:val="3"/>
        <w:ind w:firstLine="480"/>
      </w:pPr>
      <w:r>
        <w:rPr>
          <w:rFonts w:hint="eastAsia" w:cs="Times New Roman"/>
        </w:rPr>
        <w:t>（</w:t>
      </w:r>
      <w:r>
        <w:rPr>
          <w:rFonts w:cs="Times New Roman"/>
        </w:rPr>
        <w:t>4</w:t>
      </w:r>
      <w:r>
        <w:rPr>
          <w:rFonts w:hint="eastAsia" w:cs="Times New Roman"/>
        </w:rPr>
        <w:t>）建设项目环境影响评价及其他环保行政许可情况。</w:t>
      </w:r>
      <w:r>
        <w:br w:type="page"/>
      </w:r>
    </w:p>
    <w:p>
      <w:pPr>
        <w:pStyle w:val="2"/>
        <w:ind w:left="0"/>
      </w:pPr>
      <w:bookmarkStart w:id="60" w:name="_Toc116993096"/>
      <w:r>
        <w:rPr>
          <w:rFonts w:hint="eastAsia"/>
        </w:rPr>
        <w:t>结论</w:t>
      </w:r>
      <w:r>
        <w:t>及</w:t>
      </w:r>
      <w:r>
        <w:rPr>
          <w:rFonts w:hint="eastAsia"/>
        </w:rPr>
        <w:t>建议</w:t>
      </w:r>
      <w:bookmarkEnd w:id="60"/>
    </w:p>
    <w:p>
      <w:pPr>
        <w:pStyle w:val="5"/>
      </w:pPr>
      <w:bookmarkStart w:id="61" w:name="_Toc116993097"/>
      <w:r>
        <w:rPr>
          <w:rFonts w:hint="eastAsia"/>
        </w:rPr>
        <w:t>项目</w:t>
      </w:r>
      <w:r>
        <w:t>概况</w:t>
      </w:r>
      <w:bookmarkEnd w:id="61"/>
    </w:p>
    <w:p>
      <w:pPr>
        <w:pStyle w:val="3"/>
        <w:ind w:firstLine="480"/>
      </w:pPr>
      <w:r>
        <w:rPr>
          <w:rFonts w:hint="eastAsia" w:cs="Times New Roman"/>
        </w:rPr>
        <w:t>衡阳鸿福畜禽综合屠宰有限公司投资1500万元在衡阳县集兵镇大利村祝老屋组建设“衡阳鸿福畜禽综合屠宰有限公司年屠宰肉牛1万头、家禽1000万只改扩建项目”，地理坐标为东经112°52′18.82″、北纬26°98′61.66″，项目占地面积</w:t>
      </w:r>
      <w:r>
        <w:rPr>
          <w:rFonts w:hint="eastAsia"/>
        </w:rPr>
        <w:t>8678</w:t>
      </w:r>
      <w:r>
        <w:rPr>
          <w:rFonts w:cs="Times New Roman"/>
        </w:rPr>
        <w:t>m</w:t>
      </w:r>
      <w:r>
        <w:rPr>
          <w:rFonts w:cs="Times New Roman"/>
          <w:vertAlign w:val="superscript"/>
        </w:rPr>
        <w:t>2</w:t>
      </w:r>
      <w:r>
        <w:rPr>
          <w:rFonts w:hint="eastAsia" w:cs="Times New Roman"/>
        </w:rPr>
        <w:t>，项目在现有厂址上建设，不新增建设用地，项目总劳动定员20人。</w:t>
      </w:r>
    </w:p>
    <w:p>
      <w:pPr>
        <w:pStyle w:val="5"/>
      </w:pPr>
      <w:bookmarkStart w:id="62" w:name="_Toc116993098"/>
      <w:r>
        <w:rPr>
          <w:rFonts w:hint="eastAsia"/>
        </w:rPr>
        <w:t>环境</w:t>
      </w:r>
      <w:r>
        <w:t>质量现状</w:t>
      </w:r>
      <w:bookmarkEnd w:id="62"/>
    </w:p>
    <w:p>
      <w:pPr>
        <w:pStyle w:val="3"/>
        <w:ind w:firstLine="480"/>
        <w:rPr>
          <w:rFonts w:cs="Times New Roman"/>
        </w:rPr>
      </w:pPr>
      <w:r>
        <w:rPr>
          <w:rFonts w:hint="eastAsia" w:cs="Times New Roman"/>
        </w:rPr>
        <w:t>本次评价根据衡阳县生态环境局发布的衡阳县县城各污染物监测数据及对项目所在区域历史数据调查的监测数据进行评价。</w:t>
      </w:r>
    </w:p>
    <w:p>
      <w:pPr>
        <w:pStyle w:val="3"/>
        <w:ind w:firstLine="480"/>
        <w:rPr>
          <w:rFonts w:ascii="宋体" w:cs="宋体" w:eastAsiaTheme="minorEastAsia"/>
          <w:kern w:val="0"/>
          <w:szCs w:val="24"/>
        </w:rPr>
      </w:pPr>
      <w:r>
        <w:rPr>
          <w:rFonts w:hint="eastAsia" w:cs="Times New Roman"/>
        </w:rPr>
        <w:t>（1）</w:t>
      </w:r>
      <w:r>
        <w:rPr>
          <w:rFonts w:hint="eastAsia" w:ascii="宋体" w:cs="宋体"/>
          <w:kern w:val="0"/>
          <w:szCs w:val="24"/>
        </w:rPr>
        <w:t>环境空气质量现状</w:t>
      </w:r>
      <w:r>
        <w:rPr>
          <w:rFonts w:hint="eastAsia" w:ascii="宋体" w:cs="宋体" w:eastAsiaTheme="minorEastAsia"/>
          <w:kern w:val="0"/>
          <w:szCs w:val="24"/>
        </w:rPr>
        <w:t>结论</w:t>
      </w:r>
    </w:p>
    <w:p>
      <w:pPr>
        <w:pStyle w:val="3"/>
        <w:ind w:firstLine="480"/>
        <w:rPr>
          <w:rFonts w:cs="Times New Roman"/>
          <w:kern w:val="0"/>
        </w:rPr>
      </w:pPr>
      <w:r>
        <w:rPr>
          <w:rFonts w:hint="eastAsia" w:cs="Times New Roman" w:eastAsiaTheme="minorEastAsia"/>
        </w:rPr>
        <w:t>根据衡阳县发布的2020</w:t>
      </w:r>
      <w:r>
        <w:rPr>
          <w:rFonts w:hint="eastAsia" w:cs="Times New Roman"/>
        </w:rPr>
        <w:t>衡阳县县城空气监测结果可知</w:t>
      </w:r>
      <w:r>
        <w:rPr>
          <w:rFonts w:eastAsiaTheme="minorEastAsia"/>
          <w:color w:val="000000"/>
          <w:position w:val="-2"/>
        </w:rPr>
        <w:t>评价区域空气环境</w:t>
      </w:r>
      <w:r>
        <w:rPr>
          <w:rFonts w:hint="eastAsia" w:eastAsiaTheme="minorEastAsia"/>
          <w:color w:val="000000"/>
          <w:position w:val="-2"/>
        </w:rPr>
        <w:t>各指标</w:t>
      </w:r>
      <w:r>
        <w:rPr>
          <w:rFonts w:eastAsiaTheme="minorEastAsia"/>
          <w:color w:val="000000"/>
          <w:position w:val="-2"/>
        </w:rPr>
        <w:t>均能达到《环境空气质量标准》（GB3095-2012）修改单二级标准</w:t>
      </w:r>
      <w:r>
        <w:rPr>
          <w:rFonts w:hint="eastAsia" w:eastAsiaTheme="minorEastAsia"/>
          <w:color w:val="000000"/>
          <w:position w:val="-2"/>
        </w:rPr>
        <w:t>；根据委托</w:t>
      </w:r>
      <w:r>
        <w:rPr>
          <w:rFonts w:hint="eastAsia" w:cs="Times New Roman"/>
          <w:kern w:val="0"/>
        </w:rPr>
        <w:t>湖南德环检测中心2021年监测的数据可知项目所在地各监测因子NH</w:t>
      </w:r>
      <w:r>
        <w:rPr>
          <w:rFonts w:hint="eastAsia" w:cs="Times New Roman"/>
          <w:kern w:val="0"/>
          <w:vertAlign w:val="subscript"/>
        </w:rPr>
        <w:t>3</w:t>
      </w:r>
      <w:r>
        <w:rPr>
          <w:rFonts w:hint="eastAsia" w:cs="Times New Roman"/>
          <w:kern w:val="0"/>
        </w:rPr>
        <w:t>、H</w:t>
      </w:r>
      <w:r>
        <w:rPr>
          <w:rFonts w:hint="eastAsia" w:cs="Times New Roman"/>
          <w:kern w:val="0"/>
          <w:vertAlign w:val="subscript"/>
        </w:rPr>
        <w:t>2</w:t>
      </w:r>
      <w:r>
        <w:rPr>
          <w:rFonts w:hint="eastAsia" w:cs="Times New Roman"/>
          <w:kern w:val="0"/>
        </w:rPr>
        <w:t>S及臭气浓度监测数据均达到《环境空气质量标准》（GB3095-2012）二级标准要求。</w:t>
      </w:r>
    </w:p>
    <w:p>
      <w:pPr>
        <w:pStyle w:val="3"/>
        <w:ind w:firstLine="480"/>
        <w:rPr>
          <w:rFonts w:ascii="宋体" w:cs="宋体"/>
          <w:kern w:val="0"/>
          <w:szCs w:val="24"/>
        </w:rPr>
      </w:pPr>
      <w:r>
        <w:rPr>
          <w:rFonts w:hint="eastAsia" w:cs="Times New Roman" w:eastAsiaTheme="minorEastAsia"/>
        </w:rPr>
        <w:t>（2）</w:t>
      </w:r>
      <w:r>
        <w:rPr>
          <w:rFonts w:hint="eastAsia" w:ascii="宋体" w:cs="宋体"/>
          <w:kern w:val="0"/>
          <w:szCs w:val="24"/>
        </w:rPr>
        <w:t>地表水环境现状评价结论</w:t>
      </w:r>
    </w:p>
    <w:p>
      <w:pPr>
        <w:pStyle w:val="3"/>
        <w:ind w:firstLine="480"/>
        <w:rPr>
          <w:rFonts w:cs="Times New Roman" w:eastAsiaTheme="minorEastAsia"/>
        </w:rPr>
      </w:pPr>
      <w:r>
        <w:rPr>
          <w:rFonts w:hint="eastAsia" w:cs="Times New Roman" w:eastAsiaTheme="minorEastAsia"/>
        </w:rPr>
        <w:t>根据监测结果可知，本项目监测断面的监测因子的监测值能达到《农田灌溉水质标准》（GB5084-2021）旱作类标准，表明该区域水环境质量现状良好。</w:t>
      </w:r>
    </w:p>
    <w:p>
      <w:pPr>
        <w:pStyle w:val="3"/>
        <w:ind w:firstLine="480"/>
        <w:rPr>
          <w:rFonts w:ascii="宋体" w:cs="宋体"/>
          <w:kern w:val="0"/>
          <w:szCs w:val="24"/>
        </w:rPr>
      </w:pPr>
      <w:r>
        <w:rPr>
          <w:rFonts w:hint="eastAsia" w:cs="Times New Roman" w:eastAsiaTheme="minorEastAsia"/>
        </w:rPr>
        <w:t>（3）</w:t>
      </w:r>
      <w:r>
        <w:rPr>
          <w:rFonts w:hint="eastAsia" w:ascii="宋体" w:cs="宋体"/>
          <w:kern w:val="0"/>
          <w:szCs w:val="24"/>
        </w:rPr>
        <w:t>地下水环境质量现状评价结论</w:t>
      </w:r>
    </w:p>
    <w:p>
      <w:pPr>
        <w:pStyle w:val="3"/>
        <w:ind w:firstLine="480"/>
        <w:rPr>
          <w:rFonts w:cs="Times New Roman" w:eastAsiaTheme="minorEastAsia"/>
        </w:rPr>
      </w:pPr>
      <w:r>
        <w:rPr>
          <w:rFonts w:hint="eastAsia" w:cs="Times New Roman" w:eastAsiaTheme="minorEastAsia"/>
        </w:rPr>
        <w:t>根据监测结果可知，本项目周边地下水水质可满足《地下水质量标准》（</w:t>
      </w:r>
      <w:r>
        <w:rPr>
          <w:rFonts w:cs="Times New Roman" w:eastAsiaTheme="minorEastAsia"/>
        </w:rPr>
        <w:t>GB14848-2017</w:t>
      </w:r>
      <w:r>
        <w:rPr>
          <w:rFonts w:hint="eastAsia" w:cs="Times New Roman" w:eastAsiaTheme="minorEastAsia"/>
        </w:rPr>
        <w:t>）表</w:t>
      </w:r>
      <w:r>
        <w:rPr>
          <w:rFonts w:cs="Times New Roman" w:eastAsiaTheme="minorEastAsia"/>
        </w:rPr>
        <w:t xml:space="preserve">1 </w:t>
      </w:r>
      <w:r>
        <w:rPr>
          <w:rFonts w:hint="eastAsia" w:cs="Times New Roman" w:eastAsiaTheme="minorEastAsia"/>
        </w:rPr>
        <w:t>中Ⅲ类标准限值。</w:t>
      </w:r>
    </w:p>
    <w:p>
      <w:pPr>
        <w:pStyle w:val="3"/>
        <w:ind w:firstLine="480"/>
        <w:rPr>
          <w:rFonts w:ascii="宋体" w:cs="宋体"/>
          <w:kern w:val="0"/>
          <w:szCs w:val="24"/>
        </w:rPr>
      </w:pPr>
      <w:r>
        <w:rPr>
          <w:rFonts w:hint="eastAsia" w:cs="Times New Roman" w:eastAsiaTheme="minorEastAsia"/>
        </w:rPr>
        <w:t>（4）</w:t>
      </w:r>
      <w:r>
        <w:rPr>
          <w:rFonts w:hint="eastAsia" w:ascii="宋体" w:cs="宋体"/>
          <w:kern w:val="0"/>
          <w:szCs w:val="24"/>
        </w:rPr>
        <w:t>声环境现状评价结论</w:t>
      </w:r>
    </w:p>
    <w:p>
      <w:pPr>
        <w:pStyle w:val="3"/>
        <w:ind w:firstLine="480"/>
        <w:rPr>
          <w:rFonts w:cs="Times New Roman" w:eastAsiaTheme="minorEastAsia"/>
        </w:rPr>
      </w:pPr>
      <w:r>
        <w:rPr>
          <w:rFonts w:hint="eastAsia" w:cs="Times New Roman" w:eastAsiaTheme="minorEastAsia"/>
        </w:rPr>
        <w:t>监测结果表明，项目厂界及周边敏感点的声环境均可达到《声环境质量标准》（GB3096-2008）中的2类标准，表明声环境质量较好。</w:t>
      </w:r>
    </w:p>
    <w:p>
      <w:pPr>
        <w:pStyle w:val="5"/>
      </w:pPr>
      <w:bookmarkStart w:id="63" w:name="_Toc116993099"/>
      <w:r>
        <w:rPr>
          <w:rFonts w:hint="eastAsia"/>
        </w:rPr>
        <w:t>主要</w:t>
      </w:r>
      <w:r>
        <w:t>环境影响</w:t>
      </w:r>
      <w:r>
        <w:rPr>
          <w:rFonts w:hint="eastAsia"/>
        </w:rPr>
        <w:t>评价结论</w:t>
      </w:r>
      <w:bookmarkEnd w:id="63"/>
    </w:p>
    <w:p>
      <w:pPr>
        <w:pStyle w:val="3"/>
        <w:ind w:firstLine="0" w:firstLineChars="0"/>
        <w:outlineLvl w:val="2"/>
      </w:pPr>
      <w:r>
        <w:rPr>
          <w:rFonts w:hint="eastAsia"/>
        </w:rPr>
        <w:t>11.3.1</w:t>
      </w:r>
      <w:r>
        <w:rPr>
          <w:rFonts w:hint="eastAsia"/>
        </w:rPr>
        <w:tab/>
      </w:r>
      <w:r>
        <w:rPr>
          <w:rFonts w:hint="eastAsia" w:eastAsia="黑体" w:cstheme="majorBidi"/>
          <w:bCs/>
          <w:szCs w:val="32"/>
        </w:rPr>
        <w:t>大气环境影响评价结论</w:t>
      </w:r>
    </w:p>
    <w:p>
      <w:pPr>
        <w:pStyle w:val="3"/>
        <w:ind w:firstLine="480"/>
        <w:rPr>
          <w:rFonts w:cs="Times New Roman" w:eastAsiaTheme="minorEastAsia"/>
        </w:rPr>
      </w:pPr>
      <w:r>
        <w:rPr>
          <w:rFonts w:hint="eastAsia" w:cs="Times New Roman" w:eastAsiaTheme="minorEastAsia"/>
        </w:rPr>
        <w:t>（1）生物质锅炉废气：通过布袋除尘处理+25m高排气筒，处理后废气可达可以达到</w:t>
      </w:r>
      <w:r>
        <w:t>《锅炉大气污染物排放标准》（GB13271-2014）中新建燃煤锅炉排放标准要求</w:t>
      </w:r>
      <w:r>
        <w:rPr>
          <w:rFonts w:hint="eastAsia" w:cs="Times New Roman" w:eastAsiaTheme="minorEastAsia"/>
        </w:rPr>
        <w:t>。</w:t>
      </w:r>
    </w:p>
    <w:p>
      <w:pPr>
        <w:pStyle w:val="3"/>
        <w:ind w:firstLine="480"/>
        <w:rPr>
          <w:rFonts w:cs="Times New Roman" w:eastAsiaTheme="minorEastAsia"/>
        </w:rPr>
      </w:pPr>
      <w:r>
        <w:rPr>
          <w:rFonts w:hint="eastAsia" w:cs="Times New Roman" w:eastAsiaTheme="minorEastAsia"/>
        </w:rPr>
        <w:t>（2）屠宰、待宰车间恶臭：屠宰、待宰车间恶臭通过清洗车间地面，期喷洒植物型生物除臭剂以减少无组织恶臭的排放。</w:t>
      </w:r>
    </w:p>
    <w:p>
      <w:pPr>
        <w:pStyle w:val="3"/>
        <w:ind w:firstLine="480"/>
        <w:rPr>
          <w:rFonts w:cs="Times New Roman" w:eastAsiaTheme="minorEastAsia"/>
        </w:rPr>
      </w:pPr>
      <w:r>
        <w:rPr>
          <w:rFonts w:hint="eastAsia" w:cs="Times New Roman" w:eastAsiaTheme="minorEastAsia"/>
        </w:rPr>
        <w:t>（3）粪污处理区恶臭：粪污处理去周围绿化，喷洒除臭剂。满足</w:t>
      </w:r>
      <w:r>
        <w:rPr>
          <w:rFonts w:eastAsiaTheme="minorEastAsia"/>
          <w:kern w:val="0"/>
        </w:rPr>
        <w:t>《恶臭污染物排放标准》（GB14554-93）中新改扩建二级标准要求</w:t>
      </w:r>
      <w:r>
        <w:rPr>
          <w:rFonts w:hint="eastAsia" w:cs="Times New Roman" w:eastAsiaTheme="minorEastAsia"/>
        </w:rPr>
        <w:t>。</w:t>
      </w:r>
    </w:p>
    <w:p>
      <w:pPr>
        <w:pStyle w:val="3"/>
        <w:ind w:firstLine="480"/>
        <w:rPr>
          <w:rFonts w:cs="Times New Roman" w:eastAsiaTheme="minorEastAsia"/>
        </w:rPr>
      </w:pPr>
      <w:r>
        <w:rPr>
          <w:rFonts w:hint="eastAsia" w:cs="Times New Roman" w:eastAsiaTheme="minorEastAsia"/>
        </w:rPr>
        <w:t>通过采取上述各类治理措施后，项目运营期各类废气均可达标排放，对周边的大气环境影响不大。</w:t>
      </w:r>
    </w:p>
    <w:p>
      <w:pPr>
        <w:pStyle w:val="3"/>
        <w:ind w:firstLine="0" w:firstLineChars="0"/>
        <w:outlineLvl w:val="2"/>
      </w:pPr>
      <w:r>
        <w:rPr>
          <w:rFonts w:hint="eastAsia"/>
        </w:rPr>
        <w:t>11.3.2</w:t>
      </w:r>
      <w:r>
        <w:rPr>
          <w:rFonts w:hint="eastAsia"/>
        </w:rPr>
        <w:tab/>
      </w:r>
      <w:r>
        <w:rPr>
          <w:rFonts w:hint="eastAsia" w:eastAsia="黑体" w:cstheme="majorBidi"/>
          <w:bCs/>
          <w:szCs w:val="32"/>
        </w:rPr>
        <w:t>地表水环境影响评价结论</w:t>
      </w:r>
    </w:p>
    <w:p>
      <w:pPr>
        <w:pStyle w:val="3"/>
        <w:ind w:firstLine="480"/>
      </w:pPr>
      <w:r>
        <w:rPr>
          <w:rFonts w:hint="eastAsia"/>
        </w:rPr>
        <w:t>本项目雨污分流，</w:t>
      </w:r>
      <w:r>
        <w:t>生活污水经隔油池、化粪池处理后作为农肥</w:t>
      </w:r>
      <w:r>
        <w:rPr>
          <w:rFonts w:hint="eastAsia"/>
        </w:rPr>
        <w:t>。</w:t>
      </w:r>
    </w:p>
    <w:p>
      <w:pPr>
        <w:pStyle w:val="3"/>
        <w:ind w:firstLine="480"/>
      </w:pPr>
      <w:r>
        <w:t>屠宰废水</w:t>
      </w:r>
      <w:r>
        <w:rPr>
          <w:kern w:val="0"/>
        </w:rPr>
        <w:t>经</w:t>
      </w:r>
      <w:r>
        <w:rPr>
          <w:rFonts w:hint="eastAsia"/>
          <w:kern w:val="0"/>
        </w:rPr>
        <w:t>粪污处理系统</w:t>
      </w:r>
      <w:r>
        <w:rPr>
          <w:kern w:val="0"/>
        </w:rPr>
        <w:t>进行处理后</w:t>
      </w:r>
      <w:r>
        <w:rPr>
          <w:rFonts w:hint="eastAsia"/>
          <w:kern w:val="0"/>
        </w:rPr>
        <w:t>，达到</w:t>
      </w:r>
      <w:r>
        <w:rPr>
          <w:rFonts w:hint="eastAsia" w:cs="Times New Roman"/>
        </w:rPr>
        <w:t>《农田灌溉水质标准》（</w:t>
      </w:r>
      <w:r>
        <w:rPr>
          <w:rFonts w:cs="Times New Roman"/>
        </w:rPr>
        <w:t>GB5084-2021</w:t>
      </w:r>
      <w:r>
        <w:rPr>
          <w:rFonts w:hint="eastAsia" w:cs="Times New Roman"/>
        </w:rPr>
        <w:t>）旱作标准</w:t>
      </w:r>
      <w:r>
        <w:rPr>
          <w:kern w:val="0"/>
        </w:rPr>
        <w:t>，</w:t>
      </w:r>
      <w:r>
        <w:rPr>
          <w:rFonts w:hint="eastAsia"/>
          <w:kern w:val="0"/>
        </w:rPr>
        <w:t>由衡阳县喜耕田有机肥厂回收处理不外排</w:t>
      </w:r>
      <w:r>
        <w:t>。</w:t>
      </w:r>
      <w:r>
        <w:rPr>
          <w:rFonts w:hint="eastAsia"/>
        </w:rPr>
        <w:t>经计算可知</w:t>
      </w:r>
      <w:r>
        <w:rPr>
          <w:rFonts w:hint="eastAsia"/>
          <w:kern w:val="0"/>
        </w:rPr>
        <w:t>衡阳县喜耕田有机肥厂</w:t>
      </w:r>
      <w:r>
        <w:rPr>
          <w:rFonts w:hint="eastAsia"/>
        </w:rPr>
        <w:t>完全可消纳本项目处理达标的废水。</w:t>
      </w:r>
    </w:p>
    <w:p>
      <w:pPr>
        <w:pStyle w:val="3"/>
        <w:ind w:firstLine="0" w:firstLineChars="0"/>
        <w:outlineLvl w:val="2"/>
      </w:pPr>
      <w:r>
        <w:rPr>
          <w:rFonts w:hint="eastAsia"/>
        </w:rPr>
        <w:t>11.3.3</w:t>
      </w:r>
      <w:r>
        <w:rPr>
          <w:rFonts w:hint="eastAsia"/>
        </w:rPr>
        <w:tab/>
      </w:r>
      <w:r>
        <w:rPr>
          <w:rFonts w:hint="eastAsia" w:eastAsia="黑体" w:cstheme="majorBidi"/>
          <w:bCs/>
          <w:szCs w:val="32"/>
        </w:rPr>
        <w:t>地下水环境影响评价结论</w:t>
      </w:r>
    </w:p>
    <w:p>
      <w:pPr>
        <w:pStyle w:val="3"/>
        <w:ind w:firstLine="480"/>
      </w:pPr>
      <w:r>
        <w:rPr>
          <w:rFonts w:hint="eastAsia"/>
        </w:rPr>
        <w:t>在建设单位严格按照本次评价提出的防渗措施对各单元进行治理后，各单元的渗透系数均较低，本项目废水、固废向地下水发生渗透的概率较小。由污染途径及对应措施分析可知，项目对可能产生地下水影响的各项途径均进行有效预防，在确保各项防渗措施得以落实，并加强维护和场区环境管理的前提下，可有效控制项目产生的污染物下渗现象，对区域地下水产生的不利影响较小。</w:t>
      </w:r>
    </w:p>
    <w:p>
      <w:pPr>
        <w:pStyle w:val="3"/>
        <w:ind w:firstLine="0" w:firstLineChars="0"/>
        <w:outlineLvl w:val="2"/>
      </w:pPr>
      <w:r>
        <w:rPr>
          <w:rFonts w:hint="eastAsia"/>
        </w:rPr>
        <w:t>11.3.4</w:t>
      </w:r>
      <w:r>
        <w:rPr>
          <w:rFonts w:hint="eastAsia"/>
        </w:rPr>
        <w:tab/>
      </w:r>
      <w:r>
        <w:rPr>
          <w:rFonts w:hint="eastAsia" w:eastAsia="黑体" w:cstheme="majorBidi"/>
          <w:bCs/>
          <w:szCs w:val="32"/>
        </w:rPr>
        <w:t>声环境影响分析结论</w:t>
      </w:r>
    </w:p>
    <w:p>
      <w:pPr>
        <w:pStyle w:val="3"/>
        <w:ind w:firstLine="480"/>
      </w:pPr>
      <w:r>
        <w:rPr>
          <w:rFonts w:hint="eastAsia"/>
        </w:rPr>
        <w:t>本项目噪声源强不高，企业采取低噪声设备、减震隔声、合理布局、广种植物等防治措施后，项目各场界昼夜间噪声均能满足《工业企业厂界环境噪声排放标准》中</w:t>
      </w:r>
      <w:r>
        <w:t xml:space="preserve">2 </w:t>
      </w:r>
      <w:r>
        <w:rPr>
          <w:rFonts w:hint="eastAsia"/>
        </w:rPr>
        <w:t>类功能区限值要求，对周边声环境影响较小。</w:t>
      </w:r>
    </w:p>
    <w:p>
      <w:pPr>
        <w:pStyle w:val="3"/>
        <w:ind w:firstLine="0" w:firstLineChars="0"/>
        <w:outlineLvl w:val="2"/>
      </w:pPr>
      <w:r>
        <w:rPr>
          <w:rFonts w:hint="eastAsia"/>
        </w:rPr>
        <w:t>11.3.5</w:t>
      </w:r>
      <w:r>
        <w:rPr>
          <w:rFonts w:hint="eastAsia"/>
        </w:rPr>
        <w:tab/>
      </w:r>
      <w:r>
        <w:rPr>
          <w:rFonts w:hint="eastAsia" w:eastAsia="黑体" w:cstheme="majorBidi"/>
          <w:bCs/>
          <w:szCs w:val="32"/>
        </w:rPr>
        <w:t>固体废物环境影响评价结论</w:t>
      </w:r>
    </w:p>
    <w:p>
      <w:pPr>
        <w:pStyle w:val="3"/>
        <w:ind w:firstLine="480"/>
      </w:pPr>
      <w:r>
        <w:rPr>
          <w:rFonts w:hint="eastAsia"/>
        </w:rPr>
        <w:t>本项目产生的各类固废处置率为</w:t>
      </w:r>
      <w:r>
        <w:t>100%</w:t>
      </w:r>
      <w:r>
        <w:rPr>
          <w:rFonts w:hint="eastAsia"/>
        </w:rPr>
        <w:t>，一般固废处理满足《一般工业固体废物贮存和填埋污染控制标准》（GB18599-2020）要求；危险废物处理满足《危险废物贮存污染控制标准》（GB 18597-2001）及2013 年修改单要求；生活垃圾处理满足《生活垃圾填埋场污染控制标准》（GB 16889-2008）要求。只要在收集、堆放及运输过程加强管理，不会对周围环境产生明显影响。</w:t>
      </w:r>
    </w:p>
    <w:p>
      <w:pPr>
        <w:pStyle w:val="3"/>
        <w:ind w:firstLine="0" w:firstLineChars="0"/>
        <w:outlineLvl w:val="2"/>
      </w:pPr>
      <w:r>
        <w:rPr>
          <w:rFonts w:hint="eastAsia"/>
        </w:rPr>
        <w:t>11.3.6</w:t>
      </w:r>
      <w:r>
        <w:rPr>
          <w:rFonts w:hint="eastAsia"/>
        </w:rPr>
        <w:tab/>
      </w:r>
      <w:r>
        <w:rPr>
          <w:rFonts w:hint="eastAsia" w:eastAsia="黑体" w:cstheme="majorBidi"/>
          <w:bCs/>
          <w:szCs w:val="32"/>
        </w:rPr>
        <w:t>生态环境影响评价结论</w:t>
      </w:r>
    </w:p>
    <w:p>
      <w:pPr>
        <w:pStyle w:val="3"/>
        <w:ind w:firstLine="480"/>
      </w:pPr>
      <w:r>
        <w:rPr>
          <w:rFonts w:hint="eastAsia"/>
        </w:rPr>
        <w:t>项目在做好各项污染防治措施，并保证其正常运营，各类污染对生态环境影响较小。</w:t>
      </w:r>
    </w:p>
    <w:p>
      <w:pPr>
        <w:pStyle w:val="3"/>
        <w:ind w:firstLine="0" w:firstLineChars="0"/>
        <w:outlineLvl w:val="2"/>
      </w:pPr>
      <w:r>
        <w:rPr>
          <w:rFonts w:hint="eastAsia"/>
        </w:rPr>
        <w:t>11.3.7</w:t>
      </w:r>
      <w:r>
        <w:rPr>
          <w:rFonts w:hint="eastAsia"/>
        </w:rPr>
        <w:tab/>
      </w:r>
      <w:r>
        <w:rPr>
          <w:rFonts w:hint="eastAsia" w:eastAsia="黑体" w:cstheme="majorBidi"/>
          <w:bCs/>
          <w:szCs w:val="32"/>
        </w:rPr>
        <w:t>环境风险环境影响评价结论</w:t>
      </w:r>
    </w:p>
    <w:p>
      <w:pPr>
        <w:pStyle w:val="3"/>
        <w:ind w:firstLine="480"/>
      </w:pPr>
      <w:r>
        <w:rPr>
          <w:rFonts w:hint="eastAsia"/>
        </w:rPr>
        <w:t>本项目造成的环境风险几率很小，在采取必要的风险防范措施下，可以得到有效预防。当出现事故时，根据风险事故应急预案，本项目突发环境事件是可防控的。</w:t>
      </w:r>
    </w:p>
    <w:p>
      <w:pPr>
        <w:pStyle w:val="5"/>
      </w:pPr>
      <w:bookmarkStart w:id="64" w:name="_Toc116993100"/>
      <w:r>
        <w:rPr>
          <w:rFonts w:hint="eastAsia"/>
        </w:rPr>
        <w:t>总量控制</w:t>
      </w:r>
      <w:bookmarkEnd w:id="64"/>
    </w:p>
    <w:p>
      <w:pPr>
        <w:pStyle w:val="3"/>
        <w:ind w:firstLine="480"/>
      </w:pPr>
      <w:r>
        <w:rPr>
          <w:rFonts w:hint="eastAsia"/>
        </w:rPr>
        <w:t>本项目营运期废水均不外排。</w:t>
      </w:r>
    </w:p>
    <w:p>
      <w:pPr>
        <w:pStyle w:val="3"/>
        <w:ind w:firstLine="480"/>
      </w:pPr>
      <w:r>
        <w:rPr>
          <w:rFonts w:hint="eastAsia"/>
        </w:rPr>
        <w:t>本项目生物质锅炉总量控制指标</w:t>
      </w:r>
      <w:r>
        <w:rPr>
          <w:rFonts w:hint="eastAsia" w:cs="Times New Roman"/>
        </w:rPr>
        <w:t>因子选取为</w:t>
      </w:r>
      <w:r>
        <w:rPr>
          <w:kern w:val="0"/>
        </w:rPr>
        <w:t>SO</w:t>
      </w:r>
      <w:r>
        <w:rPr>
          <w:kern w:val="0"/>
          <w:vertAlign w:val="subscript"/>
        </w:rPr>
        <w:t>2</w:t>
      </w:r>
      <w:r>
        <w:rPr>
          <w:rFonts w:hint="eastAsia"/>
          <w:kern w:val="0"/>
        </w:rPr>
        <w:t>：0.204</w:t>
      </w:r>
      <w:r>
        <w:rPr>
          <w:kern w:val="0"/>
        </w:rPr>
        <w:t>t</w:t>
      </w:r>
      <w:r>
        <w:t>/a</w:t>
      </w:r>
      <w:r>
        <w:rPr>
          <w:rFonts w:hint="eastAsia"/>
          <w:kern w:val="0"/>
        </w:rPr>
        <w:t>；</w:t>
      </w:r>
      <w:r>
        <w:rPr>
          <w:rFonts w:cs="Times New Roman"/>
          <w:kern w:val="0"/>
        </w:rPr>
        <w:t>NO</w:t>
      </w:r>
      <w:r>
        <w:rPr>
          <w:rFonts w:cs="Times New Roman"/>
          <w:kern w:val="0"/>
          <w:vertAlign w:val="subscript"/>
        </w:rPr>
        <w:t>X</w:t>
      </w:r>
      <w:r>
        <w:rPr>
          <w:rFonts w:hint="eastAsia" w:cs="Times New Roman"/>
        </w:rPr>
        <w:t>：0.612</w:t>
      </w:r>
      <w:r>
        <w:rPr>
          <w:kern w:val="0"/>
        </w:rPr>
        <w:t>t</w:t>
      </w:r>
      <w:r>
        <w:t>/a</w:t>
      </w:r>
      <w:r>
        <w:rPr>
          <w:rFonts w:hint="eastAsia" w:cs="Times New Roman"/>
        </w:rPr>
        <w:t>。</w:t>
      </w:r>
    </w:p>
    <w:p>
      <w:pPr>
        <w:pStyle w:val="5"/>
      </w:pPr>
      <w:bookmarkStart w:id="65" w:name="_Toc116993101"/>
      <w:r>
        <w:rPr>
          <w:rFonts w:hint="eastAsia"/>
        </w:rPr>
        <w:t>产业政策及选址符合性</w:t>
      </w:r>
      <w:bookmarkEnd w:id="65"/>
    </w:p>
    <w:p>
      <w:pPr>
        <w:pStyle w:val="3"/>
        <w:ind w:firstLine="480"/>
      </w:pPr>
      <w:r>
        <w:rPr>
          <w:rFonts w:hint="eastAsia"/>
        </w:rPr>
        <w:t>（1）本项目为畜禽类屠宰，对照《产业结构调整指导目录（2019 年本）》，限制类中第十二项“轻工”中第24 项“年屠宰生猪15 万头及以下、肉牛1 万头及以下、肉羊15 万只及以下、活禽1000 万只及以下的屠宰建设项目（少数民族地区除外）”，淘汰类中第十二项“轻工”中第29 项“猪、牛、羊、禽手工屠宰工艺”，本项目建成后年屠宰肉牛1万头、禽类1000万只，采用半自动化屠宰工艺，项目不属于目录规定的限制类，使用的设备不属于淘汰落后设备，符合国家现行的产业政策。</w:t>
      </w:r>
    </w:p>
    <w:p>
      <w:pPr>
        <w:pStyle w:val="3"/>
        <w:ind w:firstLine="480"/>
      </w:pPr>
      <w:r>
        <w:rPr>
          <w:rFonts w:hint="eastAsia"/>
        </w:rPr>
        <w:t>本项目满足《湖南省人民政府办公厅关于促进畜牧业高质量发展的实施意见》（湘政办发〔2021〕28号）的要求。项目于2018年9月5日已取得衡阳县人民政府颁发的屠宰场屠宰资格。</w:t>
      </w:r>
    </w:p>
    <w:p>
      <w:pPr>
        <w:pStyle w:val="3"/>
        <w:ind w:firstLine="480"/>
      </w:pPr>
      <w:r>
        <w:rPr>
          <w:rFonts w:hint="eastAsia"/>
        </w:rPr>
        <w:t>因此，本项目的建设符合国家和地方产业政策要求。</w:t>
      </w:r>
    </w:p>
    <w:p>
      <w:pPr>
        <w:pStyle w:val="3"/>
        <w:ind w:firstLine="480"/>
      </w:pPr>
      <w:r>
        <w:rPr>
          <w:rFonts w:hint="eastAsia"/>
        </w:rPr>
        <w:t>（2）本项目选址位于衡阳县集兵镇大利村祝老屋组，项目改扩建区域500m范围内无风景名胜区、自然保护区、水源保护区及文物保护单位等敏感区域。</w:t>
      </w:r>
    </w:p>
    <w:p>
      <w:pPr>
        <w:pStyle w:val="3"/>
        <w:ind w:firstLine="480"/>
      </w:pPr>
      <w:r>
        <w:rPr>
          <w:rFonts w:hint="eastAsia"/>
        </w:rPr>
        <w:t>根据《畜类屠宰加工通用技术条件》（</w:t>
      </w:r>
      <w:r>
        <w:t>GB/T17237-2008</w:t>
      </w:r>
      <w:r>
        <w:rPr>
          <w:rFonts w:hint="eastAsia"/>
        </w:rPr>
        <w:t>）的相关规定，畜禽类屠宰加工厂应选在当地常年主导风向的下风侧，远离水源保护区和饮用水取水口，避开居民住宅区、公共场所以及畜禽饲养场。项目改扩建区域各方向</w:t>
      </w:r>
      <w:r>
        <w:t xml:space="preserve">500m </w:t>
      </w:r>
      <w:r>
        <w:rPr>
          <w:rFonts w:hint="eastAsia"/>
        </w:rPr>
        <w:t>范围内无风景名胜区、自然保护区、文物保护单位，本项目改扩建区域不占耕地、基本农田，对周围生态环境的影响较小。</w:t>
      </w:r>
    </w:p>
    <w:p>
      <w:pPr>
        <w:pStyle w:val="5"/>
      </w:pPr>
      <w:bookmarkStart w:id="66" w:name="_Toc116993102"/>
      <w:r>
        <w:rPr>
          <w:rFonts w:hint="eastAsia"/>
        </w:rPr>
        <w:t>项目</w:t>
      </w:r>
      <w:r>
        <w:t>制约因素及解决办法</w:t>
      </w:r>
      <w:bookmarkEnd w:id="66"/>
    </w:p>
    <w:p>
      <w:pPr>
        <w:pStyle w:val="3"/>
        <w:ind w:firstLine="480"/>
        <w:rPr>
          <w:rFonts w:cs="Times New Roman" w:eastAsiaTheme="minorEastAsia"/>
          <w:color w:val="FF0000"/>
          <w:u w:val="single"/>
        </w:rPr>
      </w:pPr>
      <w:r>
        <w:rPr>
          <w:rFonts w:hint="eastAsia" w:cs="Times New Roman" w:eastAsiaTheme="minorEastAsia"/>
          <w:color w:val="FF0000"/>
          <w:u w:val="single"/>
        </w:rPr>
        <w:t>本项目主要的制约因素有两点：①项目废水量较大且去向难以控制；②环境防护距离内分布有居民。</w:t>
      </w:r>
    </w:p>
    <w:p>
      <w:pPr>
        <w:pStyle w:val="3"/>
        <w:ind w:firstLine="480"/>
        <w:rPr>
          <w:rFonts w:cs="Times New Roman"/>
          <w:color w:val="FF0000"/>
          <w:u w:val="single"/>
        </w:rPr>
      </w:pPr>
      <w:r>
        <w:rPr>
          <w:rFonts w:hint="eastAsia" w:cs="Times New Roman" w:eastAsiaTheme="minorEastAsia"/>
          <w:color w:val="FF0000"/>
          <w:u w:val="single"/>
        </w:rPr>
        <w:t>本项目废水经</w:t>
      </w:r>
      <w:r>
        <w:rPr>
          <w:rFonts w:cs="Times New Roman"/>
          <w:color w:val="FF0000"/>
          <w:u w:val="single"/>
        </w:rPr>
        <w:t>隔栅→粪污调节池→固液分离→污水→沼气池→</w:t>
      </w:r>
      <w:r>
        <w:rPr>
          <w:rFonts w:hint="eastAsia" w:cs="Times New Roman"/>
          <w:color w:val="FF0000"/>
          <w:u w:val="single"/>
        </w:rPr>
        <w:t>三级曝气</w:t>
      </w:r>
      <w:r>
        <w:rPr>
          <w:rFonts w:cs="Times New Roman"/>
          <w:color w:val="FF0000"/>
          <w:u w:val="single"/>
        </w:rPr>
        <w:t>沉淀池→杀菌除臭→</w:t>
      </w:r>
      <w:r>
        <w:rPr>
          <w:rFonts w:hint="eastAsia" w:cs="Times New Roman"/>
          <w:color w:val="FF0000"/>
          <w:u w:val="single"/>
        </w:rPr>
        <w:t>交衡阳县喜耕田有机肥厂回收处理，衡阳县喜耕田有机肥厂与种植大户及种植基地签订了《粪肥施用供应协议》，保证有足够的消纳基地，协议内容包括粪肥施用面积，作物种类，需要各类肥量，施用技术服务。对接种植面积在21000亩以上，衡阳县喜耕田有机肥厂在各个种植区均设置有收集池，收集池总容积在50000m</w:t>
      </w:r>
      <w:r>
        <w:rPr>
          <w:rFonts w:hint="eastAsia" w:cs="Times New Roman"/>
          <w:color w:val="FF0000"/>
          <w:u w:val="single"/>
          <w:vertAlign w:val="superscript"/>
        </w:rPr>
        <w:t>3</w:t>
      </w:r>
      <w:r>
        <w:rPr>
          <w:rFonts w:hint="eastAsia" w:cs="Times New Roman"/>
          <w:color w:val="FF0000"/>
          <w:u w:val="single"/>
        </w:rPr>
        <w:t>以上，能够保障收集和消纳本项目产生废水。</w:t>
      </w:r>
    </w:p>
    <w:p>
      <w:pPr>
        <w:pStyle w:val="3"/>
        <w:ind w:firstLine="480"/>
        <w:rPr>
          <w:rFonts w:cs="Times New Roman" w:eastAsiaTheme="minorEastAsia"/>
          <w:color w:val="FF0000"/>
          <w:u w:val="single"/>
        </w:rPr>
      </w:pPr>
      <w:r>
        <w:rPr>
          <w:rFonts w:hint="eastAsia" w:cs="Times New Roman"/>
          <w:color w:val="FF0000"/>
          <w:kern w:val="0"/>
          <w:szCs w:val="24"/>
          <w:u w:val="single"/>
        </w:rPr>
        <w:t>项目周边主要环境制约因素为项目环境防护距离100米范围内的几户大利村散户居民，与本项目厂界最近距离为55</w:t>
      </w:r>
      <w:r>
        <w:rPr>
          <w:rFonts w:cs="Times New Roman"/>
          <w:color w:val="FF0000"/>
          <w:kern w:val="0"/>
          <w:szCs w:val="24"/>
          <w:u w:val="single"/>
        </w:rPr>
        <w:t>m</w:t>
      </w:r>
      <w:r>
        <w:rPr>
          <w:rFonts w:hint="eastAsia" w:cs="Times New Roman"/>
          <w:color w:val="FF0000"/>
          <w:kern w:val="0"/>
          <w:szCs w:val="24"/>
          <w:u w:val="single"/>
        </w:rPr>
        <w:t>，距离最近的产臭点为待宰圈及屠宰车间，最近距离约55</w:t>
      </w:r>
      <w:r>
        <w:rPr>
          <w:rFonts w:cs="Times New Roman"/>
          <w:color w:val="FF0000"/>
          <w:kern w:val="0"/>
          <w:szCs w:val="24"/>
          <w:u w:val="single"/>
        </w:rPr>
        <w:t>m</w:t>
      </w:r>
      <w:r>
        <w:rPr>
          <w:rFonts w:hint="eastAsia" w:cs="Times New Roman"/>
          <w:color w:val="FF0000"/>
          <w:kern w:val="0"/>
          <w:szCs w:val="24"/>
          <w:u w:val="single"/>
        </w:rPr>
        <w:t>，根据调查可知本项目于2017年9月建设，当时周边100米范围内无居民点，现在附近几户居民住房均为后期建设，本项目建设至今未收到附近居民任何相关环保方面投诉，且本项目建设在原有的厂区进行改扩建，并不新增建设用地，且已将厂界周边范围内的3户居民点租赁下来用于作为员工休息区（租赁协议见附件10）。只要建设单位加强对待宰圈、屠宰车间管理，减少恶臭的产生，做好与周边居民协调沟通，不会对</w:t>
      </w:r>
      <w:r>
        <w:rPr>
          <w:rFonts w:hint="eastAsia" w:ascii="宋体" w:cs="宋体"/>
          <w:color w:val="FF0000"/>
          <w:kern w:val="0"/>
          <w:szCs w:val="24"/>
          <w:u w:val="single"/>
        </w:rPr>
        <w:t>本项目构成制约因素</w:t>
      </w:r>
      <w:r>
        <w:rPr>
          <w:bCs/>
          <w:color w:val="FF0000"/>
          <w:u w:val="single"/>
        </w:rPr>
        <w:t>。</w:t>
      </w:r>
    </w:p>
    <w:p>
      <w:pPr>
        <w:pStyle w:val="5"/>
      </w:pPr>
      <w:bookmarkStart w:id="67" w:name="_Toc116993103"/>
      <w:r>
        <w:rPr>
          <w:rFonts w:hint="eastAsia"/>
        </w:rPr>
        <w:t>公众</w:t>
      </w:r>
      <w:r>
        <w:t>参与结论</w:t>
      </w:r>
      <w:bookmarkEnd w:id="67"/>
    </w:p>
    <w:p>
      <w:pPr>
        <w:pStyle w:val="3"/>
        <w:ind w:firstLine="480"/>
        <w:rPr>
          <w:rFonts w:cs="Times New Roman" w:eastAsiaTheme="minorEastAsia"/>
        </w:rPr>
      </w:pPr>
      <w:r>
        <w:rPr>
          <w:rFonts w:hint="eastAsia" w:cs="Times New Roman" w:eastAsiaTheme="minorEastAsia"/>
        </w:rPr>
        <w:t>根据建设单位编制的《公众参与说明书》，本项目公众参与采用网上公示、问卷调查的形式。调查表明：被调查的公众和团体都支持该项目的建设，大部分的被调查者均对当地的环境质量现状比较满意，希望建设项目按照设计建设、各项环保措施得到贯彻落实，加强环境管理，污染物做到稳定达标排放，避免干扰居民正常生活，最大限度地减少对周围环境的影响。同时建设单位承诺建设时严格执行环保“三同时”制度，落实各项环保治理措施，项目建成后加强管理，尽量减少污染物的排放对周围居民的影响。</w:t>
      </w:r>
    </w:p>
    <w:p>
      <w:pPr>
        <w:pStyle w:val="5"/>
      </w:pPr>
      <w:bookmarkStart w:id="68" w:name="_Toc116993104"/>
      <w:r>
        <w:rPr>
          <w:rFonts w:hint="eastAsia"/>
        </w:rPr>
        <w:t>评价</w:t>
      </w:r>
      <w:r>
        <w:t>总体结论</w:t>
      </w:r>
      <w:bookmarkEnd w:id="68"/>
    </w:p>
    <w:p>
      <w:pPr>
        <w:pStyle w:val="3"/>
        <w:ind w:firstLine="480"/>
        <w:rPr>
          <w:rFonts w:cs="Times New Roman" w:eastAsiaTheme="minorEastAsia"/>
        </w:rPr>
      </w:pPr>
      <w:r>
        <w:rPr>
          <w:rFonts w:hint="eastAsia" w:cs="Times New Roman" w:eastAsiaTheme="minorEastAsia"/>
        </w:rPr>
        <w:t>本项目符合国家相关产业政策要求。生产中采用先进设备、自动化程度高、资源消耗、污染物产生指标较低；符合衡阳县相关规划，选址可行，平面布置较合理；建设单位在认真落实各项环境保护措施后，污染物可以达标排放，对周围环境的影响较小，不会改变项目周围地区当前的大气、水、声环境质量的现有功能要求，从环境保护的角度上分析，本建设项目可行。</w:t>
      </w:r>
    </w:p>
    <w:p>
      <w:pPr>
        <w:pStyle w:val="5"/>
      </w:pPr>
      <w:bookmarkStart w:id="69" w:name="_Toc116993105"/>
      <w:r>
        <w:rPr>
          <w:rFonts w:hint="eastAsia"/>
        </w:rPr>
        <w:t>建议</w:t>
      </w:r>
      <w:bookmarkEnd w:id="69"/>
    </w:p>
    <w:p>
      <w:pPr>
        <w:pStyle w:val="3"/>
        <w:ind w:firstLine="480"/>
        <w:rPr>
          <w:rFonts w:cs="Times New Roman" w:eastAsiaTheme="minorEastAsia"/>
        </w:rPr>
      </w:pPr>
      <w:r>
        <w:rPr>
          <w:rFonts w:hint="eastAsia" w:cs="Times New Roman" w:eastAsiaTheme="minorEastAsia"/>
        </w:rPr>
        <w:t>（</w:t>
      </w:r>
      <w:r>
        <w:rPr>
          <w:rFonts w:cs="Times New Roman" w:eastAsiaTheme="minorEastAsia"/>
        </w:rPr>
        <w:t>1</w:t>
      </w:r>
      <w:r>
        <w:rPr>
          <w:rFonts w:hint="eastAsia" w:cs="Times New Roman" w:eastAsiaTheme="minorEastAsia"/>
        </w:rPr>
        <w:t>）项目建设必须做到“三同时”，使“三废”达标排放，污染治理资金要优先保证，落实到实处。</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2</w:t>
      </w:r>
      <w:r>
        <w:rPr>
          <w:rFonts w:hint="eastAsia" w:cs="Times New Roman" w:eastAsiaTheme="minorEastAsia"/>
        </w:rPr>
        <w:t>）建设单位必须认真落实本报告书中提出的各项环保措施，建设和完善环保设施，确保污染物稳定达标排放。</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3</w:t>
      </w:r>
      <w:r>
        <w:rPr>
          <w:rFonts w:hint="eastAsia" w:cs="Times New Roman" w:eastAsiaTheme="minorEastAsia"/>
        </w:rPr>
        <w:t>）项目试生产时，应按环保有关法律法规向环保行政部门申请建设项目环境保护竣工验收，经有审批权的环保行政部门验收合格后，方可正式投入生产。</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4</w:t>
      </w:r>
      <w:r>
        <w:rPr>
          <w:rFonts w:hint="eastAsia" w:cs="Times New Roman" w:eastAsiaTheme="minorEastAsia"/>
        </w:rPr>
        <w:t>）该项目的环保工程的处理设施不得擅自停用，如确需停用，必须向环保部门提出申请，经环保部门同意批准后方可实施，并负责处理善后工作。</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5</w:t>
      </w:r>
      <w:r>
        <w:rPr>
          <w:rFonts w:hint="eastAsia" w:cs="Times New Roman" w:eastAsiaTheme="minorEastAsia"/>
        </w:rPr>
        <w:t>）该项目在环保工程的设计和施工中必须考虑杜绝事故排放的紧急处理方案和设施，万一发生事故排放，应采取停止加料或停止生产等应急措施。</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6</w:t>
      </w:r>
      <w:r>
        <w:rPr>
          <w:rFonts w:hint="eastAsia" w:cs="Times New Roman" w:eastAsiaTheme="minorEastAsia"/>
        </w:rPr>
        <w:t>）固废专用贮存场必须设防渗、防雨、防尘和渗漏液的收集措施，渗漏液收集后进粪污处理区处理。</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7</w:t>
      </w:r>
      <w:r>
        <w:rPr>
          <w:rFonts w:hint="eastAsia" w:cs="Times New Roman" w:eastAsiaTheme="minorEastAsia"/>
        </w:rPr>
        <w:t>）实施厂区绿化工程，在美化和净化环境的同时，充分发挥绿色天然屏障的隔声作用。</w:t>
      </w:r>
    </w:p>
    <w:p>
      <w:pPr>
        <w:pStyle w:val="3"/>
        <w:ind w:firstLine="480"/>
        <w:rPr>
          <w:rFonts w:cs="Times New Roman" w:eastAsiaTheme="minorEastAsia"/>
        </w:rPr>
      </w:pPr>
      <w:r>
        <w:rPr>
          <w:rFonts w:hint="eastAsia" w:cs="Times New Roman" w:eastAsiaTheme="minorEastAsia"/>
        </w:rPr>
        <w:t>（</w:t>
      </w:r>
      <w:r>
        <w:rPr>
          <w:rFonts w:cs="Times New Roman" w:eastAsiaTheme="minorEastAsia"/>
        </w:rPr>
        <w:t>8</w:t>
      </w:r>
      <w:r>
        <w:rPr>
          <w:rFonts w:hint="eastAsia" w:cs="Times New Roman" w:eastAsiaTheme="minorEastAsia"/>
        </w:rPr>
        <w:t>）评价要求建设单位在营运期间中加强生产管理。</w:t>
      </w:r>
    </w:p>
    <w:p>
      <w:pPr>
        <w:pStyle w:val="3"/>
        <w:ind w:firstLine="480"/>
        <w:rPr>
          <w:rFonts w:cs="Times New Roman" w:eastAsiaTheme="minorEastAsia"/>
        </w:rPr>
      </w:pPr>
      <w:r>
        <w:rPr>
          <w:rFonts w:hint="eastAsia" w:cs="Times New Roman" w:eastAsiaTheme="minorEastAsia"/>
        </w:rPr>
        <w:t>（9）该项目关系到老百姓“菜篮子”工程，对外环境卫生有较高的要求，项目建成后其场界外周围不得新建化工、水泥等高噪声、高污染项目；并且在场址四周设置卫生防护距离，今后在卫生防护距离内，严禁新建学校、医院、居住区等环境保护敏感目标。</w:t>
      </w:r>
    </w:p>
    <w:sectPr>
      <w:pgSz w:w="11906" w:h="16838"/>
      <w:pgMar w:top="1474" w:right="1361" w:bottom="1474"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80"/>
    <w:family w:val="auto"/>
    <w:pitch w:val="default"/>
    <w:sig w:usb0="00000000" w:usb1="00000000" w:usb2="00000010" w:usb3="00000000" w:csb0="00060000" w:csb1="00000000"/>
  </w:font>
  <w:font w:name="MS Mincho">
    <w:altName w:val="Yu Gothic UI"/>
    <w:panose1 w:val="02020609040205080304"/>
    <w:charset w:val="80"/>
    <w:family w:val="modern"/>
    <w:pitch w:val="default"/>
    <w:sig w:usb0="00000000" w:usb1="00000000" w:usb2="00000012" w:usb3="00000000" w:csb0="0002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2308382"/>
      <w:docPartObj>
        <w:docPartGallery w:val="AutoText"/>
      </w:docPartObj>
    </w:sdtPr>
    <w:sdtEndPr>
      <w:rPr>
        <w:rStyle w:val="33"/>
      </w:rPr>
    </w:sdtEndPr>
    <w:sdtContent>
      <w:p>
        <w:pPr>
          <w:pStyle w:val="21"/>
          <w:jc w:val="center"/>
          <w:rPr>
            <w:rStyle w:val="33"/>
            <w:rFonts w:eastAsia="宋体"/>
          </w:rPr>
        </w:pPr>
        <w:r>
          <w:rPr>
            <w:rStyle w:val="33"/>
            <w:rFonts w:eastAsia="宋体"/>
          </w:rPr>
          <w:fldChar w:fldCharType="begin"/>
        </w:r>
        <w:r>
          <w:rPr>
            <w:rStyle w:val="33"/>
            <w:rFonts w:eastAsia="宋体"/>
          </w:rPr>
          <w:instrText xml:space="preserve">PAGE   \* MERGEFORMAT</w:instrText>
        </w:r>
        <w:r>
          <w:rPr>
            <w:rStyle w:val="33"/>
            <w:rFonts w:eastAsia="宋体"/>
          </w:rPr>
          <w:fldChar w:fldCharType="separate"/>
        </w:r>
        <w:r>
          <w:rPr>
            <w:rStyle w:val="33"/>
            <w:rFonts w:eastAsia="宋体"/>
            <w:lang w:val="zh-CN"/>
          </w:rPr>
          <w:t>2</w:t>
        </w:r>
        <w:r>
          <w:rPr>
            <w:rStyle w:val="33"/>
            <w:rFonts w:eastAsia="宋体"/>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888583"/>
      <w:docPartObj>
        <w:docPartGallery w:val="AutoText"/>
      </w:docPartObj>
    </w:sdtPr>
    <w:sdtEndPr>
      <w:rPr>
        <w:rStyle w:val="33"/>
      </w:rPr>
    </w:sdtEndPr>
    <w:sdtContent>
      <w:p>
        <w:pPr>
          <w:pStyle w:val="21"/>
          <w:jc w:val="center"/>
          <w:rPr>
            <w:rStyle w:val="33"/>
            <w:rFonts w:eastAsia="宋体"/>
          </w:rPr>
        </w:pPr>
        <w:r>
          <w:rPr>
            <w:rStyle w:val="33"/>
            <w:rFonts w:eastAsia="宋体"/>
          </w:rPr>
          <w:fldChar w:fldCharType="begin"/>
        </w:r>
        <w:r>
          <w:rPr>
            <w:rStyle w:val="33"/>
            <w:rFonts w:eastAsia="宋体"/>
          </w:rPr>
          <w:instrText xml:space="preserve">PAGE   \* MERGEFORMAT</w:instrText>
        </w:r>
        <w:r>
          <w:rPr>
            <w:rStyle w:val="33"/>
            <w:rFonts w:eastAsia="宋体"/>
          </w:rPr>
          <w:fldChar w:fldCharType="separate"/>
        </w:r>
        <w:r>
          <w:rPr>
            <w:rStyle w:val="33"/>
            <w:rFonts w:eastAsia="宋体"/>
            <w:lang w:val="zh-CN"/>
          </w:rPr>
          <w:t>11</w:t>
        </w:r>
        <w:r>
          <w:rPr>
            <w:rStyle w:val="33"/>
            <w:rFonts w:eastAsia="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1592B"/>
    <w:multiLevelType w:val="multilevel"/>
    <w:tmpl w:val="0891592B"/>
    <w:lvl w:ilvl="0" w:tentative="0">
      <w:start w:val="1"/>
      <w:numFmt w:val="decimal"/>
      <w:pStyle w:val="2"/>
      <w:lvlText w:val="%1"/>
      <w:lvlJc w:val="left"/>
      <w:pPr>
        <w:ind w:left="432" w:hanging="432"/>
      </w:pPr>
    </w:lvl>
    <w:lvl w:ilvl="1" w:tentative="0">
      <w:start w:val="1"/>
      <w:numFmt w:val="decimal"/>
      <w:pStyle w:val="5"/>
      <w:lvlText w:val="%1.%2"/>
      <w:lvlJc w:val="left"/>
      <w:pPr>
        <w:ind w:left="576" w:hanging="576"/>
      </w:pPr>
    </w:lvl>
    <w:lvl w:ilvl="2" w:tentative="0">
      <w:start w:val="1"/>
      <w:numFmt w:val="decimal"/>
      <w:pStyle w:val="6"/>
      <w:lvlText w:val="%1.%2.%3"/>
      <w:lvlJc w:val="left"/>
      <w:pPr>
        <w:ind w:left="720" w:hanging="720"/>
      </w:pPr>
    </w:lvl>
    <w:lvl w:ilvl="3" w:tentative="0">
      <w:start w:val="1"/>
      <w:numFmt w:val="decimal"/>
      <w:pStyle w:val="7"/>
      <w:lvlText w:val="%1.%2.%3.%4"/>
      <w:lvlJc w:val="left"/>
      <w:pPr>
        <w:ind w:left="864" w:hanging="864"/>
      </w:p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abstractNum w:abstractNumId="1">
    <w:nsid w:val="10454C74"/>
    <w:multiLevelType w:val="multilevel"/>
    <w:tmpl w:val="10454C74"/>
    <w:lvl w:ilvl="0" w:tentative="0">
      <w:start w:val="1"/>
      <w:numFmt w:val="decimal"/>
      <w:lvlText w:val="（%1）"/>
      <w:lvlJc w:val="left"/>
      <w:pPr>
        <w:ind w:left="90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A9330A"/>
    <w:multiLevelType w:val="multilevel"/>
    <w:tmpl w:val="23A9330A"/>
    <w:lvl w:ilvl="0" w:tentative="0">
      <w:start w:val="1"/>
      <w:numFmt w:val="decimal"/>
      <w:lvlText w:val="（%1）"/>
      <w:lvlJc w:val="left"/>
      <w:pPr>
        <w:ind w:left="90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E818C8"/>
    <w:multiLevelType w:val="multilevel"/>
    <w:tmpl w:val="63E818C8"/>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F257EDE"/>
    <w:multiLevelType w:val="multilevel"/>
    <w:tmpl w:val="7F257ED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jY2ZmI1ZDA3MzAwNGE1MWQ2ZmRmOGY5M2FjMjcifQ=="/>
  </w:docVars>
  <w:rsids>
    <w:rsidRoot w:val="00DC1B32"/>
    <w:rsid w:val="0000155D"/>
    <w:rsid w:val="00003D63"/>
    <w:rsid w:val="00007EA7"/>
    <w:rsid w:val="00012938"/>
    <w:rsid w:val="00013D3C"/>
    <w:rsid w:val="00015ACD"/>
    <w:rsid w:val="000234AC"/>
    <w:rsid w:val="000262CD"/>
    <w:rsid w:val="00030623"/>
    <w:rsid w:val="00032C9F"/>
    <w:rsid w:val="00036763"/>
    <w:rsid w:val="00044BF6"/>
    <w:rsid w:val="000451F0"/>
    <w:rsid w:val="0005193D"/>
    <w:rsid w:val="0005216A"/>
    <w:rsid w:val="000555E2"/>
    <w:rsid w:val="0006151D"/>
    <w:rsid w:val="0006237D"/>
    <w:rsid w:val="00064253"/>
    <w:rsid w:val="0006668B"/>
    <w:rsid w:val="0007080C"/>
    <w:rsid w:val="0007575A"/>
    <w:rsid w:val="00082ACD"/>
    <w:rsid w:val="00083AA9"/>
    <w:rsid w:val="00083D32"/>
    <w:rsid w:val="00090728"/>
    <w:rsid w:val="00091491"/>
    <w:rsid w:val="00091C08"/>
    <w:rsid w:val="00092EAA"/>
    <w:rsid w:val="000936C6"/>
    <w:rsid w:val="00097190"/>
    <w:rsid w:val="000A05E5"/>
    <w:rsid w:val="000A1677"/>
    <w:rsid w:val="000A3398"/>
    <w:rsid w:val="000A3715"/>
    <w:rsid w:val="000A4947"/>
    <w:rsid w:val="000A6496"/>
    <w:rsid w:val="000A79A1"/>
    <w:rsid w:val="000C0345"/>
    <w:rsid w:val="000C49E8"/>
    <w:rsid w:val="000C584D"/>
    <w:rsid w:val="000C7EA5"/>
    <w:rsid w:val="000D39A3"/>
    <w:rsid w:val="000D59B7"/>
    <w:rsid w:val="000E043D"/>
    <w:rsid w:val="000E3B1E"/>
    <w:rsid w:val="000E44A1"/>
    <w:rsid w:val="000E5A41"/>
    <w:rsid w:val="000F37CC"/>
    <w:rsid w:val="000F49CA"/>
    <w:rsid w:val="000F5FE1"/>
    <w:rsid w:val="000F7D31"/>
    <w:rsid w:val="00100723"/>
    <w:rsid w:val="0010429B"/>
    <w:rsid w:val="00105A35"/>
    <w:rsid w:val="00105EF5"/>
    <w:rsid w:val="00111077"/>
    <w:rsid w:val="00114648"/>
    <w:rsid w:val="0012040F"/>
    <w:rsid w:val="00120581"/>
    <w:rsid w:val="00122038"/>
    <w:rsid w:val="0013075F"/>
    <w:rsid w:val="001308C3"/>
    <w:rsid w:val="00133F46"/>
    <w:rsid w:val="0013645A"/>
    <w:rsid w:val="0013662E"/>
    <w:rsid w:val="0014068A"/>
    <w:rsid w:val="00142B6E"/>
    <w:rsid w:val="001440F7"/>
    <w:rsid w:val="001518EC"/>
    <w:rsid w:val="00152BD4"/>
    <w:rsid w:val="001539DF"/>
    <w:rsid w:val="0015477E"/>
    <w:rsid w:val="0015576F"/>
    <w:rsid w:val="00156318"/>
    <w:rsid w:val="0016472E"/>
    <w:rsid w:val="00165FE3"/>
    <w:rsid w:val="00166C1E"/>
    <w:rsid w:val="00173828"/>
    <w:rsid w:val="001763CC"/>
    <w:rsid w:val="00177CEC"/>
    <w:rsid w:val="00181A36"/>
    <w:rsid w:val="00183008"/>
    <w:rsid w:val="00186CC3"/>
    <w:rsid w:val="00191F43"/>
    <w:rsid w:val="0019464D"/>
    <w:rsid w:val="001A0B2D"/>
    <w:rsid w:val="001A1FE9"/>
    <w:rsid w:val="001A203F"/>
    <w:rsid w:val="001A2B30"/>
    <w:rsid w:val="001A3625"/>
    <w:rsid w:val="001A57F1"/>
    <w:rsid w:val="001B0133"/>
    <w:rsid w:val="001B3EA7"/>
    <w:rsid w:val="001B483A"/>
    <w:rsid w:val="001B4B51"/>
    <w:rsid w:val="001C566F"/>
    <w:rsid w:val="001C6066"/>
    <w:rsid w:val="001D29AD"/>
    <w:rsid w:val="001D5455"/>
    <w:rsid w:val="001D583B"/>
    <w:rsid w:val="001D5EA1"/>
    <w:rsid w:val="001E224D"/>
    <w:rsid w:val="001E245C"/>
    <w:rsid w:val="001F27E9"/>
    <w:rsid w:val="001F3396"/>
    <w:rsid w:val="0020279F"/>
    <w:rsid w:val="00210DCE"/>
    <w:rsid w:val="00215912"/>
    <w:rsid w:val="002203AF"/>
    <w:rsid w:val="002209E2"/>
    <w:rsid w:val="00220F03"/>
    <w:rsid w:val="00225EA7"/>
    <w:rsid w:val="002265DB"/>
    <w:rsid w:val="00226C90"/>
    <w:rsid w:val="002271A9"/>
    <w:rsid w:val="00227CCE"/>
    <w:rsid w:val="00227D9A"/>
    <w:rsid w:val="00244721"/>
    <w:rsid w:val="00246831"/>
    <w:rsid w:val="002479B5"/>
    <w:rsid w:val="00261236"/>
    <w:rsid w:val="00263249"/>
    <w:rsid w:val="0026437B"/>
    <w:rsid w:val="002716F2"/>
    <w:rsid w:val="002723DD"/>
    <w:rsid w:val="002770CE"/>
    <w:rsid w:val="00285E1E"/>
    <w:rsid w:val="002935DF"/>
    <w:rsid w:val="00294B68"/>
    <w:rsid w:val="002964CB"/>
    <w:rsid w:val="002A24CA"/>
    <w:rsid w:val="002B4EF3"/>
    <w:rsid w:val="002B7E61"/>
    <w:rsid w:val="002C0A5B"/>
    <w:rsid w:val="002C25DB"/>
    <w:rsid w:val="002C4407"/>
    <w:rsid w:val="002D210D"/>
    <w:rsid w:val="002E38C0"/>
    <w:rsid w:val="002E5340"/>
    <w:rsid w:val="002E5564"/>
    <w:rsid w:val="002F0BD1"/>
    <w:rsid w:val="003028DC"/>
    <w:rsid w:val="00303043"/>
    <w:rsid w:val="00305AC2"/>
    <w:rsid w:val="003060FE"/>
    <w:rsid w:val="00306871"/>
    <w:rsid w:val="00310924"/>
    <w:rsid w:val="003109DA"/>
    <w:rsid w:val="0031113B"/>
    <w:rsid w:val="00313F6B"/>
    <w:rsid w:val="00314680"/>
    <w:rsid w:val="003172EC"/>
    <w:rsid w:val="00317A6C"/>
    <w:rsid w:val="003202FA"/>
    <w:rsid w:val="0032062C"/>
    <w:rsid w:val="00324939"/>
    <w:rsid w:val="003250CC"/>
    <w:rsid w:val="00325FA2"/>
    <w:rsid w:val="00330EB1"/>
    <w:rsid w:val="00340508"/>
    <w:rsid w:val="00343F81"/>
    <w:rsid w:val="003539C9"/>
    <w:rsid w:val="003560FD"/>
    <w:rsid w:val="00363EF0"/>
    <w:rsid w:val="0036403C"/>
    <w:rsid w:val="00364109"/>
    <w:rsid w:val="00364F04"/>
    <w:rsid w:val="0037182B"/>
    <w:rsid w:val="00372006"/>
    <w:rsid w:val="003753DD"/>
    <w:rsid w:val="00377F3F"/>
    <w:rsid w:val="00380A82"/>
    <w:rsid w:val="00381FF1"/>
    <w:rsid w:val="003853A0"/>
    <w:rsid w:val="00393851"/>
    <w:rsid w:val="003A19B8"/>
    <w:rsid w:val="003A6032"/>
    <w:rsid w:val="003A70D0"/>
    <w:rsid w:val="003B1D89"/>
    <w:rsid w:val="003B3288"/>
    <w:rsid w:val="003B6E10"/>
    <w:rsid w:val="003C61E0"/>
    <w:rsid w:val="003D0068"/>
    <w:rsid w:val="003D0CE7"/>
    <w:rsid w:val="003D507A"/>
    <w:rsid w:val="003D575D"/>
    <w:rsid w:val="003D618F"/>
    <w:rsid w:val="003E220D"/>
    <w:rsid w:val="003E2A87"/>
    <w:rsid w:val="003E76FC"/>
    <w:rsid w:val="003F169F"/>
    <w:rsid w:val="003F2538"/>
    <w:rsid w:val="003F33E7"/>
    <w:rsid w:val="003F7096"/>
    <w:rsid w:val="00400CC1"/>
    <w:rsid w:val="004045C3"/>
    <w:rsid w:val="00404EA5"/>
    <w:rsid w:val="00407097"/>
    <w:rsid w:val="00416698"/>
    <w:rsid w:val="00416725"/>
    <w:rsid w:val="0041735D"/>
    <w:rsid w:val="00417ED5"/>
    <w:rsid w:val="00420216"/>
    <w:rsid w:val="00421C42"/>
    <w:rsid w:val="004233EF"/>
    <w:rsid w:val="004306E1"/>
    <w:rsid w:val="00432D6B"/>
    <w:rsid w:val="00432DA0"/>
    <w:rsid w:val="00432DDC"/>
    <w:rsid w:val="00433012"/>
    <w:rsid w:val="0043525B"/>
    <w:rsid w:val="00442C88"/>
    <w:rsid w:val="0044303E"/>
    <w:rsid w:val="004433A6"/>
    <w:rsid w:val="00445BC2"/>
    <w:rsid w:val="00446F25"/>
    <w:rsid w:val="00453E06"/>
    <w:rsid w:val="00461DCD"/>
    <w:rsid w:val="00471996"/>
    <w:rsid w:val="00471B89"/>
    <w:rsid w:val="00481E66"/>
    <w:rsid w:val="00482630"/>
    <w:rsid w:val="0049059B"/>
    <w:rsid w:val="00490963"/>
    <w:rsid w:val="004958B4"/>
    <w:rsid w:val="00495E70"/>
    <w:rsid w:val="004A1838"/>
    <w:rsid w:val="004B1F48"/>
    <w:rsid w:val="004B3CDA"/>
    <w:rsid w:val="004B5ED7"/>
    <w:rsid w:val="004C041C"/>
    <w:rsid w:val="004C6816"/>
    <w:rsid w:val="004D02C0"/>
    <w:rsid w:val="004D304B"/>
    <w:rsid w:val="004D4B63"/>
    <w:rsid w:val="004D7FFC"/>
    <w:rsid w:val="004E1EB8"/>
    <w:rsid w:val="004E246F"/>
    <w:rsid w:val="004E3420"/>
    <w:rsid w:val="004E3552"/>
    <w:rsid w:val="004E5600"/>
    <w:rsid w:val="004E5E1E"/>
    <w:rsid w:val="004E6385"/>
    <w:rsid w:val="004F3C7E"/>
    <w:rsid w:val="004F4743"/>
    <w:rsid w:val="004F5B8D"/>
    <w:rsid w:val="004F6547"/>
    <w:rsid w:val="004F69D9"/>
    <w:rsid w:val="004F6A65"/>
    <w:rsid w:val="004F71F4"/>
    <w:rsid w:val="00500935"/>
    <w:rsid w:val="005025DF"/>
    <w:rsid w:val="00503F39"/>
    <w:rsid w:val="0050522D"/>
    <w:rsid w:val="005128C5"/>
    <w:rsid w:val="005134D2"/>
    <w:rsid w:val="00515D64"/>
    <w:rsid w:val="00515DAC"/>
    <w:rsid w:val="00516008"/>
    <w:rsid w:val="00523388"/>
    <w:rsid w:val="005262A8"/>
    <w:rsid w:val="00532CDD"/>
    <w:rsid w:val="0053328F"/>
    <w:rsid w:val="005349C9"/>
    <w:rsid w:val="00540D84"/>
    <w:rsid w:val="00541184"/>
    <w:rsid w:val="005411E5"/>
    <w:rsid w:val="00546950"/>
    <w:rsid w:val="0055147D"/>
    <w:rsid w:val="00552C03"/>
    <w:rsid w:val="00553A1F"/>
    <w:rsid w:val="00563451"/>
    <w:rsid w:val="00574973"/>
    <w:rsid w:val="00575EB2"/>
    <w:rsid w:val="00576F96"/>
    <w:rsid w:val="00577E92"/>
    <w:rsid w:val="00594E8C"/>
    <w:rsid w:val="00595BDF"/>
    <w:rsid w:val="005974A7"/>
    <w:rsid w:val="0059760B"/>
    <w:rsid w:val="005A2BE7"/>
    <w:rsid w:val="005A2C43"/>
    <w:rsid w:val="005A51CF"/>
    <w:rsid w:val="005A7315"/>
    <w:rsid w:val="005A7E01"/>
    <w:rsid w:val="005B4520"/>
    <w:rsid w:val="005B6329"/>
    <w:rsid w:val="005C0684"/>
    <w:rsid w:val="005C0D18"/>
    <w:rsid w:val="005C3367"/>
    <w:rsid w:val="005C4C7D"/>
    <w:rsid w:val="005D0ABD"/>
    <w:rsid w:val="005D2367"/>
    <w:rsid w:val="005D52A1"/>
    <w:rsid w:val="005D68C8"/>
    <w:rsid w:val="005E06D5"/>
    <w:rsid w:val="005E2203"/>
    <w:rsid w:val="005E2DE3"/>
    <w:rsid w:val="005E7C01"/>
    <w:rsid w:val="005F073D"/>
    <w:rsid w:val="005F158A"/>
    <w:rsid w:val="005F330E"/>
    <w:rsid w:val="005F6527"/>
    <w:rsid w:val="005F680F"/>
    <w:rsid w:val="005F7332"/>
    <w:rsid w:val="005F7395"/>
    <w:rsid w:val="005F76BD"/>
    <w:rsid w:val="00603D92"/>
    <w:rsid w:val="006055D2"/>
    <w:rsid w:val="00605E29"/>
    <w:rsid w:val="00606A34"/>
    <w:rsid w:val="0061168B"/>
    <w:rsid w:val="00611C41"/>
    <w:rsid w:val="006122B6"/>
    <w:rsid w:val="00612935"/>
    <w:rsid w:val="00614A53"/>
    <w:rsid w:val="006167EE"/>
    <w:rsid w:val="006177F5"/>
    <w:rsid w:val="006232A9"/>
    <w:rsid w:val="0062603E"/>
    <w:rsid w:val="00627E6F"/>
    <w:rsid w:val="006308EA"/>
    <w:rsid w:val="00631DA3"/>
    <w:rsid w:val="00635106"/>
    <w:rsid w:val="00641665"/>
    <w:rsid w:val="00644296"/>
    <w:rsid w:val="00647EDF"/>
    <w:rsid w:val="00656184"/>
    <w:rsid w:val="0066440C"/>
    <w:rsid w:val="00666C74"/>
    <w:rsid w:val="00670C10"/>
    <w:rsid w:val="00670DFD"/>
    <w:rsid w:val="0067226E"/>
    <w:rsid w:val="006755C9"/>
    <w:rsid w:val="006765E4"/>
    <w:rsid w:val="00676E50"/>
    <w:rsid w:val="00681E9B"/>
    <w:rsid w:val="006841D9"/>
    <w:rsid w:val="00690170"/>
    <w:rsid w:val="00690819"/>
    <w:rsid w:val="00693C15"/>
    <w:rsid w:val="006A01FD"/>
    <w:rsid w:val="006A02F4"/>
    <w:rsid w:val="006A3035"/>
    <w:rsid w:val="006B3839"/>
    <w:rsid w:val="006C162D"/>
    <w:rsid w:val="006C39DA"/>
    <w:rsid w:val="006C5094"/>
    <w:rsid w:val="006D1082"/>
    <w:rsid w:val="006D1C37"/>
    <w:rsid w:val="006D62C5"/>
    <w:rsid w:val="006D7BB9"/>
    <w:rsid w:val="006D7F60"/>
    <w:rsid w:val="006E039C"/>
    <w:rsid w:val="006E188C"/>
    <w:rsid w:val="006E4E39"/>
    <w:rsid w:val="006F3EFE"/>
    <w:rsid w:val="006F6369"/>
    <w:rsid w:val="00701389"/>
    <w:rsid w:val="00705BF3"/>
    <w:rsid w:val="00705EB0"/>
    <w:rsid w:val="0071128B"/>
    <w:rsid w:val="007114E0"/>
    <w:rsid w:val="00711A4D"/>
    <w:rsid w:val="007150E9"/>
    <w:rsid w:val="0071575E"/>
    <w:rsid w:val="0071778A"/>
    <w:rsid w:val="00717A57"/>
    <w:rsid w:val="00717A5F"/>
    <w:rsid w:val="0072023E"/>
    <w:rsid w:val="0072259C"/>
    <w:rsid w:val="00723618"/>
    <w:rsid w:val="007256DC"/>
    <w:rsid w:val="00725D4B"/>
    <w:rsid w:val="0073031A"/>
    <w:rsid w:val="007306F5"/>
    <w:rsid w:val="007405AF"/>
    <w:rsid w:val="00742C48"/>
    <w:rsid w:val="007435F5"/>
    <w:rsid w:val="00744F8D"/>
    <w:rsid w:val="0074768E"/>
    <w:rsid w:val="00756F26"/>
    <w:rsid w:val="007576BE"/>
    <w:rsid w:val="0076090F"/>
    <w:rsid w:val="007639A1"/>
    <w:rsid w:val="00765656"/>
    <w:rsid w:val="00766A6B"/>
    <w:rsid w:val="00773AB7"/>
    <w:rsid w:val="007740AC"/>
    <w:rsid w:val="007B0775"/>
    <w:rsid w:val="007B0D3D"/>
    <w:rsid w:val="007B3C3B"/>
    <w:rsid w:val="007B4ED5"/>
    <w:rsid w:val="007B68A2"/>
    <w:rsid w:val="007C21A4"/>
    <w:rsid w:val="007C3FB5"/>
    <w:rsid w:val="007C6DE8"/>
    <w:rsid w:val="007D6AE2"/>
    <w:rsid w:val="007D7C7B"/>
    <w:rsid w:val="007E3468"/>
    <w:rsid w:val="007E38AA"/>
    <w:rsid w:val="007E548D"/>
    <w:rsid w:val="007E637E"/>
    <w:rsid w:val="007E687F"/>
    <w:rsid w:val="007F3DA9"/>
    <w:rsid w:val="008018B7"/>
    <w:rsid w:val="00811B40"/>
    <w:rsid w:val="00812235"/>
    <w:rsid w:val="00812D08"/>
    <w:rsid w:val="0082085B"/>
    <w:rsid w:val="00825907"/>
    <w:rsid w:val="008265E2"/>
    <w:rsid w:val="008333C3"/>
    <w:rsid w:val="00836A29"/>
    <w:rsid w:val="00844D72"/>
    <w:rsid w:val="008468C3"/>
    <w:rsid w:val="00847497"/>
    <w:rsid w:val="008522F7"/>
    <w:rsid w:val="00855507"/>
    <w:rsid w:val="00856349"/>
    <w:rsid w:val="008576A8"/>
    <w:rsid w:val="008616AA"/>
    <w:rsid w:val="00862BE1"/>
    <w:rsid w:val="00864337"/>
    <w:rsid w:val="008644B5"/>
    <w:rsid w:val="00875931"/>
    <w:rsid w:val="00876236"/>
    <w:rsid w:val="00876814"/>
    <w:rsid w:val="008811C4"/>
    <w:rsid w:val="00887C24"/>
    <w:rsid w:val="008949BB"/>
    <w:rsid w:val="008A0BC2"/>
    <w:rsid w:val="008B1329"/>
    <w:rsid w:val="008B774E"/>
    <w:rsid w:val="008C4984"/>
    <w:rsid w:val="008C523C"/>
    <w:rsid w:val="008D1033"/>
    <w:rsid w:val="008D2741"/>
    <w:rsid w:val="008D668F"/>
    <w:rsid w:val="008E0DA0"/>
    <w:rsid w:val="008E3573"/>
    <w:rsid w:val="008E4786"/>
    <w:rsid w:val="008E63B6"/>
    <w:rsid w:val="008E6F6A"/>
    <w:rsid w:val="008F0E5F"/>
    <w:rsid w:val="008F1B4C"/>
    <w:rsid w:val="008F7015"/>
    <w:rsid w:val="008F7908"/>
    <w:rsid w:val="00903768"/>
    <w:rsid w:val="009126D3"/>
    <w:rsid w:val="00920BB6"/>
    <w:rsid w:val="0092293A"/>
    <w:rsid w:val="00927873"/>
    <w:rsid w:val="00931932"/>
    <w:rsid w:val="009323ED"/>
    <w:rsid w:val="0094150A"/>
    <w:rsid w:val="00946E25"/>
    <w:rsid w:val="0095005D"/>
    <w:rsid w:val="00950A81"/>
    <w:rsid w:val="0095117F"/>
    <w:rsid w:val="00954CDB"/>
    <w:rsid w:val="0095523C"/>
    <w:rsid w:val="009601BB"/>
    <w:rsid w:val="00962A81"/>
    <w:rsid w:val="009640CA"/>
    <w:rsid w:val="00965365"/>
    <w:rsid w:val="00965391"/>
    <w:rsid w:val="009658B3"/>
    <w:rsid w:val="00967560"/>
    <w:rsid w:val="00971C9E"/>
    <w:rsid w:val="00974B4F"/>
    <w:rsid w:val="00981C75"/>
    <w:rsid w:val="00986EBB"/>
    <w:rsid w:val="00987FBE"/>
    <w:rsid w:val="00991F18"/>
    <w:rsid w:val="00992EF8"/>
    <w:rsid w:val="009B0BE7"/>
    <w:rsid w:val="009B1B39"/>
    <w:rsid w:val="009B4616"/>
    <w:rsid w:val="009B5DED"/>
    <w:rsid w:val="009C46A0"/>
    <w:rsid w:val="009D3643"/>
    <w:rsid w:val="009D4A63"/>
    <w:rsid w:val="009D6458"/>
    <w:rsid w:val="009E1399"/>
    <w:rsid w:val="009E707A"/>
    <w:rsid w:val="009F0BAF"/>
    <w:rsid w:val="009F1AE8"/>
    <w:rsid w:val="009F5799"/>
    <w:rsid w:val="009F75D5"/>
    <w:rsid w:val="00A013E3"/>
    <w:rsid w:val="00A02C45"/>
    <w:rsid w:val="00A045A4"/>
    <w:rsid w:val="00A045AD"/>
    <w:rsid w:val="00A11893"/>
    <w:rsid w:val="00A12ABB"/>
    <w:rsid w:val="00A16629"/>
    <w:rsid w:val="00A1682E"/>
    <w:rsid w:val="00A236B4"/>
    <w:rsid w:val="00A258FB"/>
    <w:rsid w:val="00A263F5"/>
    <w:rsid w:val="00A26E84"/>
    <w:rsid w:val="00A50DEE"/>
    <w:rsid w:val="00A54D4D"/>
    <w:rsid w:val="00A56B7B"/>
    <w:rsid w:val="00A60E52"/>
    <w:rsid w:val="00A651CC"/>
    <w:rsid w:val="00A70781"/>
    <w:rsid w:val="00A70B87"/>
    <w:rsid w:val="00A70F29"/>
    <w:rsid w:val="00A72397"/>
    <w:rsid w:val="00A726DA"/>
    <w:rsid w:val="00A7483E"/>
    <w:rsid w:val="00A74E47"/>
    <w:rsid w:val="00A80474"/>
    <w:rsid w:val="00A809F3"/>
    <w:rsid w:val="00A81F1F"/>
    <w:rsid w:val="00A9035E"/>
    <w:rsid w:val="00A93395"/>
    <w:rsid w:val="00A96C01"/>
    <w:rsid w:val="00A96D43"/>
    <w:rsid w:val="00AA0A3E"/>
    <w:rsid w:val="00AA100A"/>
    <w:rsid w:val="00AA1721"/>
    <w:rsid w:val="00AA2C39"/>
    <w:rsid w:val="00AA44B3"/>
    <w:rsid w:val="00AA5F69"/>
    <w:rsid w:val="00AA7576"/>
    <w:rsid w:val="00AB0362"/>
    <w:rsid w:val="00AB2D96"/>
    <w:rsid w:val="00AB5D3B"/>
    <w:rsid w:val="00AC10CD"/>
    <w:rsid w:val="00AC340A"/>
    <w:rsid w:val="00AC3AB1"/>
    <w:rsid w:val="00AC51E9"/>
    <w:rsid w:val="00AC58F0"/>
    <w:rsid w:val="00AC66BE"/>
    <w:rsid w:val="00AD0125"/>
    <w:rsid w:val="00AD0FA5"/>
    <w:rsid w:val="00AD2CD5"/>
    <w:rsid w:val="00AD3E3D"/>
    <w:rsid w:val="00AF016F"/>
    <w:rsid w:val="00AF25F7"/>
    <w:rsid w:val="00AF6911"/>
    <w:rsid w:val="00B001D5"/>
    <w:rsid w:val="00B12F5A"/>
    <w:rsid w:val="00B165DB"/>
    <w:rsid w:val="00B22359"/>
    <w:rsid w:val="00B2290A"/>
    <w:rsid w:val="00B311C9"/>
    <w:rsid w:val="00B337BE"/>
    <w:rsid w:val="00B3737E"/>
    <w:rsid w:val="00B37911"/>
    <w:rsid w:val="00B4271D"/>
    <w:rsid w:val="00B4640C"/>
    <w:rsid w:val="00B47A06"/>
    <w:rsid w:val="00B5028F"/>
    <w:rsid w:val="00B524FA"/>
    <w:rsid w:val="00B52715"/>
    <w:rsid w:val="00B55229"/>
    <w:rsid w:val="00B76B7F"/>
    <w:rsid w:val="00B76C1F"/>
    <w:rsid w:val="00B775F8"/>
    <w:rsid w:val="00B80634"/>
    <w:rsid w:val="00B832ED"/>
    <w:rsid w:val="00B854E9"/>
    <w:rsid w:val="00B87D42"/>
    <w:rsid w:val="00B90AEB"/>
    <w:rsid w:val="00B93733"/>
    <w:rsid w:val="00B93B13"/>
    <w:rsid w:val="00BA177C"/>
    <w:rsid w:val="00BA4C4D"/>
    <w:rsid w:val="00BB1214"/>
    <w:rsid w:val="00BB4FE9"/>
    <w:rsid w:val="00BB52FA"/>
    <w:rsid w:val="00BB6AFF"/>
    <w:rsid w:val="00BC3549"/>
    <w:rsid w:val="00BC37A8"/>
    <w:rsid w:val="00BC5A8E"/>
    <w:rsid w:val="00BD001E"/>
    <w:rsid w:val="00BD0052"/>
    <w:rsid w:val="00BD2364"/>
    <w:rsid w:val="00BD27D0"/>
    <w:rsid w:val="00BD4976"/>
    <w:rsid w:val="00BE1570"/>
    <w:rsid w:val="00BE4CDD"/>
    <w:rsid w:val="00BF078F"/>
    <w:rsid w:val="00BF3484"/>
    <w:rsid w:val="00BF4DA4"/>
    <w:rsid w:val="00BF58AF"/>
    <w:rsid w:val="00C04C71"/>
    <w:rsid w:val="00C0579F"/>
    <w:rsid w:val="00C06A64"/>
    <w:rsid w:val="00C12E81"/>
    <w:rsid w:val="00C178E5"/>
    <w:rsid w:val="00C2010D"/>
    <w:rsid w:val="00C2010F"/>
    <w:rsid w:val="00C205ED"/>
    <w:rsid w:val="00C22DCA"/>
    <w:rsid w:val="00C243C1"/>
    <w:rsid w:val="00C2604F"/>
    <w:rsid w:val="00C34CD5"/>
    <w:rsid w:val="00C35871"/>
    <w:rsid w:val="00C47D72"/>
    <w:rsid w:val="00C5141B"/>
    <w:rsid w:val="00C536D6"/>
    <w:rsid w:val="00C6136A"/>
    <w:rsid w:val="00C6707B"/>
    <w:rsid w:val="00C70DC9"/>
    <w:rsid w:val="00C81A30"/>
    <w:rsid w:val="00C81B19"/>
    <w:rsid w:val="00C84C7A"/>
    <w:rsid w:val="00C90AD1"/>
    <w:rsid w:val="00C91D59"/>
    <w:rsid w:val="00C93E70"/>
    <w:rsid w:val="00C96684"/>
    <w:rsid w:val="00C9788E"/>
    <w:rsid w:val="00CA4866"/>
    <w:rsid w:val="00CB76F8"/>
    <w:rsid w:val="00CC0618"/>
    <w:rsid w:val="00CC188F"/>
    <w:rsid w:val="00CC34C0"/>
    <w:rsid w:val="00CC74CA"/>
    <w:rsid w:val="00CD559A"/>
    <w:rsid w:val="00CD6C61"/>
    <w:rsid w:val="00CE671B"/>
    <w:rsid w:val="00CF1E08"/>
    <w:rsid w:val="00CF27CF"/>
    <w:rsid w:val="00CF2836"/>
    <w:rsid w:val="00CF4972"/>
    <w:rsid w:val="00CF4DD8"/>
    <w:rsid w:val="00CF54B7"/>
    <w:rsid w:val="00CF70DC"/>
    <w:rsid w:val="00CF7762"/>
    <w:rsid w:val="00D02244"/>
    <w:rsid w:val="00D11792"/>
    <w:rsid w:val="00D11E23"/>
    <w:rsid w:val="00D123C2"/>
    <w:rsid w:val="00D13943"/>
    <w:rsid w:val="00D20AA0"/>
    <w:rsid w:val="00D21190"/>
    <w:rsid w:val="00D2140B"/>
    <w:rsid w:val="00D22935"/>
    <w:rsid w:val="00D2342B"/>
    <w:rsid w:val="00D23669"/>
    <w:rsid w:val="00D25526"/>
    <w:rsid w:val="00D277E4"/>
    <w:rsid w:val="00D3102D"/>
    <w:rsid w:val="00D33EE1"/>
    <w:rsid w:val="00D36044"/>
    <w:rsid w:val="00D3730F"/>
    <w:rsid w:val="00D37E0C"/>
    <w:rsid w:val="00D40255"/>
    <w:rsid w:val="00D40588"/>
    <w:rsid w:val="00D4357A"/>
    <w:rsid w:val="00D53064"/>
    <w:rsid w:val="00D54340"/>
    <w:rsid w:val="00D54D41"/>
    <w:rsid w:val="00D55440"/>
    <w:rsid w:val="00D56913"/>
    <w:rsid w:val="00D57780"/>
    <w:rsid w:val="00D65BB9"/>
    <w:rsid w:val="00D70007"/>
    <w:rsid w:val="00D71686"/>
    <w:rsid w:val="00D7287C"/>
    <w:rsid w:val="00D73630"/>
    <w:rsid w:val="00D73CDC"/>
    <w:rsid w:val="00D73DA4"/>
    <w:rsid w:val="00D7492C"/>
    <w:rsid w:val="00D81F12"/>
    <w:rsid w:val="00D82242"/>
    <w:rsid w:val="00D8458E"/>
    <w:rsid w:val="00D85ACF"/>
    <w:rsid w:val="00D916B7"/>
    <w:rsid w:val="00DA05AA"/>
    <w:rsid w:val="00DA1441"/>
    <w:rsid w:val="00DA25ED"/>
    <w:rsid w:val="00DB00F6"/>
    <w:rsid w:val="00DB0D8B"/>
    <w:rsid w:val="00DB4057"/>
    <w:rsid w:val="00DB60EA"/>
    <w:rsid w:val="00DC1B32"/>
    <w:rsid w:val="00DC549F"/>
    <w:rsid w:val="00DD31E2"/>
    <w:rsid w:val="00DD48B9"/>
    <w:rsid w:val="00DD5B72"/>
    <w:rsid w:val="00DD5F17"/>
    <w:rsid w:val="00DD63F1"/>
    <w:rsid w:val="00DD71F5"/>
    <w:rsid w:val="00DE1D6E"/>
    <w:rsid w:val="00DE22CB"/>
    <w:rsid w:val="00DF0200"/>
    <w:rsid w:val="00DF082B"/>
    <w:rsid w:val="00DF2EF3"/>
    <w:rsid w:val="00DF73A5"/>
    <w:rsid w:val="00E00408"/>
    <w:rsid w:val="00E01771"/>
    <w:rsid w:val="00E01FB7"/>
    <w:rsid w:val="00E05D1D"/>
    <w:rsid w:val="00E06609"/>
    <w:rsid w:val="00E109F5"/>
    <w:rsid w:val="00E10D39"/>
    <w:rsid w:val="00E11985"/>
    <w:rsid w:val="00E120C8"/>
    <w:rsid w:val="00E20CBF"/>
    <w:rsid w:val="00E21551"/>
    <w:rsid w:val="00E218A3"/>
    <w:rsid w:val="00E26CE3"/>
    <w:rsid w:val="00E32698"/>
    <w:rsid w:val="00E36C82"/>
    <w:rsid w:val="00E41273"/>
    <w:rsid w:val="00E41561"/>
    <w:rsid w:val="00E440EA"/>
    <w:rsid w:val="00E477AA"/>
    <w:rsid w:val="00E47B54"/>
    <w:rsid w:val="00E50B0F"/>
    <w:rsid w:val="00E51B65"/>
    <w:rsid w:val="00E540E7"/>
    <w:rsid w:val="00E57CFE"/>
    <w:rsid w:val="00E60CA2"/>
    <w:rsid w:val="00E644A9"/>
    <w:rsid w:val="00E703B2"/>
    <w:rsid w:val="00E812B5"/>
    <w:rsid w:val="00E81401"/>
    <w:rsid w:val="00E823C9"/>
    <w:rsid w:val="00E84265"/>
    <w:rsid w:val="00E86F78"/>
    <w:rsid w:val="00E86FE0"/>
    <w:rsid w:val="00E900AD"/>
    <w:rsid w:val="00E91F8B"/>
    <w:rsid w:val="00E92271"/>
    <w:rsid w:val="00E9265F"/>
    <w:rsid w:val="00E96F02"/>
    <w:rsid w:val="00EA3BA1"/>
    <w:rsid w:val="00EB1951"/>
    <w:rsid w:val="00EB3E43"/>
    <w:rsid w:val="00EC1DD8"/>
    <w:rsid w:val="00EC2095"/>
    <w:rsid w:val="00EC4122"/>
    <w:rsid w:val="00EC4752"/>
    <w:rsid w:val="00ED3006"/>
    <w:rsid w:val="00ED32E3"/>
    <w:rsid w:val="00ED5B3B"/>
    <w:rsid w:val="00EE40BC"/>
    <w:rsid w:val="00EE5FD9"/>
    <w:rsid w:val="00EF063A"/>
    <w:rsid w:val="00EF549D"/>
    <w:rsid w:val="00EF729B"/>
    <w:rsid w:val="00EF7E5A"/>
    <w:rsid w:val="00F008A5"/>
    <w:rsid w:val="00F0226F"/>
    <w:rsid w:val="00F03670"/>
    <w:rsid w:val="00F03FE3"/>
    <w:rsid w:val="00F050A8"/>
    <w:rsid w:val="00F13F88"/>
    <w:rsid w:val="00F1557D"/>
    <w:rsid w:val="00F31853"/>
    <w:rsid w:val="00F32A86"/>
    <w:rsid w:val="00F34BC3"/>
    <w:rsid w:val="00F35CEB"/>
    <w:rsid w:val="00F37AA2"/>
    <w:rsid w:val="00F4681E"/>
    <w:rsid w:val="00F5152A"/>
    <w:rsid w:val="00F55C7A"/>
    <w:rsid w:val="00F57420"/>
    <w:rsid w:val="00F60EC0"/>
    <w:rsid w:val="00F61424"/>
    <w:rsid w:val="00F62488"/>
    <w:rsid w:val="00F66D74"/>
    <w:rsid w:val="00F70719"/>
    <w:rsid w:val="00F748B1"/>
    <w:rsid w:val="00F765D6"/>
    <w:rsid w:val="00F766D5"/>
    <w:rsid w:val="00F77727"/>
    <w:rsid w:val="00F821F5"/>
    <w:rsid w:val="00F8222C"/>
    <w:rsid w:val="00F84416"/>
    <w:rsid w:val="00F85024"/>
    <w:rsid w:val="00F91532"/>
    <w:rsid w:val="00F92173"/>
    <w:rsid w:val="00F96A57"/>
    <w:rsid w:val="00FA199C"/>
    <w:rsid w:val="00FA6427"/>
    <w:rsid w:val="00FB18BC"/>
    <w:rsid w:val="00FB3D95"/>
    <w:rsid w:val="00FC3B7A"/>
    <w:rsid w:val="00FC41EC"/>
    <w:rsid w:val="00FC53F3"/>
    <w:rsid w:val="00FC5434"/>
    <w:rsid w:val="00FC62E1"/>
    <w:rsid w:val="00FC70B5"/>
    <w:rsid w:val="00FD2469"/>
    <w:rsid w:val="00FD4FFA"/>
    <w:rsid w:val="00FE1FB2"/>
    <w:rsid w:val="00FE2540"/>
    <w:rsid w:val="00FE41B7"/>
    <w:rsid w:val="00FE4D81"/>
    <w:rsid w:val="00FF4CBF"/>
    <w:rsid w:val="09177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240" w:lineRule="auto"/>
      <w:ind w:left="0" w:firstLine="0"/>
      <w:jc w:val="both"/>
    </w:pPr>
    <w:rPr>
      <w:rFonts w:asciiTheme="minorHAnsi" w:hAnsiTheme="minorHAnsi" w:eastAsiaTheme="minorEastAsia" w:cstheme="minorBidi"/>
      <w:kern w:val="2"/>
      <w:sz w:val="21"/>
      <w:szCs w:val="21"/>
      <w:lang w:val="en-US" w:eastAsia="zh-CN" w:bidi="ar-SA"/>
    </w:rPr>
  </w:style>
  <w:style w:type="paragraph" w:styleId="2">
    <w:name w:val="heading 1"/>
    <w:basedOn w:val="3"/>
    <w:next w:val="3"/>
    <w:link w:val="38"/>
    <w:qFormat/>
    <w:uiPriority w:val="9"/>
    <w:pPr>
      <w:keepNext/>
      <w:keepLines/>
      <w:numPr>
        <w:ilvl w:val="0"/>
        <w:numId w:val="1"/>
      </w:numPr>
      <w:ind w:firstLine="0" w:firstLineChars="0"/>
      <w:jc w:val="left"/>
      <w:outlineLvl w:val="0"/>
    </w:pPr>
    <w:rPr>
      <w:rFonts w:eastAsia="黑体"/>
      <w:bCs/>
      <w:kern w:val="44"/>
      <w:szCs w:val="44"/>
    </w:rPr>
  </w:style>
  <w:style w:type="paragraph" w:styleId="5">
    <w:name w:val="heading 2"/>
    <w:basedOn w:val="1"/>
    <w:next w:val="3"/>
    <w:link w:val="39"/>
    <w:unhideWhenUsed/>
    <w:qFormat/>
    <w:uiPriority w:val="9"/>
    <w:pPr>
      <w:keepNext/>
      <w:keepLines/>
      <w:numPr>
        <w:ilvl w:val="1"/>
        <w:numId w:val="1"/>
      </w:numPr>
      <w:spacing w:line="360" w:lineRule="auto"/>
      <w:jc w:val="left"/>
      <w:outlineLvl w:val="1"/>
    </w:pPr>
    <w:rPr>
      <w:rFonts w:ascii="Times New Roman" w:hAnsi="Times New Roman" w:eastAsia="黑体" w:cstheme="majorBidi"/>
      <w:bCs/>
      <w:sz w:val="24"/>
      <w:szCs w:val="32"/>
    </w:rPr>
  </w:style>
  <w:style w:type="paragraph" w:styleId="6">
    <w:name w:val="heading 3"/>
    <w:basedOn w:val="1"/>
    <w:next w:val="3"/>
    <w:link w:val="40"/>
    <w:unhideWhenUsed/>
    <w:qFormat/>
    <w:uiPriority w:val="9"/>
    <w:pPr>
      <w:keepNext/>
      <w:keepLines/>
      <w:numPr>
        <w:ilvl w:val="2"/>
        <w:numId w:val="1"/>
      </w:numPr>
      <w:spacing w:line="360" w:lineRule="auto"/>
      <w:outlineLvl w:val="2"/>
    </w:pPr>
    <w:rPr>
      <w:rFonts w:ascii="Times New Roman" w:hAnsi="Times New Roman" w:eastAsia="宋体"/>
      <w:bCs/>
      <w:sz w:val="24"/>
      <w:szCs w:val="32"/>
    </w:rPr>
  </w:style>
  <w:style w:type="paragraph" w:styleId="7">
    <w:name w:val="heading 4"/>
    <w:basedOn w:val="1"/>
    <w:next w:val="3"/>
    <w:link w:val="41"/>
    <w:unhideWhenUsed/>
    <w:qFormat/>
    <w:uiPriority w:val="9"/>
    <w:pPr>
      <w:keepNext/>
      <w:keepLines/>
      <w:numPr>
        <w:ilvl w:val="3"/>
        <w:numId w:val="1"/>
      </w:numPr>
      <w:spacing w:line="360" w:lineRule="auto"/>
      <w:jc w:val="left"/>
      <w:outlineLvl w:val="3"/>
    </w:pPr>
    <w:rPr>
      <w:rFonts w:ascii="Times New Roman" w:hAnsi="Times New Roman" w:eastAsia="宋体" w:cstheme="majorBidi"/>
      <w:bCs/>
      <w:sz w:val="24"/>
      <w:szCs w:val="28"/>
    </w:rPr>
  </w:style>
  <w:style w:type="paragraph" w:styleId="8">
    <w:name w:val="heading 5"/>
    <w:basedOn w:val="1"/>
    <w:next w:val="1"/>
    <w:link w:val="42"/>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3"/>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4"/>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5"/>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6"/>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ody Text First Indent"/>
    <w:basedOn w:val="4"/>
    <w:link w:val="37"/>
    <w:unhideWhenUsed/>
    <w:qFormat/>
    <w:uiPriority w:val="99"/>
    <w:pPr>
      <w:spacing w:after="0" w:line="360" w:lineRule="auto"/>
      <w:ind w:firstLine="200" w:firstLineChars="200"/>
    </w:pPr>
    <w:rPr>
      <w:rFonts w:ascii="Times New Roman" w:hAnsi="Times New Roman" w:eastAsia="宋体"/>
      <w:sz w:val="24"/>
    </w:rPr>
  </w:style>
  <w:style w:type="paragraph" w:styleId="4">
    <w:name w:val="Body Text"/>
    <w:basedOn w:val="1"/>
    <w:link w:val="36"/>
    <w:unhideWhenUsed/>
    <w:qFormat/>
    <w:uiPriority w:val="99"/>
    <w:pPr>
      <w:spacing w:after="120"/>
    </w:pPr>
  </w:style>
  <w:style w:type="paragraph" w:styleId="13">
    <w:name w:val="List Number"/>
    <w:basedOn w:val="3"/>
    <w:unhideWhenUsed/>
    <w:qFormat/>
    <w:uiPriority w:val="99"/>
  </w:style>
  <w:style w:type="paragraph" w:styleId="14">
    <w:name w:val="caption"/>
    <w:basedOn w:val="1"/>
    <w:next w:val="3"/>
    <w:link w:val="48"/>
    <w:unhideWhenUsed/>
    <w:qFormat/>
    <w:uiPriority w:val="0"/>
    <w:pPr>
      <w:jc w:val="center"/>
    </w:pPr>
    <w:rPr>
      <w:rFonts w:ascii="Times New Roman" w:hAnsi="Times New Roman" w:eastAsia="黑体" w:cstheme="majorBidi"/>
      <w:sz w:val="24"/>
      <w:szCs w:val="20"/>
    </w:rPr>
  </w:style>
  <w:style w:type="paragraph" w:styleId="15">
    <w:name w:val="List Bullet"/>
    <w:basedOn w:val="1"/>
    <w:unhideWhenUsed/>
    <w:qFormat/>
    <w:uiPriority w:val="99"/>
    <w:pPr>
      <w:tabs>
        <w:tab w:val="left" w:pos="360"/>
      </w:tabs>
      <w:ind w:left="360" w:hanging="360" w:hangingChars="200"/>
      <w:contextualSpacing/>
    </w:pPr>
  </w:style>
  <w:style w:type="paragraph" w:styleId="16">
    <w:name w:val="annotation text"/>
    <w:basedOn w:val="1"/>
    <w:link w:val="54"/>
    <w:unhideWhenUsed/>
    <w:qFormat/>
    <w:uiPriority w:val="99"/>
    <w:pPr>
      <w:jc w:val="left"/>
    </w:pPr>
  </w:style>
  <w:style w:type="paragraph" w:styleId="17">
    <w:name w:val="toc 3"/>
    <w:basedOn w:val="1"/>
    <w:next w:val="1"/>
    <w:unhideWhenUsed/>
    <w:qFormat/>
    <w:uiPriority w:val="39"/>
    <w:pPr>
      <w:ind w:left="840" w:leftChars="400"/>
    </w:pPr>
  </w:style>
  <w:style w:type="paragraph" w:styleId="18">
    <w:name w:val="Date"/>
    <w:basedOn w:val="1"/>
    <w:next w:val="1"/>
    <w:link w:val="73"/>
    <w:semiHidden/>
    <w:unhideWhenUsed/>
    <w:uiPriority w:val="99"/>
    <w:pPr>
      <w:ind w:left="100" w:leftChars="2500"/>
    </w:pPr>
  </w:style>
  <w:style w:type="paragraph" w:styleId="19">
    <w:name w:val="Body Text Indent 2"/>
    <w:basedOn w:val="1"/>
    <w:link w:val="63"/>
    <w:qFormat/>
    <w:uiPriority w:val="0"/>
    <w:pPr>
      <w:widowControl w:val="0"/>
      <w:adjustRightInd/>
      <w:snapToGrid/>
      <w:spacing w:after="120" w:line="480" w:lineRule="auto"/>
      <w:ind w:left="420" w:leftChars="200"/>
    </w:pPr>
    <w:rPr>
      <w:rFonts w:ascii="Calibri" w:hAnsi="Calibri" w:eastAsia="宋体" w:cs="Times New Roman"/>
      <w:szCs w:val="24"/>
    </w:rPr>
  </w:style>
  <w:style w:type="paragraph" w:styleId="20">
    <w:name w:val="Balloon Text"/>
    <w:basedOn w:val="1"/>
    <w:link w:val="51"/>
    <w:unhideWhenUsed/>
    <w:qFormat/>
    <w:uiPriority w:val="0"/>
    <w:rPr>
      <w:sz w:val="18"/>
      <w:szCs w:val="18"/>
    </w:rPr>
  </w:style>
  <w:style w:type="paragraph" w:styleId="21">
    <w:name w:val="footer"/>
    <w:basedOn w:val="1"/>
    <w:link w:val="53"/>
    <w:unhideWhenUsed/>
    <w:qFormat/>
    <w:uiPriority w:val="99"/>
    <w:pPr>
      <w:tabs>
        <w:tab w:val="center" w:pos="4153"/>
        <w:tab w:val="right" w:pos="8306"/>
      </w:tabs>
      <w:jc w:val="left"/>
    </w:pPr>
    <w:rPr>
      <w:rFonts w:ascii="Times New Roman" w:hAnsi="Times New Roman" w:eastAsia="宋体"/>
      <w:sz w:val="18"/>
      <w:szCs w:val="18"/>
    </w:rPr>
  </w:style>
  <w:style w:type="paragraph" w:styleId="22">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23">
    <w:name w:val="toc 1"/>
    <w:basedOn w:val="1"/>
    <w:next w:val="1"/>
    <w:unhideWhenUsed/>
    <w:qFormat/>
    <w:uiPriority w:val="39"/>
    <w:pPr>
      <w:widowControl w:val="0"/>
      <w:adjustRightInd/>
      <w:snapToGrid/>
    </w:pPr>
    <w:rPr>
      <w:rFonts w:ascii="Times New Roman" w:hAnsi="Times New Roman" w:eastAsia="宋体" w:cs="Times New Roman"/>
      <w:szCs w:val="24"/>
    </w:rPr>
  </w:style>
  <w:style w:type="paragraph" w:styleId="24">
    <w:name w:val="Body Text Indent 3"/>
    <w:basedOn w:val="1"/>
    <w:link w:val="74"/>
    <w:semiHidden/>
    <w:unhideWhenUsed/>
    <w:qFormat/>
    <w:uiPriority w:val="99"/>
    <w:pPr>
      <w:spacing w:after="120"/>
      <w:ind w:left="420" w:leftChars="200"/>
    </w:pPr>
    <w:rPr>
      <w:sz w:val="16"/>
      <w:szCs w:val="16"/>
    </w:rPr>
  </w:style>
  <w:style w:type="paragraph" w:styleId="25">
    <w:name w:val="toc 2"/>
    <w:basedOn w:val="1"/>
    <w:next w:val="1"/>
    <w:unhideWhenUsed/>
    <w:qFormat/>
    <w:uiPriority w:val="39"/>
    <w:pPr>
      <w:widowControl w:val="0"/>
      <w:adjustRightInd/>
      <w:snapToGrid/>
      <w:ind w:left="420" w:leftChars="200"/>
    </w:pPr>
    <w:rPr>
      <w:rFonts w:ascii="Times New Roman" w:hAnsi="Times New Roman" w:eastAsia="宋体" w:cs="Times New Roman"/>
      <w:szCs w:val="24"/>
    </w:rPr>
  </w:style>
  <w:style w:type="paragraph" w:styleId="26">
    <w:name w:val="Body Text 2"/>
    <w:basedOn w:val="1"/>
    <w:link w:val="70"/>
    <w:qFormat/>
    <w:uiPriority w:val="0"/>
    <w:pPr>
      <w:widowControl w:val="0"/>
      <w:adjustRightInd/>
      <w:snapToGrid/>
      <w:spacing w:after="120" w:line="480" w:lineRule="auto"/>
    </w:pPr>
    <w:rPr>
      <w:rFonts w:ascii="Calibri" w:hAnsi="Calibri" w:eastAsia="宋体" w:cs="Times New Roman"/>
      <w:szCs w:val="24"/>
    </w:rPr>
  </w:style>
  <w:style w:type="paragraph" w:styleId="27">
    <w:name w:val="Normal (Web)"/>
    <w:basedOn w:val="1"/>
    <w:link w:val="58"/>
    <w:qFormat/>
    <w:uiPriority w:val="99"/>
    <w:pPr>
      <w:adjustRightInd/>
      <w:snapToGrid/>
      <w:spacing w:before="100" w:beforeAutospacing="1" w:after="100" w:afterAutospacing="1"/>
      <w:jc w:val="left"/>
    </w:pPr>
    <w:rPr>
      <w:rFonts w:ascii="宋体" w:hAnsi="宋体" w:eastAsia="宋体" w:cs="Times New Roman"/>
      <w:kern w:val="0"/>
      <w:sz w:val="24"/>
      <w:szCs w:val="20"/>
    </w:rPr>
  </w:style>
  <w:style w:type="paragraph" w:styleId="28">
    <w:name w:val="Title"/>
    <w:basedOn w:val="1"/>
    <w:next w:val="3"/>
    <w:link w:val="47"/>
    <w:qFormat/>
    <w:uiPriority w:val="10"/>
    <w:pPr>
      <w:spacing w:line="360" w:lineRule="auto"/>
      <w:jc w:val="center"/>
    </w:pPr>
    <w:rPr>
      <w:rFonts w:ascii="Times New Roman" w:hAnsi="Times New Roman" w:eastAsia="华文中宋" w:cstheme="majorBidi"/>
      <w:b/>
      <w:bCs/>
      <w:color w:val="FF0000"/>
      <w:sz w:val="36"/>
      <w:szCs w:val="32"/>
    </w:rPr>
  </w:style>
  <w:style w:type="paragraph" w:styleId="29">
    <w:name w:val="annotation subject"/>
    <w:basedOn w:val="16"/>
    <w:next w:val="16"/>
    <w:link w:val="72"/>
    <w:semiHidden/>
    <w:unhideWhenUsed/>
    <w:qFormat/>
    <w:uiPriority w:val="99"/>
    <w:rPr>
      <w:b/>
      <w:bCs/>
    </w:rPr>
  </w:style>
  <w:style w:type="table" w:styleId="31">
    <w:name w:val="Table Grid"/>
    <w:basedOn w:val="30"/>
    <w:qFormat/>
    <w:uiPriority w:val="59"/>
    <w:pPr>
      <w:jc w:val="center"/>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33">
    <w:name w:val="page number"/>
    <w:basedOn w:val="32"/>
    <w:unhideWhenUsed/>
    <w:qFormat/>
    <w:uiPriority w:val="99"/>
    <w:rPr>
      <w:rFonts w:ascii="Times New Roman" w:hAnsi="Times New Roman" w:eastAsia="Times New Roman"/>
      <w:sz w:val="18"/>
    </w:rPr>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unhideWhenUsed/>
    <w:qFormat/>
    <w:uiPriority w:val="0"/>
    <w:rPr>
      <w:sz w:val="21"/>
      <w:szCs w:val="21"/>
    </w:rPr>
  </w:style>
  <w:style w:type="character" w:customStyle="1" w:styleId="36">
    <w:name w:val="正文文本 Char"/>
    <w:basedOn w:val="32"/>
    <w:link w:val="4"/>
    <w:qFormat/>
    <w:uiPriority w:val="99"/>
  </w:style>
  <w:style w:type="character" w:customStyle="1" w:styleId="37">
    <w:name w:val="正文首行缩进 Char"/>
    <w:basedOn w:val="36"/>
    <w:link w:val="3"/>
    <w:qFormat/>
    <w:uiPriority w:val="99"/>
    <w:rPr>
      <w:rFonts w:ascii="Times New Roman" w:hAnsi="Times New Roman" w:eastAsia="宋体"/>
      <w:sz w:val="24"/>
    </w:rPr>
  </w:style>
  <w:style w:type="character" w:customStyle="1" w:styleId="38">
    <w:name w:val="标题 1 Char"/>
    <w:basedOn w:val="32"/>
    <w:link w:val="2"/>
    <w:uiPriority w:val="9"/>
    <w:rPr>
      <w:rFonts w:ascii="Times New Roman" w:hAnsi="Times New Roman" w:eastAsia="黑体"/>
      <w:bCs/>
      <w:kern w:val="44"/>
      <w:sz w:val="24"/>
      <w:szCs w:val="44"/>
    </w:rPr>
  </w:style>
  <w:style w:type="character" w:customStyle="1" w:styleId="39">
    <w:name w:val="标题 2 Char"/>
    <w:basedOn w:val="32"/>
    <w:link w:val="5"/>
    <w:qFormat/>
    <w:uiPriority w:val="9"/>
    <w:rPr>
      <w:rFonts w:ascii="Times New Roman" w:hAnsi="Times New Roman" w:eastAsia="黑体" w:cstheme="majorBidi"/>
      <w:bCs/>
      <w:sz w:val="24"/>
      <w:szCs w:val="32"/>
    </w:rPr>
  </w:style>
  <w:style w:type="character" w:customStyle="1" w:styleId="40">
    <w:name w:val="标题 3 Char"/>
    <w:basedOn w:val="32"/>
    <w:link w:val="6"/>
    <w:qFormat/>
    <w:uiPriority w:val="9"/>
    <w:rPr>
      <w:rFonts w:ascii="Times New Roman" w:hAnsi="Times New Roman" w:eastAsia="宋体"/>
      <w:bCs/>
      <w:sz w:val="24"/>
      <w:szCs w:val="32"/>
    </w:rPr>
  </w:style>
  <w:style w:type="character" w:customStyle="1" w:styleId="41">
    <w:name w:val="标题 4 Char"/>
    <w:basedOn w:val="32"/>
    <w:link w:val="7"/>
    <w:uiPriority w:val="9"/>
    <w:rPr>
      <w:rFonts w:ascii="Times New Roman" w:hAnsi="Times New Roman" w:eastAsia="宋体" w:cstheme="majorBidi"/>
      <w:bCs/>
      <w:sz w:val="24"/>
      <w:szCs w:val="28"/>
    </w:rPr>
  </w:style>
  <w:style w:type="character" w:customStyle="1" w:styleId="42">
    <w:name w:val="标题 5 Char"/>
    <w:basedOn w:val="32"/>
    <w:link w:val="8"/>
    <w:semiHidden/>
    <w:qFormat/>
    <w:uiPriority w:val="9"/>
    <w:rPr>
      <w:b/>
      <w:bCs/>
      <w:sz w:val="28"/>
      <w:szCs w:val="28"/>
    </w:rPr>
  </w:style>
  <w:style w:type="character" w:customStyle="1" w:styleId="43">
    <w:name w:val="标题 6 Char"/>
    <w:basedOn w:val="32"/>
    <w:link w:val="9"/>
    <w:semiHidden/>
    <w:uiPriority w:val="9"/>
    <w:rPr>
      <w:rFonts w:asciiTheme="majorHAnsi" w:hAnsiTheme="majorHAnsi" w:eastAsiaTheme="majorEastAsia" w:cstheme="majorBidi"/>
      <w:b/>
      <w:bCs/>
      <w:sz w:val="24"/>
      <w:szCs w:val="24"/>
    </w:rPr>
  </w:style>
  <w:style w:type="character" w:customStyle="1" w:styleId="44">
    <w:name w:val="标题 7 Char"/>
    <w:basedOn w:val="32"/>
    <w:link w:val="10"/>
    <w:semiHidden/>
    <w:uiPriority w:val="9"/>
    <w:rPr>
      <w:b/>
      <w:bCs/>
      <w:sz w:val="24"/>
      <w:szCs w:val="24"/>
    </w:rPr>
  </w:style>
  <w:style w:type="character" w:customStyle="1" w:styleId="45">
    <w:name w:val="标题 8 Char"/>
    <w:basedOn w:val="32"/>
    <w:link w:val="11"/>
    <w:semiHidden/>
    <w:uiPriority w:val="9"/>
    <w:rPr>
      <w:rFonts w:asciiTheme="majorHAnsi" w:hAnsiTheme="majorHAnsi" w:eastAsiaTheme="majorEastAsia" w:cstheme="majorBidi"/>
      <w:sz w:val="24"/>
      <w:szCs w:val="24"/>
    </w:rPr>
  </w:style>
  <w:style w:type="character" w:customStyle="1" w:styleId="46">
    <w:name w:val="标题 9 Char"/>
    <w:basedOn w:val="32"/>
    <w:link w:val="12"/>
    <w:semiHidden/>
    <w:qFormat/>
    <w:uiPriority w:val="9"/>
    <w:rPr>
      <w:rFonts w:asciiTheme="majorHAnsi" w:hAnsiTheme="majorHAnsi" w:eastAsiaTheme="majorEastAsia" w:cstheme="majorBidi"/>
    </w:rPr>
  </w:style>
  <w:style w:type="character" w:customStyle="1" w:styleId="47">
    <w:name w:val="标题 Char"/>
    <w:basedOn w:val="32"/>
    <w:link w:val="28"/>
    <w:qFormat/>
    <w:uiPriority w:val="10"/>
    <w:rPr>
      <w:rFonts w:ascii="Times New Roman" w:hAnsi="Times New Roman" w:eastAsia="华文中宋" w:cstheme="majorBidi"/>
      <w:b/>
      <w:bCs/>
      <w:color w:val="FF0000"/>
      <w:sz w:val="36"/>
      <w:szCs w:val="32"/>
    </w:rPr>
  </w:style>
  <w:style w:type="character" w:customStyle="1" w:styleId="48">
    <w:name w:val="题注 Char"/>
    <w:link w:val="14"/>
    <w:qFormat/>
    <w:uiPriority w:val="0"/>
    <w:rPr>
      <w:rFonts w:ascii="Times New Roman" w:hAnsi="Times New Roman" w:eastAsia="黑体" w:cstheme="majorBidi"/>
      <w:sz w:val="24"/>
      <w:szCs w:val="20"/>
    </w:rPr>
  </w:style>
  <w:style w:type="paragraph" w:customStyle="1" w:styleId="49">
    <w:name w:val="表格文字"/>
    <w:basedOn w:val="1"/>
    <w:link w:val="50"/>
    <w:qFormat/>
    <w:uiPriority w:val="0"/>
    <w:pPr>
      <w:jc w:val="center"/>
    </w:pPr>
    <w:rPr>
      <w:rFonts w:ascii="Times New Roman" w:hAnsi="Times New Roman" w:eastAsia="宋体"/>
    </w:rPr>
  </w:style>
  <w:style w:type="character" w:customStyle="1" w:styleId="50">
    <w:name w:val="表格文字 Char"/>
    <w:basedOn w:val="32"/>
    <w:link w:val="49"/>
    <w:qFormat/>
    <w:uiPriority w:val="0"/>
    <w:rPr>
      <w:rFonts w:ascii="Times New Roman" w:hAnsi="Times New Roman" w:eastAsia="宋体"/>
    </w:rPr>
  </w:style>
  <w:style w:type="character" w:customStyle="1" w:styleId="51">
    <w:name w:val="批注框文本 Char"/>
    <w:basedOn w:val="32"/>
    <w:link w:val="20"/>
    <w:semiHidden/>
    <w:qFormat/>
    <w:uiPriority w:val="0"/>
    <w:rPr>
      <w:sz w:val="18"/>
      <w:szCs w:val="18"/>
    </w:rPr>
  </w:style>
  <w:style w:type="character" w:customStyle="1" w:styleId="52">
    <w:name w:val="页眉 Char"/>
    <w:basedOn w:val="32"/>
    <w:link w:val="22"/>
    <w:qFormat/>
    <w:uiPriority w:val="99"/>
    <w:rPr>
      <w:sz w:val="18"/>
      <w:szCs w:val="18"/>
    </w:rPr>
  </w:style>
  <w:style w:type="character" w:customStyle="1" w:styleId="53">
    <w:name w:val="页脚 Char"/>
    <w:basedOn w:val="32"/>
    <w:link w:val="21"/>
    <w:qFormat/>
    <w:uiPriority w:val="99"/>
    <w:rPr>
      <w:rFonts w:ascii="Times New Roman" w:hAnsi="Times New Roman" w:eastAsia="宋体"/>
      <w:sz w:val="18"/>
      <w:szCs w:val="18"/>
    </w:rPr>
  </w:style>
  <w:style w:type="character" w:customStyle="1" w:styleId="54">
    <w:name w:val="批注文字 Char"/>
    <w:basedOn w:val="32"/>
    <w:link w:val="16"/>
    <w:qFormat/>
    <w:uiPriority w:val="99"/>
  </w:style>
  <w:style w:type="paragraph" w:styleId="55">
    <w:name w:val="Intense Quote"/>
    <w:basedOn w:val="1"/>
    <w:next w:val="1"/>
    <w:link w:val="56"/>
    <w:qFormat/>
    <w:uiPriority w:val="0"/>
    <w:pPr>
      <w:adjustRightInd/>
      <w:contextualSpacing/>
      <w:jc w:val="center"/>
    </w:pPr>
    <w:rPr>
      <w:rFonts w:ascii="Times New Roman" w:hAnsi="Times New Roman" w:eastAsia="宋体"/>
      <w:bCs/>
      <w:iCs/>
      <w:szCs w:val="22"/>
    </w:rPr>
  </w:style>
  <w:style w:type="character" w:customStyle="1" w:styleId="56">
    <w:name w:val="明显引用 Char1"/>
    <w:basedOn w:val="32"/>
    <w:link w:val="55"/>
    <w:qFormat/>
    <w:uiPriority w:val="0"/>
    <w:rPr>
      <w:rFonts w:ascii="Times New Roman" w:hAnsi="Times New Roman" w:eastAsia="宋体"/>
      <w:bCs/>
      <w:iCs/>
      <w:szCs w:val="22"/>
    </w:rPr>
  </w:style>
  <w:style w:type="character" w:customStyle="1" w:styleId="57">
    <w:name w:val="明显引用 Char"/>
    <w:basedOn w:val="32"/>
    <w:qFormat/>
    <w:uiPriority w:val="30"/>
    <w:rPr>
      <w:b/>
      <w:bCs/>
      <w:i/>
      <w:iCs/>
      <w:color w:val="4F81BD" w:themeColor="accent1"/>
      <w14:textFill>
        <w14:solidFill>
          <w14:schemeClr w14:val="accent1"/>
        </w14:solidFill>
      </w14:textFill>
    </w:rPr>
  </w:style>
  <w:style w:type="character" w:customStyle="1" w:styleId="58">
    <w:name w:val="普通(网站) Char"/>
    <w:link w:val="27"/>
    <w:qFormat/>
    <w:locked/>
    <w:uiPriority w:val="99"/>
    <w:rPr>
      <w:rFonts w:ascii="宋体" w:hAnsi="宋体" w:eastAsia="宋体" w:cs="Times New Roman"/>
      <w:kern w:val="0"/>
      <w:sz w:val="24"/>
      <w:szCs w:val="20"/>
    </w:rPr>
  </w:style>
  <w:style w:type="paragraph" w:customStyle="1" w:styleId="59">
    <w:name w:val="Default"/>
    <w:basedOn w:val="1"/>
    <w:qFormat/>
    <w:uiPriority w:val="99"/>
    <w:pPr>
      <w:widowControl w:val="0"/>
      <w:autoSpaceDE w:val="0"/>
      <w:autoSpaceDN w:val="0"/>
      <w:snapToGrid/>
      <w:jc w:val="left"/>
    </w:pPr>
    <w:rPr>
      <w:rFonts w:ascii="宋体" w:hAnsi="宋体" w:eastAsia="宋体" w:cs="宋体"/>
      <w:color w:val="000000"/>
      <w:kern w:val="0"/>
      <w:sz w:val="24"/>
      <w:szCs w:val="24"/>
    </w:rPr>
  </w:style>
  <w:style w:type="paragraph" w:customStyle="1" w:styleId="60">
    <w:name w:val="表头"/>
    <w:basedOn w:val="1"/>
    <w:next w:val="1"/>
    <w:qFormat/>
    <w:uiPriority w:val="0"/>
    <w:pPr>
      <w:widowControl w:val="0"/>
      <w:adjustRightInd/>
      <w:snapToGrid/>
      <w:spacing w:line="360" w:lineRule="auto"/>
      <w:jc w:val="center"/>
    </w:pPr>
    <w:rPr>
      <w:rFonts w:ascii="Times New Roman" w:hAnsi="Times New Roman" w:eastAsia="宋体" w:cs="Times New Roman"/>
      <w:b/>
      <w:bCs/>
    </w:rPr>
  </w:style>
  <w:style w:type="paragraph" w:customStyle="1" w:styleId="61">
    <w:name w:val="正文1"/>
    <w:qFormat/>
    <w:uiPriority w:val="0"/>
    <w:pPr>
      <w:spacing w:line="240" w:lineRule="auto"/>
      <w:ind w:left="0" w:firstLine="0"/>
      <w:jc w:val="both"/>
    </w:pPr>
    <w:rPr>
      <w:rFonts w:ascii="Calibri" w:hAnsi="Calibri" w:eastAsia="宋体" w:cs="宋体"/>
      <w:kern w:val="2"/>
      <w:sz w:val="21"/>
      <w:szCs w:val="21"/>
      <w:lang w:val="en-US" w:eastAsia="zh-CN" w:bidi="ar-SA"/>
    </w:rPr>
  </w:style>
  <w:style w:type="paragraph" w:styleId="62">
    <w:name w:val="List Paragraph"/>
    <w:basedOn w:val="1"/>
    <w:qFormat/>
    <w:uiPriority w:val="99"/>
    <w:pPr>
      <w:widowControl w:val="0"/>
      <w:adjustRightInd/>
      <w:snapToGrid/>
      <w:ind w:firstLine="420" w:firstLineChars="200"/>
    </w:pPr>
    <w:rPr>
      <w:rFonts w:ascii="Calibri" w:hAnsi="Calibri" w:eastAsia="宋体" w:cs="Times New Roman"/>
      <w:szCs w:val="24"/>
    </w:rPr>
  </w:style>
  <w:style w:type="character" w:customStyle="1" w:styleId="63">
    <w:name w:val="正文文本缩进 2 Char"/>
    <w:basedOn w:val="32"/>
    <w:link w:val="19"/>
    <w:qFormat/>
    <w:uiPriority w:val="0"/>
    <w:rPr>
      <w:rFonts w:ascii="Calibri" w:hAnsi="Calibri" w:eastAsia="宋体" w:cs="Times New Roman"/>
      <w:szCs w:val="24"/>
    </w:rPr>
  </w:style>
  <w:style w:type="paragraph" w:customStyle="1" w:styleId="64">
    <w:name w:val="正文3"/>
    <w:basedOn w:val="1"/>
    <w:semiHidden/>
    <w:qFormat/>
    <w:uiPriority w:val="0"/>
    <w:pPr>
      <w:adjustRightInd/>
      <w:snapToGrid/>
      <w:spacing w:line="360" w:lineRule="auto"/>
      <w:ind w:firstLine="200" w:firstLineChars="200"/>
      <w:jc w:val="left"/>
    </w:pPr>
    <w:rPr>
      <w:rFonts w:ascii="Calibri" w:hAnsi="Calibri" w:eastAsia="宋体" w:cs="Times New Roman"/>
      <w:kern w:val="0"/>
      <w:sz w:val="24"/>
      <w:szCs w:val="24"/>
    </w:rPr>
  </w:style>
  <w:style w:type="paragraph" w:customStyle="1" w:styleId="65">
    <w:name w:val="表格一"/>
    <w:basedOn w:val="1"/>
    <w:qFormat/>
    <w:uiPriority w:val="0"/>
    <w:pPr>
      <w:widowControl w:val="0"/>
      <w:adjustRightInd/>
      <w:snapToGrid/>
      <w:jc w:val="center"/>
    </w:pPr>
    <w:rPr>
      <w:rFonts w:ascii="Times New Roman" w:hAnsi="Times New Roman" w:eastAsia="宋体" w:cs="Times New Roman"/>
      <w:sz w:val="24"/>
      <w:szCs w:val="24"/>
    </w:rPr>
  </w:style>
  <w:style w:type="character" w:customStyle="1" w:styleId="66">
    <w:name w:val="表格 Char"/>
    <w:link w:val="67"/>
    <w:qFormat/>
    <w:locked/>
    <w:uiPriority w:val="0"/>
    <w:rPr>
      <w:rFonts w:ascii="宋体" w:hAnsi="宋体" w:eastAsia="宋体" w:cs="Times New Roman"/>
    </w:rPr>
  </w:style>
  <w:style w:type="paragraph" w:customStyle="1" w:styleId="67">
    <w:name w:val="表格"/>
    <w:basedOn w:val="1"/>
    <w:next w:val="1"/>
    <w:link w:val="66"/>
    <w:qFormat/>
    <w:uiPriority w:val="0"/>
    <w:pPr>
      <w:widowControl w:val="0"/>
      <w:spacing w:beforeLines="10" w:line="256" w:lineRule="auto"/>
      <w:jc w:val="center"/>
    </w:pPr>
    <w:rPr>
      <w:rFonts w:ascii="宋体" w:hAnsi="宋体" w:eastAsia="宋体" w:cs="Times New Roman"/>
    </w:rPr>
  </w:style>
  <w:style w:type="paragraph" w:customStyle="1" w:styleId="68">
    <w:name w:val="Table Paragraph"/>
    <w:basedOn w:val="1"/>
    <w:qFormat/>
    <w:uiPriority w:val="0"/>
    <w:pPr>
      <w:widowControl w:val="0"/>
      <w:autoSpaceDE w:val="0"/>
      <w:autoSpaceDN w:val="0"/>
      <w:adjustRightInd/>
      <w:snapToGrid/>
      <w:jc w:val="left"/>
    </w:pPr>
    <w:rPr>
      <w:rFonts w:ascii="仿宋" w:hAnsi="仿宋" w:eastAsia="仿宋" w:cs="Times New Roman"/>
      <w:kern w:val="0"/>
      <w:sz w:val="22"/>
      <w:szCs w:val="22"/>
    </w:rPr>
  </w:style>
  <w:style w:type="paragraph" w:customStyle="1" w:styleId="69">
    <w:name w:val="正文缩进2"/>
    <w:basedOn w:val="1"/>
    <w:qFormat/>
    <w:uiPriority w:val="0"/>
    <w:pPr>
      <w:widowControl w:val="0"/>
      <w:adjustRightInd/>
      <w:snapToGrid/>
      <w:ind w:firstLine="420"/>
    </w:pPr>
    <w:rPr>
      <w:rFonts w:ascii="Times New Roman" w:hAnsi="Times New Roman" w:eastAsia="宋体" w:cs="Times New Roman"/>
      <w:sz w:val="24"/>
      <w:szCs w:val="24"/>
    </w:rPr>
  </w:style>
  <w:style w:type="character" w:customStyle="1" w:styleId="70">
    <w:name w:val="正文文本 2 Char"/>
    <w:basedOn w:val="32"/>
    <w:link w:val="26"/>
    <w:qFormat/>
    <w:uiPriority w:val="0"/>
    <w:rPr>
      <w:rFonts w:ascii="Calibri" w:hAnsi="Calibri" w:eastAsia="宋体" w:cs="Times New Roman"/>
      <w:szCs w:val="24"/>
    </w:rPr>
  </w:style>
  <w:style w:type="paragraph" w:customStyle="1" w:styleId="71">
    <w:name w:val="TOC Heading"/>
    <w:basedOn w:val="2"/>
    <w:next w:val="1"/>
    <w:semiHidden/>
    <w:unhideWhenUsed/>
    <w:qFormat/>
    <w:uiPriority w:val="39"/>
    <w:pPr>
      <w:numPr>
        <w:numId w:val="0"/>
      </w:numPr>
      <w:adjustRightInd/>
      <w:snapToGrid/>
      <w:spacing w:before="480" w:line="276" w:lineRule="auto"/>
      <w:outlineLvl w:val="9"/>
    </w:pPr>
    <w:rPr>
      <w:rFonts w:asciiTheme="majorHAnsi" w:hAnsiTheme="majorHAnsi" w:eastAsiaTheme="majorEastAsia" w:cstheme="majorBidi"/>
      <w:b/>
      <w:color w:val="376092" w:themeColor="accent1" w:themeShade="BF"/>
      <w:kern w:val="0"/>
      <w:sz w:val="28"/>
      <w:szCs w:val="28"/>
    </w:rPr>
  </w:style>
  <w:style w:type="character" w:customStyle="1" w:styleId="72">
    <w:name w:val="批注主题 Char"/>
    <w:basedOn w:val="54"/>
    <w:link w:val="29"/>
    <w:semiHidden/>
    <w:qFormat/>
    <w:uiPriority w:val="99"/>
    <w:rPr>
      <w:b/>
      <w:bCs/>
    </w:rPr>
  </w:style>
  <w:style w:type="character" w:customStyle="1" w:styleId="73">
    <w:name w:val="日期 Char"/>
    <w:basedOn w:val="32"/>
    <w:link w:val="18"/>
    <w:semiHidden/>
    <w:qFormat/>
    <w:uiPriority w:val="99"/>
  </w:style>
  <w:style w:type="character" w:customStyle="1" w:styleId="74">
    <w:name w:val="正文文本缩进 3 Char"/>
    <w:basedOn w:val="32"/>
    <w:link w:val="24"/>
    <w:semiHidden/>
    <w:qFormat/>
    <w:uiPriority w:val="99"/>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23.emf"/><Relationship Id="rId43" Type="http://schemas.openxmlformats.org/officeDocument/2006/relationships/image" Target="media/image22.emf"/><Relationship Id="rId42" Type="http://schemas.openxmlformats.org/officeDocument/2006/relationships/oleObject" Target="embeddings/oleObject12.bin"/><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wmf"/><Relationship Id="rId37" Type="http://schemas.openxmlformats.org/officeDocument/2006/relationships/oleObject" Target="embeddings/oleObject11.bin"/><Relationship Id="rId36" Type="http://schemas.openxmlformats.org/officeDocument/2006/relationships/image" Target="media/image17.wmf"/><Relationship Id="rId35" Type="http://schemas.openxmlformats.org/officeDocument/2006/relationships/oleObject" Target="embeddings/oleObject10.bin"/><Relationship Id="rId34" Type="http://schemas.openxmlformats.org/officeDocument/2006/relationships/image" Target="media/image16.wmf"/><Relationship Id="rId33" Type="http://schemas.openxmlformats.org/officeDocument/2006/relationships/oleObject" Target="embeddings/oleObject9.bin"/><Relationship Id="rId32" Type="http://schemas.openxmlformats.org/officeDocument/2006/relationships/image" Target="media/image15.wmf"/><Relationship Id="rId31" Type="http://schemas.openxmlformats.org/officeDocument/2006/relationships/oleObject" Target="embeddings/oleObject8.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F9E51-A30F-4531-9944-85614C0D956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160</Pages>
  <Words>19163</Words>
  <Characters>109234</Characters>
  <Lines>910</Lines>
  <Paragraphs>256</Paragraphs>
  <TotalTime>183</TotalTime>
  <ScaleCrop>false</ScaleCrop>
  <LinksUpToDate>false</LinksUpToDate>
  <CharactersWithSpaces>128141</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2022-10-17T08:51:00Z</dcterms:created>
  <dc:creator>User</dc:creator>
  <cp:lastModifiedBy>✎aye</cp:lastModifiedBy>
  <cp:lastPrinted>2022-09-15T08:28:00Z</cp:lastPrinted>
  <dcterms:modified xsi:type="dcterms:W3CDTF">2023-04-25T02:26:06Z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D18F9B2507714CD8BB88E9E1AC5D1DAA</vt:lpwstr>
  </property>
</Properties>
</file>