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方正小标宋_GBK" w:eastAsia="方正小标宋_GBK"/>
          <w:sz w:val="44"/>
          <w:szCs w:val="44"/>
          <w:lang w:eastAsia="zh-CN"/>
        </w:rPr>
      </w:pPr>
      <w:bookmarkStart w:id="0" w:name="bookmark0"/>
    </w:p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衡阳县部门整体支出绩效自评报告</w:t>
      </w:r>
    </w:p>
    <w:p>
      <w:pPr/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 20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2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年度 ）</w:t>
      </w:r>
    </w:p>
    <w:p>
      <w:pPr/>
    </w:p>
    <w:p>
      <w:pPr/>
    </w:p>
    <w:p>
      <w:pPr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部门(单位)名称：  </w:t>
      </w:r>
      <w:r>
        <w:rPr>
          <w:rFonts w:hint="eastAsia" w:ascii="仿宋_GB2312" w:eastAsia="仿宋_GB2312"/>
          <w:sz w:val="32"/>
          <w:szCs w:val="32"/>
          <w:lang w:eastAsia="zh-CN"/>
        </w:rPr>
        <w:t>衡阳县医疗保障局</w:t>
      </w: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预算编码：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704001</w:t>
      </w:r>
      <w:r>
        <w:rPr>
          <w:rFonts w:hint="eastAsia" w:ascii="仿宋_GB2312" w:eastAsia="仿宋_GB2312"/>
          <w:sz w:val="32"/>
          <w:szCs w:val="32"/>
        </w:rPr>
        <w:t xml:space="preserve">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评价方式：部门（单位）自评</w:t>
      </w:r>
      <w:r>
        <w:rPr>
          <w:rFonts w:hint="eastAsia" w:ascii="仿宋_GB2312" w:eastAsia="仿宋_GB2312"/>
          <w:sz w:val="32"/>
          <w:szCs w:val="32"/>
        </w:rPr>
        <w:sym w:font="Wingdings 2" w:char="0052"/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ind w:firstLine="2240" w:firstLine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中介机构评价□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评价机构：部门（单位）评价组</w:t>
      </w:r>
      <w:r>
        <w:rPr>
          <w:rFonts w:hint="eastAsia" w:ascii="仿宋_GB2312" w:eastAsia="仿宋_GB2312"/>
          <w:sz w:val="32"/>
          <w:szCs w:val="32"/>
        </w:rPr>
        <w:sym w:font="Wingdings 2" w:char="0052"/>
      </w:r>
    </w:p>
    <w:p>
      <w:pPr>
        <w:ind w:firstLine="2240" w:firstLine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中介机构□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报告日期：    </w:t>
      </w:r>
      <w:r>
        <w:rPr>
          <w:rFonts w:hint="eastAsia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 年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 xml:space="preserve">月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1000" w:firstLineChars="250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衡阳县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医疗保障局202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1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年</w:t>
      </w:r>
      <w:r>
        <w:rPr>
          <w:rFonts w:hint="eastAsia" w:ascii="方正小标宋_GBK" w:eastAsia="方正小标宋_GBK"/>
          <w:sz w:val="40"/>
          <w:szCs w:val="40"/>
        </w:rPr>
        <w:t>部门整体支出</w:t>
      </w:r>
    </w:p>
    <w:p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绩效自评报告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pStyle w:val="9"/>
        <w:spacing w:line="605" w:lineRule="exact"/>
        <w:ind w:firstLine="801" w:firstLineChars="266"/>
        <w:jc w:val="both"/>
      </w:pPr>
      <w:r>
        <w:rPr>
          <w:b/>
          <w:bCs/>
        </w:rPr>
        <w:t>一</w:t>
      </w:r>
      <w:bookmarkEnd w:id="0"/>
      <w:r>
        <w:rPr>
          <w:b/>
          <w:bCs/>
        </w:rPr>
        <w:t>、</w:t>
      </w:r>
      <w:r>
        <w:rPr>
          <w:rFonts w:hint="eastAsia"/>
          <w:b/>
          <w:bCs/>
          <w:lang w:eastAsia="zh-CN"/>
        </w:rPr>
        <w:t>单位</w:t>
      </w:r>
      <w:r>
        <w:rPr>
          <w:b/>
          <w:bCs/>
        </w:rPr>
        <w:t>基本情况</w:t>
      </w:r>
    </w:p>
    <w:p>
      <w:pPr>
        <w:spacing w:line="600" w:lineRule="exact"/>
        <w:ind w:firstLine="640" w:firstLineChars="200"/>
        <w:jc w:val="both"/>
        <w:rPr>
          <w:rFonts w:hint="eastAsia" w:ascii="楷体" w:hAnsi="楷体" w:eastAsia="楷体" w:cs="楷体"/>
          <w:sz w:val="32"/>
          <w:szCs w:val="32"/>
          <w:lang w:eastAsia="zh-CN"/>
        </w:rPr>
      </w:pPr>
      <w:bookmarkStart w:id="1" w:name="bookmark1"/>
      <w:r>
        <w:rPr>
          <w:rFonts w:hint="eastAsia" w:ascii="楷体" w:hAnsi="楷体" w:eastAsia="楷体" w:cs="楷体"/>
          <w:sz w:val="32"/>
          <w:szCs w:val="32"/>
        </w:rPr>
        <w:t>（一）机构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设置情况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1、局</w:t>
      </w:r>
      <w:r>
        <w:rPr>
          <w:rFonts w:hint="eastAsia" w:ascii="仿宋" w:hAnsi="仿宋" w:eastAsia="仿宋" w:cs="仿宋"/>
          <w:sz w:val="32"/>
          <w:szCs w:val="32"/>
        </w:rPr>
        <w:t>机关共有内设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股室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个：办公室、规划财务股、待遇保障股、医疗价格服务管理股、基金监管股、组织人事股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2、局</w:t>
      </w:r>
      <w:r>
        <w:rPr>
          <w:rFonts w:hint="eastAsia" w:ascii="仿宋" w:hAnsi="仿宋" w:eastAsia="仿宋" w:cs="仿宋"/>
          <w:sz w:val="32"/>
          <w:szCs w:val="32"/>
        </w:rPr>
        <w:t>机关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下属二级</w:t>
      </w:r>
      <w:r>
        <w:rPr>
          <w:rFonts w:hint="eastAsia" w:ascii="仿宋" w:hAnsi="仿宋" w:eastAsia="仿宋" w:cs="仿宋"/>
          <w:sz w:val="32"/>
          <w:szCs w:val="32"/>
        </w:rPr>
        <w:t>机构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：衡阳县医疗保障事务中心（副科级）。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3、受监管机构：衡阳县人民政府。</w:t>
      </w:r>
    </w:p>
    <w:p>
      <w:pPr>
        <w:pStyle w:val="2"/>
        <w:rPr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 w:bidi="en-US"/>
        </w:rPr>
        <w:t>（二）人员编制情况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机关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共有行政</w:t>
      </w:r>
      <w:r>
        <w:rPr>
          <w:rFonts w:hint="eastAsia" w:ascii="仿宋" w:hAnsi="仿宋" w:eastAsia="仿宋" w:cs="仿宋"/>
          <w:sz w:val="32"/>
          <w:szCs w:val="32"/>
        </w:rPr>
        <w:t>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12个</w:t>
      </w:r>
      <w:r>
        <w:rPr>
          <w:rFonts w:hint="eastAsia" w:ascii="仿宋" w:hAnsi="仿宋" w:eastAsia="仿宋" w:cs="仿宋"/>
          <w:sz w:val="32"/>
          <w:szCs w:val="32"/>
        </w:rPr>
        <w:t>，实有在职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在编</w:t>
      </w:r>
      <w:r>
        <w:rPr>
          <w:rFonts w:hint="eastAsia" w:ascii="仿宋" w:hAnsi="仿宋" w:eastAsia="仿宋" w:cs="仿宋"/>
          <w:sz w:val="32"/>
          <w:szCs w:val="32"/>
        </w:rPr>
        <w:t>人数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年末实有退休人员1人。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（从医保中心借调了工作人员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20人。）</w:t>
      </w:r>
    </w:p>
    <w:p>
      <w:pPr>
        <w:spacing w:line="600" w:lineRule="exact"/>
        <w:ind w:firstLine="640" w:firstLineChars="200"/>
        <w:jc w:val="both"/>
        <w:rPr>
          <w:rFonts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sz w:val="32"/>
          <w:szCs w:val="32"/>
        </w:rPr>
        <w:t>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主要职责职能</w:t>
      </w:r>
    </w:p>
    <w:bookmarkEnd w:id="1"/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贯彻执行国家、省、市有关职工、城乡居民、生育、医疗救助的法律法规和政策，并组织实施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建立健全医疗保障基金安全防控机制，推进医疗保障基金支付方式改革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执行和配合国家、省、市药品和医用耗材的采购以及医疗服务项目、医疗服务设施的定价，对医疗机构的设备设施招标采购的监督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指导和监督经办机构开展医疗保障业务工作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>推进医疗、医保、医药“三医联动”改革，保障人民群众就医要求，减轻医药费负担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完成县委、政府及上级主管部门交办的其他任务。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en-US"/>
        </w:rPr>
        <w:t>（四）绩效目标设定情况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在本年度收支预算内，确保完成以下整体目标：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1、抓征缴，巩固提高参保率。城乡居民医保参保人数949175人，贫困人员参保人数69490人，城镇职工医保参保人数56580人。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2、深化医保支付方式改革。</w:t>
      </w:r>
    </w:p>
    <w:p>
      <w:pPr>
        <w:snapToGrid w:val="0"/>
        <w:spacing w:line="52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3、加强医保基金监管。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4、抓保障，维护参保群众利益。</w:t>
      </w:r>
    </w:p>
    <w:p>
      <w:pPr>
        <w:snapToGrid w:val="0"/>
        <w:spacing w:line="52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2021年实际完成情况：</w:t>
      </w:r>
    </w:p>
    <w:p>
      <w:pPr>
        <w:snapToGrid w:val="0"/>
        <w:spacing w:line="52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目标1：全部完成。</w:t>
      </w:r>
    </w:p>
    <w:p>
      <w:pPr>
        <w:snapToGrid w:val="0"/>
        <w:spacing w:line="52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目标2：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药品集采、新版药品目录及医用耗材集采工作、医疗服务价格修订和支付改革政策全部完成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目标3：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积极开展了“打击欺诈骗保套保挪用贪占医保基金集中整治”活动，效果明显。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目标4：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全面落实医保待遇，确保参保群众应享尽享；巩固拓展医保扶贫，有效衔接乡村振兴战略。</w:t>
      </w:r>
    </w:p>
    <w:p>
      <w:pPr>
        <w:spacing w:line="600" w:lineRule="exact"/>
        <w:ind w:firstLine="640" w:firstLineChars="200"/>
        <w:jc w:val="both"/>
        <w:rPr>
          <w:rFonts w:ascii="黑体" w:hAnsi="黑体" w:eastAsia="黑体" w:cs="黑体"/>
          <w:bCs/>
          <w:sz w:val="32"/>
          <w:szCs w:val="32"/>
          <w:lang w:val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一般公共预算支出情况</w:t>
      </w:r>
    </w:p>
    <w:p>
      <w:pPr>
        <w:spacing w:line="600" w:lineRule="exact"/>
        <w:ind w:firstLine="640" w:firstLineChars="200"/>
        <w:jc w:val="both"/>
        <w:rPr>
          <w:rFonts w:hint="eastAsia" w:ascii="楷体" w:hAnsi="楷体" w:eastAsia="楷体" w:cs="楷体"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Cs/>
          <w:sz w:val="32"/>
          <w:szCs w:val="32"/>
          <w:shd w:val="clear" w:color="auto" w:fill="FFFFFF"/>
        </w:rPr>
        <w:t>（一）</w:t>
      </w:r>
      <w:r>
        <w:rPr>
          <w:rFonts w:hint="eastAsia" w:ascii="楷体" w:hAnsi="楷体" w:eastAsia="楷体" w:cs="楷体"/>
          <w:bCs/>
          <w:sz w:val="32"/>
          <w:szCs w:val="32"/>
          <w:shd w:val="clear" w:color="auto" w:fill="FFFFFF"/>
          <w:lang w:eastAsia="zh-CN"/>
        </w:rPr>
        <w:t>经批复的预、决算情况</w:t>
      </w:r>
    </w:p>
    <w:p>
      <w:pPr>
        <w:spacing w:line="600" w:lineRule="exact"/>
        <w:ind w:firstLine="640" w:firstLineChars="200"/>
        <w:jc w:val="both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1.部门预算收支情况</w:t>
      </w:r>
    </w:p>
    <w:p>
      <w:pPr>
        <w:spacing w:line="600" w:lineRule="exact"/>
        <w:ind w:firstLine="640" w:firstLineChars="200"/>
        <w:jc w:val="both"/>
        <w:rPr>
          <w:rFonts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年，本部门年初预算收入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118.85</w:t>
      </w:r>
      <w:r>
        <w:rPr>
          <w:rFonts w:hint="eastAsia" w:ascii="仿宋" w:hAnsi="仿宋" w:eastAsia="仿宋" w:cs="仿宋"/>
          <w:bCs/>
          <w:sz w:val="32"/>
          <w:szCs w:val="32"/>
        </w:rPr>
        <w:t>万元，其中：一般公共预算财政拨款收入年初预算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118.85</w:t>
      </w:r>
      <w:r>
        <w:rPr>
          <w:rFonts w:hint="eastAsia" w:ascii="仿宋" w:hAnsi="仿宋" w:eastAsia="仿宋" w:cs="仿宋"/>
          <w:bCs/>
          <w:sz w:val="32"/>
          <w:szCs w:val="32"/>
        </w:rPr>
        <w:t>万元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；202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年年中调整部分指标增拨一般财政拨款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135.17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万元，其他收入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3.02万元，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年当年收入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257.04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万元；上年度财政指标结转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38.69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万元；全年收入总计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295.73万元。</w:t>
      </w:r>
    </w:p>
    <w:p>
      <w:pPr>
        <w:spacing w:line="600" w:lineRule="exact"/>
        <w:ind w:firstLine="640" w:firstLineChars="200"/>
        <w:jc w:val="both"/>
        <w:rPr>
          <w:rFonts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年，本部门年初预算支出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118.85</w:t>
      </w:r>
      <w:r>
        <w:rPr>
          <w:rFonts w:hint="eastAsia" w:ascii="仿宋" w:hAnsi="仿宋" w:eastAsia="仿宋" w:cs="仿宋"/>
          <w:bCs/>
          <w:sz w:val="32"/>
          <w:szCs w:val="32"/>
        </w:rPr>
        <w:t>万元，其中：基本</w:t>
      </w:r>
      <w:r>
        <w:rPr>
          <w:rFonts w:hint="eastAsia" w:ascii="仿宋" w:hAnsi="仿宋" w:eastAsia="仿宋" w:cs="仿宋"/>
          <w:bCs/>
          <w:sz w:val="32"/>
          <w:szCs w:val="32"/>
          <w:lang w:val="zh-CN"/>
        </w:rPr>
        <w:t>支出</w:t>
      </w:r>
      <w:r>
        <w:rPr>
          <w:rFonts w:hint="eastAsia" w:ascii="仿宋" w:hAnsi="仿宋" w:eastAsia="仿宋" w:cs="仿宋"/>
          <w:bCs/>
          <w:sz w:val="32"/>
          <w:szCs w:val="32"/>
        </w:rPr>
        <w:t>年初预算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118.85</w:t>
      </w:r>
      <w:r>
        <w:rPr>
          <w:rFonts w:hint="eastAsia" w:ascii="仿宋" w:hAnsi="仿宋" w:eastAsia="仿宋" w:cs="仿宋"/>
          <w:bCs/>
          <w:sz w:val="32"/>
          <w:szCs w:val="32"/>
        </w:rPr>
        <w:t>万元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，无项目支出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年全年支出总计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295.73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万元。</w:t>
      </w:r>
    </w:p>
    <w:p>
      <w:pPr>
        <w:spacing w:line="600" w:lineRule="exact"/>
        <w:ind w:firstLine="640" w:firstLineChars="200"/>
        <w:jc w:val="both"/>
        <w:rPr>
          <w:rFonts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年末一般公共预算财政拨款结余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万元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jc w:val="both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2.部门决算情况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年收入</w:t>
      </w:r>
      <w:bookmarkStart w:id="2" w:name="OLE_LINK1"/>
      <w:r>
        <w:rPr>
          <w:rFonts w:hint="eastAsia" w:ascii="仿宋" w:hAnsi="仿宋" w:eastAsia="仿宋" w:cs="仿宋"/>
          <w:bCs/>
          <w:sz w:val="32"/>
          <w:szCs w:val="32"/>
        </w:rPr>
        <w:t>实际</w:t>
      </w:r>
      <w:bookmarkEnd w:id="2"/>
      <w:r>
        <w:rPr>
          <w:rFonts w:hint="eastAsia" w:ascii="仿宋" w:hAnsi="仿宋" w:eastAsia="仿宋" w:cs="仿宋"/>
          <w:bCs/>
          <w:sz w:val="32"/>
          <w:szCs w:val="32"/>
        </w:rPr>
        <w:t>完成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295.73</w:t>
      </w:r>
      <w:r>
        <w:rPr>
          <w:rFonts w:hint="eastAsia" w:ascii="仿宋" w:hAnsi="仿宋" w:eastAsia="仿宋" w:cs="仿宋"/>
          <w:bCs/>
          <w:sz w:val="32"/>
          <w:szCs w:val="32"/>
        </w:rPr>
        <w:t>万元，其中：一般公共预算财政拨款收入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254.02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万元，其他收入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3.02万元，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上年度财政指标结转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38.69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万元。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部门预算执行情况</w:t>
      </w:r>
    </w:p>
    <w:p>
      <w:pPr>
        <w:spacing w:line="600" w:lineRule="exact"/>
        <w:ind w:firstLine="640" w:firstLineChars="200"/>
        <w:jc w:val="both"/>
        <w:rPr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本年度基本支出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295.73</w:t>
      </w:r>
      <w:r>
        <w:rPr>
          <w:rFonts w:hint="eastAsia" w:ascii="仿宋" w:hAnsi="仿宋" w:eastAsia="仿宋" w:cs="仿宋"/>
          <w:bCs/>
          <w:sz w:val="32"/>
          <w:szCs w:val="32"/>
        </w:rPr>
        <w:t>万元，其中人员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TW" w:eastAsia="zh-CN" w:bidi="zh-TW"/>
        </w:rPr>
        <w:t>经费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123.94</w:t>
      </w:r>
      <w:r>
        <w:rPr>
          <w:rFonts w:hint="eastAsia" w:ascii="仿宋" w:hAnsi="仿宋" w:eastAsia="仿宋" w:cs="仿宋"/>
          <w:bCs/>
          <w:sz w:val="32"/>
          <w:szCs w:val="32"/>
        </w:rPr>
        <w:t>万元，日常公用经费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171.79</w:t>
      </w:r>
      <w:r>
        <w:rPr>
          <w:rFonts w:hint="eastAsia" w:ascii="仿宋" w:hAnsi="仿宋" w:eastAsia="仿宋" w:cs="仿宋"/>
          <w:bCs/>
          <w:sz w:val="32"/>
          <w:szCs w:val="32"/>
        </w:rPr>
        <w:t>万元。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具体情况为：</w:t>
      </w:r>
      <w:r>
        <w:rPr>
          <w:rFonts w:hint="eastAsia" w:ascii="仿宋" w:hAnsi="仿宋" w:eastAsia="仿宋" w:cs="仿宋"/>
          <w:bCs/>
          <w:sz w:val="32"/>
          <w:szCs w:val="32"/>
        </w:rPr>
        <w:t>20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年，本部门实际支出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295.73</w:t>
      </w:r>
      <w:r>
        <w:rPr>
          <w:rFonts w:hint="eastAsia" w:ascii="仿宋" w:hAnsi="仿宋" w:eastAsia="仿宋" w:cs="仿宋"/>
          <w:bCs/>
          <w:sz w:val="32"/>
          <w:szCs w:val="32"/>
        </w:rPr>
        <w:t>万元，按</w:t>
      </w:r>
      <w:r>
        <w:rPr>
          <w:rFonts w:ascii="仿宋" w:hAnsi="仿宋" w:eastAsia="仿宋" w:cs="仿宋"/>
          <w:bCs/>
          <w:sz w:val="32"/>
          <w:szCs w:val="32"/>
        </w:rPr>
        <w:t>支出</w:t>
      </w:r>
      <w:r>
        <w:rPr>
          <w:rFonts w:hint="eastAsia" w:ascii="仿宋" w:hAnsi="仿宋" w:eastAsia="仿宋" w:cs="仿宋"/>
          <w:bCs/>
          <w:sz w:val="32"/>
          <w:szCs w:val="32"/>
        </w:rPr>
        <w:t>资金</w:t>
      </w:r>
      <w:r>
        <w:rPr>
          <w:rFonts w:ascii="仿宋" w:hAnsi="仿宋" w:eastAsia="仿宋" w:cs="仿宋"/>
          <w:bCs/>
          <w:sz w:val="32"/>
          <w:szCs w:val="32"/>
        </w:rPr>
        <w:t>分类</w:t>
      </w:r>
      <w:r>
        <w:rPr>
          <w:rFonts w:hint="eastAsia" w:ascii="仿宋" w:hAnsi="仿宋" w:eastAsia="仿宋" w:cs="仿宋"/>
          <w:bCs/>
          <w:sz w:val="32"/>
          <w:szCs w:val="32"/>
        </w:rPr>
        <w:t>：基本支出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295.73</w:t>
      </w:r>
      <w:r>
        <w:rPr>
          <w:rFonts w:hint="eastAsia" w:ascii="仿宋" w:hAnsi="仿宋" w:eastAsia="仿宋" w:cs="仿宋"/>
          <w:bCs/>
          <w:sz w:val="32"/>
          <w:szCs w:val="32"/>
        </w:rPr>
        <w:t>万元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，无经营支出；</w:t>
      </w:r>
      <w:r>
        <w:rPr>
          <w:rFonts w:hint="eastAsia" w:ascii="仿宋" w:hAnsi="仿宋" w:eastAsia="仿宋" w:cs="仿宋"/>
          <w:bCs/>
          <w:sz w:val="32"/>
          <w:szCs w:val="32"/>
        </w:rPr>
        <w:t>按支出明细分类：</w:t>
      </w:r>
      <w:r>
        <w:rPr>
          <w:rFonts w:ascii="仿宋" w:hAnsi="仿宋" w:eastAsia="仿宋"/>
          <w:bCs/>
          <w:sz w:val="32"/>
          <w:szCs w:val="32"/>
        </w:rPr>
        <w:t>工资福利支出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123.62</w:t>
      </w:r>
      <w:r>
        <w:rPr>
          <w:rFonts w:ascii="仿宋" w:hAnsi="仿宋" w:eastAsia="仿宋"/>
          <w:bCs/>
          <w:sz w:val="32"/>
          <w:szCs w:val="32"/>
        </w:rPr>
        <w:t>万元，商品和服务支出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171.79</w:t>
      </w:r>
      <w:r>
        <w:rPr>
          <w:rFonts w:ascii="仿宋" w:hAnsi="仿宋" w:eastAsia="仿宋"/>
          <w:bCs/>
          <w:sz w:val="32"/>
          <w:szCs w:val="32"/>
        </w:rPr>
        <w:t>万元，对个人和家庭的补助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0.32</w:t>
      </w:r>
      <w:r>
        <w:rPr>
          <w:rFonts w:ascii="仿宋" w:hAnsi="仿宋" w:eastAsia="仿宋"/>
          <w:bCs/>
          <w:sz w:val="32"/>
          <w:szCs w:val="32"/>
        </w:rPr>
        <w:t>万元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pStyle w:val="6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" w:hAnsi="仿宋" w:eastAsia="仿宋" w:cs="仿宋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FFFFFF"/>
        </w:rPr>
        <w:t>年末结转和结余情况</w:t>
      </w:r>
    </w:p>
    <w:p>
      <w:pPr>
        <w:spacing w:line="600" w:lineRule="exact"/>
        <w:ind w:firstLine="640" w:firstLineChars="200"/>
        <w:jc w:val="both"/>
        <w:rPr>
          <w:rFonts w:ascii="仿宋" w:hAnsi="仿宋" w:eastAsia="仿宋" w:cs="仿宋"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年年初结转结余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38.69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万元。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eastAsia="zh-CN"/>
        </w:rPr>
        <w:t>末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结转结余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万元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  <w:shd w:val="clear" w:color="auto" w:fill="FFFFFF"/>
        </w:rPr>
        <w:t>（</w:t>
      </w:r>
      <w:r>
        <w:rPr>
          <w:rFonts w:hint="eastAsia" w:ascii="楷体" w:hAnsi="楷体" w:eastAsia="楷体" w:cs="楷体"/>
          <w:bCs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楷体" w:hAnsi="楷体" w:eastAsia="楷体" w:cs="楷体"/>
          <w:bCs/>
          <w:sz w:val="32"/>
          <w:szCs w:val="32"/>
          <w:shd w:val="clear" w:color="auto" w:fill="FFFFFF"/>
        </w:rPr>
        <w:t>）</w:t>
      </w:r>
      <w:r>
        <w:rPr>
          <w:rFonts w:hint="eastAsia" w:ascii="楷体" w:hAnsi="楷体" w:eastAsia="楷体" w:cs="楷体"/>
          <w:bCs/>
          <w:sz w:val="32"/>
          <w:szCs w:val="32"/>
          <w:shd w:val="clear" w:color="auto" w:fill="FFFFFF"/>
          <w:lang w:eastAsia="zh-CN"/>
        </w:rPr>
        <w:t>“三公”经费使用和管理情况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zh-TW" w:eastAsia="zh-CN" w:bidi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zh-TW" w:eastAsia="zh-CN" w:bidi="zh-TW"/>
        </w:rPr>
        <w:t>“三公”经费年初预算</w:t>
      </w:r>
      <w:bookmarkStart w:id="3" w:name="OLE_LINK2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zh-TW"/>
        </w:rPr>
        <w:t>3.6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TW" w:eastAsia="zh-CN" w:bidi="zh-TW"/>
        </w:rPr>
        <w:t>万元</w:t>
      </w:r>
      <w:bookmarkEnd w:id="3"/>
      <w:r>
        <w:rPr>
          <w:rFonts w:hint="eastAsia" w:ascii="仿宋" w:hAnsi="仿宋" w:eastAsia="仿宋" w:cs="仿宋"/>
          <w:color w:val="000000"/>
          <w:sz w:val="32"/>
          <w:szCs w:val="32"/>
          <w:lang w:val="zh-TW" w:eastAsia="zh-CN" w:bidi="zh-TW"/>
        </w:rPr>
        <w:t>，实际支出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 w:bidi="zh-TW"/>
          <w14:textFill>
            <w14:solidFill>
              <w14:schemeClr w14:val="tx1"/>
            </w14:solidFill>
          </w14:textFill>
        </w:rPr>
        <w:t>2.8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TW" w:eastAsia="zh-CN" w:bidi="zh-TW"/>
          <w14:textFill>
            <w14:solidFill>
              <w14:schemeClr w14:val="tx1"/>
            </w14:solidFill>
          </w14:textFill>
        </w:rPr>
        <w:t>万元（其</w:t>
      </w:r>
    </w:p>
    <w:p>
      <w:pPr>
        <w:spacing w:line="600" w:lineRule="exact"/>
        <w:jc w:val="both"/>
        <w:rPr>
          <w:rFonts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TW" w:eastAsia="zh-CN" w:bidi="zh-TW"/>
          <w14:textFill>
            <w14:solidFill>
              <w14:schemeClr w14:val="tx1"/>
            </w14:solidFill>
          </w14:textFill>
        </w:rPr>
        <w:t>中：公务接待费支出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2.8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，本单位无公车，无因公出国费用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TW" w:eastAsia="zh-CN" w:bidi="zh-TW"/>
        </w:rPr>
        <w:t>“三公”经费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预算4万元，“三公”经费实际支出1.06万元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。年初预算本年数与上年数比降低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10%，实际支出本年数与上年数比增加164.97%，因为医保基金集中整治专项工作，对市级督导、交叉检查组公务接待，所以较上年实际支出增加。</w:t>
      </w:r>
    </w:p>
    <w:p>
      <w:pPr>
        <w:spacing w:line="600" w:lineRule="exact"/>
        <w:ind w:firstLine="640" w:firstLineChars="200"/>
        <w:jc w:val="both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目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支出：</w:t>
      </w:r>
      <w:r>
        <w:rPr>
          <w:rFonts w:hint="eastAsia" w:ascii="仿宋" w:hAnsi="仿宋" w:eastAsia="仿宋" w:cs="仿宋"/>
          <w:bCs/>
          <w:sz w:val="32"/>
          <w:szCs w:val="32"/>
        </w:rPr>
        <w:t>本单位无项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目</w:t>
      </w:r>
      <w:r>
        <w:rPr>
          <w:rFonts w:hint="eastAsia" w:ascii="仿宋" w:hAnsi="仿宋" w:eastAsia="仿宋" w:cs="仿宋"/>
          <w:bCs/>
          <w:sz w:val="32"/>
          <w:szCs w:val="32"/>
        </w:rPr>
        <w:t>资金。</w:t>
      </w:r>
    </w:p>
    <w:p>
      <w:pPr>
        <w:spacing w:line="600" w:lineRule="exact"/>
        <w:ind w:firstLine="640" w:firstLineChars="200"/>
        <w:jc w:val="both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3.部门（单位）专项组织实施情况。本单位无专项资金。</w:t>
      </w:r>
    </w:p>
    <w:p>
      <w:pPr>
        <w:spacing w:line="600" w:lineRule="exact"/>
        <w:ind w:firstLine="640" w:firstLineChars="200"/>
        <w:jc w:val="both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4.经营支出</w:t>
      </w:r>
      <w:r>
        <w:rPr>
          <w:rFonts w:ascii="仿宋" w:hAnsi="仿宋" w:eastAsia="仿宋" w:cs="仿宋"/>
          <w:bCs/>
          <w:sz w:val="32"/>
          <w:szCs w:val="32"/>
        </w:rPr>
        <w:t>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本单位无经营支出</w:t>
      </w:r>
      <w:r>
        <w:rPr>
          <w:rFonts w:ascii="仿宋" w:hAnsi="仿宋" w:eastAsia="仿宋" w:cs="仿宋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both"/>
        <w:rPr>
          <w:rFonts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5、其他收入支出：本年度其他收入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3.02万元；无其他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支出</w:t>
      </w:r>
      <w:r>
        <w:rPr>
          <w:rFonts w:ascii="仿宋" w:hAnsi="仿宋" w:eastAsia="仿宋" w:cs="仿宋"/>
          <w:bCs/>
          <w:sz w:val="32"/>
          <w:szCs w:val="32"/>
        </w:rPr>
        <w:t>。</w:t>
      </w:r>
    </w:p>
    <w:p>
      <w:pPr>
        <w:pStyle w:val="9"/>
        <w:spacing w:line="608" w:lineRule="exact"/>
        <w:ind w:firstLine="0"/>
        <w:jc w:val="both"/>
        <w:rPr>
          <w:rFonts w:ascii="黑体" w:hAnsi="黑体" w:eastAsia="黑体" w:cs="黑体"/>
          <w:sz w:val="32"/>
          <w:szCs w:val="32"/>
        </w:rPr>
      </w:pPr>
      <w:bookmarkStart w:id="4" w:name="bookmark4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Cs/>
          <w:color w:val="000000"/>
          <w:sz w:val="32"/>
          <w:szCs w:val="32"/>
          <w:shd w:val="clear" w:color="auto" w:fill="FFFFFF"/>
          <w:lang w:val="en-US" w:eastAsia="zh-CN" w:bidi="en-US"/>
        </w:rPr>
        <w:t xml:space="preserve">  </w:t>
      </w:r>
      <w:bookmarkEnd w:id="4"/>
      <w:r>
        <w:rPr>
          <w:rFonts w:hint="eastAsia" w:ascii="楷体" w:hAnsi="楷体" w:eastAsia="楷体" w:cs="楷体"/>
          <w:bCs/>
          <w:color w:val="000000"/>
          <w:sz w:val="32"/>
          <w:szCs w:val="32"/>
          <w:shd w:val="clear" w:color="auto" w:fill="FFFFFF"/>
          <w:lang w:val="en-US" w:eastAsia="zh-CN" w:bidi="en-US"/>
        </w:rPr>
        <w:t>（五）</w:t>
      </w:r>
      <w:r>
        <w:rPr>
          <w:rFonts w:hint="eastAsia" w:ascii="楷体" w:hAnsi="楷体" w:eastAsia="楷体" w:cs="楷体"/>
          <w:bCs/>
          <w:color w:val="000000"/>
          <w:sz w:val="32"/>
          <w:szCs w:val="32"/>
          <w:shd w:val="clear" w:color="auto" w:fill="FFFFFF"/>
          <w:lang w:val="en-US" w:eastAsia="en-US" w:bidi="en-US"/>
        </w:rPr>
        <w:t>部门整体支出</w:t>
      </w:r>
      <w:r>
        <w:rPr>
          <w:rFonts w:hint="eastAsia" w:ascii="楷体" w:hAnsi="楷体" w:eastAsia="楷体" w:cs="楷体"/>
          <w:bCs/>
          <w:color w:val="000000"/>
          <w:sz w:val="32"/>
          <w:szCs w:val="32"/>
          <w:shd w:val="clear" w:color="auto" w:fill="FFFFFF"/>
          <w:lang w:val="en-US" w:eastAsia="zh-CN" w:bidi="en-US"/>
        </w:rPr>
        <w:t>管理与制度建设情况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我局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制定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eastAsia="zh-CN"/>
        </w:rPr>
        <w:t>了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val="en-US" w:eastAsia="zh-CN"/>
        </w:rPr>
        <w:t>2021年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预算绩效管理的相关制度和办法，成立了绩效管理工作领导小组，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由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汪荣汉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欧阳中球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任组长，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蒋达告、麻晓林、邹运庚任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副组长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，王娟、谢显银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等人为成员，负责制定预算绩效管理办法，管理事业经费、行政经费、编制预算、决算，对执行和绩效情况实行监督管理；协调有关部门对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医保工作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经费使用实行监管并组织资金绩效评估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。各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eastAsia="zh-CN"/>
        </w:rPr>
        <w:t>股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室全程参与、协调预算绩效管理工作，同时提供开展预算绩效管理所需的相关执行数据和情况。配合牵头部门做好单位的绩效目标、绩效跟踪、绩效评价和结果运用等管理工作。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eastAsia="zh-CN"/>
        </w:rPr>
        <w:t>做到了管理制度健全、资金使用合规，并且预决算和基础信息在衡阳县党政门户网上公开。</w:t>
      </w:r>
    </w:p>
    <w:p>
      <w:pPr>
        <w:numPr>
          <w:ilvl w:val="0"/>
          <w:numId w:val="0"/>
        </w:numPr>
        <w:snapToGrid w:val="0"/>
        <w:spacing w:line="520" w:lineRule="exact"/>
        <w:ind w:left="640" w:leftChars="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三、</w:t>
      </w:r>
      <w:r>
        <w:rPr>
          <w:rFonts w:hint="eastAsia" w:eastAsia="黑体"/>
          <w:sz w:val="32"/>
          <w:szCs w:val="32"/>
        </w:rPr>
        <w:t>政府性基金预算支出情况</w:t>
      </w:r>
    </w:p>
    <w:p>
      <w:pPr>
        <w:numPr>
          <w:ilvl w:val="0"/>
          <w:numId w:val="0"/>
        </w:numPr>
        <w:snapToGrid w:val="0"/>
        <w:spacing w:line="520" w:lineRule="exact"/>
        <w:ind w:left="640" w:left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无</w:t>
      </w:r>
    </w:p>
    <w:p>
      <w:pPr>
        <w:numPr>
          <w:ilvl w:val="0"/>
          <w:numId w:val="0"/>
        </w:numPr>
        <w:snapToGrid w:val="0"/>
        <w:spacing w:line="520" w:lineRule="exact"/>
        <w:ind w:left="640" w:leftChars="0"/>
        <w:rPr>
          <w:rFonts w:hint="eastAsia" w:eastAsia="黑体" w:cs="Times New Roman"/>
          <w:sz w:val="32"/>
          <w:szCs w:val="32"/>
          <w:lang w:val="en-US" w:eastAsia="zh-CN"/>
        </w:rPr>
      </w:pPr>
      <w:r>
        <w:rPr>
          <w:rFonts w:hint="eastAsia" w:eastAsia="黑体" w:cs="Times New Roman"/>
          <w:sz w:val="32"/>
          <w:szCs w:val="32"/>
          <w:lang w:val="en-US" w:eastAsia="zh-CN"/>
        </w:rPr>
        <w:t>四、国有资本经营预算支出情况</w:t>
      </w:r>
    </w:p>
    <w:p>
      <w:pPr>
        <w:snapToGrid w:val="0"/>
        <w:spacing w:line="520" w:lineRule="exact"/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无</w:t>
      </w:r>
    </w:p>
    <w:p>
      <w:pPr>
        <w:numPr>
          <w:ilvl w:val="0"/>
          <w:numId w:val="2"/>
        </w:numPr>
        <w:snapToGrid w:val="0"/>
        <w:spacing w:line="520" w:lineRule="exact"/>
        <w:ind w:left="640" w:leftChars="0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社会保险基金预算支出情况</w:t>
      </w:r>
    </w:p>
    <w:p>
      <w:pPr>
        <w:snapToGrid w:val="0"/>
        <w:spacing w:line="520" w:lineRule="exact"/>
        <w:ind w:firstLine="640" w:firstLineChars="200"/>
        <w:rPr>
          <w:rFonts w:hint="eastAsia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无</w:t>
      </w:r>
    </w:p>
    <w:p>
      <w:pPr>
        <w:numPr>
          <w:ilvl w:val="0"/>
          <w:numId w:val="2"/>
        </w:numPr>
        <w:snapToGrid w:val="0"/>
        <w:spacing w:line="520" w:lineRule="exact"/>
        <w:ind w:left="640" w:leftChars="0" w:firstLine="0" w:firstLineChars="0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部门整体支出绩效情况</w:t>
      </w:r>
    </w:p>
    <w:p>
      <w:pPr>
        <w:snapToGrid w:val="0"/>
        <w:spacing w:line="520" w:lineRule="exact"/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（一）综合评价结论</w:t>
      </w:r>
    </w:p>
    <w:p>
      <w:pPr>
        <w:widowControl/>
        <w:spacing w:line="600" w:lineRule="exact"/>
        <w:ind w:firstLine="645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2021年，县医疗保障局能按照国家、省、市的相关政策和规章制度实施医疗保障政策，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eastAsia="zh-CN"/>
        </w:rPr>
        <w:t>我局工作成果突出，干部职工素质和党性修养得到提高，业务和工作能力不断提高；我局</w:t>
      </w:r>
      <w:r>
        <w:rPr>
          <w:rFonts w:hint="eastAsia" w:ascii="仿宋_GB2312" w:eastAsia="仿宋_GB2312"/>
          <w:sz w:val="32"/>
          <w:szCs w:val="32"/>
        </w:rPr>
        <w:t>主动作为，深化医疗保障制度改革，坚定履行医保部门的职责使命，实现了民生实事见实效，不断提升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人民群众的获得感、幸福感、安全感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45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2021年部门整体支出绩效评价自查自评结果为优秀。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 xml:space="preserve">   （二）综合评价情况</w:t>
      </w:r>
    </w:p>
    <w:p>
      <w:pPr>
        <w:widowControl/>
        <w:spacing w:line="600" w:lineRule="exact"/>
        <w:ind w:firstLine="645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部门资金情况总分10分，得分10分。年度资金金额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295.73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万元，执行率为100%。</w:t>
      </w:r>
    </w:p>
    <w:p>
      <w:pPr>
        <w:snapToGrid w:val="0"/>
        <w:spacing w:line="52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2、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产出及效益指标总分为80分，得分7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分，主要情况如下：</w:t>
      </w:r>
    </w:p>
    <w:p>
      <w:pPr>
        <w:snapToGrid w:val="0"/>
        <w:spacing w:line="520" w:lineRule="exact"/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⑴产出指标总分为50分，得分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分。一是数量指标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个均完成指标值；二是质量指标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个均完成指标值；三是时效指标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个，截至年底，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医保住院结算率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达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90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%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，由于国家医保平台网络接入，大数据统计功能不完善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。措施：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及时与网络公司对接，加速住院结算及支付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11"/>
        <w:ind w:firstLine="56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⑵效益指标总分30分，得分30分。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经济效益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方面，</w:t>
      </w:r>
    </w:p>
    <w:p>
      <w:pPr>
        <w:pStyle w:val="11"/>
        <w:numPr>
          <w:ilvl w:val="0"/>
          <w:numId w:val="0"/>
        </w:numPr>
        <w:rPr>
          <w:rFonts w:hint="eastAsia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维持了基金收支平衡，略有结余。二是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社会效益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方面，保障了广大参保人员的医疗待遇，维护了社会的稳定。三是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可持续影响指标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方面，</w:t>
      </w:r>
      <w:r>
        <w:rPr>
          <w:rFonts w:hint="eastAsia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体现政策导向，长期保障工作平稳运行。</w:t>
      </w:r>
    </w:p>
    <w:p>
      <w:pPr>
        <w:pStyle w:val="11"/>
        <w:ind w:firstLine="56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满意度指标总分为10分，得分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一是简化精减办事环节。二是明确规定办结时限。三是锐减群众办事成本。推行“一条龙服务”、“一站式办结”、“一次式办完”，让群众少跑腿，让信息多跑路。四是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实行节假日窗口经办服务“不打烊”，真正方便了办事群众，深受社会广泛赞誉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被国家医保局选为经典案例。做到服务群众“加时”、节假日“加班”。节假日医保经办服务加班、值班“不打烊”，如元旦、春节、清明、五一、端午、国庆、中秋等节假日安排窗口工作人员轮流值班上班，后再补休。解决群众平常无时间来办事，节假日有时间而政务中心又无人办事的问题；五是政务服务“加速”。群众可以通过电话、微信、短信、网上预约，窗口工作人员可以根据群众预约的事项在次日上班前或周六、周日进行办理。全心全意优化服务，提升了参保群众幸福指数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222222"/>
          <w:kern w:val="0"/>
          <w:sz w:val="32"/>
          <w:szCs w:val="32"/>
        </w:rPr>
        <w:t>我们遵循“客观、公正、科学、规范”的原则，采用“以结果为导向、基于证据”的绩效评价方法，进行评价体系的构建，从定性与定量两个角度综合考评，评价资金使用的效率与效益。评价采用目标预定与实施效果比较方法，将项目计划的绩效目标与其实际所产生的效益进行对比，对</w:t>
      </w: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年资金</w:t>
      </w:r>
      <w:r>
        <w:rPr>
          <w:rFonts w:hint="eastAsia" w:ascii="仿宋" w:hAnsi="仿宋" w:eastAsia="仿宋" w:cs="仿宋_GB2312"/>
          <w:color w:val="222222"/>
          <w:kern w:val="0"/>
          <w:sz w:val="32"/>
          <w:szCs w:val="32"/>
        </w:rPr>
        <w:t>的使用绩效作全面评价，项目前期工作、资金投入到位，管理规范，按序时进度要求完成了建设任务，取得了良好的社会、经济、生态效益，基本达到了预期的绩效目标，保障了各项工作任务的顺利进行。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600" w:lineRule="exact"/>
        <w:ind w:firstLine="640" w:firstLineChars="200"/>
        <w:jc w:val="both"/>
        <w:rPr>
          <w:rFonts w:ascii="仿宋" w:hAnsi="仿宋" w:eastAsia="仿宋" w:cs="仿宋"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eastAsia="zh-CN"/>
        </w:rPr>
        <w:t>经过绩效管理小组自评，</w:t>
      </w:r>
      <w:r>
        <w:rPr>
          <w:rFonts w:hint="eastAsia" w:ascii="仿宋" w:hAnsi="仿宋" w:eastAsia="仿宋" w:cs="仿宋"/>
          <w:bCs/>
          <w:sz w:val="32"/>
          <w:szCs w:val="32"/>
        </w:rPr>
        <w:t>本部门年初预算收入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118.85</w:t>
      </w:r>
      <w:r>
        <w:rPr>
          <w:rFonts w:hint="eastAsia" w:ascii="仿宋" w:hAnsi="仿宋" w:eastAsia="仿宋" w:cs="仿宋"/>
          <w:bCs/>
          <w:sz w:val="32"/>
          <w:szCs w:val="32"/>
        </w:rPr>
        <w:t>万元，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年中调整部分指标增拨一般财政拨款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135.17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万元，其他收入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3.02万元，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年当年收入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257.04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万元；上年度财政指标结转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38.69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万元；全年收入总计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295.73万元。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年全年支出总计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295.73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万元。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执行率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%，得分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分；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eastAsia="zh-CN"/>
        </w:rPr>
        <w:t>各项绩效指标反映在数量、质量、时效、成本方面指标值上均达到我局年初制定的计划数，得分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val="en-US" w:eastAsia="zh-CN"/>
        </w:rPr>
        <w:t>48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eastAsia="zh-CN"/>
        </w:rPr>
        <w:t>分；各项绩效指标反映在经济效益、社会效益、可持续影响指标值上，，得分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eastAsia="zh-CN"/>
        </w:rPr>
        <w:t>分；在社会公众或服务对象满意度指标值上，我局做到了服务质量好、工作水平高，社会公众或服务对象满意度达到9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eastAsia="zh-CN"/>
        </w:rPr>
        <w:t>%以上，得分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eastAsia="zh-CN"/>
        </w:rPr>
        <w:t>分；自评总得分9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eastAsia="zh-CN"/>
        </w:rPr>
        <w:t>分，评价等级为优秀。</w:t>
      </w:r>
    </w:p>
    <w:p>
      <w:pPr>
        <w:pStyle w:val="9"/>
        <w:spacing w:after="60" w:line="603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、存在的主要问题</w:t>
      </w:r>
    </w:p>
    <w:p>
      <w:pPr>
        <w:pStyle w:val="6"/>
        <w:widowControl/>
        <w:spacing w:beforeAutospacing="0" w:afterAutospacing="0" w:line="64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bookmarkStart w:id="5" w:name="bookmark12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、由于工作经费下达较晚，绩效管理中存在支出不均衡，存在集中在某一段时间支出的情况</w:t>
      </w:r>
      <w:r>
        <w:rPr>
          <w:rFonts w:hint="eastAsia" w:ascii="仿宋" w:hAnsi="仿宋" w:eastAsia="仿宋" w:cs="仿宋"/>
          <w:kern w:val="2"/>
          <w:sz w:val="32"/>
          <w:szCs w:val="32"/>
        </w:rPr>
        <w:t>。</w:t>
      </w:r>
    </w:p>
    <w:p>
      <w:pPr>
        <w:pStyle w:val="6"/>
        <w:widowControl/>
        <w:spacing w:beforeAutospacing="0" w:afterAutospacing="0" w:line="64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2"/>
          <w:sz w:val="32"/>
          <w:szCs w:val="32"/>
        </w:rPr>
        <w:t>我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局一般公共预算太</w:t>
      </w:r>
      <w:r>
        <w:rPr>
          <w:rFonts w:hint="eastAsia" w:ascii="仿宋" w:hAnsi="仿宋" w:eastAsia="仿宋" w:cs="仿宋"/>
          <w:kern w:val="2"/>
          <w:sz w:val="32"/>
          <w:szCs w:val="32"/>
        </w:rPr>
        <w:t>低，特别是一般性公用支出部分的基数标准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低；专项工作经费没有纳入财政年初预算；</w:t>
      </w:r>
      <w:r>
        <w:rPr>
          <w:rFonts w:hint="eastAsia" w:ascii="仿宋" w:hAnsi="仿宋" w:eastAsia="仿宋" w:cs="仿宋"/>
          <w:kern w:val="2"/>
          <w:sz w:val="32"/>
          <w:szCs w:val="32"/>
        </w:rPr>
        <w:t>公用经费控制有一定难度，基本为刚性支出。</w:t>
      </w:r>
    </w:p>
    <w:bookmarkEnd w:id="5"/>
    <w:p>
      <w:pPr>
        <w:pStyle w:val="9"/>
        <w:tabs>
          <w:tab w:val="left" w:pos="1258"/>
        </w:tabs>
        <w:spacing w:line="598" w:lineRule="exact"/>
        <w:ind w:firstLine="64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、下一步改进措施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及</w:t>
      </w:r>
      <w:r>
        <w:rPr>
          <w:rFonts w:hint="eastAsia" w:ascii="黑体" w:hAnsi="黑体" w:eastAsia="黑体" w:cs="黑体"/>
          <w:sz w:val="32"/>
          <w:szCs w:val="32"/>
        </w:rPr>
        <w:t>有关建议</w:t>
      </w:r>
    </w:p>
    <w:p>
      <w:pPr>
        <w:pStyle w:val="6"/>
        <w:widowControl/>
        <w:spacing w:beforeAutospacing="0" w:afterAutospacing="0" w:line="64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bookmarkStart w:id="6" w:name="bookmark13"/>
      <w:r>
        <w:rPr>
          <w:rFonts w:hint="eastAsia" w:ascii="仿宋" w:hAnsi="仿宋" w:eastAsia="仿宋" w:cs="仿宋"/>
          <w:kern w:val="2"/>
          <w:sz w:val="32"/>
          <w:szCs w:val="32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2"/>
          <w:sz w:val="32"/>
          <w:szCs w:val="32"/>
        </w:rPr>
        <w:t>加强对单位财务人员的培训力度，充实业务知识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</w:t>
      </w:r>
    </w:p>
    <w:p>
      <w:pPr>
        <w:pStyle w:val="6"/>
        <w:widowControl/>
        <w:spacing w:beforeAutospacing="0" w:afterAutospacing="0" w:line="64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2"/>
          <w:sz w:val="32"/>
          <w:szCs w:val="32"/>
        </w:rPr>
        <w:t>在原有的财政部门预算基础上适当调高我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kern w:val="2"/>
          <w:sz w:val="32"/>
          <w:szCs w:val="32"/>
        </w:rPr>
        <w:t>的行政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kern w:val="2"/>
          <w:sz w:val="32"/>
          <w:szCs w:val="32"/>
        </w:rPr>
        <w:t>经费基数标准，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将打击欺诈骗取医保基金行为</w:t>
      </w:r>
      <w:r>
        <w:rPr>
          <w:rFonts w:hint="eastAsia" w:ascii="仿宋" w:hAnsi="仿宋" w:eastAsia="仿宋" w:cs="仿宋"/>
          <w:kern w:val="2"/>
          <w:sz w:val="32"/>
          <w:szCs w:val="32"/>
        </w:rPr>
        <w:t>等相关工作经费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纳入财政年初预算</w:t>
      </w:r>
      <w:r>
        <w:rPr>
          <w:rFonts w:hint="eastAsia" w:ascii="仿宋" w:hAnsi="仿宋" w:eastAsia="仿宋" w:cs="仿宋"/>
          <w:kern w:val="2"/>
          <w:sz w:val="32"/>
          <w:szCs w:val="32"/>
        </w:rPr>
        <w:t>。</w:t>
      </w:r>
    </w:p>
    <w:bookmarkEnd w:id="6"/>
    <w:p>
      <w:pPr>
        <w:pStyle w:val="9"/>
        <w:tabs>
          <w:tab w:val="left" w:pos="1258"/>
        </w:tabs>
        <w:spacing w:line="599" w:lineRule="exact"/>
        <w:ind w:firstLine="64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其他需要说明的情况</w:t>
      </w:r>
      <w:bookmarkStart w:id="8" w:name="_GoBack"/>
      <w:bookmarkEnd w:id="8"/>
    </w:p>
    <w:p>
      <w:pPr>
        <w:pStyle w:val="9"/>
        <w:spacing w:line="598" w:lineRule="exact"/>
        <w:ind w:firstLine="62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</w:p>
    <w:p>
      <w:pPr>
        <w:pStyle w:val="9"/>
        <w:spacing w:line="598" w:lineRule="exact"/>
        <w:ind w:firstLine="62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9"/>
        <w:spacing w:line="598" w:lineRule="exact"/>
        <w:ind w:firstLine="62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-1</w:t>
      </w:r>
      <w:r>
        <w:rPr>
          <w:rFonts w:hint="eastAsia" w:ascii="仿宋" w:hAnsi="仿宋" w:eastAsia="仿宋" w:cs="仿宋"/>
          <w:sz w:val="32"/>
          <w:szCs w:val="32"/>
        </w:rPr>
        <w:t>、部门整体支出绩效评价基础数据表</w:t>
      </w:r>
      <w:bookmarkStart w:id="7" w:name="bookmark14"/>
    </w:p>
    <w:p>
      <w:pPr>
        <w:pStyle w:val="9"/>
        <w:spacing w:line="600" w:lineRule="exact"/>
        <w:ind w:firstLine="113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1-</w:t>
      </w:r>
      <w:r>
        <w:rPr>
          <w:rFonts w:hint="eastAsia" w:ascii="仿宋" w:hAnsi="仿宋" w:eastAsia="仿宋" w:cs="仿宋"/>
          <w:sz w:val="32"/>
          <w:szCs w:val="32"/>
        </w:rPr>
        <w:t>2</w:t>
      </w:r>
      <w:bookmarkEnd w:id="7"/>
      <w:r>
        <w:rPr>
          <w:rFonts w:hint="eastAsia" w:ascii="仿宋" w:hAnsi="仿宋" w:eastAsia="仿宋" w:cs="仿宋"/>
          <w:sz w:val="32"/>
          <w:szCs w:val="32"/>
        </w:rPr>
        <w:t>、部门整体支出绩效自评表</w:t>
      </w:r>
    </w:p>
    <w:p>
      <w:pPr>
        <w:widowControl/>
        <w:jc w:val="both"/>
        <w:rPr>
          <w:rFonts w:ascii="方正小标宋_GBK" w:hAnsi="方正小标宋_GBK" w:eastAsia="方正小标宋_GBK" w:cs="方正小标宋_GBK"/>
          <w:sz w:val="20"/>
          <w:szCs w:val="20"/>
          <w:lang w:eastAsia="zh-CN"/>
        </w:rPr>
      </w:pPr>
    </w:p>
    <w:p>
      <w:pPr>
        <w:widowControl/>
        <w:jc w:val="both"/>
        <w:rPr>
          <w:rFonts w:ascii="方正小标宋_GBK" w:hAnsi="方正小标宋_GBK" w:eastAsia="方正小标宋_GBK" w:cs="方正小标宋_GBK"/>
          <w:sz w:val="20"/>
          <w:szCs w:val="20"/>
          <w:lang w:eastAsia="zh-CN"/>
        </w:rPr>
      </w:pPr>
    </w:p>
    <w:p>
      <w:pPr>
        <w:pStyle w:val="2"/>
        <w:rPr>
          <w:rFonts w:ascii="方正小标宋_GBK" w:hAnsi="方正小标宋_GBK" w:eastAsia="方正小标宋_GBK" w:cs="方正小标宋_GBK"/>
          <w:sz w:val="20"/>
          <w:szCs w:val="20"/>
          <w:lang w:eastAsia="zh-CN"/>
        </w:rPr>
      </w:pPr>
    </w:p>
    <w:p>
      <w:pPr>
        <w:pStyle w:val="3"/>
        <w:rPr>
          <w:rFonts w:ascii="方正小标宋_GBK" w:hAnsi="方正小标宋_GBK" w:eastAsia="方正小标宋_GBK" w:cs="方正小标宋_GBK"/>
          <w:sz w:val="20"/>
          <w:szCs w:val="20"/>
          <w:lang w:eastAsia="zh-CN"/>
        </w:rPr>
      </w:pPr>
    </w:p>
    <w:p>
      <w:pPr>
        <w:rPr>
          <w:rFonts w:ascii="方正小标宋_GBK" w:hAnsi="方正小标宋_GBK" w:eastAsia="方正小标宋_GBK" w:cs="方正小标宋_GBK"/>
          <w:sz w:val="20"/>
          <w:szCs w:val="20"/>
          <w:lang w:eastAsia="zh-CN"/>
        </w:rPr>
      </w:pPr>
    </w:p>
    <w:p>
      <w:pPr>
        <w:pStyle w:val="2"/>
        <w:rPr>
          <w:rFonts w:ascii="方正小标宋_GBK" w:hAnsi="方正小标宋_GBK" w:eastAsia="方正小标宋_GBK" w:cs="方正小标宋_GBK"/>
          <w:sz w:val="20"/>
          <w:szCs w:val="20"/>
          <w:lang w:eastAsia="zh-CN"/>
        </w:rPr>
      </w:pPr>
    </w:p>
    <w:p>
      <w:pPr>
        <w:pStyle w:val="3"/>
        <w:rPr>
          <w:rFonts w:ascii="方正小标宋_GBK" w:hAnsi="方正小标宋_GBK" w:eastAsia="方正小标宋_GBK" w:cs="方正小标宋_GBK"/>
          <w:sz w:val="20"/>
          <w:szCs w:val="20"/>
          <w:lang w:eastAsia="zh-CN"/>
        </w:rPr>
      </w:pPr>
    </w:p>
    <w:p>
      <w:pPr>
        <w:rPr>
          <w:rFonts w:ascii="方正小标宋_GBK" w:hAnsi="方正小标宋_GBK" w:eastAsia="方正小标宋_GBK" w:cs="方正小标宋_GBK"/>
          <w:sz w:val="20"/>
          <w:szCs w:val="20"/>
          <w:lang w:eastAsia="zh-CN"/>
        </w:rPr>
      </w:pPr>
    </w:p>
    <w:p>
      <w:pPr>
        <w:pStyle w:val="2"/>
        <w:rPr>
          <w:rFonts w:ascii="方正小标宋_GBK" w:hAnsi="方正小标宋_GBK" w:eastAsia="方正小标宋_GBK" w:cs="方正小标宋_GBK"/>
          <w:sz w:val="20"/>
          <w:szCs w:val="20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left="1280" w:hanging="1280" w:hangingChars="400"/>
        <w:rPr>
          <w:rFonts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eastAsia="仿宋"/>
          <w:sz w:val="32"/>
          <w:szCs w:val="32"/>
          <w:lang w:eastAsia="zh-CN"/>
        </w:rPr>
        <w:t xml:space="preserve">1-1 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 xml:space="preserve">                                                                                                                               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部门整体支出绩效评价基础数据表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spacing w:line="300" w:lineRule="exact"/>
        <w:rPr>
          <w:rFonts w:eastAsia="仿宋_GB2312"/>
          <w:sz w:val="20"/>
          <w:szCs w:val="20"/>
        </w:rPr>
      </w:pPr>
      <w:r>
        <w:rPr>
          <w:rFonts w:hint="eastAsia"/>
          <w:sz w:val="20"/>
          <w:szCs w:val="20"/>
        </w:rPr>
        <w:t>填报单位：</w:t>
      </w:r>
      <w:r>
        <w:rPr>
          <w:rFonts w:hint="eastAsia"/>
          <w:sz w:val="20"/>
          <w:szCs w:val="20"/>
          <w:lang w:eastAsia="zh-CN"/>
        </w:rPr>
        <w:t>衡阳县医疗保障局</w:t>
      </w:r>
      <w:r>
        <w:rPr>
          <w:rFonts w:hint="eastAsia"/>
          <w:sz w:val="20"/>
          <w:szCs w:val="20"/>
        </w:rPr>
        <w:tab/>
      </w:r>
      <w:r>
        <w:rPr>
          <w:rFonts w:hint="eastAsia" w:eastAsia="宋体"/>
          <w:sz w:val="20"/>
          <w:szCs w:val="20"/>
          <w:lang w:val="en-US" w:eastAsia="zh-CN"/>
        </w:rPr>
        <w:t xml:space="preserve">  </w:t>
      </w:r>
      <w:r>
        <w:rPr>
          <w:rFonts w:eastAsia="PMingLiU"/>
          <w:sz w:val="20"/>
          <w:szCs w:val="20"/>
        </w:rPr>
        <w:tab/>
      </w:r>
      <w:r>
        <w:rPr>
          <w:rFonts w:hint="eastAsia" w:eastAsia="PMingLiU"/>
          <w:sz w:val="20"/>
          <w:szCs w:val="20"/>
        </w:rPr>
        <w:t>填报时间：</w:t>
      </w:r>
      <w:r>
        <w:rPr>
          <w:rFonts w:eastAsia="PMingLiU"/>
          <w:sz w:val="20"/>
          <w:szCs w:val="20"/>
        </w:rPr>
        <w:tab/>
      </w:r>
      <w:r>
        <w:rPr>
          <w:rFonts w:hint="eastAsia" w:eastAsia="宋体"/>
          <w:sz w:val="20"/>
          <w:szCs w:val="20"/>
          <w:lang w:val="en-US" w:eastAsia="zh-CN"/>
        </w:rPr>
        <w:t>2021.4.15</w:t>
      </w:r>
    </w:p>
    <w:tbl>
      <w:tblPr>
        <w:tblStyle w:val="8"/>
        <w:tblW w:w="91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709"/>
        <w:gridCol w:w="2339"/>
        <w:gridCol w:w="1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财政供养人员情况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编制数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0"/>
              </w:rPr>
              <w:t>年实际在职人数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经费控制情况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  <w:lang w:eastAsia="zh-CN"/>
              </w:rPr>
              <w:t>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0"/>
              </w:rPr>
              <w:t>年决算数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0"/>
              </w:rPr>
              <w:t>年预算数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/>
                <w:sz w:val="20"/>
                <w:szCs w:val="20"/>
              </w:rPr>
              <w:t>年决算数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一、部门基本支出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295.73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295.73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267.88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其中：</w:t>
            </w:r>
            <w:r>
              <w:rPr>
                <w:sz w:val="20"/>
                <w:szCs w:val="20"/>
              </w:rPr>
              <w:t xml:space="preserve"> 1</w:t>
            </w:r>
            <w:r>
              <w:rPr>
                <w:rFonts w:hint="eastAsia"/>
                <w:sz w:val="20"/>
                <w:szCs w:val="20"/>
              </w:rPr>
              <w:t>、压缩一般性支出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  <w:lang w:eastAsia="zh-CN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  <w:lang w:eastAsia="zh-CN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2、三公经费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2.8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3.6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100%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公务用车购置和维护经费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公务接待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2.8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3.6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100%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出国经费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z w:val="20"/>
                <w:szCs w:val="20"/>
                <w:lang w:eastAsia="zh-CN"/>
              </w:rPr>
              <w:t>二、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其他收入</w:t>
            </w:r>
            <w:r>
              <w:rPr>
                <w:rFonts w:hint="eastAsia"/>
                <w:sz w:val="20"/>
                <w:szCs w:val="20"/>
              </w:rPr>
              <w:t>支出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0"/>
                <w:szCs w:val="20"/>
                <w:lang w:eastAsia="zh-CN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  <w:lang w:eastAsia="zh-CN"/>
              </w:rPr>
              <w:t>三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经营</w:t>
            </w:r>
            <w:r>
              <w:rPr>
                <w:rFonts w:hint="eastAsia"/>
                <w:sz w:val="20"/>
                <w:szCs w:val="20"/>
              </w:rPr>
              <w:t>支出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0"/>
                <w:szCs w:val="20"/>
                <w:lang w:eastAsia="zh-CN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  <w:lang w:eastAsia="zh-CN"/>
              </w:rPr>
              <w:t>四</w:t>
            </w:r>
            <w:r>
              <w:rPr>
                <w:rFonts w:hint="eastAsia"/>
                <w:sz w:val="20"/>
                <w:szCs w:val="20"/>
              </w:rPr>
              <w:t>、部门项目支出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>
              <w:rPr>
                <w:rFonts w:hint="eastAsia"/>
                <w:sz w:val="20"/>
                <w:szCs w:val="20"/>
              </w:rPr>
              <w:t>、业务工作专项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一个项目一行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0" w:firstLineChars="5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>
              <w:rPr>
                <w:rFonts w:hint="eastAsia"/>
                <w:sz w:val="20"/>
                <w:szCs w:val="20"/>
              </w:rPr>
              <w:t>、运行维护专项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一个项目一行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 xml:space="preserve">        </w:t>
            </w:r>
            <w:r>
              <w:rPr>
                <w:sz w:val="20"/>
                <w:szCs w:val="20"/>
              </w:rPr>
              <w:t>……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rPr>
                <w:rFonts w:eastAsia="仿宋_GB2312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、县级专项资金（一个专项一行）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 xml:space="preserve">         </w:t>
            </w:r>
            <w:r>
              <w:rPr>
                <w:sz w:val="20"/>
                <w:szCs w:val="20"/>
              </w:rPr>
              <w:t>……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0"/>
                <w:szCs w:val="20"/>
                <w:lang w:eastAsia="zh-CN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0"/>
                <w:szCs w:val="20"/>
                <w:lang w:eastAsia="zh-CN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z w:val="20"/>
                <w:szCs w:val="20"/>
                <w:lang w:eastAsia="zh-CN"/>
              </w:rPr>
              <w:t>五、公用经费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171.79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171.79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168.67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政府采购金额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厉行节约保障措施</w:t>
            </w:r>
          </w:p>
        </w:tc>
        <w:tc>
          <w:tcPr>
            <w:tcW w:w="5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  <w:lang w:eastAsia="zh-CN"/>
              </w:rPr>
              <w:t>制定内控制度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</w:tbl>
    <w:p>
      <w:pPr>
        <w:spacing w:beforeLines="20"/>
        <w:rPr>
          <w:sz w:val="20"/>
          <w:szCs w:val="20"/>
        </w:rPr>
      </w:pPr>
      <w:r>
        <w:rPr>
          <w:rFonts w:hint="eastAsia"/>
          <w:sz w:val="20"/>
          <w:szCs w:val="20"/>
        </w:rPr>
        <w:t>说明：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公用经费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>填报基本支出中的一般商品和服务支出；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项目支出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>需要填报基本支出以外的所有项目支出情况，包括业务工作项目、运行维护项目和县级专项资金等。</w:t>
      </w:r>
    </w:p>
    <w:p>
      <w:pPr>
        <w:spacing w:beforeLines="50" w:line="300" w:lineRule="exact"/>
        <w:rPr>
          <w:rFonts w:ascii="宋体" w:hAnsi="宋体" w:eastAsia="宋体" w:cs="宋体"/>
          <w:sz w:val="20"/>
          <w:szCs w:val="20"/>
          <w:lang w:eastAsia="zh-CN"/>
        </w:rPr>
      </w:pPr>
      <w:r>
        <w:rPr>
          <w:rFonts w:hint="eastAsia" w:ascii="宋体" w:hAnsi="宋体" w:cs="宋体"/>
          <w:sz w:val="20"/>
          <w:szCs w:val="20"/>
        </w:rPr>
        <w:t>填表人：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王娟</w:t>
      </w:r>
      <w:r>
        <w:rPr>
          <w:rFonts w:hint="eastAsia" w:ascii="宋体" w:hAnsi="宋体" w:cs="宋体"/>
          <w:sz w:val="20"/>
          <w:szCs w:val="20"/>
        </w:rPr>
        <w:t xml:space="preserve">          联系电话： 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（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0734）6656858</w:t>
      </w:r>
      <w:r>
        <w:rPr>
          <w:rFonts w:hint="eastAsia" w:ascii="宋体" w:hAnsi="宋体" w:cs="宋体"/>
          <w:sz w:val="20"/>
          <w:szCs w:val="20"/>
        </w:rPr>
        <w:t xml:space="preserve">           单位负责人签字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：</w:t>
      </w:r>
    </w:p>
    <w:p>
      <w:pPr>
        <w:spacing w:beforeLines="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eastAsia="仿宋"/>
          <w:sz w:val="32"/>
          <w:szCs w:val="32"/>
        </w:rPr>
        <w:t xml:space="preserve">1-2 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部门整体支出绩效自评表</w:t>
      </w:r>
    </w:p>
    <w:p>
      <w:pPr>
        <w:spacing w:line="320" w:lineRule="exact"/>
        <w:jc w:val="center"/>
        <w:rPr>
          <w:rFonts w:ascii="方正小标宋_GBK" w:eastAsia="方正小标宋_GBK"/>
          <w:sz w:val="28"/>
          <w:szCs w:val="28"/>
        </w:rPr>
      </w:pPr>
      <w:r>
        <w:rPr>
          <w:rFonts w:hint="eastAsia" w:ascii="方正小标宋_GBK" w:eastAsia="方正小标宋_GBK"/>
          <w:sz w:val="28"/>
          <w:szCs w:val="28"/>
        </w:rPr>
        <w:t>（</w:t>
      </w:r>
      <w:r>
        <w:rPr>
          <w:rFonts w:ascii="方正小标宋_GBK" w:eastAsia="方正小标宋_GBK"/>
          <w:sz w:val="28"/>
          <w:szCs w:val="28"/>
        </w:rPr>
        <w:t xml:space="preserve"> </w:t>
      </w:r>
      <w:r>
        <w:rPr>
          <w:rFonts w:hint="eastAsia" w:ascii="方正小标宋_GBK" w:eastAsia="方正小标宋_GBK"/>
          <w:sz w:val="28"/>
          <w:szCs w:val="28"/>
          <w:lang w:eastAsia="zh-CN"/>
        </w:rPr>
        <w:t>202</w:t>
      </w:r>
      <w:r>
        <w:rPr>
          <w:rFonts w:hint="eastAsia" w:ascii="方正小标宋_GBK" w:eastAsia="方正小标宋_GBK"/>
          <w:sz w:val="28"/>
          <w:szCs w:val="28"/>
          <w:lang w:val="en-US" w:eastAsia="zh-CN"/>
        </w:rPr>
        <w:t>1</w:t>
      </w:r>
      <w:r>
        <w:rPr>
          <w:rFonts w:ascii="方正小标宋_GBK" w:eastAsia="方正小标宋_GBK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年度</w:t>
      </w:r>
      <w:r>
        <w:rPr>
          <w:rFonts w:hint="eastAsia" w:ascii="方正小标宋_GBK" w:eastAsia="方正小标宋_GBK"/>
          <w:sz w:val="28"/>
          <w:szCs w:val="28"/>
        </w:rPr>
        <w:t>）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/>
          <w:sz w:val="20"/>
          <w:szCs w:val="20"/>
        </w:rPr>
        <w:t>填报单位（盖章）：</w:t>
      </w:r>
      <w:r>
        <w:rPr>
          <w:rFonts w:hint="eastAsia"/>
          <w:sz w:val="20"/>
          <w:szCs w:val="20"/>
          <w:lang w:eastAsia="zh-CN"/>
        </w:rPr>
        <w:t>衡阳县医疗保障局</w:t>
      </w:r>
      <w:r>
        <w:rPr>
          <w:rFonts w:ascii="宋体"/>
          <w:sz w:val="20"/>
          <w:szCs w:val="20"/>
        </w:rPr>
        <w:t xml:space="preserve">                 </w:t>
      </w:r>
      <w:r>
        <w:rPr>
          <w:rFonts w:hint="eastAsia" w:ascii="宋体" w:eastAsia="宋体"/>
          <w:sz w:val="20"/>
          <w:szCs w:val="20"/>
          <w:lang w:eastAsia="zh-CN"/>
        </w:rPr>
        <w:t xml:space="preserve"> </w:t>
      </w:r>
      <w:r>
        <w:rPr>
          <w:rFonts w:ascii="宋体"/>
          <w:sz w:val="20"/>
          <w:szCs w:val="20"/>
        </w:rPr>
        <w:t xml:space="preserve"> </w:t>
      </w:r>
      <w:r>
        <w:rPr>
          <w:rFonts w:hint="eastAsia" w:ascii="宋体"/>
          <w:sz w:val="20"/>
          <w:szCs w:val="20"/>
        </w:rPr>
        <w:t xml:space="preserve"> 填报时间：</w:t>
      </w:r>
      <w:r>
        <w:rPr>
          <w:rFonts w:hint="eastAsia" w:eastAsia="宋体"/>
          <w:sz w:val="20"/>
          <w:szCs w:val="20"/>
          <w:lang w:val="en-US" w:eastAsia="zh-CN"/>
        </w:rPr>
        <w:t>2021.4.15</w:t>
      </w:r>
    </w:p>
    <w:tbl>
      <w:tblPr>
        <w:tblStyle w:val="8"/>
        <w:tblW w:w="92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101"/>
        <w:gridCol w:w="399"/>
        <w:gridCol w:w="741"/>
        <w:gridCol w:w="609"/>
        <w:gridCol w:w="1335"/>
        <w:gridCol w:w="1290"/>
        <w:gridCol w:w="1110"/>
        <w:gridCol w:w="825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14" w:type="dxa"/>
            <w:vMerge w:val="restart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部门资金（万元）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年初预算数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全年预算数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全年执行数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执行率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分值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textDirection w:val="tbRlV"/>
            <w:vAlign w:val="center"/>
          </w:tcPr>
          <w:p>
            <w:pPr>
              <w:widowControl/>
              <w:ind w:left="113" w:right="113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年度资金总额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118.85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295.73</w:t>
            </w: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295.73</w:t>
            </w: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textDirection w:val="tbRlV"/>
            <w:vAlign w:val="center"/>
          </w:tcPr>
          <w:p>
            <w:pPr>
              <w:widowControl/>
              <w:ind w:left="113" w:right="113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18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按收入性质分</w:t>
            </w:r>
          </w:p>
        </w:tc>
        <w:tc>
          <w:tcPr>
            <w:tcW w:w="421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按支出性质分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textDirection w:val="tbRlV"/>
            <w:vAlign w:val="center"/>
          </w:tcPr>
          <w:p>
            <w:pPr>
              <w:widowControl/>
              <w:ind w:left="113" w:right="113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其中：一般公共预算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295.73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基本支出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295.73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textDirection w:val="tbRlV"/>
            <w:vAlign w:val="center"/>
          </w:tcPr>
          <w:p>
            <w:pPr>
              <w:widowControl/>
              <w:ind w:left="113" w:right="113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政府性基金拨款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其中：人员经费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123.94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textDirection w:val="tbRlV"/>
            <w:vAlign w:val="center"/>
          </w:tcPr>
          <w:p>
            <w:pPr>
              <w:widowControl/>
              <w:ind w:left="113" w:right="113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纳入管理的非税收入拨款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widowControl/>
              <w:ind w:firstLine="400" w:firstLineChars="200"/>
              <w:jc w:val="righ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公用经费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171.79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textDirection w:val="tbRlV"/>
            <w:vAlign w:val="center"/>
          </w:tcPr>
          <w:p>
            <w:pPr>
              <w:widowControl/>
              <w:ind w:left="113" w:right="113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其他资金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项目支出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14" w:type="dxa"/>
            <w:vMerge w:val="restart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年度总体目标</w:t>
            </w:r>
          </w:p>
        </w:tc>
        <w:tc>
          <w:tcPr>
            <w:tcW w:w="418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年初预期（设定）目标　</w:t>
            </w:r>
          </w:p>
        </w:tc>
        <w:tc>
          <w:tcPr>
            <w:tcW w:w="421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全年实际完成情况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814" w:type="dxa"/>
            <w:vMerge w:val="continue"/>
            <w:textDirection w:val="tbRlV"/>
            <w:vAlign w:val="center"/>
          </w:tcPr>
          <w:p>
            <w:pPr>
              <w:widowControl/>
              <w:ind w:left="113" w:right="113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185" w:type="dxa"/>
            <w:gridSpan w:val="5"/>
            <w:vAlign w:val="center"/>
          </w:tcPr>
          <w:p>
            <w:pPr>
              <w:widowControl/>
              <w:numPr>
                <w:ilvl w:val="0"/>
                <w:numId w:val="3"/>
              </w:numPr>
              <w:tabs>
                <w:tab w:val="left" w:pos="312"/>
              </w:tabs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深化医保支付方式改革。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left" w:pos="312"/>
              </w:tabs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加强医保基金监管。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left" w:pos="312"/>
              </w:tabs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抓保障，维护参保群众利益。</w:t>
            </w:r>
          </w:p>
          <w:p>
            <w:pPr>
              <w:widowControl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4.抓征缴，巩固提高参保率。</w:t>
            </w:r>
          </w:p>
        </w:tc>
        <w:tc>
          <w:tcPr>
            <w:tcW w:w="421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已完成年度总体目标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1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绩效指标</w:t>
            </w:r>
          </w:p>
        </w:tc>
        <w:tc>
          <w:tcPr>
            <w:tcW w:w="1101" w:type="dxa"/>
            <w:textDirection w:val="lrTb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一级指标</w:t>
            </w:r>
          </w:p>
        </w:tc>
        <w:tc>
          <w:tcPr>
            <w:tcW w:w="114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二级指标</w:t>
            </w:r>
          </w:p>
        </w:tc>
        <w:tc>
          <w:tcPr>
            <w:tcW w:w="1944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三级指标　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指标值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完成值</w:t>
            </w:r>
          </w:p>
        </w:tc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分值</w:t>
            </w:r>
          </w:p>
        </w:tc>
        <w:tc>
          <w:tcPr>
            <w:tcW w:w="987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814" w:type="dxa"/>
            <w:vMerge w:val="continue"/>
            <w:textDirection w:val="lrTb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产出</w:t>
            </w:r>
          </w:p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指标</w:t>
            </w:r>
          </w:p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（50分）</w:t>
            </w:r>
          </w:p>
        </w:tc>
        <w:tc>
          <w:tcPr>
            <w:tcW w:w="1140" w:type="dxa"/>
            <w:gridSpan w:val="2"/>
            <w:vMerge w:val="restart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数量指标</w:t>
            </w:r>
          </w:p>
        </w:tc>
        <w:tc>
          <w:tcPr>
            <w:tcW w:w="1944" w:type="dxa"/>
            <w:gridSpan w:val="2"/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城乡居民医保参保人数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  <w:r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940000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950978</w:t>
            </w:r>
          </w:p>
        </w:tc>
        <w:tc>
          <w:tcPr>
            <w:tcW w:w="825" w:type="dxa"/>
            <w:vMerge w:val="restart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987" w:type="dxa"/>
            <w:vMerge w:val="restart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Merge w:val="continue"/>
            <w:textDirection w:val="lrTb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01" w:type="dxa"/>
            <w:vMerge w:val="continue"/>
            <w:textDirection w:val="lrTb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continue"/>
            <w:textDirection w:val="lrTb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贫困人员参保人数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  <w:r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69486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69919</w:t>
            </w:r>
          </w:p>
        </w:tc>
        <w:tc>
          <w:tcPr>
            <w:tcW w:w="825" w:type="dxa"/>
            <w:vMerge w:val="continue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87" w:type="dxa"/>
            <w:vMerge w:val="continue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814" w:type="dxa"/>
            <w:vMerge w:val="continue"/>
            <w:textDirection w:val="lrTb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01" w:type="dxa"/>
            <w:vMerge w:val="continue"/>
            <w:textDirection w:val="lrTb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continue"/>
            <w:textDirection w:val="lrTb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城镇职工医保参保人数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widowControl/>
              <w:ind w:firstLine="200" w:firstLineChars="1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≥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56576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57608</w:t>
            </w:r>
          </w:p>
        </w:tc>
        <w:tc>
          <w:tcPr>
            <w:tcW w:w="825" w:type="dxa"/>
            <w:vMerge w:val="continue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87" w:type="dxa"/>
            <w:vMerge w:val="continue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814" w:type="dxa"/>
            <w:vMerge w:val="continue"/>
            <w:textDirection w:val="lrTb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01" w:type="dxa"/>
            <w:vMerge w:val="continue"/>
            <w:textDirection w:val="lrTb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  <w:textDirection w:val="lrTb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质量指标</w:t>
            </w:r>
          </w:p>
        </w:tc>
        <w:tc>
          <w:tcPr>
            <w:tcW w:w="1944" w:type="dxa"/>
            <w:gridSpan w:val="2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各项工作完成达标率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5" w:type="dxa"/>
            <w:vMerge w:val="continue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87" w:type="dxa"/>
            <w:vMerge w:val="continue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814" w:type="dxa"/>
            <w:vMerge w:val="continue"/>
            <w:textDirection w:val="lrTb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01" w:type="dxa"/>
            <w:vMerge w:val="continue"/>
            <w:textDirection w:val="lrTb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continue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对协议医疗机构稽查率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5" w:type="dxa"/>
            <w:vMerge w:val="continue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87" w:type="dxa"/>
            <w:vMerge w:val="continue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814" w:type="dxa"/>
            <w:vMerge w:val="continue"/>
            <w:textDirection w:val="lrTb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01" w:type="dxa"/>
            <w:vMerge w:val="continue"/>
            <w:textDirection w:val="lrTb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时效指标</w:t>
            </w:r>
          </w:p>
        </w:tc>
        <w:tc>
          <w:tcPr>
            <w:tcW w:w="1944" w:type="dxa"/>
            <w:gridSpan w:val="2"/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各项工作及时完成率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90%</w:t>
            </w:r>
          </w:p>
        </w:tc>
        <w:tc>
          <w:tcPr>
            <w:tcW w:w="825" w:type="dxa"/>
            <w:vMerge w:val="continue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87" w:type="dxa"/>
            <w:vMerge w:val="continue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  <w:jc w:val="center"/>
        </w:trPr>
        <w:tc>
          <w:tcPr>
            <w:tcW w:w="814" w:type="dxa"/>
            <w:vMerge w:val="continue"/>
            <w:textDirection w:val="lrTb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01" w:type="dxa"/>
            <w:vMerge w:val="continue"/>
            <w:textDirection w:val="lrTb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extDirection w:val="lrTb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成本</w:t>
            </w:r>
            <w:r>
              <w:rPr>
                <w:rFonts w:hint="eastAsia" w:ascii="宋体" w:hAnsi="宋体" w:cs="宋体"/>
                <w:sz w:val="20"/>
                <w:szCs w:val="20"/>
              </w:rPr>
              <w:t>指标</w:t>
            </w:r>
          </w:p>
        </w:tc>
        <w:tc>
          <w:tcPr>
            <w:tcW w:w="1944" w:type="dxa"/>
            <w:gridSpan w:val="2"/>
            <w:textDirection w:val="lrTb"/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基本支出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不超过预算数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未超预算</w:t>
            </w:r>
          </w:p>
        </w:tc>
        <w:tc>
          <w:tcPr>
            <w:tcW w:w="825" w:type="dxa"/>
            <w:vMerge w:val="continue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87" w:type="dxa"/>
            <w:vMerge w:val="continue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exact"/>
          <w:jc w:val="center"/>
        </w:trPr>
        <w:tc>
          <w:tcPr>
            <w:tcW w:w="814" w:type="dxa"/>
            <w:vMerge w:val="restart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绩效指标</w:t>
            </w:r>
          </w:p>
        </w:tc>
        <w:tc>
          <w:tcPr>
            <w:tcW w:w="1101" w:type="dxa"/>
            <w:vMerge w:val="restart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效益</w:t>
            </w:r>
          </w:p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指标</w:t>
            </w:r>
          </w:p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（30分）</w:t>
            </w:r>
          </w:p>
        </w:tc>
        <w:tc>
          <w:tcPr>
            <w:tcW w:w="114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经济效益指标</w:t>
            </w:r>
          </w:p>
        </w:tc>
        <w:tc>
          <w:tcPr>
            <w:tcW w:w="1944" w:type="dxa"/>
            <w:gridSpan w:val="2"/>
            <w:textDirection w:val="lrTb"/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维持基金收支平衡，略有结余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平衡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基本平衡</w:t>
            </w:r>
          </w:p>
        </w:tc>
        <w:tc>
          <w:tcPr>
            <w:tcW w:w="825" w:type="dxa"/>
            <w:vMerge w:val="restart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87" w:type="dxa"/>
            <w:vMerge w:val="restart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814" w:type="dxa"/>
            <w:vMerge w:val="continue"/>
            <w:textDirection w:val="lrTb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01" w:type="dxa"/>
            <w:vMerge w:val="continue"/>
            <w:textDirection w:val="lrTb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社会效益指标</w:t>
            </w:r>
          </w:p>
        </w:tc>
        <w:tc>
          <w:tcPr>
            <w:tcW w:w="1944" w:type="dxa"/>
            <w:gridSpan w:val="2"/>
            <w:textDirection w:val="lrTb"/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通过项目的实施，确保资金使用效率，保障各项工作顺利开展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平稳运行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平稳运行</w:t>
            </w:r>
          </w:p>
        </w:tc>
        <w:tc>
          <w:tcPr>
            <w:tcW w:w="825" w:type="dxa"/>
            <w:vMerge w:val="continue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87" w:type="dxa"/>
            <w:vMerge w:val="continue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exact"/>
          <w:jc w:val="center"/>
        </w:trPr>
        <w:tc>
          <w:tcPr>
            <w:tcW w:w="814" w:type="dxa"/>
            <w:vMerge w:val="continue"/>
            <w:textDirection w:val="lrTb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01" w:type="dxa"/>
            <w:vMerge w:val="continue"/>
            <w:textDirection w:val="lrTb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continue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extDirection w:val="lrTb"/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保障广大参保人员的医疗待遇，维护社会的稳定。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保障广大参保人员的医疗待遇，维护社会的稳定。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保障广大参保人员的医疗待遇，维护社会的稳定。</w:t>
            </w:r>
          </w:p>
        </w:tc>
        <w:tc>
          <w:tcPr>
            <w:tcW w:w="825" w:type="dxa"/>
            <w:vMerge w:val="continue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87" w:type="dxa"/>
            <w:vMerge w:val="continue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814" w:type="dxa"/>
            <w:vMerge w:val="continue"/>
            <w:textDirection w:val="lrTb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01" w:type="dxa"/>
            <w:vMerge w:val="continue"/>
            <w:textDirection w:val="lrTb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可持续影响指标</w:t>
            </w:r>
          </w:p>
        </w:tc>
        <w:tc>
          <w:tcPr>
            <w:tcW w:w="1944" w:type="dxa"/>
            <w:gridSpan w:val="2"/>
            <w:textDirection w:val="lrTb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体现政策导向，长期保障工作平稳进行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长期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长期</w:t>
            </w:r>
          </w:p>
        </w:tc>
        <w:tc>
          <w:tcPr>
            <w:tcW w:w="825" w:type="dxa"/>
            <w:vMerge w:val="continue"/>
            <w:textDirection w:val="lrTb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987" w:type="dxa"/>
            <w:vMerge w:val="continue"/>
            <w:textDirection w:val="lrTb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exact"/>
          <w:jc w:val="center"/>
        </w:trPr>
        <w:tc>
          <w:tcPr>
            <w:tcW w:w="814" w:type="dxa"/>
            <w:vMerge w:val="continue"/>
            <w:textDirection w:val="lrTb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01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满意度</w:t>
            </w:r>
          </w:p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指标</w:t>
            </w:r>
          </w:p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（10分）</w:t>
            </w:r>
          </w:p>
        </w:tc>
        <w:tc>
          <w:tcPr>
            <w:tcW w:w="114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社会公众或服务对象满意度指标</w:t>
            </w:r>
          </w:p>
        </w:tc>
        <w:tc>
          <w:tcPr>
            <w:tcW w:w="1944" w:type="dxa"/>
            <w:gridSpan w:val="2"/>
            <w:textDirection w:val="lrTb"/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参保人员满意度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98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87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3055" w:type="dxa"/>
            <w:gridSpan w:val="4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综合评定等级</w:t>
            </w:r>
          </w:p>
        </w:tc>
        <w:tc>
          <w:tcPr>
            <w:tcW w:w="1944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优秀</w:t>
            </w:r>
          </w:p>
        </w:tc>
        <w:tc>
          <w:tcPr>
            <w:tcW w:w="240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总  分</w:t>
            </w:r>
          </w:p>
        </w:tc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100</w:t>
            </w:r>
          </w:p>
        </w:tc>
        <w:tc>
          <w:tcPr>
            <w:tcW w:w="987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9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</w:t>
            </w:r>
          </w:p>
        </w:tc>
      </w:tr>
    </w:tbl>
    <w:p>
      <w:pPr>
        <w:spacing w:beforeLines="100" w:line="300" w:lineRule="exac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填表人：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王娟</w:t>
      </w:r>
      <w:r>
        <w:rPr>
          <w:rFonts w:hint="eastAsia" w:ascii="宋体" w:hAnsi="宋体" w:cs="宋体"/>
          <w:sz w:val="20"/>
          <w:szCs w:val="20"/>
        </w:rPr>
        <w:t xml:space="preserve">        联系电话：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（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0734）6656858</w:t>
      </w:r>
      <w:r>
        <w:rPr>
          <w:rFonts w:hint="eastAsia" w:ascii="宋体" w:hAnsi="宋体" w:cs="宋体"/>
          <w:sz w:val="20"/>
          <w:szCs w:val="20"/>
        </w:rPr>
        <w:t xml:space="preserve">         单位负责人签字：</w:t>
      </w:r>
    </w:p>
    <w:p>
      <w:pPr>
        <w:spacing w:line="300" w:lineRule="exact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说明：1.评价等级分为优秀（S≥90）、良好（90＞S≥80）、较差（80＞S≥60）、 </w:t>
      </w:r>
    </w:p>
    <w:p>
      <w:pPr>
        <w:spacing w:line="300" w:lineRule="exact"/>
        <w:rPr>
          <w:rFonts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 差（S＜60）</w:t>
      </w:r>
      <w:r>
        <w:rPr>
          <w:rFonts w:hint="eastAsia" w:eastAsia="仿宋_GB2312"/>
          <w:sz w:val="20"/>
          <w:szCs w:val="20"/>
        </w:rPr>
        <w:t>。</w:t>
      </w:r>
    </w:p>
    <w:p>
      <w:pPr>
        <w:spacing w:line="300" w:lineRule="exact"/>
        <w:rPr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2.三级绩效指标按需自行增减行。不涉及的二级指标可删除不要。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ebdings"/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modern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PMingLiU-ExtB">
    <w:panose1 w:val="02020500000000000000"/>
    <w:charset w:val="88"/>
    <w:family w:val="modern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swiss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PMingLiU-ExtB">
    <w:panose1 w:val="02020500000000000000"/>
    <w:charset w:val="88"/>
    <w:family w:val="swiss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decorative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PMingLiU-ExtB">
    <w:panose1 w:val="02020500000000000000"/>
    <w:charset w:val="88"/>
    <w:family w:val="decorative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3710940</wp:posOffset>
              </wp:positionH>
              <wp:positionV relativeFrom="page">
                <wp:posOffset>9890125</wp:posOffset>
              </wp:positionV>
              <wp:extent cx="3175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" cy="109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92.2pt;margin-top:778.75pt;height:8.65pt;width:2.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kIbVd1wAAAA0B&#10;AAAPAAAAAAAAAAEAIAAAACIAAABkcnMvZG93bnJldi54bWxQSwECFAAUAAAACACHTuJAW17tiqoB&#10;AABZAwAADgAAAAAAAAABACAAAAAmAQAAZHJzL2Uyb0RvYy54bWxQSwUGAAAAAAYABgBZAQAAQgUA&#10;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06864817">
    <w:nsid w:val="5FC6CFB1"/>
    <w:multiLevelType w:val="singleLevel"/>
    <w:tmpl w:val="5FC6CFB1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51722344">
    <w:nsid w:val="62734868"/>
    <w:multiLevelType w:val="singleLevel"/>
    <w:tmpl w:val="62734868"/>
    <w:lvl w:ilvl="0" w:tentative="1">
      <w:start w:val="2"/>
      <w:numFmt w:val="chineseCounting"/>
      <w:suff w:val="nothing"/>
      <w:lvlText w:val="（%1）"/>
      <w:lvlJc w:val="left"/>
    </w:lvl>
  </w:abstractNum>
  <w:abstractNum w:abstractNumId="1292133725">
    <w:nsid w:val="4D04655D"/>
    <w:multiLevelType w:val="singleLevel"/>
    <w:tmpl w:val="4D04655D"/>
    <w:lvl w:ilvl="0" w:tentative="1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651722344"/>
  </w:num>
  <w:num w:numId="2">
    <w:abstractNumId w:val="1292133725"/>
  </w:num>
  <w:num w:numId="3">
    <w:abstractNumId w:val="16068648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F6146"/>
    <w:rsid w:val="000A3647"/>
    <w:rsid w:val="001372A3"/>
    <w:rsid w:val="00166A3F"/>
    <w:rsid w:val="002150C4"/>
    <w:rsid w:val="0062613B"/>
    <w:rsid w:val="006832BA"/>
    <w:rsid w:val="006E3516"/>
    <w:rsid w:val="007470CC"/>
    <w:rsid w:val="00793554"/>
    <w:rsid w:val="009A733F"/>
    <w:rsid w:val="009B4CDC"/>
    <w:rsid w:val="00B61B65"/>
    <w:rsid w:val="00C77BC1"/>
    <w:rsid w:val="00D173D0"/>
    <w:rsid w:val="019604A9"/>
    <w:rsid w:val="020F463A"/>
    <w:rsid w:val="021C6183"/>
    <w:rsid w:val="02742095"/>
    <w:rsid w:val="02EB5557"/>
    <w:rsid w:val="02EC1E1C"/>
    <w:rsid w:val="037B73C5"/>
    <w:rsid w:val="038C1AB9"/>
    <w:rsid w:val="041F0287"/>
    <w:rsid w:val="042C3965"/>
    <w:rsid w:val="049703BA"/>
    <w:rsid w:val="04F25310"/>
    <w:rsid w:val="050104C5"/>
    <w:rsid w:val="05595040"/>
    <w:rsid w:val="058D22A7"/>
    <w:rsid w:val="065A3F7A"/>
    <w:rsid w:val="067370A2"/>
    <w:rsid w:val="06BF5FB2"/>
    <w:rsid w:val="06DE514C"/>
    <w:rsid w:val="07115CA7"/>
    <w:rsid w:val="072D591F"/>
    <w:rsid w:val="074D5B0C"/>
    <w:rsid w:val="0789466C"/>
    <w:rsid w:val="078B7B6F"/>
    <w:rsid w:val="07FD6770"/>
    <w:rsid w:val="08E46EA7"/>
    <w:rsid w:val="08EF7436"/>
    <w:rsid w:val="08F93189"/>
    <w:rsid w:val="090D69E6"/>
    <w:rsid w:val="092C0ECC"/>
    <w:rsid w:val="092D4D1C"/>
    <w:rsid w:val="09A24CDB"/>
    <w:rsid w:val="0A2A393B"/>
    <w:rsid w:val="0AF05C82"/>
    <w:rsid w:val="0B1E54CC"/>
    <w:rsid w:val="0B223ED3"/>
    <w:rsid w:val="0B7329D8"/>
    <w:rsid w:val="0B742D3E"/>
    <w:rsid w:val="0BB50EC3"/>
    <w:rsid w:val="0C3A39D7"/>
    <w:rsid w:val="0C6C17F5"/>
    <w:rsid w:val="0CF41FF2"/>
    <w:rsid w:val="0DC51F28"/>
    <w:rsid w:val="0EE56BF8"/>
    <w:rsid w:val="0F4D7E31"/>
    <w:rsid w:val="0FD57709"/>
    <w:rsid w:val="107B27A5"/>
    <w:rsid w:val="10A81C60"/>
    <w:rsid w:val="11356731"/>
    <w:rsid w:val="11383ACD"/>
    <w:rsid w:val="11454358"/>
    <w:rsid w:val="121730A0"/>
    <w:rsid w:val="124F71D2"/>
    <w:rsid w:val="125C25AB"/>
    <w:rsid w:val="12845CEE"/>
    <w:rsid w:val="12A904AC"/>
    <w:rsid w:val="13806E8A"/>
    <w:rsid w:val="13885A50"/>
    <w:rsid w:val="14132B4A"/>
    <w:rsid w:val="143E3DC5"/>
    <w:rsid w:val="14640782"/>
    <w:rsid w:val="154D4B82"/>
    <w:rsid w:val="16165BCA"/>
    <w:rsid w:val="162A30C2"/>
    <w:rsid w:val="16652160"/>
    <w:rsid w:val="16802D44"/>
    <w:rsid w:val="16CB43F4"/>
    <w:rsid w:val="16ED48B0"/>
    <w:rsid w:val="17244A82"/>
    <w:rsid w:val="174552D3"/>
    <w:rsid w:val="17765045"/>
    <w:rsid w:val="17A05D49"/>
    <w:rsid w:val="17BB757F"/>
    <w:rsid w:val="18494076"/>
    <w:rsid w:val="186F4AA4"/>
    <w:rsid w:val="187334AB"/>
    <w:rsid w:val="18A03075"/>
    <w:rsid w:val="19623A89"/>
    <w:rsid w:val="1A8C3B1A"/>
    <w:rsid w:val="1AF731C9"/>
    <w:rsid w:val="1B535AE1"/>
    <w:rsid w:val="1B772807"/>
    <w:rsid w:val="1BEE7E1F"/>
    <w:rsid w:val="1C7A3345"/>
    <w:rsid w:val="1CA862F7"/>
    <w:rsid w:val="1D0C45DD"/>
    <w:rsid w:val="1D1B77EF"/>
    <w:rsid w:val="1D297C66"/>
    <w:rsid w:val="1D7C63EB"/>
    <w:rsid w:val="1DA41B2E"/>
    <w:rsid w:val="1DDE029B"/>
    <w:rsid w:val="1DE86D9F"/>
    <w:rsid w:val="1E9E304B"/>
    <w:rsid w:val="1F0A6DE6"/>
    <w:rsid w:val="1F184F13"/>
    <w:rsid w:val="204F718E"/>
    <w:rsid w:val="20940C60"/>
    <w:rsid w:val="20B117B1"/>
    <w:rsid w:val="21733A6D"/>
    <w:rsid w:val="2203115E"/>
    <w:rsid w:val="22077B64"/>
    <w:rsid w:val="225A62E9"/>
    <w:rsid w:val="2278331B"/>
    <w:rsid w:val="23007D7C"/>
    <w:rsid w:val="233D435E"/>
    <w:rsid w:val="23C977C5"/>
    <w:rsid w:val="23DC5161"/>
    <w:rsid w:val="24362377"/>
    <w:rsid w:val="24710ED7"/>
    <w:rsid w:val="247F3A70"/>
    <w:rsid w:val="24821172"/>
    <w:rsid w:val="249F6523"/>
    <w:rsid w:val="254F5042"/>
    <w:rsid w:val="25733F7D"/>
    <w:rsid w:val="258C4EA7"/>
    <w:rsid w:val="25D6079F"/>
    <w:rsid w:val="2612581C"/>
    <w:rsid w:val="26683591"/>
    <w:rsid w:val="267C3FE9"/>
    <w:rsid w:val="26E044D4"/>
    <w:rsid w:val="277A46D2"/>
    <w:rsid w:val="279D398E"/>
    <w:rsid w:val="27B91672"/>
    <w:rsid w:val="282412E8"/>
    <w:rsid w:val="283B0F0D"/>
    <w:rsid w:val="28CC07FC"/>
    <w:rsid w:val="29030351"/>
    <w:rsid w:val="2914771C"/>
    <w:rsid w:val="296A4C04"/>
    <w:rsid w:val="29D63286"/>
    <w:rsid w:val="2A0F162A"/>
    <w:rsid w:val="2A365850"/>
    <w:rsid w:val="2A5C58A1"/>
    <w:rsid w:val="2A66059D"/>
    <w:rsid w:val="2A68716D"/>
    <w:rsid w:val="2A6C5D2A"/>
    <w:rsid w:val="2ACB6415"/>
    <w:rsid w:val="2B966A1E"/>
    <w:rsid w:val="2BDE1084"/>
    <w:rsid w:val="2BFC151F"/>
    <w:rsid w:val="2D2A6B27"/>
    <w:rsid w:val="2D373C3F"/>
    <w:rsid w:val="2D863045"/>
    <w:rsid w:val="2D976F75"/>
    <w:rsid w:val="2DA1586C"/>
    <w:rsid w:val="2DC25DA1"/>
    <w:rsid w:val="2DF43FF2"/>
    <w:rsid w:val="2E40086E"/>
    <w:rsid w:val="2E886A64"/>
    <w:rsid w:val="2EF47418"/>
    <w:rsid w:val="2EFD2155"/>
    <w:rsid w:val="2EFE7D27"/>
    <w:rsid w:val="2EFF57A9"/>
    <w:rsid w:val="2F7666EC"/>
    <w:rsid w:val="2FBE2364"/>
    <w:rsid w:val="2FD25781"/>
    <w:rsid w:val="2FE85726"/>
    <w:rsid w:val="3076337E"/>
    <w:rsid w:val="312E7E64"/>
    <w:rsid w:val="316226DC"/>
    <w:rsid w:val="31740730"/>
    <w:rsid w:val="31930FE5"/>
    <w:rsid w:val="321F6146"/>
    <w:rsid w:val="32491A0D"/>
    <w:rsid w:val="32AC1B81"/>
    <w:rsid w:val="32B2363B"/>
    <w:rsid w:val="33387117"/>
    <w:rsid w:val="340B70F0"/>
    <w:rsid w:val="346F6E14"/>
    <w:rsid w:val="36116540"/>
    <w:rsid w:val="36273EC1"/>
    <w:rsid w:val="36374201"/>
    <w:rsid w:val="364144FE"/>
    <w:rsid w:val="364E3E27"/>
    <w:rsid w:val="365B56BB"/>
    <w:rsid w:val="3726190B"/>
    <w:rsid w:val="373867FA"/>
    <w:rsid w:val="377F1F9A"/>
    <w:rsid w:val="37F66761"/>
    <w:rsid w:val="38022573"/>
    <w:rsid w:val="380E0584"/>
    <w:rsid w:val="38FC4989"/>
    <w:rsid w:val="397316E7"/>
    <w:rsid w:val="3ACB78F1"/>
    <w:rsid w:val="3B142DFB"/>
    <w:rsid w:val="3B266598"/>
    <w:rsid w:val="3B7971F6"/>
    <w:rsid w:val="3BFD733B"/>
    <w:rsid w:val="3C3641D7"/>
    <w:rsid w:val="3C635FA0"/>
    <w:rsid w:val="3CDF336B"/>
    <w:rsid w:val="3CF41895"/>
    <w:rsid w:val="3D6136EA"/>
    <w:rsid w:val="3D8D7FE7"/>
    <w:rsid w:val="3DC52364"/>
    <w:rsid w:val="3E791AB2"/>
    <w:rsid w:val="3FF53C7D"/>
    <w:rsid w:val="408718B0"/>
    <w:rsid w:val="41284F74"/>
    <w:rsid w:val="412D71FD"/>
    <w:rsid w:val="41E44E04"/>
    <w:rsid w:val="41EE1268"/>
    <w:rsid w:val="42CF43AB"/>
    <w:rsid w:val="42EE2BA6"/>
    <w:rsid w:val="42F02361"/>
    <w:rsid w:val="432263B4"/>
    <w:rsid w:val="43D76DDC"/>
    <w:rsid w:val="43D90F6E"/>
    <w:rsid w:val="43F819C7"/>
    <w:rsid w:val="44027C20"/>
    <w:rsid w:val="44146C41"/>
    <w:rsid w:val="4431076F"/>
    <w:rsid w:val="443B57AC"/>
    <w:rsid w:val="448D7804"/>
    <w:rsid w:val="451F3BFF"/>
    <w:rsid w:val="455E7EDC"/>
    <w:rsid w:val="45847A13"/>
    <w:rsid w:val="458B1CA5"/>
    <w:rsid w:val="45D536C7"/>
    <w:rsid w:val="46CB4054"/>
    <w:rsid w:val="46D22475"/>
    <w:rsid w:val="475F6BEF"/>
    <w:rsid w:val="484A350E"/>
    <w:rsid w:val="48E01D1C"/>
    <w:rsid w:val="495E03EC"/>
    <w:rsid w:val="49E4194A"/>
    <w:rsid w:val="49E515CA"/>
    <w:rsid w:val="4A1108C4"/>
    <w:rsid w:val="4A1A65A1"/>
    <w:rsid w:val="4AF64C8A"/>
    <w:rsid w:val="4B095EA9"/>
    <w:rsid w:val="4B471C6C"/>
    <w:rsid w:val="4BB61845"/>
    <w:rsid w:val="4BCD146B"/>
    <w:rsid w:val="4BD4104F"/>
    <w:rsid w:val="4BE56B11"/>
    <w:rsid w:val="4CD77F5D"/>
    <w:rsid w:val="4CF335C0"/>
    <w:rsid w:val="4DEC1465"/>
    <w:rsid w:val="4E4740FD"/>
    <w:rsid w:val="4E566916"/>
    <w:rsid w:val="4E7B1FCD"/>
    <w:rsid w:val="4EB449D9"/>
    <w:rsid w:val="4ED02D5C"/>
    <w:rsid w:val="4EEA241A"/>
    <w:rsid w:val="4F1008F0"/>
    <w:rsid w:val="4F133A3F"/>
    <w:rsid w:val="4F791EF0"/>
    <w:rsid w:val="4FA61ABB"/>
    <w:rsid w:val="4FA871BC"/>
    <w:rsid w:val="4FC000E6"/>
    <w:rsid w:val="501F5F01"/>
    <w:rsid w:val="5026588C"/>
    <w:rsid w:val="50473843"/>
    <w:rsid w:val="50E720C7"/>
    <w:rsid w:val="51156ACC"/>
    <w:rsid w:val="514A216C"/>
    <w:rsid w:val="51B43D99"/>
    <w:rsid w:val="521F5647"/>
    <w:rsid w:val="528D5C7B"/>
    <w:rsid w:val="52AA302D"/>
    <w:rsid w:val="52B72BAA"/>
    <w:rsid w:val="52E03507"/>
    <w:rsid w:val="53556033"/>
    <w:rsid w:val="537A0D50"/>
    <w:rsid w:val="53CE790C"/>
    <w:rsid w:val="54327630"/>
    <w:rsid w:val="549B63C9"/>
    <w:rsid w:val="549D6CE0"/>
    <w:rsid w:val="54B21203"/>
    <w:rsid w:val="551B75AE"/>
    <w:rsid w:val="556E63D7"/>
    <w:rsid w:val="55EF19B9"/>
    <w:rsid w:val="55F31810"/>
    <w:rsid w:val="56C96374"/>
    <w:rsid w:val="56D51E02"/>
    <w:rsid w:val="56E755A0"/>
    <w:rsid w:val="57514FCF"/>
    <w:rsid w:val="57871058"/>
    <w:rsid w:val="57F03918"/>
    <w:rsid w:val="57F91F65"/>
    <w:rsid w:val="58175C92"/>
    <w:rsid w:val="58200B20"/>
    <w:rsid w:val="588D6F55"/>
    <w:rsid w:val="598A2556"/>
    <w:rsid w:val="5A6E5FFC"/>
    <w:rsid w:val="5A7B6781"/>
    <w:rsid w:val="5B5B0B3C"/>
    <w:rsid w:val="5B64594E"/>
    <w:rsid w:val="5B742467"/>
    <w:rsid w:val="5B7966A3"/>
    <w:rsid w:val="5B9B2CA8"/>
    <w:rsid w:val="5BD844BF"/>
    <w:rsid w:val="5C183C23"/>
    <w:rsid w:val="5CAB020A"/>
    <w:rsid w:val="5CC10BB9"/>
    <w:rsid w:val="5CD171F5"/>
    <w:rsid w:val="5E3D5A5F"/>
    <w:rsid w:val="5E51004B"/>
    <w:rsid w:val="5E5350B8"/>
    <w:rsid w:val="5E766F86"/>
    <w:rsid w:val="5E77028A"/>
    <w:rsid w:val="5F6709DC"/>
    <w:rsid w:val="5F8416C1"/>
    <w:rsid w:val="5FA93813"/>
    <w:rsid w:val="60C06FCE"/>
    <w:rsid w:val="60C55551"/>
    <w:rsid w:val="614F1C31"/>
    <w:rsid w:val="61E459C1"/>
    <w:rsid w:val="61FF1DD5"/>
    <w:rsid w:val="62127771"/>
    <w:rsid w:val="63033C02"/>
    <w:rsid w:val="632772B9"/>
    <w:rsid w:val="637473B8"/>
    <w:rsid w:val="63A47F08"/>
    <w:rsid w:val="64305158"/>
    <w:rsid w:val="64312FEF"/>
    <w:rsid w:val="6444325A"/>
    <w:rsid w:val="64C21053"/>
    <w:rsid w:val="652012EF"/>
    <w:rsid w:val="6536289C"/>
    <w:rsid w:val="65CF57F0"/>
    <w:rsid w:val="65D06F05"/>
    <w:rsid w:val="66014146"/>
    <w:rsid w:val="66277C26"/>
    <w:rsid w:val="66BD5B9B"/>
    <w:rsid w:val="66C14421"/>
    <w:rsid w:val="66C33328"/>
    <w:rsid w:val="66CA7430"/>
    <w:rsid w:val="66FE7B44"/>
    <w:rsid w:val="676B6BA4"/>
    <w:rsid w:val="676B6FB9"/>
    <w:rsid w:val="677C4CD5"/>
    <w:rsid w:val="67976142"/>
    <w:rsid w:val="67A07417"/>
    <w:rsid w:val="687F107F"/>
    <w:rsid w:val="68BE32F8"/>
    <w:rsid w:val="68C77275"/>
    <w:rsid w:val="693B39B1"/>
    <w:rsid w:val="69475245"/>
    <w:rsid w:val="69B05949"/>
    <w:rsid w:val="6A664E41"/>
    <w:rsid w:val="6A894958"/>
    <w:rsid w:val="6AD12B4E"/>
    <w:rsid w:val="6B007E19"/>
    <w:rsid w:val="6B0525B9"/>
    <w:rsid w:val="6B6C2003"/>
    <w:rsid w:val="6B8A4544"/>
    <w:rsid w:val="6BE11867"/>
    <w:rsid w:val="6D6F471B"/>
    <w:rsid w:val="6DB07703"/>
    <w:rsid w:val="6DD30BBC"/>
    <w:rsid w:val="6E2A15CB"/>
    <w:rsid w:val="6E3147D9"/>
    <w:rsid w:val="6EC12DC3"/>
    <w:rsid w:val="6F590441"/>
    <w:rsid w:val="701B1D7B"/>
    <w:rsid w:val="70394BAE"/>
    <w:rsid w:val="70D54F03"/>
    <w:rsid w:val="711C51A1"/>
    <w:rsid w:val="71876A4E"/>
    <w:rsid w:val="71A27D9E"/>
    <w:rsid w:val="71B02310"/>
    <w:rsid w:val="72AA6777"/>
    <w:rsid w:val="72AF68AE"/>
    <w:rsid w:val="734D0939"/>
    <w:rsid w:val="736175D9"/>
    <w:rsid w:val="74B72109"/>
    <w:rsid w:val="752121F5"/>
    <w:rsid w:val="753A255D"/>
    <w:rsid w:val="758F7BEE"/>
    <w:rsid w:val="760807B1"/>
    <w:rsid w:val="767F74F6"/>
    <w:rsid w:val="769B7F52"/>
    <w:rsid w:val="76E13D18"/>
    <w:rsid w:val="772E0594"/>
    <w:rsid w:val="77BA39FB"/>
    <w:rsid w:val="77BE5C84"/>
    <w:rsid w:val="78555DF8"/>
    <w:rsid w:val="79217ACA"/>
    <w:rsid w:val="79EA7513"/>
    <w:rsid w:val="79FC487B"/>
    <w:rsid w:val="7A3F6E68"/>
    <w:rsid w:val="7AA9084B"/>
    <w:rsid w:val="7AE322EF"/>
    <w:rsid w:val="7AF122C4"/>
    <w:rsid w:val="7BDA4600"/>
    <w:rsid w:val="7BDF08C7"/>
    <w:rsid w:val="7BF079AA"/>
    <w:rsid w:val="7BF604ED"/>
    <w:rsid w:val="7C7A0AC6"/>
    <w:rsid w:val="7C8932DF"/>
    <w:rsid w:val="7CBE5D37"/>
    <w:rsid w:val="7CC23CA0"/>
    <w:rsid w:val="7D27319B"/>
    <w:rsid w:val="7D4C0FC7"/>
    <w:rsid w:val="7D8B1ADA"/>
    <w:rsid w:val="7DC43066"/>
    <w:rsid w:val="7DD86484"/>
    <w:rsid w:val="7DDF5E0F"/>
    <w:rsid w:val="7E7A3A8F"/>
    <w:rsid w:val="7EB217BB"/>
    <w:rsid w:val="7EF16F50"/>
    <w:rsid w:val="7F47795F"/>
    <w:rsid w:val="7F7B6E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hint="default" w:ascii="Cambria" w:hAnsi="Cambria" w:eastAsia="宋体"/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uiPriority w:val="0"/>
    <w:pPr>
      <w:ind w:left="1680"/>
    </w:pPr>
  </w:style>
  <w:style w:type="paragraph" w:styleId="5">
    <w:name w:val="annotation text"/>
    <w:basedOn w:val="1"/>
    <w:qFormat/>
    <w:uiPriority w:val="0"/>
  </w:style>
  <w:style w:type="paragraph" w:styleId="6">
    <w:name w:val="Normal (Web)"/>
    <w:basedOn w:val="1"/>
    <w:qFormat/>
    <w:uiPriority w:val="99"/>
    <w:pPr>
      <w:spacing w:beforeAutospacing="1" w:afterAutospacing="1"/>
    </w:pPr>
  </w:style>
  <w:style w:type="paragraph" w:customStyle="1" w:styleId="9">
    <w:name w:val="Body text|1"/>
    <w:basedOn w:val="1"/>
    <w:qFormat/>
    <w:uiPriority w:val="0"/>
    <w:pPr>
      <w:spacing w:line="415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paragraph" w:customStyle="1" w:styleId="11">
    <w:name w:val="04正文"/>
    <w:basedOn w:val="1"/>
    <w:qFormat/>
    <w:uiPriority w:val="0"/>
    <w:pPr>
      <w:keepNext w:val="0"/>
      <w:keepLines w:val="0"/>
      <w:widowControl/>
      <w:adjustRightInd w:val="0"/>
      <w:snapToGrid w:val="0"/>
      <w:spacing w:before="0" w:after="0" w:line="360" w:lineRule="auto"/>
      <w:ind w:firstLine="200" w:firstLineChars="200"/>
      <w:jc w:val="both"/>
      <w:outlineLvl w:val="9"/>
    </w:pPr>
    <w:rPr>
      <w:rFonts w:ascii="Times New Roman" w:hAnsi="Times New Roman" w:eastAsia="仿宋" w:cs="Times New Roman"/>
      <w:color w:val="auto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1205</Words>
  <Characters>6873</Characters>
  <Lines>57</Lines>
  <Paragraphs>16</Paragraphs>
  <ScaleCrop>false</ScaleCrop>
  <LinksUpToDate>false</LinksUpToDate>
  <CharactersWithSpaces>8062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2021-05-14T02:03:00Z</dcterms:created>
  <dc:creator>糖糖</dc:creator>
  <cp:lastModifiedBy>lenovo</cp:lastModifiedBy>
  <cp:lastPrinted>2022-04-01T01:34:00Z</cp:lastPrinted>
  <dcterms:modified xsi:type="dcterms:W3CDTF">2022-05-16T03:02:54Z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  <property fmtid="{D5CDD505-2E9C-101B-9397-08002B2CF9AE}" pid="3" name="ICV">
    <vt:lpwstr>1EE1E93C59AA445184499DB0ABD9B651</vt:lpwstr>
  </property>
</Properties>
</file>