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_GBK" w:eastAsia="方正小标宋_GBK"/>
          <w:sz w:val="44"/>
          <w:szCs w:val="44"/>
          <w:lang w:eastAsia="zh-CN"/>
        </w:rPr>
      </w:pPr>
      <w:bookmarkStart w:id="0" w:name="bookmark0"/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衡阳县部门整体支出绩效自评报告</w:t>
      </w:r>
    </w:p>
    <w:p>
      <w:pPr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 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年度 ）</w:t>
      </w:r>
    </w:p>
    <w:p>
      <w:pPr/>
    </w:p>
    <w:p>
      <w:pPr/>
    </w:p>
    <w:p>
      <w:pPr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部门(单位)名称：  </w:t>
      </w:r>
      <w:r>
        <w:rPr>
          <w:rFonts w:hint="eastAsia" w:ascii="仿宋_GB2312" w:eastAsia="仿宋_GB2312"/>
          <w:sz w:val="32"/>
          <w:szCs w:val="32"/>
          <w:lang w:eastAsia="zh-CN"/>
        </w:rPr>
        <w:t>衡阳县医疗保障局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预算编码：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704001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评价方式：部门（单位）自评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中介机构评价□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评价机构：部门（单位）评价组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中介机构□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报告日期：    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年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1000" w:firstLineChars="250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衡阳县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医疗保障局202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1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年</w:t>
      </w:r>
      <w:r>
        <w:rPr>
          <w:rFonts w:hint="eastAsia" w:ascii="方正小标宋_GBK" w:eastAsia="方正小标宋_GBK"/>
          <w:sz w:val="40"/>
          <w:szCs w:val="40"/>
        </w:rPr>
        <w:t>部门整体支出</w:t>
      </w:r>
    </w:p>
    <w:p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绩效自评报告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pStyle w:val="9"/>
        <w:spacing w:line="605" w:lineRule="exact"/>
        <w:ind w:firstLine="801" w:firstLineChars="266"/>
        <w:jc w:val="both"/>
      </w:pPr>
      <w:r>
        <w:rPr>
          <w:b/>
          <w:bCs/>
        </w:rPr>
        <w:t>一</w:t>
      </w:r>
      <w:bookmarkEnd w:id="0"/>
      <w:r>
        <w:rPr>
          <w:b/>
          <w:bCs/>
        </w:rPr>
        <w:t>、</w:t>
      </w:r>
      <w:r>
        <w:rPr>
          <w:rFonts w:hint="eastAsia"/>
          <w:b/>
          <w:bCs/>
          <w:lang w:eastAsia="zh-CN"/>
        </w:rPr>
        <w:t>单位</w:t>
      </w:r>
      <w:r>
        <w:rPr>
          <w:b/>
          <w:bCs/>
        </w:rPr>
        <w:t>基本情况</w:t>
      </w:r>
    </w:p>
    <w:p>
      <w:pPr>
        <w:spacing w:line="60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1" w:name="bookmark1"/>
      <w:r>
        <w:rPr>
          <w:rFonts w:hint="eastAsia" w:ascii="楷体" w:hAnsi="楷体" w:eastAsia="楷体" w:cs="楷体"/>
          <w:sz w:val="32"/>
          <w:szCs w:val="32"/>
        </w:rPr>
        <w:t>（一）机构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设置情况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1、局</w:t>
      </w:r>
      <w:r>
        <w:rPr>
          <w:rFonts w:hint="eastAsia" w:ascii="仿宋" w:hAnsi="仿宋" w:eastAsia="仿宋" w:cs="仿宋"/>
          <w:sz w:val="32"/>
          <w:szCs w:val="32"/>
        </w:rPr>
        <w:t>机关共有内设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个：办公室、规划财务股、待遇保障股、医疗价格服务管理股、基金监管股、组织人事股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2、局</w:t>
      </w:r>
      <w:r>
        <w:rPr>
          <w:rFonts w:hint="eastAsia" w:ascii="仿宋" w:hAnsi="仿宋" w:eastAsia="仿宋" w:cs="仿宋"/>
          <w:sz w:val="32"/>
          <w:szCs w:val="32"/>
        </w:rPr>
        <w:t>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下属二级</w:t>
      </w:r>
      <w:r>
        <w:rPr>
          <w:rFonts w:hint="eastAsia" w:ascii="仿宋" w:hAnsi="仿宋" w:eastAsia="仿宋" w:cs="仿宋"/>
          <w:sz w:val="32"/>
          <w:szCs w:val="32"/>
        </w:rPr>
        <w:t>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：衡阳县医疗保障事务中心（副科级）。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3、受监管机构：衡阳县人民政府。</w:t>
      </w:r>
    </w:p>
    <w:p>
      <w:pPr>
        <w:pStyle w:val="2"/>
        <w:rPr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en-US"/>
        </w:rPr>
        <w:t>（二）人员编制情况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共有行政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12个</w:t>
      </w:r>
      <w:r>
        <w:rPr>
          <w:rFonts w:hint="eastAsia" w:ascii="仿宋" w:hAnsi="仿宋" w:eastAsia="仿宋" w:cs="仿宋"/>
          <w:sz w:val="32"/>
          <w:szCs w:val="32"/>
        </w:rPr>
        <w:t>，实有在职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在编</w:t>
      </w:r>
      <w:r>
        <w:rPr>
          <w:rFonts w:hint="eastAsia" w:ascii="仿宋" w:hAnsi="仿宋" w:eastAsia="仿宋" w:cs="仿宋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年末实有退休人员1人。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（从医保中心借调了工作人员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20人。）</w:t>
      </w:r>
    </w:p>
    <w:p>
      <w:pPr>
        <w:spacing w:line="60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主要职责职能</w:t>
      </w:r>
    </w:p>
    <w:bookmarkEnd w:id="1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贯彻执行国家、省、市有关职工、城乡居民、生育、医疗救助的法律法规和政策，并组织实施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建立健全医疗保障基金安全防控机制，推进医疗保障基金支付方式改革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执行和配合国家、省、市药品和医用耗材的采购以及医疗服务项目、医疗服务设施的定价，对医疗机构的设备设施招标采购的监督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指导和监督经办机构开展医疗保障业务工作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推进医疗、医保、医药“三医联动”改革，保障人民群众就医要求，减轻医药费负担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完成县委、政府及上级主管部门交办的其他任务。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 w:bidi="en-US"/>
        </w:rPr>
        <w:t>（四）绩效目标设定情况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在本年度收支预算内，确保完成以下整体目标：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1、抓征缴，巩固提高参保率。城乡居民医保参保人数949175人，贫困人员参保人数69490人，城镇职工医保参保人数56580人。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2、深化医保支付方式改革。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3、加强医保基金监管。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4、抓保障，维护参保群众利益。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2021年实际完成情况：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目标1：全部完成。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目标2：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药品集采、新版药品目录及医用耗材集采工作、医疗服务价格修订和支付改革政策全部完成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目标3：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积极开展了“打击欺诈骗保套保挪用贪占医保基金集中整治”活动，效果明显。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目标4：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全面落实医保待遇，确保参保群众应享尽享；巩固拓展医保扶贫，有效衔接乡村振兴战略。</w:t>
      </w:r>
    </w:p>
    <w:p>
      <w:pPr>
        <w:spacing w:line="6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一般公共预算支出情况</w:t>
      </w:r>
    </w:p>
    <w:p>
      <w:pPr>
        <w:spacing w:line="60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经批复的预、决算情况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1.部门预算收支情况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年，本部门年初预算收入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118.85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万元，其中：一般公共预算财政拨款收入年初预算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118.85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年年中调整部分指标增拨一般财政拨款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135.17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万元，其他收入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3.02万元，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年当年收入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257.04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万元；上年度财政指标结转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38.69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万元；全年收入总计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295.73万元。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年，本部门年初预算支出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118.85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万元，其中：基本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支出</w:t>
      </w:r>
      <w:r>
        <w:rPr>
          <w:rFonts w:hint="eastAsia" w:ascii="仿宋" w:hAnsi="仿宋" w:eastAsia="仿宋" w:cs="仿宋"/>
          <w:bCs/>
          <w:sz w:val="32"/>
          <w:szCs w:val="32"/>
        </w:rPr>
        <w:t>年初预算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118.85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，无项目支出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年全年支出总计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295.73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年末一般公共预算财政拨款结余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2.部门决算情况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年收入</w:t>
      </w:r>
      <w:bookmarkStart w:id="2" w:name="OLE_LINK1"/>
      <w:r>
        <w:rPr>
          <w:rFonts w:hint="eastAsia" w:ascii="仿宋" w:hAnsi="仿宋" w:eastAsia="仿宋" w:cs="仿宋"/>
          <w:bCs/>
          <w:sz w:val="32"/>
          <w:szCs w:val="32"/>
        </w:rPr>
        <w:t>实际</w:t>
      </w:r>
      <w:bookmarkEnd w:id="2"/>
      <w:r>
        <w:rPr>
          <w:rFonts w:hint="eastAsia" w:ascii="仿宋" w:hAnsi="仿宋" w:eastAsia="仿宋" w:cs="仿宋"/>
          <w:bCs/>
          <w:sz w:val="32"/>
          <w:szCs w:val="32"/>
        </w:rPr>
        <w:t>完成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295.73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万元，其中：一般公共预算财政拨款收入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254.02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万元，其他收入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3.02万元，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上年度财政指标结转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38.69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部门预算执行情况</w:t>
      </w:r>
    </w:p>
    <w:p>
      <w:pPr>
        <w:spacing w:line="600" w:lineRule="exact"/>
        <w:ind w:firstLine="640" w:firstLineChars="20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本年度基本支出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295.73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经费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123.94</w:t>
      </w:r>
      <w:r>
        <w:rPr>
          <w:rFonts w:hint="eastAsia" w:ascii="仿宋" w:hAnsi="仿宋" w:eastAsia="仿宋" w:cs="仿宋"/>
          <w:bCs/>
          <w:sz w:val="32"/>
          <w:szCs w:val="32"/>
        </w:rPr>
        <w:t>万元，日常公用经费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171.79</w:t>
      </w:r>
      <w:r>
        <w:rPr>
          <w:rFonts w:hint="eastAsia" w:ascii="仿宋" w:hAnsi="仿宋" w:eastAsia="仿宋" w:cs="仿宋"/>
          <w:bCs/>
          <w:sz w:val="32"/>
          <w:szCs w:val="32"/>
        </w:rPr>
        <w:t>万元。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具体情况为：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年，本部门实际支出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295.73</w:t>
      </w:r>
      <w:r>
        <w:rPr>
          <w:rFonts w:hint="eastAsia" w:ascii="仿宋" w:hAnsi="仿宋" w:eastAsia="仿宋" w:cs="仿宋"/>
          <w:bCs/>
          <w:sz w:val="32"/>
          <w:szCs w:val="32"/>
        </w:rPr>
        <w:t>万元，按</w:t>
      </w:r>
      <w:r>
        <w:rPr>
          <w:rFonts w:ascii="仿宋" w:hAnsi="仿宋" w:eastAsia="仿宋" w:cs="仿宋"/>
          <w:bCs/>
          <w:sz w:val="32"/>
          <w:szCs w:val="32"/>
        </w:rPr>
        <w:t>支出</w:t>
      </w:r>
      <w:r>
        <w:rPr>
          <w:rFonts w:hint="eastAsia" w:ascii="仿宋" w:hAnsi="仿宋" w:eastAsia="仿宋" w:cs="仿宋"/>
          <w:bCs/>
          <w:sz w:val="32"/>
          <w:szCs w:val="32"/>
        </w:rPr>
        <w:t>资金</w:t>
      </w:r>
      <w:r>
        <w:rPr>
          <w:rFonts w:ascii="仿宋" w:hAnsi="仿宋" w:eastAsia="仿宋" w:cs="仿宋"/>
          <w:bCs/>
          <w:sz w:val="32"/>
          <w:szCs w:val="32"/>
        </w:rPr>
        <w:t>分类</w:t>
      </w:r>
      <w:r>
        <w:rPr>
          <w:rFonts w:hint="eastAsia" w:ascii="仿宋" w:hAnsi="仿宋" w:eastAsia="仿宋" w:cs="仿宋"/>
          <w:bCs/>
          <w:sz w:val="32"/>
          <w:szCs w:val="32"/>
        </w:rPr>
        <w:t>：基本支出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295.73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，无经营支出；</w:t>
      </w:r>
      <w:r>
        <w:rPr>
          <w:rFonts w:hint="eastAsia" w:ascii="仿宋" w:hAnsi="仿宋" w:eastAsia="仿宋" w:cs="仿宋"/>
          <w:bCs/>
          <w:sz w:val="32"/>
          <w:szCs w:val="32"/>
        </w:rPr>
        <w:t>按支出明细分类：</w:t>
      </w:r>
      <w:r>
        <w:rPr>
          <w:rFonts w:ascii="仿宋" w:hAnsi="仿宋" w:eastAsia="仿宋"/>
          <w:bCs/>
          <w:sz w:val="32"/>
          <w:szCs w:val="32"/>
        </w:rPr>
        <w:t>工资福利支出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123.62</w:t>
      </w:r>
      <w:r>
        <w:rPr>
          <w:rFonts w:ascii="仿宋" w:hAnsi="仿宋" w:eastAsia="仿宋"/>
          <w:bCs/>
          <w:sz w:val="32"/>
          <w:szCs w:val="32"/>
        </w:rPr>
        <w:t>万元，商品和服务支出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171.79</w:t>
      </w:r>
      <w:r>
        <w:rPr>
          <w:rFonts w:ascii="仿宋" w:hAnsi="仿宋" w:eastAsia="仿宋"/>
          <w:bCs/>
          <w:sz w:val="32"/>
          <w:szCs w:val="32"/>
        </w:rPr>
        <w:t>万元，对个人和家庭的补助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0.32</w:t>
      </w:r>
      <w:r>
        <w:rPr>
          <w:rFonts w:ascii="仿宋" w:hAnsi="仿宋" w:eastAsia="仿宋"/>
          <w:bCs/>
          <w:sz w:val="32"/>
          <w:szCs w:val="32"/>
        </w:rPr>
        <w:t>万元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年末结转和结余情况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年年初结转结余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38.69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末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结转结余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“三公”经费使用和管理情况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zh-TW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“三公”经费年初预算</w:t>
      </w:r>
      <w:bookmarkStart w:id="3" w:name="OLE_LINK2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3.6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万元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，实际支出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2.8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TW" w:eastAsia="zh-CN" w:bidi="zh-TW"/>
          <w14:textFill>
            <w14:solidFill>
              <w14:schemeClr w14:val="tx1"/>
            </w14:solidFill>
          </w14:textFill>
        </w:rPr>
        <w:t>万元（其</w:t>
      </w:r>
    </w:p>
    <w:p>
      <w:pPr>
        <w:spacing w:line="600" w:lineRule="exact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TW" w:eastAsia="zh-CN" w:bidi="zh-TW"/>
          <w14:textFill>
            <w14:solidFill>
              <w14:schemeClr w14:val="tx1"/>
            </w14:solidFill>
          </w14:textFill>
        </w:rPr>
        <w:t>中：公务接待费支出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2.8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，本单位无公车，无因公出国费用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“三公”经费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预算4万元，“三公”经费实际支出1.06万元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。年初预算本年数与上年数比降低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10%，实际支出本年数与上年数比增加164.97%，因为医保基金集中整治专项工作，对市级督导、交叉检查组公务接待，所以较上年实际支出增加。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支出：</w:t>
      </w:r>
      <w:r>
        <w:rPr>
          <w:rFonts w:hint="eastAsia" w:ascii="仿宋" w:hAnsi="仿宋" w:eastAsia="仿宋" w:cs="仿宋"/>
          <w:bCs/>
          <w:sz w:val="32"/>
          <w:szCs w:val="32"/>
        </w:rPr>
        <w:t>本单位无项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bCs/>
          <w:sz w:val="32"/>
          <w:szCs w:val="32"/>
        </w:rPr>
        <w:t>资金。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3.部门（单位）专项组织实施情况。本单位无专项资金。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4.经营支出</w:t>
      </w:r>
      <w:r>
        <w:rPr>
          <w:rFonts w:ascii="仿宋" w:hAnsi="仿宋" w:eastAsia="仿宋" w:cs="仿宋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本单位无经营支出</w:t>
      </w:r>
      <w:r>
        <w:rPr>
          <w:rFonts w:ascii="仿宋" w:hAnsi="仿宋" w:eastAsia="仿宋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5、其他收入支出：本年度其他收入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3.02万元；无其他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支出</w:t>
      </w:r>
      <w:r>
        <w:rPr>
          <w:rFonts w:ascii="仿宋" w:hAnsi="仿宋" w:eastAsia="仿宋" w:cs="仿宋"/>
          <w:bCs/>
          <w:sz w:val="32"/>
          <w:szCs w:val="32"/>
        </w:rPr>
        <w:t>。</w:t>
      </w:r>
    </w:p>
    <w:p>
      <w:pPr>
        <w:pStyle w:val="9"/>
        <w:spacing w:line="608" w:lineRule="exact"/>
        <w:ind w:firstLine="0"/>
        <w:jc w:val="both"/>
        <w:rPr>
          <w:rFonts w:ascii="黑体" w:hAnsi="黑体" w:eastAsia="黑体" w:cs="黑体"/>
          <w:sz w:val="32"/>
          <w:szCs w:val="32"/>
        </w:rPr>
      </w:pPr>
      <w:bookmarkStart w:id="4" w:name="bookmark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 xml:space="preserve">  </w:t>
      </w:r>
      <w:bookmarkEnd w:id="4"/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（五）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部门整体支出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管理与制度建设情况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制定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预算绩效管理的相关制度和办法，成立了绩效管理工作领导小组，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汪荣汉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欧阳中球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任组长，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蒋达告、麻晓林、邹运庚任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副组长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，王娟、谢显银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等人为成员，负责制定预算绩效管理办法，管理事业经费、行政经费、编制预算、决算，对执行和绩效情况实行监督管理；协调有关部门对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医保工作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经费使用实行监管并组织资金绩效评估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。各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股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室全程参与、协调预算绩效管理工作，同时提供开展预算绩效管理所需的相关执行数据和情况。配合牵头部门做好单位的绩效目标、绩效跟踪、绩效评价和结果运用等管理工作。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做到了管理制度健全、资金使用合规，并且预决算和基础信息在衡阳县党政门户网上公开。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三、</w:t>
      </w:r>
      <w:r>
        <w:rPr>
          <w:rFonts w:hint="eastAsia" w:eastAsia="黑体"/>
          <w:sz w:val="32"/>
          <w:szCs w:val="32"/>
        </w:rPr>
        <w:t>政府性基金预算支出情况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四、国有资本经营预算支出情况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napToGrid w:val="0"/>
        <w:spacing w:line="520" w:lineRule="exact"/>
        <w:ind w:left="640" w:left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社会保险基金预算支出情况</w:t>
      </w:r>
    </w:p>
    <w:p>
      <w:pPr>
        <w:snapToGrid w:val="0"/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napToGrid w:val="0"/>
        <w:spacing w:line="520" w:lineRule="exact"/>
        <w:ind w:left="640" w:leftChars="0" w:firstLine="0" w:firstLine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部门整体支出绩效情况</w:t>
      </w:r>
    </w:p>
    <w:p>
      <w:pPr>
        <w:snapToGrid w:val="0"/>
        <w:spacing w:line="520" w:lineRule="exact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（一）综合评价结论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2021年，县医疗保障局能按照国家、省、市的相关政策和规章制度实施医疗保障政策，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我局工作成果突出，干部职工素质和党性修养得到提高，业务和工作能力不断提高；我局</w:t>
      </w:r>
      <w:r>
        <w:rPr>
          <w:rFonts w:hint="eastAsia" w:ascii="仿宋_GB2312" w:eastAsia="仿宋_GB2312"/>
          <w:sz w:val="32"/>
          <w:szCs w:val="32"/>
        </w:rPr>
        <w:t>主动作为，深化医疗保障制度改革，坚定履行医保部门的职责使命，实现了民生实事见实效，不断提升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人民群众的获得感、幸福感、安全感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2021年部门整体支出绩效评价自查自评结果为优秀。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  （二）综合评价情况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部门资金情况总分10分，得分10分。年度资金金额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295.73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万元，执行率为100%。</w:t>
      </w:r>
    </w:p>
    <w:p>
      <w:pPr>
        <w:snapToGrid w:val="0"/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2、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产出及效益指标总分为80分，得分7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分，主要情况如下：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⑴产出指标总分为50分，得分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分。一是数量指标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个均完成指标值；二是质量指标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个均完成指标值；三是时效指标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个，截至年底，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医保住院结算率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，由于国家医保平台网络接入，大数据统计功能不完善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。措施：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及时与网络公司对接，加速住院结算及支付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11"/>
        <w:ind w:firstLine="5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⑵效益指标总分30分，得分30分。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经济效益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方面，</w:t>
      </w:r>
    </w:p>
    <w:p>
      <w:pPr>
        <w:pStyle w:val="11"/>
        <w:numPr>
          <w:ilvl w:val="0"/>
          <w:numId w:val="0"/>
        </w:numP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维持了基金收支平衡，略有结余。二是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社会效益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方面，保障了广大参保人员的医疗待遇，维护了社会的稳定。三是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可持续影响指标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方面，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体现政策导向，长期保障工作平稳运行。</w:t>
      </w:r>
    </w:p>
    <w:p>
      <w:pPr>
        <w:pStyle w:val="11"/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满意度指标总分为10分，得分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一是简化精减办事环节。二是明确规定办结时限。三是锐减群众办事成本。推行“一条龙服务”、“一站式办结”、“一次式办完”，让群众少跑腿，让信息多跑路。四是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实行节假日窗口经办服务“不打烊”，真正方便了办事群众，深受社会广泛赞誉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被国家医保局选为经典案例。做到服务群众“加时”、节假日“加班”。节假日医保经办服务加班、值班“不打烊”，如元旦、春节、清明、五一、端午、国庆、中秋等节假日安排窗口工作人员轮流值班上班，后再补休。解决群众平常无时间来办事，节假日有时间而政务中心又无人办事的问题；五是政务服务“加速”。群众可以通过电话、微信、短信、网上预约，窗口工作人员可以根据群众预约的事项在次日上班前或周六、周日进行办理。全心全意优化服务，提升了参保群众幸福指数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222222"/>
          <w:kern w:val="0"/>
          <w:sz w:val="32"/>
          <w:szCs w:val="32"/>
        </w:rPr>
        <w:t>我们遵循“客观、公正、科学、规范”的原则，采用“以结果为导向、基于证据”的绩效评价方法，进行评价体系的构建，从定性与定量两个角度综合考评，评价资金使用的效率与效益。评价采用目标预定与实施效果比较方法，将项目计划的绩效目标与其实际所产生的效益进行对比，对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年资金</w:t>
      </w:r>
      <w:r>
        <w:rPr>
          <w:rFonts w:hint="eastAsia" w:ascii="仿宋" w:hAnsi="仿宋" w:eastAsia="仿宋" w:cs="仿宋_GB2312"/>
          <w:color w:val="222222"/>
          <w:kern w:val="0"/>
          <w:sz w:val="32"/>
          <w:szCs w:val="32"/>
        </w:rPr>
        <w:t>的使用绩效作全面评价，项目前期工作、资金投入到位，管理规范，按序时进度要求完成了建设任务，取得了良好的社会、经济、生态效益，基本达到了预期的绩效目标，保障了各项工作任务的顺利进行。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经过绩效管理小组自评，</w:t>
      </w:r>
      <w:r>
        <w:rPr>
          <w:rFonts w:hint="eastAsia" w:ascii="仿宋" w:hAnsi="仿宋" w:eastAsia="仿宋" w:cs="仿宋"/>
          <w:bCs/>
          <w:sz w:val="32"/>
          <w:szCs w:val="32"/>
        </w:rPr>
        <w:t>本部门年初预算收入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118.85</w:t>
      </w:r>
      <w:r>
        <w:rPr>
          <w:rFonts w:hint="eastAsia" w:ascii="仿宋" w:hAnsi="仿宋" w:eastAsia="仿宋" w:cs="仿宋"/>
          <w:bCs/>
          <w:sz w:val="32"/>
          <w:szCs w:val="32"/>
        </w:rPr>
        <w:t>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年中调整部分指标增拨一般财政拨款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135.17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万元，其他收入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3.02万元，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年当年收入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257.04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万元；上年度财政指标结转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38.69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万元；全年收入总计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295.73万元。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年全年支出总计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295.73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执行率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%，得分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分；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各项绩效指标反映在数量、质量、时效、成本方面指标值上均达到我局年初制定的计划数，得分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48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分；各项绩效指标反映在经济效益、社会效益、可持续影响指标值上，，得分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分；在社会公众或服务对象满意度指标值上，我局做到了服务质量好、工作水平高，社会公众或服务对象满意度达到9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%以上，得分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分；自评总得分9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分，评价等级为优秀。</w:t>
      </w:r>
    </w:p>
    <w:p>
      <w:pPr>
        <w:pStyle w:val="9"/>
        <w:spacing w:after="60" w:line="603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、存在的主要问题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bookmarkStart w:id="5" w:name="bookmark12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、由于工作经费下达较晚，绩效管理中存在支出不均衡，存在集中在某一段时间支出的情况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局一般公共预算太</w:t>
      </w:r>
      <w:r>
        <w:rPr>
          <w:rFonts w:hint="eastAsia" w:ascii="仿宋" w:hAnsi="仿宋" w:eastAsia="仿宋" w:cs="仿宋"/>
          <w:kern w:val="2"/>
          <w:sz w:val="32"/>
          <w:szCs w:val="32"/>
        </w:rPr>
        <w:t>低，特别是一般性公用支出部分的基数标准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低；专项工作经费没有纳入财政年初预算；</w:t>
      </w:r>
      <w:r>
        <w:rPr>
          <w:rFonts w:hint="eastAsia" w:ascii="仿宋" w:hAnsi="仿宋" w:eastAsia="仿宋" w:cs="仿宋"/>
          <w:kern w:val="2"/>
          <w:sz w:val="32"/>
          <w:szCs w:val="32"/>
        </w:rPr>
        <w:t>公用经费控制有一定难度，基本为刚性支出。</w:t>
      </w:r>
    </w:p>
    <w:bookmarkEnd w:id="5"/>
    <w:p>
      <w:pPr>
        <w:pStyle w:val="9"/>
        <w:tabs>
          <w:tab w:val="left" w:pos="1258"/>
        </w:tabs>
        <w:spacing w:line="598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、下一步改进措施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bookmarkStart w:id="6" w:name="bookmark13"/>
      <w:r>
        <w:rPr>
          <w:rFonts w:hint="eastAsia" w:ascii="仿宋" w:hAnsi="仿宋" w:eastAsia="仿宋" w:cs="仿宋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加强对单位财务人员的培训力度，充实业务知识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在原有的财政部门预算基础上适当调高我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kern w:val="2"/>
          <w:sz w:val="32"/>
          <w:szCs w:val="32"/>
        </w:rPr>
        <w:t>的行政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kern w:val="2"/>
          <w:sz w:val="32"/>
          <w:szCs w:val="32"/>
        </w:rPr>
        <w:t>经费基数标准，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将打击欺诈骗取医保基金行为</w:t>
      </w:r>
      <w:r>
        <w:rPr>
          <w:rFonts w:hint="eastAsia" w:ascii="仿宋" w:hAnsi="仿宋" w:eastAsia="仿宋" w:cs="仿宋"/>
          <w:kern w:val="2"/>
          <w:sz w:val="32"/>
          <w:szCs w:val="32"/>
        </w:rPr>
        <w:t>等相关工作经费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纳入财政年初预算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bookmarkEnd w:id="6"/>
    <w:p>
      <w:pPr>
        <w:pStyle w:val="9"/>
        <w:tabs>
          <w:tab w:val="left" w:pos="1258"/>
        </w:tabs>
        <w:spacing w:line="599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其他需要说明的情况</w:t>
      </w:r>
      <w:bookmarkStart w:id="8" w:name="_GoBack"/>
      <w:bookmarkEnd w:id="8"/>
    </w:p>
    <w:p>
      <w:pPr>
        <w:pStyle w:val="9"/>
        <w:spacing w:line="598" w:lineRule="exact"/>
        <w:ind w:firstLine="62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pStyle w:val="9"/>
        <w:spacing w:line="598" w:lineRule="exact"/>
        <w:ind w:firstLine="62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9"/>
        <w:spacing w:line="598" w:lineRule="exact"/>
        <w:ind w:firstLine="6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</w:t>
      </w:r>
      <w:r>
        <w:rPr>
          <w:rFonts w:hint="eastAsia" w:ascii="仿宋" w:hAnsi="仿宋" w:eastAsia="仿宋" w:cs="仿宋"/>
          <w:sz w:val="32"/>
          <w:szCs w:val="32"/>
        </w:rPr>
        <w:t>、部门整体支出绩效评价基础数据表</w:t>
      </w:r>
      <w:bookmarkStart w:id="7" w:name="bookmark14"/>
    </w:p>
    <w:p>
      <w:pPr>
        <w:pStyle w:val="9"/>
        <w:spacing w:line="600" w:lineRule="exact"/>
        <w:ind w:firstLine="1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1-</w:t>
      </w:r>
      <w:r>
        <w:rPr>
          <w:rFonts w:hint="eastAsia" w:ascii="仿宋" w:hAnsi="仿宋" w:eastAsia="仿宋" w:cs="仿宋"/>
          <w:sz w:val="32"/>
          <w:szCs w:val="32"/>
        </w:rPr>
        <w:t>2</w:t>
      </w:r>
      <w:bookmarkEnd w:id="7"/>
      <w:r>
        <w:rPr>
          <w:rFonts w:hint="eastAsia" w:ascii="仿宋" w:hAnsi="仿宋" w:eastAsia="仿宋" w:cs="仿宋"/>
          <w:sz w:val="32"/>
          <w:szCs w:val="32"/>
        </w:rPr>
        <w:t>、部门整体支出绩效自评表</w:t>
      </w:r>
    </w:p>
    <w:p>
      <w:pPr>
        <w:widowControl/>
        <w:jc w:val="both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widowControl/>
        <w:jc w:val="both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2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3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2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3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2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left="1280" w:hanging="1280" w:hangingChars="400"/>
        <w:rPr>
          <w:rFonts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eastAsia="仿宋"/>
          <w:sz w:val="32"/>
          <w:szCs w:val="32"/>
          <w:lang w:eastAsia="zh-CN"/>
        </w:rPr>
        <w:t xml:space="preserve">1-1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 xml:space="preserve">                                                                                                                  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eastAsia="仿宋_GB2312"/>
          <w:sz w:val="20"/>
          <w:szCs w:val="20"/>
        </w:rPr>
      </w:pPr>
      <w:r>
        <w:rPr>
          <w:rFonts w:hint="eastAsia"/>
          <w:sz w:val="20"/>
          <w:szCs w:val="20"/>
        </w:rPr>
        <w:t>填报单位：</w:t>
      </w:r>
      <w:r>
        <w:rPr>
          <w:rFonts w:hint="eastAsia"/>
          <w:sz w:val="20"/>
          <w:szCs w:val="20"/>
          <w:lang w:eastAsia="zh-CN"/>
        </w:rPr>
        <w:t>衡阳县医疗保障局</w:t>
      </w:r>
      <w:r>
        <w:rPr>
          <w:rFonts w:hint="eastAsia"/>
          <w:sz w:val="20"/>
          <w:szCs w:val="20"/>
        </w:rPr>
        <w:tab/>
      </w:r>
      <w:r>
        <w:rPr>
          <w:rFonts w:hint="eastAsia" w:eastAsia="宋体"/>
          <w:sz w:val="20"/>
          <w:szCs w:val="20"/>
          <w:lang w:val="en-US" w:eastAsia="zh-CN"/>
        </w:rPr>
        <w:t xml:space="preserve">  </w:t>
      </w:r>
      <w:r>
        <w:rPr>
          <w:rFonts w:eastAsia="PMingLiU"/>
          <w:sz w:val="20"/>
          <w:szCs w:val="20"/>
        </w:rPr>
        <w:tab/>
      </w:r>
      <w:r>
        <w:rPr>
          <w:rFonts w:hint="eastAsia" w:eastAsia="PMingLiU"/>
          <w:sz w:val="20"/>
          <w:szCs w:val="20"/>
        </w:rPr>
        <w:t>填报时间：</w:t>
      </w:r>
      <w:r>
        <w:rPr>
          <w:rFonts w:eastAsia="PMingLiU"/>
          <w:sz w:val="20"/>
          <w:szCs w:val="20"/>
        </w:rPr>
        <w:tab/>
      </w:r>
      <w:r>
        <w:rPr>
          <w:rFonts w:hint="eastAsia" w:eastAsia="宋体"/>
          <w:sz w:val="20"/>
          <w:szCs w:val="20"/>
          <w:lang w:val="en-US" w:eastAsia="zh-CN"/>
        </w:rPr>
        <w:t>2021.4.15</w:t>
      </w:r>
    </w:p>
    <w:tbl>
      <w:tblPr>
        <w:tblStyle w:val="8"/>
        <w:tblW w:w="91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年实际在职人数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295.73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295.73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267.88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其中：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rFonts w:hint="eastAsia"/>
                <w:sz w:val="20"/>
                <w:szCs w:val="20"/>
              </w:rPr>
              <w:t>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3.6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3.6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出国经费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其他收入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经营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sz w:val="20"/>
                <w:szCs w:val="20"/>
              </w:rPr>
              <w:t>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>
              <w:rPr>
                <w:rFonts w:hint="eastAsia"/>
                <w:sz w:val="20"/>
                <w:szCs w:val="20"/>
              </w:rPr>
              <w:t>、业务工作专项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一个项目一行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0" w:firstLineChars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>
              <w:rPr>
                <w:rFonts w:hint="eastAsia"/>
                <w:sz w:val="20"/>
                <w:szCs w:val="20"/>
              </w:rPr>
              <w:t>、运行维护专项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一个项目一行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、县级专项资金（一个专项一行）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五、公用经费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171.79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171.79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168.67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制定内控制度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spacing w:beforeLines="20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公用经费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填报基本支出中的一般商品和服务支出；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项目支出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需要填报基本支出以外的所有项目支出情况，包括业务工作项目、运行维护项目和县级专项资金等。</w:t>
      </w:r>
    </w:p>
    <w:p>
      <w:pPr>
        <w:spacing w:beforeLines="50" w:line="300" w:lineRule="exac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cs="宋体"/>
          <w:sz w:val="20"/>
          <w:szCs w:val="20"/>
        </w:rPr>
        <w:t>填表人：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王娟</w:t>
      </w:r>
      <w:r>
        <w:rPr>
          <w:rFonts w:hint="eastAsia" w:ascii="宋体" w:hAnsi="宋体" w:cs="宋体"/>
          <w:sz w:val="20"/>
          <w:szCs w:val="20"/>
        </w:rPr>
        <w:t xml:space="preserve">          联系电话： 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0734）6656858</w:t>
      </w:r>
      <w:r>
        <w:rPr>
          <w:rFonts w:hint="eastAsia" w:ascii="宋体" w:hAnsi="宋体" w:cs="宋体"/>
          <w:sz w:val="20"/>
          <w:szCs w:val="20"/>
        </w:rPr>
        <w:t xml:space="preserve">           单位负责人签字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</w:p>
    <w:p>
      <w:pPr>
        <w:spacing w:beforeLines="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 xml:space="preserve">1-2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（</w:t>
      </w:r>
      <w:r>
        <w:rPr>
          <w:rFonts w:ascii="方正小标宋_GBK" w:eastAsia="方正小标宋_GBK"/>
          <w:sz w:val="28"/>
          <w:szCs w:val="28"/>
        </w:rPr>
        <w:t xml:space="preserve"> </w:t>
      </w:r>
      <w:r>
        <w:rPr>
          <w:rFonts w:hint="eastAsia" w:ascii="方正小标宋_GBK" w:eastAsia="方正小标宋_GBK"/>
          <w:sz w:val="28"/>
          <w:szCs w:val="28"/>
          <w:lang w:eastAsia="zh-CN"/>
        </w:rPr>
        <w:t>202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>1</w:t>
      </w:r>
      <w:r>
        <w:rPr>
          <w:rFonts w:ascii="方正小标宋_GBK" w:eastAsia="方正小标宋_GBK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年度</w:t>
      </w:r>
      <w:r>
        <w:rPr>
          <w:rFonts w:hint="eastAsia" w:ascii="方正小标宋_GBK" w:eastAsia="方正小标宋_GBK"/>
          <w:sz w:val="28"/>
          <w:szCs w:val="28"/>
        </w:rPr>
        <w:t>）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填报单位（盖章）：</w:t>
      </w:r>
      <w:r>
        <w:rPr>
          <w:rFonts w:hint="eastAsia"/>
          <w:sz w:val="20"/>
          <w:szCs w:val="20"/>
          <w:lang w:eastAsia="zh-CN"/>
        </w:rPr>
        <w:t>衡阳县医疗保障局</w:t>
      </w:r>
      <w:r>
        <w:rPr>
          <w:rFonts w:ascii="宋体"/>
          <w:sz w:val="20"/>
          <w:szCs w:val="20"/>
        </w:rPr>
        <w:t xml:space="preserve">                 </w:t>
      </w:r>
      <w:r>
        <w:rPr>
          <w:rFonts w:hint="eastAsia" w:ascii="宋体" w:eastAsia="宋体"/>
          <w:sz w:val="20"/>
          <w:szCs w:val="20"/>
          <w:lang w:eastAsia="zh-CN"/>
        </w:rPr>
        <w:t xml:space="preserve"> </w:t>
      </w:r>
      <w:r>
        <w:rPr>
          <w:rFonts w:ascii="宋体"/>
          <w:sz w:val="20"/>
          <w:szCs w:val="20"/>
        </w:rPr>
        <w:t xml:space="preserve"> </w:t>
      </w:r>
      <w:r>
        <w:rPr>
          <w:rFonts w:hint="eastAsia" w:ascii="宋体"/>
          <w:sz w:val="20"/>
          <w:szCs w:val="20"/>
        </w:rPr>
        <w:t xml:space="preserve"> 填报时间：</w:t>
      </w:r>
      <w:r>
        <w:rPr>
          <w:rFonts w:hint="eastAsia" w:eastAsia="宋体"/>
          <w:sz w:val="20"/>
          <w:szCs w:val="20"/>
          <w:lang w:val="en-US" w:eastAsia="zh-CN"/>
        </w:rPr>
        <w:t>2021.4.15</w:t>
      </w:r>
    </w:p>
    <w:tbl>
      <w:tblPr>
        <w:tblStyle w:val="8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01"/>
        <w:gridCol w:w="399"/>
        <w:gridCol w:w="741"/>
        <w:gridCol w:w="609"/>
        <w:gridCol w:w="1335"/>
        <w:gridCol w:w="1290"/>
        <w:gridCol w:w="1110"/>
        <w:gridCol w:w="825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部门资金（万元）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年初预算数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全年预算数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全年执行数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执行率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分值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年度资金总额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118.85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295.73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295.73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按收入性质分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按支出性质分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其中：一般公共预算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295.73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基本支出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295.73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政府性基金拨款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其中：人员经费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纳入管理的非税收入拨款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ind w:firstLine="400" w:firstLineChars="20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公用经费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其他资金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项目支出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年度总体目标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年初预期（设定）目标　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深化医保支付方式改革。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加强医保基金监管。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抓保障，维护参保群众利益。</w:t>
            </w:r>
          </w:p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4.抓征缴，巩固提高参保率。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已完成年度总体目标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一级指标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二级指标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三级指标　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指标值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完成值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分值</w:t>
            </w:r>
          </w:p>
        </w:tc>
        <w:tc>
          <w:tcPr>
            <w:tcW w:w="98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（50分）</w:t>
            </w:r>
          </w:p>
        </w:tc>
        <w:tc>
          <w:tcPr>
            <w:tcW w:w="1140" w:type="dxa"/>
            <w:gridSpan w:val="2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数量指标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城乡居民医保参保人数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940000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950978</w:t>
            </w:r>
          </w:p>
        </w:tc>
        <w:tc>
          <w:tcPr>
            <w:tcW w:w="825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87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贫困人员参保人数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69486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69919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城镇职工医保参保人数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56576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57608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各项工作完成达标率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对协议医疗机构稽查率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时效指标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各项工作及时完成率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不超过预算数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未超预算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  <w:jc w:val="center"/>
        </w:trPr>
        <w:tc>
          <w:tcPr>
            <w:tcW w:w="814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（30分）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经济效益指标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维持基金收支平衡，略有结余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平衡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基本平衡</w:t>
            </w:r>
          </w:p>
        </w:tc>
        <w:tc>
          <w:tcPr>
            <w:tcW w:w="825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987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社会效益指标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通过项目的实施，确保资金使用效率，保障各项工作顺利开展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平稳运行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平稳运行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可持续影响指标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体现政策导向，长期保障工作平稳进行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（10分）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社会公众或服务对象满意度指标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参保人员满意度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3055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综合评定等级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优秀</w:t>
            </w:r>
          </w:p>
        </w:tc>
        <w:tc>
          <w:tcPr>
            <w:tcW w:w="240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  分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</w:t>
            </w:r>
          </w:p>
        </w:tc>
        <w:tc>
          <w:tcPr>
            <w:tcW w:w="98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</w:tr>
    </w:tbl>
    <w:p>
      <w:pPr>
        <w:spacing w:beforeLines="100" w:line="300" w:lineRule="exac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填表人：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王娟</w:t>
      </w:r>
      <w:r>
        <w:rPr>
          <w:rFonts w:hint="eastAsia" w:ascii="宋体" w:hAnsi="宋体" w:cs="宋体"/>
          <w:sz w:val="20"/>
          <w:szCs w:val="20"/>
        </w:rPr>
        <w:t xml:space="preserve">        联系电话：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0734）6656858</w:t>
      </w:r>
      <w:r>
        <w:rPr>
          <w:rFonts w:hint="eastAsia" w:ascii="宋体" w:hAnsi="宋体" w:cs="宋体"/>
          <w:sz w:val="20"/>
          <w:szCs w:val="20"/>
        </w:rPr>
        <w:t xml:space="preserve">         单位负责人签字：</w:t>
      </w: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说明：1.评价等级分为优秀（S≥90）、良好（90＞S≥80）、较差（80＞S≥60）、 </w:t>
      </w: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差（S＜60）</w:t>
      </w:r>
      <w:r>
        <w:rPr>
          <w:rFonts w:hint="eastAsia" w:eastAsia="仿宋_GB2312"/>
          <w:sz w:val="20"/>
          <w:szCs w:val="20"/>
        </w:rPr>
        <w:t>。</w:t>
      </w:r>
    </w:p>
    <w:p>
      <w:pPr>
        <w:spacing w:line="300" w:lineRule="exact"/>
        <w:rPr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2.三级绩效指标按需自行增减行。不涉及的二级指标可删除不要。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moder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swiss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decorative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9890125</wp:posOffset>
              </wp:positionV>
              <wp:extent cx="317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109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2.2pt;margin-top:778.75pt;height:8.65pt;width:2.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kIbVd1wAAAA0B&#10;AAAPAAAAAAAAAAEAIAAAACIAAABkcnMvZG93bnJldi54bWxQSwECFAAUAAAACACHTuJAW17tiqoB&#10;AABZAwAADgAAAAAAAAABACAAAAAmAQAAZHJzL2Uyb0RvYy54bWxQSwUGAAAAAAYABgBZAQAAQgUA&#10;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6864817">
    <w:nsid w:val="5FC6CFB1"/>
    <w:multiLevelType w:val="singleLevel"/>
    <w:tmpl w:val="5FC6CFB1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51722344">
    <w:nsid w:val="62734868"/>
    <w:multiLevelType w:val="singleLevel"/>
    <w:tmpl w:val="62734868"/>
    <w:lvl w:ilvl="0" w:tentative="1">
      <w:start w:val="2"/>
      <w:numFmt w:val="chineseCounting"/>
      <w:suff w:val="nothing"/>
      <w:lvlText w:val="（%1）"/>
      <w:lvlJc w:val="left"/>
    </w:lvl>
  </w:abstractNum>
  <w:abstractNum w:abstractNumId="1292133725">
    <w:nsid w:val="4D04655D"/>
    <w:multiLevelType w:val="singleLevel"/>
    <w:tmpl w:val="4D04655D"/>
    <w:lvl w:ilvl="0" w:tentative="1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651722344"/>
  </w:num>
  <w:num w:numId="2">
    <w:abstractNumId w:val="1292133725"/>
  </w:num>
  <w:num w:numId="3">
    <w:abstractNumId w:val="16068648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F6146"/>
    <w:rsid w:val="000A3647"/>
    <w:rsid w:val="001372A3"/>
    <w:rsid w:val="00166A3F"/>
    <w:rsid w:val="002150C4"/>
    <w:rsid w:val="0062613B"/>
    <w:rsid w:val="006832BA"/>
    <w:rsid w:val="006E3516"/>
    <w:rsid w:val="007470CC"/>
    <w:rsid w:val="00793554"/>
    <w:rsid w:val="009A733F"/>
    <w:rsid w:val="009B4CDC"/>
    <w:rsid w:val="00B61B65"/>
    <w:rsid w:val="00C77BC1"/>
    <w:rsid w:val="00D173D0"/>
    <w:rsid w:val="019604A9"/>
    <w:rsid w:val="020F463A"/>
    <w:rsid w:val="021C6183"/>
    <w:rsid w:val="02742095"/>
    <w:rsid w:val="02EB5557"/>
    <w:rsid w:val="02EC1E1C"/>
    <w:rsid w:val="037B73C5"/>
    <w:rsid w:val="038C1AB9"/>
    <w:rsid w:val="041F0287"/>
    <w:rsid w:val="042C3965"/>
    <w:rsid w:val="049703BA"/>
    <w:rsid w:val="04F25310"/>
    <w:rsid w:val="050104C5"/>
    <w:rsid w:val="05595040"/>
    <w:rsid w:val="058D22A7"/>
    <w:rsid w:val="065A3F7A"/>
    <w:rsid w:val="067370A2"/>
    <w:rsid w:val="06BF5FB2"/>
    <w:rsid w:val="06DE514C"/>
    <w:rsid w:val="07115CA7"/>
    <w:rsid w:val="072D591F"/>
    <w:rsid w:val="074D5B0C"/>
    <w:rsid w:val="0789466C"/>
    <w:rsid w:val="078B7B6F"/>
    <w:rsid w:val="07FD6770"/>
    <w:rsid w:val="08E46EA7"/>
    <w:rsid w:val="08EF7436"/>
    <w:rsid w:val="08F93189"/>
    <w:rsid w:val="090D69E6"/>
    <w:rsid w:val="092C0ECC"/>
    <w:rsid w:val="092D4D1C"/>
    <w:rsid w:val="09A24CDB"/>
    <w:rsid w:val="0A2A393B"/>
    <w:rsid w:val="0AF05C82"/>
    <w:rsid w:val="0B1E54CC"/>
    <w:rsid w:val="0B223ED3"/>
    <w:rsid w:val="0B7329D8"/>
    <w:rsid w:val="0B742D3E"/>
    <w:rsid w:val="0BB50EC3"/>
    <w:rsid w:val="0C3A39D7"/>
    <w:rsid w:val="0C6C17F5"/>
    <w:rsid w:val="0CF41FF2"/>
    <w:rsid w:val="0DC51F28"/>
    <w:rsid w:val="0EE56BF8"/>
    <w:rsid w:val="0F4D7E31"/>
    <w:rsid w:val="0FD57709"/>
    <w:rsid w:val="107B27A5"/>
    <w:rsid w:val="10A81C60"/>
    <w:rsid w:val="11356731"/>
    <w:rsid w:val="11383ACD"/>
    <w:rsid w:val="11454358"/>
    <w:rsid w:val="121730A0"/>
    <w:rsid w:val="124F71D2"/>
    <w:rsid w:val="125C25AB"/>
    <w:rsid w:val="12845CEE"/>
    <w:rsid w:val="12A904AC"/>
    <w:rsid w:val="13806E8A"/>
    <w:rsid w:val="13885A50"/>
    <w:rsid w:val="14132B4A"/>
    <w:rsid w:val="143E3DC5"/>
    <w:rsid w:val="14640782"/>
    <w:rsid w:val="154D4B82"/>
    <w:rsid w:val="16165BCA"/>
    <w:rsid w:val="162A30C2"/>
    <w:rsid w:val="16652160"/>
    <w:rsid w:val="16802D44"/>
    <w:rsid w:val="16CB43F4"/>
    <w:rsid w:val="16ED48B0"/>
    <w:rsid w:val="17244A82"/>
    <w:rsid w:val="174552D3"/>
    <w:rsid w:val="17765045"/>
    <w:rsid w:val="17A05D49"/>
    <w:rsid w:val="17BB757F"/>
    <w:rsid w:val="18494076"/>
    <w:rsid w:val="186F4AA4"/>
    <w:rsid w:val="187334AB"/>
    <w:rsid w:val="18A03075"/>
    <w:rsid w:val="19623A89"/>
    <w:rsid w:val="1A8C3B1A"/>
    <w:rsid w:val="1AF731C9"/>
    <w:rsid w:val="1B535AE1"/>
    <w:rsid w:val="1B772807"/>
    <w:rsid w:val="1BEE7E1F"/>
    <w:rsid w:val="1C7A3345"/>
    <w:rsid w:val="1CA862F7"/>
    <w:rsid w:val="1D0C45DD"/>
    <w:rsid w:val="1D1B77EF"/>
    <w:rsid w:val="1D297C66"/>
    <w:rsid w:val="1D7C63EB"/>
    <w:rsid w:val="1DA41B2E"/>
    <w:rsid w:val="1DDE029B"/>
    <w:rsid w:val="1DE86D9F"/>
    <w:rsid w:val="1E9E304B"/>
    <w:rsid w:val="1F0A6DE6"/>
    <w:rsid w:val="1F184F13"/>
    <w:rsid w:val="204F718E"/>
    <w:rsid w:val="20940C60"/>
    <w:rsid w:val="20B117B1"/>
    <w:rsid w:val="21733A6D"/>
    <w:rsid w:val="2203115E"/>
    <w:rsid w:val="22077B64"/>
    <w:rsid w:val="225A62E9"/>
    <w:rsid w:val="2278331B"/>
    <w:rsid w:val="23007D7C"/>
    <w:rsid w:val="233D435E"/>
    <w:rsid w:val="23C977C5"/>
    <w:rsid w:val="23DC5161"/>
    <w:rsid w:val="24362377"/>
    <w:rsid w:val="24710ED7"/>
    <w:rsid w:val="247F3A70"/>
    <w:rsid w:val="24821172"/>
    <w:rsid w:val="249F6523"/>
    <w:rsid w:val="254F5042"/>
    <w:rsid w:val="25733F7D"/>
    <w:rsid w:val="258C4EA7"/>
    <w:rsid w:val="25D6079F"/>
    <w:rsid w:val="2612581C"/>
    <w:rsid w:val="26683591"/>
    <w:rsid w:val="267C3FE9"/>
    <w:rsid w:val="26E044D4"/>
    <w:rsid w:val="277A46D2"/>
    <w:rsid w:val="279D398E"/>
    <w:rsid w:val="27B91672"/>
    <w:rsid w:val="282412E8"/>
    <w:rsid w:val="283B0F0D"/>
    <w:rsid w:val="28CC07FC"/>
    <w:rsid w:val="29030351"/>
    <w:rsid w:val="2914771C"/>
    <w:rsid w:val="296A4C04"/>
    <w:rsid w:val="29D63286"/>
    <w:rsid w:val="2A0F162A"/>
    <w:rsid w:val="2A365850"/>
    <w:rsid w:val="2A5C58A1"/>
    <w:rsid w:val="2A66059D"/>
    <w:rsid w:val="2A68716D"/>
    <w:rsid w:val="2A6C5D2A"/>
    <w:rsid w:val="2ACB6415"/>
    <w:rsid w:val="2B966A1E"/>
    <w:rsid w:val="2BDE1084"/>
    <w:rsid w:val="2BFC151F"/>
    <w:rsid w:val="2D2A6B27"/>
    <w:rsid w:val="2D373C3F"/>
    <w:rsid w:val="2D863045"/>
    <w:rsid w:val="2D976F75"/>
    <w:rsid w:val="2DA1586C"/>
    <w:rsid w:val="2DC25DA1"/>
    <w:rsid w:val="2DF43FF2"/>
    <w:rsid w:val="2E40086E"/>
    <w:rsid w:val="2E886A64"/>
    <w:rsid w:val="2EF47418"/>
    <w:rsid w:val="2EFD2155"/>
    <w:rsid w:val="2EFE7D27"/>
    <w:rsid w:val="2EFF57A9"/>
    <w:rsid w:val="2F7666EC"/>
    <w:rsid w:val="2FBE2364"/>
    <w:rsid w:val="2FD25781"/>
    <w:rsid w:val="2FE85726"/>
    <w:rsid w:val="3076337E"/>
    <w:rsid w:val="312E7E64"/>
    <w:rsid w:val="316226DC"/>
    <w:rsid w:val="31740730"/>
    <w:rsid w:val="31930FE5"/>
    <w:rsid w:val="321F6146"/>
    <w:rsid w:val="32491A0D"/>
    <w:rsid w:val="32AC1B81"/>
    <w:rsid w:val="32B2363B"/>
    <w:rsid w:val="33387117"/>
    <w:rsid w:val="340B70F0"/>
    <w:rsid w:val="346F6E14"/>
    <w:rsid w:val="36116540"/>
    <w:rsid w:val="36273EC1"/>
    <w:rsid w:val="36374201"/>
    <w:rsid w:val="364144FE"/>
    <w:rsid w:val="364E3E27"/>
    <w:rsid w:val="365B56BB"/>
    <w:rsid w:val="3726190B"/>
    <w:rsid w:val="373867FA"/>
    <w:rsid w:val="377F1F9A"/>
    <w:rsid w:val="37F66761"/>
    <w:rsid w:val="38022573"/>
    <w:rsid w:val="380E0584"/>
    <w:rsid w:val="38FC4989"/>
    <w:rsid w:val="397316E7"/>
    <w:rsid w:val="3ACB78F1"/>
    <w:rsid w:val="3B142DFB"/>
    <w:rsid w:val="3B266598"/>
    <w:rsid w:val="3B7971F6"/>
    <w:rsid w:val="3BFD733B"/>
    <w:rsid w:val="3C3641D7"/>
    <w:rsid w:val="3C635FA0"/>
    <w:rsid w:val="3CDF336B"/>
    <w:rsid w:val="3CF41895"/>
    <w:rsid w:val="3D6136EA"/>
    <w:rsid w:val="3D8D7FE7"/>
    <w:rsid w:val="3DC52364"/>
    <w:rsid w:val="3E791AB2"/>
    <w:rsid w:val="3FF53C7D"/>
    <w:rsid w:val="408718B0"/>
    <w:rsid w:val="41284F74"/>
    <w:rsid w:val="412D71FD"/>
    <w:rsid w:val="41E44E04"/>
    <w:rsid w:val="41EE1268"/>
    <w:rsid w:val="42CF43AB"/>
    <w:rsid w:val="42EE2BA6"/>
    <w:rsid w:val="42F02361"/>
    <w:rsid w:val="432263B4"/>
    <w:rsid w:val="43D76DDC"/>
    <w:rsid w:val="43D90F6E"/>
    <w:rsid w:val="43F819C7"/>
    <w:rsid w:val="44027C20"/>
    <w:rsid w:val="44146C41"/>
    <w:rsid w:val="4431076F"/>
    <w:rsid w:val="443B57AC"/>
    <w:rsid w:val="448D7804"/>
    <w:rsid w:val="451F3BFF"/>
    <w:rsid w:val="455E7EDC"/>
    <w:rsid w:val="45847A13"/>
    <w:rsid w:val="458B1CA5"/>
    <w:rsid w:val="45D536C7"/>
    <w:rsid w:val="46CB4054"/>
    <w:rsid w:val="46D22475"/>
    <w:rsid w:val="475F6BEF"/>
    <w:rsid w:val="484A350E"/>
    <w:rsid w:val="48E01D1C"/>
    <w:rsid w:val="495E03EC"/>
    <w:rsid w:val="49E4194A"/>
    <w:rsid w:val="49E515CA"/>
    <w:rsid w:val="4A1108C4"/>
    <w:rsid w:val="4A1A65A1"/>
    <w:rsid w:val="4AF64C8A"/>
    <w:rsid w:val="4B095EA9"/>
    <w:rsid w:val="4B471C6C"/>
    <w:rsid w:val="4BB61845"/>
    <w:rsid w:val="4BCD146B"/>
    <w:rsid w:val="4BD4104F"/>
    <w:rsid w:val="4BE56B11"/>
    <w:rsid w:val="4CD77F5D"/>
    <w:rsid w:val="4CF335C0"/>
    <w:rsid w:val="4DEC1465"/>
    <w:rsid w:val="4E4740FD"/>
    <w:rsid w:val="4E566916"/>
    <w:rsid w:val="4E7B1FCD"/>
    <w:rsid w:val="4EB449D9"/>
    <w:rsid w:val="4ED02D5C"/>
    <w:rsid w:val="4EEA241A"/>
    <w:rsid w:val="4F1008F0"/>
    <w:rsid w:val="4F133A3F"/>
    <w:rsid w:val="4F791EF0"/>
    <w:rsid w:val="4FA61ABB"/>
    <w:rsid w:val="4FA871BC"/>
    <w:rsid w:val="4FC000E6"/>
    <w:rsid w:val="501F5F01"/>
    <w:rsid w:val="5026588C"/>
    <w:rsid w:val="50473843"/>
    <w:rsid w:val="50E720C7"/>
    <w:rsid w:val="51156ACC"/>
    <w:rsid w:val="514A216C"/>
    <w:rsid w:val="51B43D99"/>
    <w:rsid w:val="521F5647"/>
    <w:rsid w:val="528D5C7B"/>
    <w:rsid w:val="52AA302D"/>
    <w:rsid w:val="52B72BAA"/>
    <w:rsid w:val="52E03507"/>
    <w:rsid w:val="53556033"/>
    <w:rsid w:val="537A0D50"/>
    <w:rsid w:val="53CE790C"/>
    <w:rsid w:val="54327630"/>
    <w:rsid w:val="549B63C9"/>
    <w:rsid w:val="549D6CE0"/>
    <w:rsid w:val="54B21203"/>
    <w:rsid w:val="551B75AE"/>
    <w:rsid w:val="556E63D7"/>
    <w:rsid w:val="55EF19B9"/>
    <w:rsid w:val="55F31810"/>
    <w:rsid w:val="56C96374"/>
    <w:rsid w:val="56D51E02"/>
    <w:rsid w:val="56E755A0"/>
    <w:rsid w:val="57514FCF"/>
    <w:rsid w:val="57871058"/>
    <w:rsid w:val="57F03918"/>
    <w:rsid w:val="57F91F65"/>
    <w:rsid w:val="58175C92"/>
    <w:rsid w:val="58200B20"/>
    <w:rsid w:val="588D6F55"/>
    <w:rsid w:val="598A2556"/>
    <w:rsid w:val="5A6E5FFC"/>
    <w:rsid w:val="5A7B6781"/>
    <w:rsid w:val="5B5B0B3C"/>
    <w:rsid w:val="5B64594E"/>
    <w:rsid w:val="5B742467"/>
    <w:rsid w:val="5B7966A3"/>
    <w:rsid w:val="5B9B2CA8"/>
    <w:rsid w:val="5BD844BF"/>
    <w:rsid w:val="5C183C23"/>
    <w:rsid w:val="5CAB020A"/>
    <w:rsid w:val="5CC10BB9"/>
    <w:rsid w:val="5CD171F5"/>
    <w:rsid w:val="5E3D5A5F"/>
    <w:rsid w:val="5E51004B"/>
    <w:rsid w:val="5E5350B8"/>
    <w:rsid w:val="5E766F86"/>
    <w:rsid w:val="5E77028A"/>
    <w:rsid w:val="5F6709DC"/>
    <w:rsid w:val="5F8416C1"/>
    <w:rsid w:val="5FA93813"/>
    <w:rsid w:val="60C06FCE"/>
    <w:rsid w:val="60C55551"/>
    <w:rsid w:val="614F1C31"/>
    <w:rsid w:val="61E459C1"/>
    <w:rsid w:val="61FF1DD5"/>
    <w:rsid w:val="62127771"/>
    <w:rsid w:val="63033C02"/>
    <w:rsid w:val="632772B9"/>
    <w:rsid w:val="637473B8"/>
    <w:rsid w:val="63A47F08"/>
    <w:rsid w:val="64305158"/>
    <w:rsid w:val="64312FEF"/>
    <w:rsid w:val="6444325A"/>
    <w:rsid w:val="64C21053"/>
    <w:rsid w:val="652012EF"/>
    <w:rsid w:val="6536289C"/>
    <w:rsid w:val="65CF57F0"/>
    <w:rsid w:val="65D06F05"/>
    <w:rsid w:val="66014146"/>
    <w:rsid w:val="66277C26"/>
    <w:rsid w:val="66BD5B9B"/>
    <w:rsid w:val="66C14421"/>
    <w:rsid w:val="66C33328"/>
    <w:rsid w:val="66CA7430"/>
    <w:rsid w:val="66FE7B44"/>
    <w:rsid w:val="676B6BA4"/>
    <w:rsid w:val="676B6FB9"/>
    <w:rsid w:val="677C4CD5"/>
    <w:rsid w:val="67976142"/>
    <w:rsid w:val="67A07417"/>
    <w:rsid w:val="687F107F"/>
    <w:rsid w:val="68BE32F8"/>
    <w:rsid w:val="68C77275"/>
    <w:rsid w:val="693B39B1"/>
    <w:rsid w:val="69475245"/>
    <w:rsid w:val="69B05949"/>
    <w:rsid w:val="6A664E41"/>
    <w:rsid w:val="6A894958"/>
    <w:rsid w:val="6AD12B4E"/>
    <w:rsid w:val="6B007E19"/>
    <w:rsid w:val="6B0525B9"/>
    <w:rsid w:val="6B6C2003"/>
    <w:rsid w:val="6B8A4544"/>
    <w:rsid w:val="6BE11867"/>
    <w:rsid w:val="6D6F471B"/>
    <w:rsid w:val="6DB07703"/>
    <w:rsid w:val="6DD30BBC"/>
    <w:rsid w:val="6E2A15CB"/>
    <w:rsid w:val="6E3147D9"/>
    <w:rsid w:val="6EC12DC3"/>
    <w:rsid w:val="6F590441"/>
    <w:rsid w:val="701B1D7B"/>
    <w:rsid w:val="70394BAE"/>
    <w:rsid w:val="70D54F03"/>
    <w:rsid w:val="711C51A1"/>
    <w:rsid w:val="71876A4E"/>
    <w:rsid w:val="71A27D9E"/>
    <w:rsid w:val="71B02310"/>
    <w:rsid w:val="72AA6777"/>
    <w:rsid w:val="72AF68AE"/>
    <w:rsid w:val="734D0939"/>
    <w:rsid w:val="736175D9"/>
    <w:rsid w:val="74B72109"/>
    <w:rsid w:val="752121F5"/>
    <w:rsid w:val="753A255D"/>
    <w:rsid w:val="758F7BEE"/>
    <w:rsid w:val="760807B1"/>
    <w:rsid w:val="767F74F6"/>
    <w:rsid w:val="769B7F52"/>
    <w:rsid w:val="76E13D18"/>
    <w:rsid w:val="772E0594"/>
    <w:rsid w:val="77BA39FB"/>
    <w:rsid w:val="77BE5C84"/>
    <w:rsid w:val="78555DF8"/>
    <w:rsid w:val="79217ACA"/>
    <w:rsid w:val="79EA7513"/>
    <w:rsid w:val="79FC487B"/>
    <w:rsid w:val="7A3F6E68"/>
    <w:rsid w:val="7AA9084B"/>
    <w:rsid w:val="7AE322EF"/>
    <w:rsid w:val="7AF122C4"/>
    <w:rsid w:val="7BDA4600"/>
    <w:rsid w:val="7BDF08C7"/>
    <w:rsid w:val="7BF079AA"/>
    <w:rsid w:val="7BF604ED"/>
    <w:rsid w:val="7C7A0AC6"/>
    <w:rsid w:val="7C8932DF"/>
    <w:rsid w:val="7CBE5D37"/>
    <w:rsid w:val="7CC23CA0"/>
    <w:rsid w:val="7D27319B"/>
    <w:rsid w:val="7D4C0FC7"/>
    <w:rsid w:val="7D8B1ADA"/>
    <w:rsid w:val="7DC43066"/>
    <w:rsid w:val="7DD86484"/>
    <w:rsid w:val="7DDF5E0F"/>
    <w:rsid w:val="7E7A3A8F"/>
    <w:rsid w:val="7EB217BB"/>
    <w:rsid w:val="7EF16F50"/>
    <w:rsid w:val="7F47795F"/>
    <w:rsid w:val="7F7B6E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hint="default" w:ascii="Cambria" w:hAnsi="Cambria" w:eastAsia="宋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uiPriority w:val="0"/>
    <w:pPr>
      <w:ind w:left="1680"/>
    </w:pPr>
  </w:style>
  <w:style w:type="paragraph" w:styleId="5">
    <w:name w:val="annotation text"/>
    <w:basedOn w:val="1"/>
    <w:qFormat/>
    <w:uiPriority w:val="0"/>
  </w:style>
  <w:style w:type="paragraph" w:styleId="6">
    <w:name w:val="Normal (Web)"/>
    <w:basedOn w:val="1"/>
    <w:qFormat/>
    <w:uiPriority w:val="99"/>
    <w:pPr>
      <w:spacing w:beforeAutospacing="1" w:afterAutospacing="1"/>
    </w:p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1">
    <w:name w:val="04正文"/>
    <w:basedOn w:val="1"/>
    <w:qFormat/>
    <w:uiPriority w:val="0"/>
    <w:pPr>
      <w:keepNext w:val="0"/>
      <w:keepLines w:val="0"/>
      <w:widowControl/>
      <w:adjustRightInd w:val="0"/>
      <w:snapToGrid w:val="0"/>
      <w:spacing w:before="0" w:after="0" w:line="360" w:lineRule="auto"/>
      <w:ind w:firstLine="200" w:firstLineChars="200"/>
      <w:jc w:val="both"/>
      <w:outlineLvl w:val="9"/>
    </w:pPr>
    <w:rPr>
      <w:rFonts w:ascii="Times New Roman" w:hAnsi="Times New Roman" w:eastAsia="仿宋" w:cs="Times New Roman"/>
      <w:color w:val="auto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1205</Words>
  <Characters>6873</Characters>
  <Lines>57</Lines>
  <Paragraphs>16</Paragraphs>
  <ScaleCrop>false</ScaleCrop>
  <LinksUpToDate>false</LinksUpToDate>
  <CharactersWithSpaces>8062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2021-05-14T02:03:00Z</dcterms:created>
  <dc:creator>糖糖</dc:creator>
  <cp:lastModifiedBy>lenovo</cp:lastModifiedBy>
  <cp:lastPrinted>2022-04-01T01:34:00Z</cp:lastPrinted>
  <dcterms:modified xsi:type="dcterms:W3CDTF">2022-05-16T03:02:54Z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1EE1E93C59AA445184499DB0ABD9B651</vt:lpwstr>
  </property>
</Properties>
</file>