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eastAsia="方正小标宋_GBK"/>
          <w:color w:val="FF0000"/>
          <w:w w:val="50"/>
          <w:kern w:val="0"/>
          <w:sz w:val="109"/>
          <w:lang w:val="en-US" w:eastAsia="zh-CN"/>
        </w:rPr>
      </w:pPr>
      <w:r>
        <w:rPr>
          <w:rFonts w:hint="eastAsia" w:ascii="方正小标宋_GBK" w:eastAsia="方正小标宋_GBK"/>
          <w:color w:val="FF0000"/>
          <w:w w:val="50"/>
          <w:kern w:val="0"/>
          <w:sz w:val="109"/>
          <w:lang w:val="en-US" w:eastAsia="zh-CN"/>
        </w:rPr>
        <w:t>衡阳县关市镇人民政府</w:t>
      </w:r>
    </w:p>
    <w:p>
      <w:pPr>
        <w:pageBreakBefore w:val="0"/>
        <w:kinsoku/>
        <w:wordWrap/>
        <w:bidi w:val="0"/>
        <w:spacing w:line="560" w:lineRule="exact"/>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pageBreakBefore w:val="0"/>
        <w:kinsoku/>
        <w:wordWrap/>
        <w:bidi w:val="0"/>
        <w:spacing w:line="56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2021</w:t>
      </w:r>
      <w:r>
        <w:rPr>
          <w:rFonts w:hint="eastAsia" w:ascii="方正小标宋_GBK" w:eastAsia="方正小标宋_GBK"/>
          <w:sz w:val="36"/>
          <w:szCs w:val="36"/>
        </w:rPr>
        <w:t>部门整体支出绩效自评报告</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一、部门、单位基本情况</w:t>
      </w:r>
    </w:p>
    <w:p>
      <w:pPr>
        <w:keepNext w:val="0"/>
        <w:keepLines w:val="0"/>
        <w:pageBreakBefore w:val="0"/>
        <w:numPr>
          <w:ilvl w:val="0"/>
          <w:numId w:val="0"/>
        </w:numPr>
        <w:kinsoku/>
        <w:wordWrap/>
        <w:bidi w:val="0"/>
        <w:spacing w:line="560" w:lineRule="exact"/>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机构设置情况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衡阳县关市镇人民政府为正科级全额拨款行政单位。内设4个机构，即三中心一大队分别有：社会事业综合服务中心，农业综合服务中心，政务服务中心，综合行政执法大队。</w:t>
      </w:r>
    </w:p>
    <w:p>
      <w:pPr>
        <w:keepNext w:val="0"/>
        <w:keepLines w:val="0"/>
        <w:pageBreakBefore w:val="0"/>
        <w:numPr>
          <w:ilvl w:val="0"/>
          <w:numId w:val="0"/>
        </w:numPr>
        <w:kinsoku/>
        <w:wordWrap/>
        <w:bidi w:val="0"/>
        <w:spacing w:line="560" w:lineRule="exact"/>
        <w:ind w:left="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（二）人员编制情况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机构管理部门核定我镇编制人数为92人，其中：行政编制35人，事业编制55人。实有在职人数72人，其中：行政编制32人，事业编制40人。</w:t>
      </w:r>
    </w:p>
    <w:p>
      <w:pPr>
        <w:pStyle w:val="11"/>
        <w:keepNext w:val="0"/>
        <w:keepLines w:val="0"/>
        <w:pageBreakBefore w:val="0"/>
        <w:widowControl/>
        <w:kinsoku/>
        <w:wordWrap/>
        <w:bidi w:val="0"/>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（三）主要职能职责</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1.执行本级人民代表大会决议和上级国家行政机关的决定和命令，发布决定和命令;落实国家政策，严格依法行政。</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4.制定并组织实施村镇建设规划，部署重点工程建设，地方道路建设及公共设施，水利设施的管理，负责土地、林木、水等自然资源和生态环境的保护，做好护林防火工作。</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5.按计划组织本级财政收入和地方税的征收，完成国家财政计划，不断培植税源，管好财政资金，增强财政实力。</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6.保障宪法和法律赋予妇女的男女平等、同工同酬和婚姻自由等各项权利，保障少数民族的合法权利和尊重少数民族的风俗习惯。</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7.抓好精神文明建设，丰富群众文化生活，提倡移风易俗，反对封建迷信，破除陈规陋习，树立社会主义新风尚。 </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8.承办县委、县人民政府交办的其他事项。</w:t>
      </w:r>
    </w:p>
    <w:p>
      <w:pPr>
        <w:pStyle w:val="11"/>
        <w:keepNext w:val="0"/>
        <w:keepLines w:val="0"/>
        <w:pageBreakBefore w:val="0"/>
        <w:widowControl/>
        <w:kinsoku/>
        <w:wordWrap/>
        <w:bidi w:val="0"/>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（四）绩效目标设定情况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Times New Roman" w:eastAsia="仿宋_GB2312" w:cs="Times New Roman"/>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1.目标设定情况</w:t>
      </w:r>
      <w:r>
        <w:rPr>
          <w:rFonts w:hint="eastAsia" w:ascii="方正仿宋_GB2312" w:hAnsi="方正仿宋_GB2312" w:eastAsia="方正仿宋_GB2312" w:cs="方正仿宋_GB2312"/>
          <w:b/>
          <w:bCs/>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在本年度收支预算内，确保完成以下整体目标：</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目标1：人员经费按照相关政策及时发放到位</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目标2：严格控制三公经费，确保机关正常运行。</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目标3：做好社会保障工作，保证公用经费按照预算项目合理支出，确保单位办公合理运转。</w:t>
      </w:r>
      <w:r>
        <w:rPr>
          <w:rFonts w:hint="eastAsia" w:ascii="仿宋_GB2312" w:hAnsi="Times New Roman" w:eastAsia="仿宋_GB2312" w:cs="Times New Roman"/>
          <w:kern w:val="2"/>
          <w:sz w:val="32"/>
          <w:szCs w:val="32"/>
          <w:lang w:val="en-US" w:eastAsia="zh-CN" w:bidi="ar-SA"/>
        </w:rPr>
        <w:br w:type="textWrapping"/>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仿宋_GB2312" w:hAnsi="方正仿宋_GB2312" w:eastAsia="方正仿宋_GB2312" w:cs="方正仿宋_GB2312"/>
          <w:b/>
          <w:bCs/>
          <w:kern w:val="2"/>
          <w:sz w:val="32"/>
          <w:szCs w:val="32"/>
          <w:lang w:val="en-US" w:eastAsia="zh-CN" w:bidi="ar-SA"/>
        </w:rPr>
        <w:t xml:space="preserve"> 2.完成情况</w:t>
      </w:r>
      <w:r>
        <w:rPr>
          <w:rFonts w:hint="eastAsia" w:ascii="方正仿宋_GB2312" w:hAnsi="方正仿宋_GB2312" w:eastAsia="方正仿宋_GB2312" w:cs="方正仿宋_GB2312"/>
          <w:b/>
          <w:bCs/>
          <w:kern w:val="2"/>
          <w:sz w:val="32"/>
          <w:szCs w:val="32"/>
          <w:lang w:val="en-US" w:eastAsia="zh-CN" w:bidi="ar-SA"/>
        </w:rPr>
        <w:br w:type="textWrapping"/>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目标1：在全年的工作，人员经费和各项补贴，已按照相关政策和规定，全部发放到位。</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目标2：三公经费严格控制到位，保证了机关日常的正常运转。</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 xml:space="preserve">    目标3：公用经费全部按照相关规定，保障了政府日常办公开支的运转，确保单位相关工作能正常运转。</w:t>
      </w:r>
    </w:p>
    <w:p>
      <w:pPr>
        <w:pageBreakBefore w:val="0"/>
        <w:numPr>
          <w:ilvl w:val="0"/>
          <w:numId w:val="0"/>
        </w:numPr>
        <w:kinsoku/>
        <w:wordWrap/>
        <w:bidi w:val="0"/>
        <w:spacing w:line="560" w:lineRule="exact"/>
        <w:ind w:left="630" w:leftChars="0"/>
        <w:jc w:val="both"/>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lang w:eastAsia="zh-CN"/>
        </w:rPr>
        <w:t>二、</w:t>
      </w:r>
      <w:r>
        <w:rPr>
          <w:rFonts w:hint="eastAsia" w:ascii="方正公文黑体" w:hAnsi="方正公文黑体" w:eastAsia="方正公文黑体" w:cs="方正公文黑体"/>
          <w:b w:val="0"/>
          <w:bCs w:val="0"/>
          <w:sz w:val="32"/>
          <w:szCs w:val="32"/>
        </w:rPr>
        <w:t>一般公共预算支出情况</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（一）经批复的预、决算情况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对关市镇2021年部门预算批复如下：</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1.组织收入计划。按照巩固总量，提升质量的总体要求，2021年全镇部门财政收入为1218.14万元。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2.部门支出预算。2021年全镇部门支出为1218.14万元。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对关市镇2021年部门决算算批复如下：</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2021年度本部门收入决算数1716.77万元，其中财政拨款收入1218.14万元，上年结转和结余565.62万元。2021年度支出决算数1716.77万元，其中基本支出人员经费1226.07万元，公用经费460.71万元；项目支出30万元。</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（二）部门预算执行情况</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1.基本支出情况</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2021年度总支出1716.77万元，其中基本支出168</w:t>
      </w:r>
      <w:r>
        <w:rPr>
          <w:rFonts w:hint="eastAsia" w:ascii="仿宋_GB2312" w:hAnsi="Times New Roman" w:eastAsia="仿宋_GB2312" w:cs="Times New Roman"/>
          <w:kern w:val="2"/>
          <w:sz w:val="32"/>
          <w:szCs w:val="32"/>
          <w:lang w:val="en-US" w:eastAsia="zh-CN" w:bidi="ar-SA"/>
        </w:rPr>
        <w:t>6.77万元，占总支出比例98.25%、项目支出30万元，占总支出比例1.75%。</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度基本支出1686.77万元，其中：人员经费1226.06万元，占基本支出72.69%（工资福利支出660.58万元、占基本支出比例53.88%，对个人和家庭的补助支出565.48万元、占基本支出比例46.12%）；商品和服务支出457.71万元，占基本支出比例27.14%；其他支出3万元，占基本支出比例0.17%。</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较年初预算超支比例较大的主要原因是本年度进行了工资及其他福利调整。</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2.项目支出情况</w:t>
      </w:r>
      <w:r>
        <w:rPr>
          <w:rFonts w:hint="eastAsia" w:ascii="方正仿宋_GB2312" w:hAnsi="方正仿宋_GB2312" w:eastAsia="方正仿宋_GB2312" w:cs="方正仿宋_GB2312"/>
          <w:kern w:val="2"/>
          <w:sz w:val="32"/>
          <w:szCs w:val="32"/>
          <w:lang w:val="en-US" w:eastAsia="zh-CN" w:bidi="ar-SA"/>
        </w:rPr>
        <w:tab/>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项目支出共30万元，一般公共预算财政拨款30万元，农林水支出30万元。</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楷体" w:hAnsi="楷体" w:eastAsia="楷体" w:cs="楷体"/>
          <w:b/>
          <w:bCs/>
          <w:kern w:val="2"/>
          <w:sz w:val="32"/>
          <w:szCs w:val="32"/>
          <w:lang w:val="en-US" w:eastAsia="zh-CN" w:bidi="ar-SA"/>
        </w:rPr>
        <w:t>（三）“三公”经费使用和管理情况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2021年“三公经费”预算金额为13.6950万元，其中公务接待费10万元，公车运行维护费3.6950万元。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经费”支出决算为12.0455万元，完成预算的87.96%，其中：因公出国（境）费支出决算为0万元（因公出国组团0次，因公出国0人次），完成预算的0%；公务用车运行费支出决算为3.6950万元（公务用车购置0台，保有量1台），完成预算的100%；公务接待费支出决算为8.3505万元（国内公务接待259批，共计2087人,完成预算的83.51%；国外公务接待0批，共计0人）。</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从下表反映，本年“三公经费”较上年有较大下降，下降金额为3.15万元，下降20.73%。</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“三公经费”与上年对比情况          单位：万元</w:t>
      </w:r>
    </w:p>
    <w:tbl>
      <w:tblPr>
        <w:tblStyle w:val="8"/>
        <w:tblpPr w:leftFromText="180" w:rightFromText="180" w:vertAnchor="text" w:tblpXSpec="center" w:tblpY="1"/>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3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费用项目</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2020年</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决算数</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决算数</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增减情况（2021-2020）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39"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公务接待费</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12.63</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8.35</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5"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公车运行维护费</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2.56</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3.69</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3"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因公出国费用</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5"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合  计</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15.19</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12.04</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-3.15</w:t>
            </w:r>
          </w:p>
        </w:tc>
      </w:tr>
    </w:tbl>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（四）资金结转和结余情况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年初结转结余565.62万元，本年度年末结余0万。</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（五）部门整体支出管理与制度建设情况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1.三公经费控制良好，严格执行年初预算，压减开支，控制率达到100%。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方正仿宋_GB18030" w:hAnsi="方正仿宋_GB18030" w:eastAsia="方正仿宋_GB18030" w:cs="方正仿宋_GB18030"/>
          <w:b w:val="0"/>
          <w:kern w:val="2"/>
          <w:sz w:val="32"/>
          <w:szCs w:val="32"/>
          <w:lang w:val="en-US" w:eastAsia="zh-CN" w:bidi="ar-SA"/>
        </w:rPr>
        <w:t>2.按预算执行本镇的各</w:t>
      </w:r>
      <w:r>
        <w:rPr>
          <w:rFonts w:hint="eastAsia" w:ascii="仿宋_GB2312" w:hAnsi="Times New Roman" w:eastAsia="仿宋_GB2312" w:cs="Times New Roman"/>
          <w:b w:val="0"/>
          <w:kern w:val="2"/>
          <w:sz w:val="32"/>
          <w:szCs w:val="32"/>
          <w:lang w:val="en-US" w:eastAsia="zh-CN" w:bidi="ar-SA"/>
        </w:rPr>
        <w:t>项开支，预算完成率和控制率均达到100%，收支平衡。</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3.政府采购执行与控制率达到100%。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4.各项制度管理健全，资金使用合规。</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5.重点工作和业务工作完成率100%。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6.取得良好的经济效益和社会效益。</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7.提高行政效能，提升社会公众服务对象的满意度。</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8.预决算信息公开率100%。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9.农村基础设施建设及民生工程持续改善。</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10.人居环境整治工作呈现良好态势。镇党委、政府牢固树立“绿水青山就是金山银山”的理念，结合本地实际开展整治工作。通过大宣传、大行动、大整治、大考评等一系列措施，全民参与，治垃圾、治污水、治厕所、治“四类房”。</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11.政府自身建设不断加强。镇政府自觉接受镇人大和群众监督，继续推行政务公开，严格执行“八项规定”和“六项禁令”，坚决反对“四风”实现“一站式”服务；拓展村级服务站，简化办事程序，政府效能和执行力稳步提高。</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三、政府性基金预算支出情况</w:t>
      </w:r>
    </w:p>
    <w:p>
      <w:pPr>
        <w:pStyle w:val="11"/>
        <w:pageBreakBefore w:val="0"/>
        <w:widowControl/>
        <w:kinsoku/>
        <w:wordWrap/>
        <w:bidi w:val="0"/>
        <w:spacing w:line="560" w:lineRule="exact"/>
        <w:rPr>
          <w:rFonts w:hint="default" w:ascii="宋体" w:hAnsi="宋体" w:eastAsia="宋体" w:cs="宋体"/>
          <w:kern w:val="2"/>
          <w:sz w:val="28"/>
          <w:szCs w:val="28"/>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四、国有资本经营预算支出情况</w:t>
      </w:r>
    </w:p>
    <w:p>
      <w:pPr>
        <w:pStyle w:val="11"/>
        <w:pageBreakBefore w:val="0"/>
        <w:widowControl/>
        <w:kinsoku/>
        <w:wordWrap/>
        <w:bidi w:val="0"/>
        <w:spacing w:line="560" w:lineRule="exac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五、社会保险基金预算支出情况</w:t>
      </w:r>
    </w:p>
    <w:p>
      <w:pPr>
        <w:pStyle w:val="11"/>
        <w:pageBreakBefore w:val="0"/>
        <w:widowControl/>
        <w:kinsoku/>
        <w:wordWrap/>
        <w:bidi w:val="0"/>
        <w:spacing w:line="560" w:lineRule="exac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六、部门整体支出绩效情况</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（一）综合评价结论</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2021年对照《关市镇人民政府2021年度部门整体支出绩效评价指标评分表》等方面具体指标综合评分，得分为94分，综合评价等级分为优秀。</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(二）综合评价情况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部门资金情况总分10分，得分10分。年度资金金额</w:t>
      </w:r>
      <w:r>
        <w:rPr>
          <w:rFonts w:hint="eastAsia" w:ascii="仿宋_GB2312" w:hAnsi="Times New Roman" w:eastAsia="仿宋_GB2312" w:cs="Times New Roman"/>
          <w:kern w:val="2"/>
          <w:sz w:val="32"/>
          <w:szCs w:val="32"/>
          <w:lang w:val="en-US" w:eastAsia="zh-CN" w:bidi="ar-SA"/>
        </w:rPr>
        <w:t>1716.77</w:t>
      </w:r>
      <w:r>
        <w:rPr>
          <w:rFonts w:hint="default" w:ascii="仿宋_GB2312" w:hAnsi="Times New Roman" w:eastAsia="仿宋_GB2312" w:cs="Times New Roman"/>
          <w:kern w:val="2"/>
          <w:sz w:val="32"/>
          <w:szCs w:val="32"/>
          <w:lang w:val="en-US" w:eastAsia="zh-CN" w:bidi="ar-SA"/>
        </w:rPr>
        <w:t>万元，执行率为100%。</w:t>
      </w:r>
      <w:r>
        <w:rPr>
          <w:rFonts w:hint="default" w:ascii="仿宋_GB2312" w:hAnsi="Times New Roman" w:eastAsia="仿宋_GB2312" w:cs="Times New Roman"/>
          <w:kern w:val="2"/>
          <w:sz w:val="32"/>
          <w:szCs w:val="32"/>
          <w:lang w:val="en-US" w:eastAsia="zh-CN" w:bidi="ar-SA"/>
        </w:rPr>
        <w:br w:type="textWrapping"/>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2</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产出指标总分为50分，得分47分</w:t>
      </w:r>
      <w:r>
        <w:rPr>
          <w:rFonts w:hint="eastAsia" w:ascii="仿宋_GB2312" w:eastAsia="仿宋_GB2312" w:cs="Times New Roman"/>
          <w:b w:val="0"/>
          <w:kern w:val="2"/>
          <w:sz w:val="32"/>
          <w:szCs w:val="32"/>
          <w:lang w:val="en-US" w:eastAsia="zh-CN" w:bidi="ar-SA"/>
        </w:rPr>
        <w:t>。</w:t>
      </w:r>
      <w:r>
        <w:rPr>
          <w:rFonts w:hint="eastAsia" w:ascii="仿宋_GB2312"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（1）数量指标2个均完成指标值。完成24个村（社区）数灾害防治、森林防火、安全生产知识培训；按月支付工资及政策性社会保障性资金12次；</w:t>
      </w:r>
      <w:r>
        <w:rPr>
          <w:rFonts w:hint="eastAsia" w:ascii="仿宋_GB2312" w:hAnsi="Times New Roman" w:eastAsia="仿宋_GB2312" w:cs="Times New Roman"/>
          <w:kern w:val="2"/>
          <w:sz w:val="32"/>
          <w:szCs w:val="32"/>
          <w:lang w:val="en-US" w:eastAsia="zh-CN" w:bidi="ar-SA"/>
        </w:rPr>
        <w:br w:type="textWrapping"/>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2）质量指标完成1个指标值。工资津贴发放率100%；惠民惠农资金未100%准确及时发放到户；该项指标扣分3分，造成未及时发放到位原因为惠民惠农补贴发放对象信息受交通等因素影响无法及时变更。改善措施：加强与村（社区）委会的沟通，及时变更补贴发放对象信息。</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时效指标1个已完成指标值。重点工作按时办结100%。</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成本指标1个已完成指标值。各项业务经费未超出预算，未超支审批。</w:t>
      </w:r>
    </w:p>
    <w:p>
      <w:pPr>
        <w:pStyle w:val="3"/>
        <w:keepNext w:val="0"/>
        <w:keepLines w:val="0"/>
        <w:pageBreakBefore w:val="0"/>
        <w:widowControl w:val="0"/>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效益指标总分30分，得分27分。</w:t>
      </w:r>
    </w:p>
    <w:p>
      <w:pPr>
        <w:pStyle w:val="3"/>
        <w:keepNext w:val="0"/>
        <w:keepLines w:val="0"/>
        <w:pageBreakBefore w:val="0"/>
        <w:widowControl w:val="0"/>
        <w:kinsoku/>
        <w:wordWrap/>
        <w:overflowPunct/>
        <w:topLinePunct w:val="0"/>
        <w:autoSpaceDE/>
        <w:autoSpaceDN/>
        <w:bidi w:val="0"/>
        <w:adjustRightInd w:val="0"/>
        <w:snapToGrid w:val="0"/>
        <w:spacing w:beforeLines="0" w:line="60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（1）经济效益指标2个均已完成指标值。2021年我镇人、畜、作物死亡率较上年有所下降；农民收入水平较去年有所提升，但是没有达到理想水平。</w:t>
      </w:r>
    </w:p>
    <w:p>
      <w:pPr>
        <w:pStyle w:val="3"/>
        <w:keepNext w:val="0"/>
        <w:keepLines w:val="0"/>
        <w:pageBreakBefore w:val="0"/>
        <w:widowControl w:val="0"/>
        <w:kinsoku/>
        <w:wordWrap/>
        <w:overflowPunct/>
        <w:topLinePunct w:val="0"/>
        <w:autoSpaceDE/>
        <w:autoSpaceDN/>
        <w:bidi w:val="0"/>
        <w:adjustRightInd w:val="0"/>
        <w:snapToGrid w:val="0"/>
        <w:spacing w:beforeLines="0" w:line="60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（2）社会效益指标3个均已完成指标值。基础民生有所保障；道路基础设施建设有所优化；社会安定和谐。</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（3）生态效益指标2个未完成指标值。环保督察整改尚没有到位。</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（4）可持续影响指标1个已完成指标值。民众思想文化素养有所提高，文明环境建设有所加强。</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4</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满意度指标总分为10分，得分10分。在2021年度工作中，我镇坚持“以民为本”的工作理念，干部职工满意度95%，社会公众或服务对象满意度95%，均已完成指标值。</w:t>
      </w:r>
    </w:p>
    <w:p>
      <w:pPr>
        <w:pStyle w:val="11"/>
        <w:keepNext w:val="0"/>
        <w:keepLines w:val="0"/>
        <w:pageBreakBefore w:val="0"/>
        <w:widowControl/>
        <w:kinsoku/>
        <w:wordWrap/>
        <w:overflowPunct/>
        <w:topLinePunct w:val="0"/>
        <w:autoSpaceDE/>
        <w:autoSpaceDN/>
        <w:bidi w:val="0"/>
        <w:adjustRightInd/>
        <w:snapToGrid/>
        <w:spacing w:before="157" w:beforeLines="50" w:line="520" w:lineRule="exact"/>
        <w:ind w:left="640" w:firstLine="0" w:firstLineChars="0"/>
        <w:jc w:val="left"/>
        <w:textAlignment w:val="auto"/>
        <w:rPr>
          <w:rFonts w:eastAsia="黑体"/>
          <w:sz w:val="32"/>
          <w:szCs w:val="32"/>
        </w:rPr>
      </w:pPr>
      <w:r>
        <w:rPr>
          <w:rFonts w:hint="eastAsia" w:ascii="方正公文黑体" w:hAnsi="方正公文黑体" w:eastAsia="方正公文黑体" w:cs="方正公文黑体"/>
          <w:b w:val="0"/>
          <w:bCs w:val="0"/>
          <w:kern w:val="2"/>
          <w:sz w:val="32"/>
          <w:szCs w:val="32"/>
          <w:lang w:val="en-US" w:eastAsia="zh-CN" w:bidi="ar-SA"/>
        </w:rPr>
        <w:t>七、存在的问题及原因分析</w:t>
      </w:r>
    </w:p>
    <w:p>
      <w:pPr>
        <w:keepNext w:val="0"/>
        <w:keepLines w:val="0"/>
        <w:pageBreakBefore w:val="0"/>
        <w:widowControl/>
        <w:kinsoku/>
        <w:wordWrap/>
        <w:overflowPunct/>
        <w:topLinePunct w:val="0"/>
        <w:autoSpaceDE/>
        <w:autoSpaceDN/>
        <w:bidi w:val="0"/>
        <w:adjustRightInd/>
        <w:snapToGrid/>
        <w:spacing w:before="157" w:beforeLines="50"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通过加强我单位预算绩效管理工作，使各部门牢固树立“讲绩效、重绩效、用绩效”的观念，但在具体工作中也存在一些问题需要解决：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1.预算调整过多。</w:t>
      </w:r>
    </w:p>
    <w:p>
      <w:pPr>
        <w:keepNext w:val="0"/>
        <w:keepLines w:val="0"/>
        <w:pageBreakBefore w:val="0"/>
        <w:widowControl/>
        <w:kinsoku/>
        <w:wordWrap/>
        <w:overflowPunct/>
        <w:topLinePunct w:val="0"/>
        <w:autoSpaceDE/>
        <w:autoSpaceDN/>
        <w:bidi w:val="0"/>
        <w:adjustRightInd/>
        <w:snapToGrid/>
        <w:spacing w:line="520" w:lineRule="atLeas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预算绩效管理水平不高，人员素质有待进一步提高。由于预算绩效管理工作开展时间短，涉及面广，专业性强，单位对预算绩效管理理解不充分，对预算绩效管理业务不精通，在一定程度上影响了绩效评价工作质量；</w:t>
      </w:r>
    </w:p>
    <w:p>
      <w:pPr>
        <w:keepNext w:val="0"/>
        <w:keepLines w:val="0"/>
        <w:pageBreakBefore w:val="0"/>
        <w:widowControl/>
        <w:kinsoku/>
        <w:wordWrap/>
        <w:overflowPunct/>
        <w:topLinePunct w:val="0"/>
        <w:autoSpaceDE/>
        <w:autoSpaceDN/>
        <w:bidi w:val="0"/>
        <w:adjustRightInd/>
        <w:snapToGrid/>
        <w:spacing w:line="520" w:lineRule="atLeast"/>
        <w:ind w:firstLine="640" w:firstLineChars="200"/>
        <w:jc w:val="left"/>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评价指标体系需要进一步完善。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w:t>
      </w:r>
      <w:r>
        <w:rPr>
          <w:rFonts w:hint="eastAsia" w:ascii="方正公文黑体" w:hAnsi="方正公文黑体" w:eastAsia="方正公文黑体" w:cs="方正公文黑体"/>
          <w:b w:val="0"/>
          <w:bCs w:val="0"/>
          <w:kern w:val="2"/>
          <w:sz w:val="32"/>
          <w:szCs w:val="32"/>
          <w:lang w:val="en-US" w:eastAsia="zh-CN" w:bidi="ar-SA"/>
        </w:rPr>
        <w:t>八、下一步改进措施</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2.加强预算绩效管理水平，不断的提高人员素质。不断的去学习绩效管理工作，加强单位财务管理，健全单位财务管理制度体系，规范单位财务行为。</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3.完善评价指标体系，了解各个行业和项目之间的差异性，设计各个行业和项目之间的评价标准，使其具有充分的调查分析和严密的逻辑关系，满足于不同层面和不同性质的绩效评价需求。</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w:t>
      </w:r>
      <w:r>
        <w:rPr>
          <w:rFonts w:hint="eastAsia" w:ascii="方正公文黑体" w:hAnsi="方正公文黑体" w:eastAsia="方正公文黑体" w:cs="方正公文黑体"/>
          <w:b w:val="0"/>
          <w:bCs w:val="0"/>
          <w:kern w:val="2"/>
          <w:sz w:val="32"/>
          <w:szCs w:val="32"/>
          <w:lang w:val="en-US" w:eastAsia="zh-CN" w:bidi="ar-SA"/>
        </w:rPr>
        <w:t>九、其他需要说明的情况</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20" w:lineRule="exact"/>
        <w:ind w:left="559" w:leftChars="266" w:firstLine="296" w:firstLineChars="106"/>
        <w:jc w:val="left"/>
        <w:textAlignment w:val="auto"/>
        <w:rPr>
          <w:rFonts w:hint="eastAsia" w:ascii="仿宋_GB2312" w:hAnsi="Times New Roman" w:eastAsia="仿宋_GB2312" w:cs="Times New Roman"/>
          <w:b w:val="0"/>
          <w:kern w:val="2"/>
          <w:sz w:val="32"/>
          <w:szCs w:val="32"/>
          <w:lang w:val="en-US" w:eastAsia="zh-CN" w:bidi="ar-SA"/>
        </w:rPr>
      </w:pPr>
      <w:r>
        <w:rPr>
          <w:rFonts w:hint="eastAsia" w:ascii="宋体" w:hAnsi="宋体" w:eastAsia="宋体" w:cs="宋体"/>
          <w:kern w:val="2"/>
          <w:sz w:val="28"/>
          <w:szCs w:val="28"/>
          <w:lang w:val="en-US" w:eastAsia="zh-CN" w:bidi="ar-SA"/>
        </w:rPr>
        <w:br w:type="textWrapping"/>
      </w:r>
      <w:r>
        <w:rPr>
          <w:rFonts w:hint="eastAsia" w:ascii="仿宋_GB2312" w:hAnsi="Times New Roman" w:eastAsia="仿宋_GB2312" w:cs="Times New Roman"/>
          <w:b w:val="0"/>
          <w:kern w:val="2"/>
          <w:sz w:val="32"/>
          <w:szCs w:val="32"/>
          <w:lang w:val="en-US" w:eastAsia="zh-CN" w:bidi="ar-SA"/>
        </w:rPr>
        <w:t>报告应包括以下附件：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1.部门整体支出绩效评价基础数据表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2.部门整体支出绩效自评表</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Times New Roman" w:hAnsi="Times New Roman" w:eastAsia="仿宋"/>
          <w:color w:val="000000"/>
          <w:kern w:val="0"/>
          <w:sz w:val="32"/>
          <w:szCs w:val="32"/>
        </w:rPr>
      </w:pPr>
      <w:r>
        <w:rPr>
          <w:rFonts w:hint="eastAsia" w:ascii="仿宋_GB2312" w:hAnsi="Times New Roman" w:eastAsia="仿宋_GB2312" w:cs="Times New Roman"/>
          <w:b w:val="0"/>
          <w:kern w:val="2"/>
          <w:sz w:val="32"/>
          <w:szCs w:val="32"/>
          <w:lang w:val="en-US" w:eastAsia="zh-CN" w:bidi="ar-SA"/>
        </w:rPr>
        <w:br w:type="textWrapping"/>
      </w:r>
      <w:r>
        <w:rPr>
          <w:rFonts w:hint="eastAsia" w:ascii="Times New Roman" w:hAnsi="Times New Roman" w:eastAsia="仿宋"/>
          <w:color w:val="000000"/>
          <w:kern w:val="0"/>
          <w:sz w:val="32"/>
          <w:szCs w:val="32"/>
        </w:rPr>
        <w:br w:type="textWrapping"/>
      </w:r>
      <w:r>
        <w:rPr>
          <w:rFonts w:hint="eastAsia" w:ascii="Times New Roman" w:hAnsi="Times New Roman" w:eastAsia="仿宋"/>
          <w:color w:val="000000"/>
          <w:kern w:val="0"/>
          <w:sz w:val="32"/>
          <w:szCs w:val="32"/>
        </w:rPr>
        <w:br w:type="textWrapping"/>
      </w:r>
    </w:p>
    <w:p>
      <w:pPr>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附件1-1</w:t>
      </w:r>
    </w:p>
    <w:p>
      <w:pPr>
        <w:pageBreakBefore w:val="0"/>
        <w:widowControl/>
        <w:kinsoku/>
        <w:wordWrap/>
        <w:bidi w:val="0"/>
        <w:spacing w:line="560" w:lineRule="exact"/>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pageBreakBefore w:val="0"/>
        <w:widowControl/>
        <w:tabs>
          <w:tab w:val="left" w:pos="3611"/>
          <w:tab w:val="left" w:pos="4791"/>
          <w:tab w:val="left" w:pos="5951"/>
          <w:tab w:val="left" w:pos="7071"/>
          <w:tab w:val="left" w:pos="8191"/>
          <w:tab w:val="left" w:pos="9311"/>
        </w:tabs>
        <w:kinsoku/>
        <w:wordWrap/>
        <w:bidi w:val="0"/>
        <w:spacing w:line="56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ascii="Times New Roman" w:hAnsi="Times New Roman"/>
          <w:kern w:val="0"/>
          <w:sz w:val="24"/>
          <w:lang w:val="en-US" w:eastAsia="zh-CN"/>
        </w:rPr>
        <w:t>关市镇人民政府</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hint="eastAsia" w:ascii="Times New Roman" w:hAnsi="Times New Roman"/>
          <w:kern w:val="0"/>
          <w:sz w:val="24"/>
          <w:lang w:val="en-US" w:eastAsia="zh-CN"/>
        </w:rPr>
        <w:t>2022/4/13</w:t>
      </w:r>
    </w:p>
    <w:tbl>
      <w:tblPr>
        <w:tblStyle w:val="8"/>
        <w:tblW w:w="9118" w:type="dxa"/>
        <w:jc w:val="center"/>
        <w:tblLayout w:type="fixed"/>
        <w:tblCellMar>
          <w:top w:w="0" w:type="dxa"/>
          <w:left w:w="108" w:type="dxa"/>
          <w:bottom w:w="0" w:type="dxa"/>
          <w:right w:w="108" w:type="dxa"/>
        </w:tblCellMar>
      </w:tblPr>
      <w:tblGrid>
        <w:gridCol w:w="3357"/>
        <w:gridCol w:w="1710"/>
        <w:gridCol w:w="2341"/>
        <w:gridCol w:w="1710"/>
      </w:tblGrid>
      <w:tr>
        <w:tblPrEx>
          <w:tblCellMar>
            <w:top w:w="0" w:type="dxa"/>
            <w:left w:w="108" w:type="dxa"/>
            <w:bottom w:w="0" w:type="dxa"/>
            <w:right w:w="108" w:type="dxa"/>
          </w:tblCellMar>
        </w:tblPrEx>
        <w:trPr>
          <w:trHeight w:val="510" w:hRule="exact"/>
          <w:jc w:val="center"/>
        </w:trPr>
        <w:tc>
          <w:tcPr>
            <w:tcW w:w="335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编制数</w:t>
            </w:r>
          </w:p>
        </w:tc>
        <w:tc>
          <w:tcPr>
            <w:tcW w:w="2341"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510" w:hRule="exact"/>
          <w:jc w:val="center"/>
        </w:trPr>
        <w:tc>
          <w:tcPr>
            <w:tcW w:w="335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92</w:t>
            </w: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72</w:t>
            </w: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78.26%</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1686.77</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1686.77</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1693.40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13.69</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13.69</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15.19</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3.69</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3.69</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2.56</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3.69</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3.69</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2.56</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10</w:t>
            </w: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12.62</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30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文化旅游体育与传媒支出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ind w:firstLine="840" w:firstLineChars="400"/>
              <w:jc w:val="both"/>
              <w:rPr>
                <w:rFonts w:hint="eastAsia" w:ascii="Times New Roman" w:hAnsi="Times New Roman" w:eastAsia="宋体"/>
                <w:kern w:val="0"/>
                <w:szCs w:val="21"/>
                <w:lang w:eastAsia="zh-CN"/>
              </w:rPr>
            </w:pPr>
            <w:r>
              <w:rPr>
                <w:rFonts w:hint="eastAsia" w:ascii="Times New Roman" w:hAnsi="Times New Roman"/>
                <w:kern w:val="0"/>
                <w:szCs w:val="21"/>
                <w:lang w:val="en-US" w:eastAsia="zh-CN"/>
              </w:rPr>
              <w:t>城乡社区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农林水支出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30</w:t>
            </w: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30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r>
              <w:rPr>
                <w:rFonts w:hint="eastAsia" w:ascii="Times New Roman" w:hAnsi="Times New Roman"/>
                <w:kern w:val="0"/>
                <w:szCs w:val="21"/>
              </w:rPr>
              <w:t>　</w:t>
            </w:r>
            <w:r>
              <w:rPr>
                <w:rFonts w:hint="eastAsia" w:ascii="Times New Roman" w:hAnsi="Times New Roman"/>
                <w:kern w:val="0"/>
                <w:szCs w:val="21"/>
                <w:lang w:val="en-US" w:eastAsia="zh-CN"/>
              </w:rPr>
              <w:t xml:space="preserve">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61"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继续严格按照要求压缩三公经费</w:t>
            </w:r>
            <w:r>
              <w:rPr>
                <w:rFonts w:hint="eastAsia" w:ascii="Times New Roman" w:hAnsi="Times New Roman"/>
                <w:kern w:val="0"/>
                <w:szCs w:val="21"/>
              </w:rPr>
              <w:t>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宋体" w:hAnsi="宋体" w:cs="宋体"/>
          <w:sz w:val="24"/>
        </w:rPr>
        <w:t>填表人：</w:t>
      </w:r>
      <w:r>
        <w:rPr>
          <w:rFonts w:hint="eastAsia" w:ascii="宋体" w:hAnsi="宋体" w:cs="宋体"/>
          <w:sz w:val="24"/>
          <w:lang w:val="en-US" w:eastAsia="zh-CN"/>
        </w:rPr>
        <w:t>曹凯鑫</w:t>
      </w:r>
      <w:r>
        <w:rPr>
          <w:rFonts w:hint="eastAsia" w:ascii="宋体" w:hAnsi="宋体" w:cs="宋体"/>
          <w:sz w:val="24"/>
        </w:rPr>
        <w:t xml:space="preserve">       联系电话：</w:t>
      </w:r>
      <w:r>
        <w:rPr>
          <w:rFonts w:hint="eastAsia" w:ascii="宋体" w:hAnsi="宋体" w:cs="宋体"/>
          <w:sz w:val="24"/>
          <w:lang w:val="en-US" w:eastAsia="zh-CN"/>
        </w:rPr>
        <w:t>15502577426</w:t>
      </w:r>
      <w:r>
        <w:rPr>
          <w:rFonts w:hint="eastAsia" w:ascii="宋体" w:hAnsi="宋体" w:cs="宋体"/>
          <w:sz w:val="24"/>
        </w:rPr>
        <w:t xml:space="preserve">   单位负责人签字：</w:t>
      </w:r>
    </w:p>
    <w:p>
      <w:pPr>
        <w:rPr>
          <w:rFonts w:hint="eastAsia" w:ascii="仿宋_GB2312" w:eastAsia="仿宋_GB2312"/>
          <w:sz w:val="32"/>
          <w:szCs w:val="32"/>
        </w:rPr>
      </w:pPr>
      <w:r>
        <w:rPr>
          <w:rFonts w:hint="eastAsia" w:ascii="仿宋_GB2312" w:eastAsia="仿宋_GB2312"/>
          <w:sz w:val="32"/>
          <w:szCs w:val="32"/>
        </w:rPr>
        <w:br w:type="page"/>
      </w:r>
    </w:p>
    <w:p>
      <w:pPr>
        <w:pageBreakBefore w:val="0"/>
        <w:kinsoku/>
        <w:wordWrap/>
        <w:bidi w:val="0"/>
        <w:spacing w:before="62" w:beforeLines="20" w:line="560" w:lineRule="exact"/>
        <w:rPr>
          <w:rFonts w:hint="eastAsia" w:ascii="方正小标宋_GBK" w:hAnsi="方正小标宋_GBK" w:eastAsia="方正小标宋_GBK" w:cs="方正小标宋_GBK"/>
          <w:sz w:val="36"/>
          <w:szCs w:val="36"/>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r>
        <w:rPr>
          <w:rFonts w:hint="eastAsia" w:ascii="Times New Roman" w:hAnsi="Times New Roman" w:eastAsia="仿宋"/>
          <w:color w:val="000000"/>
          <w:kern w:val="0"/>
          <w:sz w:val="32"/>
          <w:szCs w:val="32"/>
          <w:lang w:val="en-US" w:eastAsia="zh-CN"/>
        </w:rPr>
        <w:t xml:space="preserve">      </w:t>
      </w:r>
      <w:r>
        <w:rPr>
          <w:rFonts w:hint="eastAsia" w:ascii="方正小标宋_GBK" w:hAnsi="方正小标宋_GBK" w:eastAsia="方正小标宋_GBK" w:cs="方正小标宋_GBK"/>
          <w:sz w:val="36"/>
          <w:szCs w:val="36"/>
        </w:rPr>
        <w:t>部门整体支出绩效自评表</w:t>
      </w:r>
    </w:p>
    <w:p>
      <w:pPr>
        <w:pageBreakBefore w:val="0"/>
        <w:kinsoku/>
        <w:wordWrap/>
        <w:bidi w:val="0"/>
        <w:spacing w:line="56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pageBreakBefore w:val="0"/>
        <w:kinsoku/>
        <w:wordWrap/>
        <w:bidi w:val="0"/>
        <w:spacing w:line="560" w:lineRule="exact"/>
        <w:rPr>
          <w:rFonts w:hint="default" w:ascii="宋体" w:eastAsia="宋体"/>
          <w:sz w:val="24"/>
          <w:lang w:val="en-US" w:eastAsia="zh-CN"/>
        </w:rPr>
      </w:pPr>
      <w:r>
        <w:rPr>
          <w:rFonts w:hint="eastAsia" w:ascii="宋体"/>
          <w:sz w:val="24"/>
        </w:rPr>
        <w:t>填报单位（盖章）：</w:t>
      </w:r>
      <w:r>
        <w:rPr>
          <w:rFonts w:hint="eastAsia" w:ascii="宋体"/>
          <w:sz w:val="24"/>
          <w:lang w:val="en-US" w:eastAsia="zh-CN"/>
        </w:rPr>
        <w:t>关市镇人民政府</w:t>
      </w:r>
      <w:r>
        <w:rPr>
          <w:rFonts w:ascii="宋体"/>
          <w:sz w:val="24"/>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填报时间：</w:t>
      </w:r>
      <w:r>
        <w:rPr>
          <w:rFonts w:hint="eastAsia" w:ascii="宋体"/>
          <w:sz w:val="24"/>
          <w:lang w:val="en-US" w:eastAsia="zh-CN"/>
        </w:rPr>
        <w:t>2022.4.13</w:t>
      </w:r>
    </w:p>
    <w:tbl>
      <w:tblPr>
        <w:tblStyle w:val="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902"/>
        <w:gridCol w:w="1153"/>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80" w:lineRule="exact"/>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1716.77</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1716.77　</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　</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4650" w:type="dxa"/>
            <w:gridSpan w:val="5"/>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1151.15</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pageBreakBefore w:val="0"/>
              <w:widowControl/>
              <w:kinsoku/>
              <w:wordWrap/>
              <w:overflowPunct/>
              <w:topLinePunct w:val="0"/>
              <w:autoSpaceDE/>
              <w:autoSpaceDN/>
              <w:bidi w:val="0"/>
              <w:spacing w:line="280" w:lineRule="exact"/>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41"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p>
        </w:tc>
        <w:tc>
          <w:tcPr>
            <w:tcW w:w="2879" w:type="dxa"/>
            <w:gridSpan w:val="2"/>
            <w:noWrap w:val="0"/>
            <w:vAlign w:val="center"/>
          </w:tcPr>
          <w:p>
            <w:pPr>
              <w:pageBreakBefore w:val="0"/>
              <w:widowControl/>
              <w:kinsoku/>
              <w:wordWrap/>
              <w:overflowPunct/>
              <w:topLinePunct w:val="0"/>
              <w:autoSpaceDE/>
              <w:autoSpaceDN/>
              <w:bidi w:val="0"/>
              <w:spacing w:line="280" w:lineRule="exact"/>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4" w:hRule="exac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80" w:lineRule="exact"/>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年初预期（设定）目标</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073" w:hRule="exac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4650"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在本年度收支预算内，确保完成以下整体目标：</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目标1：人员经费按照相关政策及时发放到位</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目标2：严格控制三公经费，确保机关正常运行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目标3：做好社会保障工作</w:t>
            </w:r>
          </w:p>
        </w:tc>
        <w:tc>
          <w:tcPr>
            <w:tcW w:w="4650"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按照财政预算，严控三公经费，2021年本单位正常运行，人员相关经费按照政策及时发放到位。做好社会保障工作，优化道路基础设施建设，</w:t>
            </w:r>
            <w:r>
              <w:rPr>
                <w:rFonts w:hint="eastAsia" w:ascii="宋体" w:hAnsi="宋体" w:eastAsia="宋体" w:cs="宋体"/>
                <w:color w:val="000000"/>
                <w:sz w:val="16"/>
                <w:szCs w:val="16"/>
              </w:rPr>
              <w:t>保障本</w:t>
            </w:r>
            <w:r>
              <w:rPr>
                <w:rFonts w:hint="eastAsia" w:ascii="宋体" w:hAnsi="宋体" w:eastAsia="宋体" w:cs="宋体"/>
                <w:color w:val="000000"/>
                <w:sz w:val="16"/>
                <w:szCs w:val="16"/>
                <w:lang w:val="en-US" w:eastAsia="zh-CN"/>
              </w:rPr>
              <w:t>镇</w:t>
            </w:r>
            <w:r>
              <w:rPr>
                <w:rFonts w:hint="eastAsia" w:ascii="宋体" w:hAnsi="宋体" w:eastAsia="宋体" w:cs="宋体"/>
                <w:color w:val="000000"/>
                <w:sz w:val="16"/>
                <w:szCs w:val="16"/>
              </w:rPr>
              <w:t>经济平稳发展</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pageBreakBefore w:val="0"/>
              <w:kinsoku/>
              <w:wordWrap/>
              <w:overflowPunct/>
              <w:topLinePunct w:val="0"/>
              <w:autoSpaceDE/>
              <w:autoSpaceDN/>
              <w:bidi w:val="0"/>
              <w:spacing w:line="280" w:lineRule="exact"/>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一级</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tcBorders>
              <w:bottom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99"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数量指标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灾害防治、森林防火、安全生产知识培训覆盖村</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社区</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数</w:t>
            </w:r>
          </w:p>
        </w:tc>
        <w:tc>
          <w:tcPr>
            <w:tcW w:w="1521" w:type="dxa"/>
            <w:noWrap w:val="0"/>
            <w:vAlign w:val="center"/>
          </w:tcPr>
          <w:p>
            <w:pPr>
              <w:pageBreakBefore w:val="0"/>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rPr>
            </w:pPr>
            <w:r>
              <w:rPr>
                <w:rFonts w:hint="eastAsia" w:ascii="宋体" w:hAnsi="宋体" w:cs="宋体"/>
                <w:color w:val="000000"/>
                <w:sz w:val="16"/>
                <w:szCs w:val="16"/>
                <w:lang w:val="en-US" w:eastAsia="zh-CN"/>
              </w:rPr>
              <w:t>24</w:t>
            </w:r>
            <w:r>
              <w:rPr>
                <w:rFonts w:hint="eastAsia" w:ascii="宋体" w:hAnsi="宋体" w:eastAsia="宋体" w:cs="宋体"/>
                <w:color w:val="000000"/>
                <w:sz w:val="16"/>
                <w:szCs w:val="16"/>
                <w:lang w:val="en-US" w:eastAsia="zh-CN"/>
              </w:rPr>
              <w:t>个</w:t>
            </w:r>
          </w:p>
        </w:tc>
        <w:tc>
          <w:tcPr>
            <w:tcW w:w="1358" w:type="dxa"/>
            <w:tcBorders>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24</w:t>
            </w:r>
            <w:r>
              <w:rPr>
                <w:rFonts w:hint="eastAsia" w:ascii="宋体" w:hAnsi="宋体" w:eastAsia="宋体" w:cs="宋体"/>
                <w:color w:val="000000"/>
                <w:kern w:val="0"/>
                <w:sz w:val="16"/>
                <w:szCs w:val="16"/>
                <w:lang w:val="en-US" w:eastAsia="zh-CN"/>
              </w:rPr>
              <w:t>个</w:t>
            </w:r>
          </w:p>
        </w:tc>
        <w:tc>
          <w:tcPr>
            <w:tcW w:w="84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工资及政策性社会保障性资金按月支付次数</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lang w:val="en-US" w:eastAsia="zh-CN"/>
              </w:rPr>
              <w:t>12次</w:t>
            </w:r>
          </w:p>
        </w:tc>
        <w:tc>
          <w:tcPr>
            <w:tcW w:w="1358" w:type="dxa"/>
            <w:tcBorders>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12次</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87"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质量指标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惠民</w:t>
            </w:r>
            <w:r>
              <w:rPr>
                <w:rFonts w:hint="eastAsia" w:ascii="宋体" w:hAnsi="宋体" w:cs="宋体"/>
                <w:color w:val="000000"/>
                <w:sz w:val="16"/>
                <w:szCs w:val="16"/>
                <w:lang w:val="en-US" w:eastAsia="zh-CN"/>
              </w:rPr>
              <w:t>惠农</w:t>
            </w:r>
            <w:r>
              <w:rPr>
                <w:rFonts w:hint="eastAsia" w:ascii="宋体" w:hAnsi="宋体" w:eastAsia="宋体" w:cs="宋体"/>
                <w:color w:val="000000"/>
                <w:sz w:val="16"/>
                <w:szCs w:val="16"/>
              </w:rPr>
              <w:t>资金准确及时发放到户</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11"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工资津贴发放率</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时效指标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重点工作办结率</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93"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成本指标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各项业务经费不超出预算，超支审批</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人、畜、作物死亡率</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较上年有所下降</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有所下降</w:t>
            </w:r>
          </w:p>
        </w:tc>
        <w:tc>
          <w:tcPr>
            <w:tcW w:w="840" w:type="dxa"/>
            <w:tcBorders>
              <w:top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48"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农民增收</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较去年有所提高</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有所提高</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69"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基础民生保障</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确保社会特殊困难人群的基本生活保障，如五保、孤儿</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有所保障</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4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道路基础设施建设</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改善农村道路基础设施建设，保障村道、组道公路网络</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道路基础设施建设</w:t>
            </w:r>
            <w:r>
              <w:rPr>
                <w:rFonts w:hint="eastAsia" w:ascii="宋体" w:hAnsi="宋体" w:eastAsia="宋体" w:cs="宋体"/>
                <w:color w:val="000000"/>
                <w:sz w:val="16"/>
                <w:szCs w:val="16"/>
                <w:lang w:val="en-US" w:eastAsia="zh-CN"/>
              </w:rPr>
              <w:t>有所优化</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安全保障和社会和谐</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通过排查化解安全隐患、矛盾纠纷，确保社会安定和谐</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社会和谐</w:t>
            </w:r>
            <w:r>
              <w:rPr>
                <w:rFonts w:hint="eastAsia" w:ascii="宋体" w:hAnsi="宋体" w:eastAsia="宋体" w:cs="宋体"/>
                <w:color w:val="000000"/>
                <w:sz w:val="16"/>
                <w:szCs w:val="16"/>
                <w:lang w:val="en-US" w:eastAsia="zh-CN"/>
              </w:rPr>
              <w:t>稳定</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00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生态文明</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将卫生环境保护贯穿到辖区村（社区）、丰富文化生活，加强乡风文明建设，着力建设生态环保，节能高效的社会环境</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有所提升</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31"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文明环境</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通过乡风文明建设逐步提高民众思想文化素养，创造持续的文明环境</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民众思想文化素养</w:t>
            </w:r>
            <w:r>
              <w:rPr>
                <w:rFonts w:hint="eastAsia" w:ascii="宋体" w:hAnsi="宋体" w:eastAsia="宋体" w:cs="宋体"/>
                <w:color w:val="000000"/>
                <w:sz w:val="16"/>
                <w:szCs w:val="16"/>
                <w:lang w:val="en-US" w:eastAsia="zh-CN"/>
              </w:rPr>
              <w:t>提高，文明环境持续加强</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Cs w:val="21"/>
              </w:rPr>
            </w:pPr>
            <w:r>
              <w:rPr>
                <w:rFonts w:hint="eastAsia" w:ascii="宋体" w:hAnsi="宋体" w:cs="宋体"/>
                <w:color w:val="000000"/>
                <w:kern w:val="0"/>
                <w:sz w:val="18"/>
                <w:szCs w:val="18"/>
              </w:rPr>
              <w:t>（10分）</w:t>
            </w:r>
          </w:p>
        </w:tc>
        <w:tc>
          <w:tcPr>
            <w:tcW w:w="9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社会公众或服务对象满意度指标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干部职工满意度</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员工满意度≥95%</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 xml:space="preserve"> 5</w:t>
            </w:r>
          </w:p>
        </w:tc>
        <w:tc>
          <w:tcPr>
            <w:tcW w:w="93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7"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社会公众及服务对象满意度</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社会公众或服务对象满意度≥95%</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414"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1218" w:type="dxa"/>
            <w:gridSpan w:val="2"/>
            <w:vMerge w:val="restart"/>
            <w:noWrap w:val="0"/>
            <w:vAlign w:val="center"/>
          </w:tcPr>
          <w:p>
            <w:pPr>
              <w:pageBreakBefore w:val="0"/>
              <w:widowControl/>
              <w:kinsoku/>
              <w:wordWrap/>
              <w:overflowPunct/>
              <w:topLinePunct w:val="0"/>
              <w:autoSpaceDE/>
              <w:autoSpaceDN/>
              <w:bidi w:val="0"/>
              <w:snapToGrid w:val="0"/>
              <w:spacing w:line="280" w:lineRule="exact"/>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11" w:hRule="exact"/>
          <w:jc w:val="center"/>
        </w:trPr>
        <w:tc>
          <w:tcPr>
            <w:tcW w:w="1218" w:type="dxa"/>
            <w:gridSpan w:val="2"/>
            <w:vMerge w:val="continue"/>
            <w:noWrap w:val="0"/>
            <w:vAlign w:val="center"/>
          </w:tcPr>
          <w:p>
            <w:pPr>
              <w:pageBreakBefore w:val="0"/>
              <w:widowControl/>
              <w:kinsoku/>
              <w:wordWrap/>
              <w:overflowPunct/>
              <w:topLinePunct w:val="0"/>
              <w:autoSpaceDE/>
              <w:autoSpaceDN/>
              <w:bidi w:val="0"/>
              <w:spacing w:line="280" w:lineRule="exact"/>
              <w:jc w:val="center"/>
            </w:pPr>
          </w:p>
        </w:tc>
        <w:tc>
          <w:tcPr>
            <w:tcW w:w="4044" w:type="dxa"/>
            <w:gridSpan w:val="4"/>
            <w:noWrap w:val="0"/>
            <w:vAlign w:val="center"/>
          </w:tcPr>
          <w:p>
            <w:pPr>
              <w:pStyle w:val="2"/>
              <w:keepNext/>
              <w:keepLines/>
              <w:pageBreakBefore w:val="0"/>
              <w:widowControl w:val="0"/>
              <w:numPr>
                <w:ilvl w:val="0"/>
                <w:numId w:val="0"/>
              </w:numPr>
              <w:kinsoku/>
              <w:wordWrap/>
              <w:overflowPunct/>
              <w:topLinePunct w:val="0"/>
              <w:autoSpaceDE/>
              <w:autoSpaceDN/>
              <w:bidi w:val="0"/>
              <w:adjustRightInd w:val="0"/>
              <w:snapToGrid w:val="0"/>
              <w:spacing w:line="280" w:lineRule="exact"/>
              <w:ind w:right="0" w:rightChars="0"/>
              <w:jc w:val="left"/>
              <w:textAlignment w:val="auto"/>
              <w:rPr>
                <w:rFonts w:hint="eastAsia" w:ascii="宋体" w:hAnsi="宋体" w:eastAsia="宋体" w:cs="宋体"/>
                <w:bCs w:val="0"/>
                <w:color w:val="000000"/>
                <w:kern w:val="2"/>
                <w:sz w:val="16"/>
                <w:szCs w:val="16"/>
                <w:lang w:val="en-US" w:eastAsia="zh-CN" w:bidi="ar-SA"/>
              </w:rPr>
            </w:pPr>
            <w:r>
              <w:rPr>
                <w:rFonts w:hint="eastAsia" w:ascii="宋体" w:hAnsi="宋体" w:eastAsia="宋体" w:cs="宋体"/>
                <w:bCs w:val="0"/>
                <w:color w:val="000000"/>
                <w:kern w:val="2"/>
                <w:sz w:val="16"/>
                <w:szCs w:val="16"/>
                <w:lang w:val="en-US" w:eastAsia="zh-CN" w:bidi="ar-SA"/>
              </w:rPr>
              <w:t>惠民惠农补贴发放对象信息受交通等因素影响无法及时变更。</w:t>
            </w:r>
          </w:p>
          <w:p>
            <w:pPr>
              <w:pStyle w:val="2"/>
              <w:pageBreakBefore w:val="0"/>
              <w:numPr>
                <w:ilvl w:val="0"/>
                <w:numId w:val="0"/>
              </w:numPr>
              <w:kinsoku/>
              <w:wordWrap/>
              <w:overflowPunct/>
              <w:topLinePunct w:val="0"/>
              <w:autoSpaceDE/>
              <w:autoSpaceDN/>
              <w:bidi w:val="0"/>
              <w:spacing w:line="280" w:lineRule="exact"/>
              <w:ind w:right="0" w:rightChars="0"/>
              <w:jc w:val="left"/>
              <w:rPr>
                <w:rFonts w:hint="default" w:ascii="宋体" w:hAnsi="宋体" w:eastAsia="宋体" w:cs="宋体"/>
                <w:bCs w:val="0"/>
                <w:color w:val="000000"/>
                <w:kern w:val="2"/>
                <w:sz w:val="16"/>
                <w:szCs w:val="16"/>
                <w:lang w:val="en-US" w:eastAsia="zh-CN" w:bidi="ar-SA"/>
              </w:rPr>
            </w:pPr>
          </w:p>
        </w:tc>
        <w:tc>
          <w:tcPr>
            <w:tcW w:w="4650" w:type="dxa"/>
            <w:gridSpan w:val="4"/>
            <w:noWrap w:val="0"/>
            <w:vAlign w:val="center"/>
          </w:tcPr>
          <w:p>
            <w:pPr>
              <w:pStyle w:val="2"/>
              <w:pageBreakBefore w:val="0"/>
              <w:kinsoku/>
              <w:wordWrap/>
              <w:overflowPunct/>
              <w:topLinePunct w:val="0"/>
              <w:autoSpaceDE/>
              <w:autoSpaceDN/>
              <w:bidi w:val="0"/>
              <w:spacing w:line="280" w:lineRule="exact"/>
              <w:ind w:left="0" w:leftChars="0" w:firstLine="0" w:firstLineChars="0"/>
              <w:jc w:val="left"/>
              <w:rPr>
                <w:rFonts w:hint="eastAsia" w:ascii="宋体" w:hAnsi="宋体" w:eastAsia="宋体" w:cs="宋体"/>
                <w:bCs w:val="0"/>
                <w:color w:val="000000"/>
                <w:kern w:val="2"/>
                <w:sz w:val="16"/>
                <w:szCs w:val="16"/>
                <w:lang w:val="en-US" w:eastAsia="zh-CN" w:bidi="ar-SA"/>
              </w:rPr>
            </w:pPr>
            <w:r>
              <w:rPr>
                <w:rFonts w:hint="eastAsia" w:ascii="宋体" w:hAnsi="宋体" w:eastAsia="宋体" w:cs="宋体"/>
                <w:bCs w:val="0"/>
                <w:color w:val="000000"/>
                <w:kern w:val="2"/>
                <w:sz w:val="16"/>
                <w:szCs w:val="16"/>
                <w:lang w:val="en-US" w:eastAsia="zh-CN" w:bidi="ar-SA"/>
              </w:rPr>
              <w:t>加强与村（社区）委会的沟通，及时变更补贴发放对象信息。</w:t>
            </w:r>
          </w:p>
          <w:p>
            <w:pPr>
              <w:pStyle w:val="2"/>
              <w:pageBreakBefore w:val="0"/>
              <w:kinsoku/>
              <w:wordWrap/>
              <w:overflowPunct/>
              <w:topLinePunct w:val="0"/>
              <w:autoSpaceDE/>
              <w:autoSpaceDN/>
              <w:bidi w:val="0"/>
              <w:spacing w:line="280" w:lineRule="exact"/>
              <w:ind w:left="0" w:leftChars="0" w:firstLine="0" w:firstLineChars="0"/>
              <w:jc w:val="left"/>
              <w:rPr>
                <w:rFonts w:hint="default" w:ascii="宋体" w:hAnsi="宋体" w:eastAsia="宋体" w:cs="宋体"/>
                <w:bCs w:val="0"/>
                <w:color w:val="000000"/>
                <w:kern w:val="2"/>
                <w:sz w:val="16"/>
                <w:szCs w:val="16"/>
                <w:lang w:val="en-US" w:eastAsia="zh-CN" w:bidi="ar-SA"/>
              </w:rPr>
            </w:pPr>
          </w:p>
        </w:tc>
      </w:tr>
    </w:tbl>
    <w:p>
      <w:pPr>
        <w:pageBreakBefore w:val="0"/>
        <w:kinsoku/>
        <w:wordWrap/>
        <w:bidi w:val="0"/>
        <w:spacing w:before="156" w:beforeLines="50" w:line="560" w:lineRule="exact"/>
        <w:rPr>
          <w:rFonts w:hint="default" w:ascii="宋体" w:hAnsi="宋体" w:eastAsia="宋体" w:cs="宋体"/>
          <w:sz w:val="24"/>
          <w:lang w:val="en-US" w:eastAsia="zh-CN"/>
        </w:rPr>
      </w:pPr>
      <w:bookmarkStart w:id="0" w:name="_GoBack"/>
      <w:bookmarkEnd w:id="0"/>
      <w:r>
        <w:rPr>
          <w:rFonts w:hint="eastAsia" w:ascii="宋体" w:hAnsi="宋体" w:cs="宋体"/>
          <w:sz w:val="22"/>
          <w:szCs w:val="22"/>
        </w:rPr>
        <w:t>填表人：</w:t>
      </w:r>
      <w:r>
        <w:rPr>
          <w:rFonts w:hint="eastAsia" w:ascii="宋体" w:hAnsi="宋体" w:cs="宋体"/>
          <w:sz w:val="22"/>
          <w:szCs w:val="22"/>
          <w:lang w:val="en-US" w:eastAsia="zh-CN"/>
        </w:rPr>
        <w:t>曹凯鑫</w:t>
      </w:r>
      <w:r>
        <w:rPr>
          <w:rFonts w:hint="eastAsia" w:ascii="宋体" w:hAnsi="宋体" w:cs="宋体"/>
          <w:sz w:val="22"/>
          <w:szCs w:val="22"/>
        </w:rPr>
        <w:t xml:space="preserve">           联系电话：</w:t>
      </w:r>
      <w:r>
        <w:rPr>
          <w:rFonts w:hint="eastAsia" w:ascii="宋体" w:hAnsi="宋体" w:cs="宋体"/>
          <w:sz w:val="22"/>
          <w:szCs w:val="22"/>
          <w:lang w:val="en-US" w:eastAsia="zh-CN"/>
        </w:rPr>
        <w:t>15502577426</w:t>
      </w:r>
      <w:r>
        <w:rPr>
          <w:rFonts w:hint="eastAsia" w:ascii="宋体" w:hAnsi="宋体" w:cs="宋体"/>
          <w:sz w:val="22"/>
          <w:szCs w:val="22"/>
        </w:rPr>
        <w:t xml:space="preserve">     单位负责人签字</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说明：1.分值设定100分，其中预算执行率10分、产出指标50分、效益指标30分、满意度指标10分。除预算执行率外的指标应根据权重自行合理设定分值。</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2.综合评价等级分为优秀（S≥90）、良好（90＞S≥80）、较差（80＞S≥60）、 差（S＜60）</w:t>
      </w: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szCs w:val="24"/>
        </w:rPr>
      </w:pPr>
      <w:r>
        <w:rPr>
          <w:rFonts w:hint="eastAsia" w:ascii="仿宋_GB2312" w:hAnsi="仿宋_GB2312" w:eastAsia="仿宋_GB2312" w:cs="仿宋_GB2312"/>
          <w:sz w:val="24"/>
          <w:szCs w:val="24"/>
        </w:rPr>
        <w:t>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6764F-922B-4E9E-A5DF-88DD5A406E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CEE67198-0700-4695-A5BA-B07319BBECE3}"/>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EC644CD0-A096-464E-BA4D-1710FFB4B629}"/>
  </w:font>
  <w:font w:name="方正公文黑体">
    <w:panose1 w:val="02000500000000000000"/>
    <w:charset w:val="86"/>
    <w:family w:val="auto"/>
    <w:pitch w:val="default"/>
    <w:sig w:usb0="A00002BF" w:usb1="38CF7CFA" w:usb2="00000016" w:usb3="00000000" w:csb0="00040001" w:csb1="00000000"/>
    <w:embedRegular r:id="rId4" w:fontKey="{6C94C266-D04E-4856-9792-4652F84FB7DB}"/>
  </w:font>
  <w:font w:name="楷体">
    <w:panose1 w:val="02010609060101010101"/>
    <w:charset w:val="86"/>
    <w:family w:val="auto"/>
    <w:pitch w:val="default"/>
    <w:sig w:usb0="800002BF" w:usb1="38CF7CFA" w:usb2="00000016" w:usb3="00000000" w:csb0="00040001" w:csb1="00000000"/>
    <w:embedRegular r:id="rId5" w:fontKey="{6EA658AD-0D6C-42F9-9C0E-8C1A4E5C6CFE}"/>
  </w:font>
  <w:font w:name="方正仿宋_GB2312">
    <w:panose1 w:val="02000000000000000000"/>
    <w:charset w:val="86"/>
    <w:family w:val="auto"/>
    <w:pitch w:val="default"/>
    <w:sig w:usb0="A00002BF" w:usb1="184F6CFA" w:usb2="00000012" w:usb3="00000000" w:csb0="00040001" w:csb1="00000000"/>
    <w:embedRegular r:id="rId6" w:fontKey="{C6015F82-CE08-45D1-83E9-4B34D04AB130}"/>
  </w:font>
  <w:font w:name="仿宋_GB2312">
    <w:altName w:val="仿宋"/>
    <w:panose1 w:val="02010609030101010101"/>
    <w:charset w:val="86"/>
    <w:family w:val="modern"/>
    <w:pitch w:val="default"/>
    <w:sig w:usb0="00000000" w:usb1="00000000" w:usb2="00000010" w:usb3="00000000" w:csb0="00040000" w:csb1="00000000"/>
    <w:embedRegular r:id="rId7" w:fontKey="{433427EE-277A-40AC-8C4B-477CBCBCB62A}"/>
  </w:font>
  <w:font w:name="PMingLiU">
    <w:panose1 w:val="02020500000000000000"/>
    <w:charset w:val="88"/>
    <w:family w:val="roman"/>
    <w:pitch w:val="default"/>
    <w:sig w:usb0="A00002FF" w:usb1="28CFFCFA" w:usb2="00000016" w:usb3="00000000" w:csb0="00100001" w:csb1="00000000"/>
    <w:embedRegular r:id="rId8" w:fontKey="{0316CB06-FEE4-4748-8BDB-28FB3F046B9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方正大黑体_GBK">
    <w:panose1 w:val="02010600010101010101"/>
    <w:charset w:val="86"/>
    <w:family w:val="auto"/>
    <w:pitch w:val="default"/>
    <w:sig w:usb0="00000001" w:usb1="080E0000" w:usb2="00000000" w:usb3="00000000" w:csb0="00040000" w:csb1="00000000"/>
  </w:font>
  <w:font w:name="方正仿宋_GB18030">
    <w:altName w:val="方正仿宋_GB18030"/>
    <w:panose1 w:val="02000000000000000000"/>
    <w:charset w:val="86"/>
    <w:family w:val="auto"/>
    <w:pitch w:val="default"/>
    <w:sig w:usb0="00000001" w:usb1="08000000" w:usb2="00000000" w:usb3="00000000" w:csb0="00040000" w:csb1="00000000"/>
    <w:embedRegular r:id="rId9" w:fontKey="{3324356D-5068-433B-A7CA-72297D03CE06}"/>
  </w:font>
  <w:font w:name="方正粗黑宋简体">
    <w:panose1 w:val="02000000000000000000"/>
    <w:charset w:val="86"/>
    <w:family w:val="auto"/>
    <w:pitch w:val="default"/>
    <w:sig w:usb0="A00002BF" w:usb1="184F6CFA" w:usb2="00000012" w:usb3="00000000" w:csb0="00040001" w:csb1="00000000"/>
  </w:font>
  <w:font w:name="Aharoni">
    <w:panose1 w:val="02010803020104030203"/>
    <w:charset w:val="00"/>
    <w:family w:val="auto"/>
    <w:pitch w:val="default"/>
    <w:sig w:usb0="00000801" w:usb1="00000000" w:usb2="00000000" w:usb3="00000000" w:csb0="00000020" w:csb1="00200000"/>
  </w:font>
  <w:font w:name="Arial Unicode MS">
    <w:panose1 w:val="020B0604020202020204"/>
    <w:charset w:val="86"/>
    <w:family w:val="auto"/>
    <w:pitch w:val="default"/>
    <w:sig w:usb0="FFFFFFFF" w:usb1="E9FFFFFF" w:usb2="0000003F" w:usb3="00000000" w:csb0="603F01FF" w:csb1="FFFF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A68F1"/>
    <w:multiLevelType w:val="singleLevel"/>
    <w:tmpl w:val="D8FA68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B47B8"/>
    <w:rsid w:val="06765AB3"/>
    <w:rsid w:val="093D49E3"/>
    <w:rsid w:val="0A6B47B8"/>
    <w:rsid w:val="10593A4C"/>
    <w:rsid w:val="19B53245"/>
    <w:rsid w:val="226D7BBA"/>
    <w:rsid w:val="24244F5F"/>
    <w:rsid w:val="251C36CC"/>
    <w:rsid w:val="26467763"/>
    <w:rsid w:val="26AD77E2"/>
    <w:rsid w:val="2E7C1C1D"/>
    <w:rsid w:val="316E3E57"/>
    <w:rsid w:val="3240150B"/>
    <w:rsid w:val="33A27C00"/>
    <w:rsid w:val="33A35DE2"/>
    <w:rsid w:val="36376DAB"/>
    <w:rsid w:val="37CB5D1A"/>
    <w:rsid w:val="3813219D"/>
    <w:rsid w:val="3BEB4F07"/>
    <w:rsid w:val="3FB32440"/>
    <w:rsid w:val="3FD60EEE"/>
    <w:rsid w:val="42217E7D"/>
    <w:rsid w:val="46130FB8"/>
    <w:rsid w:val="4772431F"/>
    <w:rsid w:val="48F959AB"/>
    <w:rsid w:val="49A62143"/>
    <w:rsid w:val="4B781E9B"/>
    <w:rsid w:val="4C891102"/>
    <w:rsid w:val="4D652035"/>
    <w:rsid w:val="577D2735"/>
    <w:rsid w:val="578715B8"/>
    <w:rsid w:val="57F239CD"/>
    <w:rsid w:val="58873D56"/>
    <w:rsid w:val="58FB3F36"/>
    <w:rsid w:val="59F7462D"/>
    <w:rsid w:val="5A9A35FE"/>
    <w:rsid w:val="5C640FA2"/>
    <w:rsid w:val="5DEE5830"/>
    <w:rsid w:val="66507267"/>
    <w:rsid w:val="6742556A"/>
    <w:rsid w:val="67AD3980"/>
    <w:rsid w:val="68374355"/>
    <w:rsid w:val="72243E47"/>
    <w:rsid w:val="76D42955"/>
    <w:rsid w:val="78197277"/>
    <w:rsid w:val="7A5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120" w:after="120" w:line="360" w:lineRule="auto"/>
      <w:jc w:val="left"/>
      <w:outlineLvl w:val="0"/>
    </w:pPr>
    <w:rPr>
      <w:rFonts w:eastAsia="黑体"/>
      <w:bCs/>
      <w:kern w:val="44"/>
      <w:sz w:val="32"/>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unhideWhenUsed/>
    <w:qFormat/>
    <w:uiPriority w:val="99"/>
    <w:pPr>
      <w:ind w:left="120"/>
    </w:pPr>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微软雅黑" w:hAnsi="微软雅黑" w:eastAsia="微软雅黑"/>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5027</Words>
  <Characters>5616</Characters>
  <Lines>0</Lines>
  <Paragraphs>0</Paragraphs>
  <TotalTime>28</TotalTime>
  <ScaleCrop>false</ScaleCrop>
  <LinksUpToDate>false</LinksUpToDate>
  <CharactersWithSpaces>6874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2022-03-28T01:26:00Z</dcterms:created>
  <dc:creator>lenovo</dc:creator>
  <cp:lastModifiedBy>Operant</cp:lastModifiedBy>
  <cp:lastPrinted>2022-03-30T07:33:00Z</cp:lastPrinted>
  <dcterms:modified xsi:type="dcterms:W3CDTF">2022-04-15T08:50:46Z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7C735A6002414834B84632486C0AB110</vt:lpwstr>
  </property>
</Properties>
</file>