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衡阳县科技和工业信息化局部门</w:t>
      </w:r>
    </w:p>
    <w:p>
      <w:pPr>
        <w:pStyle w:val="4"/>
        <w:keepNext w:val="0"/>
        <w:keepLines w:val="0"/>
        <w:widowControl/>
        <w:suppressLineNumbers w:val="0"/>
        <w:spacing w:before="0" w:beforeAutospacing="0" w:after="0" w:afterAutospacing="0"/>
        <w:ind w:left="0" w:right="0" w:firstLine="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整体绩效自评报告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为确实做好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年度财政支出绩效自我评价工作，强化绩效理念，提高财政资金使用效益。根据</w:t>
      </w:r>
      <w:r>
        <w:rPr>
          <w:rFonts w:hint="eastAsia" w:ascii="仿宋_GB2312" w:hAnsi="仿宋_GB2312" w:eastAsia="仿宋_GB2312" w:cs="仿宋_GB2312"/>
          <w:sz w:val="32"/>
          <w:szCs w:val="32"/>
          <w:lang w:val="en-US" w:eastAsia="zh-CN"/>
        </w:rPr>
        <w:t>蒸财绩</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号文件精神，结合我局实际施情况，现将部门整体绩效自评结果报告如下∶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部门职责概述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（一）贯彻落实国家、省、市、县有关科技和工业信息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化的方针政策、法律法规；组织起草科技和工业信息化发展 领域的规范性文件草案并组织实施和监督检查；研究提出推 进产业调整、工业与相关产业融合发展及管理创新的政策建 议；负责本部门依法行政工作，落实行政执法责任制；组织 推进科技和工业信息化融合，负责推进全县工业结构调整、 科技和工业信息化创新体系建设工作。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（二）牵头拟订科技和工业信息化发展规划、计划及产 业政策；负责拟订全县新型工业化的发展战略；拟定促进乡 镇企业发展政策、规划、计划并组织实施；协助相关部门对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职责范围内有关行业或领域（包括金属冶炼〈含冶金、有色〉、 机械、建材、轻工、纺织等）的安全生产工作实施监督管理； 指导科技和工业信息化领域加强安全生产、质量管理和应急 管理工作；会同有关部门做好企业稳定工作；综合管理全县 工业经济，指导、协调和服务工业企业；参与对经济社会发 展有重大影响的跨部门、多学科的综合性项目的论证与决策。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（三）负责全县科技和工业信息化领域的日常经济运行 调节，编制并组织实施近期工业和信息化领域的经济运行调 控目标、政策和措施；监测分析近期全县科技和工业信息化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领域的经济运行态势，统计并发布相关信息，统筹协调解决 经济运行中的突出矛盾和问题并提出政策建议。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四）负责科技和工业信息化领域的国防动员有关工作；指导科技和工业信息化领域技术进步、技术创新；牵头组织协调促进全县产学研结合工作，会同有关部门拟订促进产学研结合的相关政策，推进产学研结合和科研成果产业化；组织重大科技成果应用示范，推进企业技术创新体系建设。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（五）负责全县高新技术的研究开发、成果转化以及产 业化工作，会同有关部门拟订高新技术发展及产业化的规划 和政策，编制和组织实施技术改造规划，提出工业和信息化固定资产投资规模和方向（含利用外资和境外投资）；负责组织高新技术企业（项目）认定的申报、推荐，指导并推动 高新技术企业创新发展。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（六）负责中小企业和非公有制经济发展的宏观指导； 拟订全县中小企业和非公有制经济中长期发展规划并组织实施；综合协调有关部门拟订促进全县中小企业和非公有制 经济发展的改革措施，协调解决有关重大问题；拟订政府重 点扶持中小企业的项目及资金投入方向，扶持中小企业的发 展；会同有关部门管理全县中小企业专项发展资金；推进中小企业服务体系建设和全民创业。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（七）参与拟订能源节约和资源综合利用规划；拟订并 组织实施工业能源节约和资源综合利用政策；承担工业企业 的节能考核和监察工作；组织推进清洁生产工作；组织协调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相关重大示范工程和相关新产品、新技术、新设备、新材料 的推广应用。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（八）负责煤炭、电力、石油、天然气和原材料等经济 运行保障要素的工业经济运行；负责电力行业管理及行政执法工作；负责指导生产企业的物流外包工作，促进企业内部 物流社会化。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（九）统筹推进经济和社会领域信息化工作；推动跨行 业、跨部门的互联互通和重要信息资源的开发利用、共享；推进全县信息化建设；协调全县公用通信网、互联网、广播电视网和其他专用通信网的规划和建设，促进网络资源共享。拟订全县信息安全发展战略、规划，指导、协调信息安全保障体系建设；指导监督政府部门、重点行业重要信息系统与基础信息网络的安全保障工作，协助处理网络与信息安全的重大事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（十）负责推动软件业和信息服务业的发展，协调解决 有关重大问题；推动软件公共服务体系建设，推进软件服务 外包；指导、协调相关技术开发和产业发展；依法监督管理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信息服务市场；拟订科技和工业信息化领域招商政策，做好全县科技和工业信息化领域招商引资工作，协调项目开工、建设等工作。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一）负责组织实施县级科技计划工作。负责组织制定和实施基础研究计划、科技支撑计划、科技创新环境建设计划等各类县级科技计划和重大科技工程计划，负责相关国家、省、市科技计划项目的申报、推荐和管理，牵头组织全 县经济社会发展重要领域的重大关键技术攻关；负责组织实 施县科技重点项目，制定相关配套政策；组织科技重点项目实施中的方案论证、评审立项、跟踪管理与评估验收；统筹申报和组织实施国家、省、市科技重大专项工作。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二）牵头组织全县农村和社会发展领域的科技和工业信息化进步工作；组织拟订科技和工业信息化促进农村和社会发展的规划和政策；组织引导农业和社会发展领域的关键技术攻关和成果示范，促进以改善民生为重点的农村建设和社会建设；负责全县科学技术普及工作；会同有关部门拟订全县科普规划和相关政策，组织实施科普计划；负责科普示范基地的申报推荐。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（十三）研究提出多渠道增加科技和工业信息化投入的措施，优化科技和工业信息化资源；会同有关部门提出科技 和工业信息化资源合理配置的政策建议，推动科技和工业信 息化资源共建共享，促进科技和工业信息化与金融结合，建 立科技和工业信息化金融服务的统筹协调机制；负责本部门 及归口管理的县级科技和工业信息化经费预、决算和经费使 用的监督管理；会同有关部门提出全县科技和工业信息化体 制改革的政策和措施建议，推进全县创新体系建设，审核相 关科研机构的组建和调整。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四）研究制订并组织实施全县对外科技和工业信化合作与交流的规划与计划；负责组织科技和工业信息化外事与合作项目的审核、申报工作；参与重大引进项目的论证与决策；负责全县科技人才和外国专家管理有关工作；会同有关部门拟订科技人才队伍建设规划，提出相关政策建议；承担全县科技人才队伍建设和科技创新团队建设有关工作；指导、协调全县科技和工业信息化领域的对外交流与合作；指导全县科技和工业信息化领域人才开发与培训工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（十五）拟订促进技术市场、科技中介组织发展政策；负责全县技术市场体系建设和管理，推动科技服务体系发展；负责全县科技成果、科技和工业信息化奖励、保密、技术评估、统计、科技情报信息等工作。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2、机构设置、人员编制情况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衡阳县科技和工业信息化局属正科级行政事业单位，机关现有干部职工20人（编制18人，行政16，事业2人）。内设股室8个：办公室、人事政工股、政策法规股、工业股 、科技股、信息化管理股、中小企业促进股、信访室　；所属事业单位4个：衡阳县中小企业服务中心、衡阳县科技服务中心、衡阳县生产力促进中心、工业经济信息中心都没有独立核算。下属单位现有干部职工20人（编制24人）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部门支出</w:t>
      </w:r>
      <w:r>
        <w:rPr>
          <w:rFonts w:hint="eastAsia" w:ascii="黑体" w:hAnsi="黑体" w:eastAsia="黑体" w:cs="黑体"/>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收入支出预算安排情况。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本年收入总计</w:t>
      </w:r>
      <w:r>
        <w:rPr>
          <w:rFonts w:hint="eastAsia" w:ascii="仿宋_GB2312" w:hAnsi="仿宋_GB2312" w:eastAsia="仿宋_GB2312" w:cs="仿宋_GB2312"/>
          <w:sz w:val="32"/>
          <w:szCs w:val="32"/>
          <w:lang w:val="en-US" w:eastAsia="zh-CN"/>
        </w:rPr>
        <w:t>999.38</w:t>
      </w:r>
      <w:r>
        <w:rPr>
          <w:rFonts w:hint="eastAsia" w:ascii="仿宋_GB2312" w:hAnsi="仿宋_GB2312" w:eastAsia="仿宋_GB2312" w:cs="仿宋_GB2312"/>
          <w:sz w:val="32"/>
          <w:szCs w:val="32"/>
        </w:rPr>
        <w:t>万元，本年预算收入安排</w:t>
      </w:r>
      <w:r>
        <w:rPr>
          <w:rFonts w:hint="eastAsia" w:ascii="仿宋_GB2312" w:hAnsi="仿宋_GB2312" w:eastAsia="仿宋_GB2312" w:cs="仿宋_GB2312"/>
          <w:sz w:val="32"/>
          <w:szCs w:val="32"/>
          <w:lang w:val="en-US" w:eastAsia="zh-CN"/>
        </w:rPr>
        <w:t>629.82</w:t>
      </w:r>
      <w:r>
        <w:rPr>
          <w:rFonts w:hint="eastAsia" w:ascii="仿宋_GB2312" w:hAnsi="仿宋_GB2312" w:eastAsia="仿宋_GB2312" w:cs="仿宋_GB2312"/>
          <w:sz w:val="32"/>
          <w:szCs w:val="32"/>
        </w:rPr>
        <w:t>万元，年初结转结余</w:t>
      </w:r>
      <w:r>
        <w:rPr>
          <w:rFonts w:hint="eastAsia" w:ascii="仿宋_GB2312" w:hAnsi="仿宋_GB2312" w:eastAsia="仿宋_GB2312" w:cs="仿宋_GB2312"/>
          <w:sz w:val="32"/>
          <w:szCs w:val="32"/>
          <w:lang w:val="en-US" w:eastAsia="zh-CN"/>
        </w:rPr>
        <w:t>214.58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其他收154.98万元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本年预算支出安排</w:t>
      </w:r>
      <w:r>
        <w:rPr>
          <w:rFonts w:hint="eastAsia" w:ascii="仿宋_GB2312" w:hAnsi="仿宋_GB2312" w:eastAsia="仿宋_GB2312" w:cs="仿宋_GB2312"/>
          <w:sz w:val="32"/>
          <w:szCs w:val="32"/>
          <w:lang w:val="en-US" w:eastAsia="zh-CN"/>
        </w:rPr>
        <w:t>961.44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收入支出预算执行情况。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2021年度收支决算情况：年初结转结余</w:t>
      </w:r>
      <w:r>
        <w:rPr>
          <w:rFonts w:hint="eastAsia" w:ascii="仿宋_GB2312" w:hAnsi="仿宋_GB2312" w:eastAsia="仿宋_GB2312" w:cs="仿宋_GB2312"/>
          <w:sz w:val="32"/>
          <w:szCs w:val="32"/>
          <w:lang w:val="en-US" w:eastAsia="zh-CN"/>
        </w:rPr>
        <w:t>214.58</w:t>
      </w:r>
      <w:r>
        <w:rPr>
          <w:rFonts w:hint="eastAsia" w:ascii="仿宋_GB2312" w:hAnsi="仿宋_GB2312" w:eastAsia="仿宋_GB2312" w:cs="仿宋_GB2312"/>
          <w:sz w:val="32"/>
          <w:szCs w:val="32"/>
        </w:rPr>
        <w:t>万元，年初结转和结余调整0万元，一般公共预算财政拨款预算</w:t>
      </w:r>
      <w:r>
        <w:rPr>
          <w:rFonts w:hint="eastAsia" w:ascii="仿宋_GB2312" w:hAnsi="仿宋_GB2312" w:eastAsia="仿宋_GB2312" w:cs="仿宋_GB2312"/>
          <w:sz w:val="32"/>
          <w:szCs w:val="32"/>
          <w:lang w:val="en-US" w:eastAsia="zh-CN"/>
        </w:rPr>
        <w:t>支出629.82</w:t>
      </w:r>
      <w:r>
        <w:rPr>
          <w:rFonts w:hint="eastAsia" w:ascii="仿宋_GB2312" w:hAnsi="仿宋_GB2312" w:eastAsia="仿宋_GB2312" w:cs="仿宋_GB2312"/>
          <w:sz w:val="32"/>
          <w:szCs w:val="32"/>
        </w:rPr>
        <w:t>万元。总收入</w:t>
      </w:r>
      <w:r>
        <w:rPr>
          <w:rFonts w:hint="eastAsia" w:ascii="仿宋_GB2312" w:hAnsi="仿宋_GB2312" w:eastAsia="仿宋_GB2312" w:cs="仿宋_GB2312"/>
          <w:sz w:val="32"/>
          <w:szCs w:val="32"/>
          <w:lang w:val="en-US" w:eastAsia="zh-CN"/>
        </w:rPr>
        <w:t>999.38</w:t>
      </w:r>
      <w:r>
        <w:rPr>
          <w:rFonts w:hint="eastAsia" w:ascii="仿宋_GB2312" w:hAnsi="仿宋_GB2312" w:eastAsia="仿宋_GB2312" w:cs="仿宋_GB2312"/>
          <w:sz w:val="32"/>
          <w:szCs w:val="32"/>
        </w:rPr>
        <w:t>万元，总支出</w:t>
      </w:r>
      <w:r>
        <w:rPr>
          <w:rFonts w:hint="eastAsia" w:ascii="仿宋_GB2312" w:hAnsi="仿宋_GB2312" w:eastAsia="仿宋_GB2312" w:cs="仿宋_GB2312"/>
          <w:sz w:val="32"/>
          <w:szCs w:val="32"/>
          <w:lang w:val="en-US" w:eastAsia="zh-CN"/>
        </w:rPr>
        <w:t>961.44</w:t>
      </w:r>
      <w:r>
        <w:rPr>
          <w:rFonts w:hint="eastAsia" w:ascii="仿宋_GB2312" w:hAnsi="仿宋_GB2312" w:eastAsia="仿宋_GB2312" w:cs="仿宋_GB2312"/>
          <w:sz w:val="32"/>
          <w:szCs w:val="32"/>
        </w:rPr>
        <w:t>万元，年末结余</w:t>
      </w:r>
      <w:r>
        <w:rPr>
          <w:rFonts w:hint="eastAsia" w:ascii="仿宋_GB2312" w:hAnsi="仿宋_GB2312" w:eastAsia="仿宋_GB2312" w:cs="仿宋_GB2312"/>
          <w:sz w:val="32"/>
          <w:szCs w:val="32"/>
          <w:lang w:val="en-US" w:eastAsia="zh-CN"/>
        </w:rPr>
        <w:t>37.94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收入支出与预算对比分析。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本年收入与预算对比，收支平衡。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收入支出结构分析。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本年决算总收入</w:t>
      </w:r>
      <w:r>
        <w:rPr>
          <w:rFonts w:hint="eastAsia" w:ascii="仿宋_GB2312" w:hAnsi="仿宋_GB2312" w:eastAsia="仿宋_GB2312" w:cs="仿宋_GB2312"/>
          <w:sz w:val="32"/>
          <w:szCs w:val="32"/>
          <w:lang w:val="en-US" w:eastAsia="zh-CN"/>
        </w:rPr>
        <w:t>999.38</w:t>
      </w:r>
      <w:r>
        <w:rPr>
          <w:rFonts w:hint="eastAsia" w:ascii="仿宋_GB2312" w:hAnsi="仿宋_GB2312" w:eastAsia="仿宋_GB2312" w:cs="仿宋_GB2312"/>
          <w:sz w:val="32"/>
          <w:szCs w:val="32"/>
        </w:rPr>
        <w:t>万元，其中：一般公共预算财政拨款预算收入</w:t>
      </w:r>
      <w:r>
        <w:rPr>
          <w:rFonts w:hint="eastAsia" w:ascii="仿宋_GB2312" w:hAnsi="仿宋_GB2312" w:eastAsia="仿宋_GB2312" w:cs="仿宋_GB2312"/>
          <w:sz w:val="32"/>
          <w:szCs w:val="32"/>
          <w:lang w:val="en-US" w:eastAsia="zh-CN"/>
        </w:rPr>
        <w:t>629.82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%，政府性基金预算财政拨款收入0万元，占0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154.98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%；年初结转和结余</w:t>
      </w:r>
      <w:r>
        <w:rPr>
          <w:rFonts w:hint="eastAsia" w:ascii="仿宋_GB2312" w:hAnsi="仿宋_GB2312" w:eastAsia="仿宋_GB2312" w:cs="仿宋_GB2312"/>
          <w:sz w:val="32"/>
          <w:szCs w:val="32"/>
          <w:lang w:val="en-US" w:eastAsia="zh-CN"/>
        </w:rPr>
        <w:t>214.58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本年支出决算</w:t>
      </w:r>
      <w:r>
        <w:rPr>
          <w:rFonts w:hint="eastAsia" w:ascii="仿宋_GB2312" w:hAnsi="仿宋_GB2312" w:eastAsia="仿宋_GB2312" w:cs="仿宋_GB2312"/>
          <w:sz w:val="32"/>
          <w:szCs w:val="32"/>
          <w:lang w:val="en-US" w:eastAsia="zh-CN"/>
        </w:rPr>
        <w:t>961.44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564.62</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396.82</w:t>
      </w:r>
      <w:r>
        <w:rPr>
          <w:rFonts w:hint="eastAsia" w:ascii="仿宋_GB2312" w:hAnsi="仿宋_GB2312" w:eastAsia="仿宋_GB2312" w:cs="仿宋_GB2312"/>
          <w:sz w:val="32"/>
          <w:szCs w:val="32"/>
        </w:rPr>
        <w:t>万元。工资福利支出</w:t>
      </w:r>
      <w:r>
        <w:rPr>
          <w:rFonts w:hint="eastAsia" w:ascii="仿宋_GB2312" w:hAnsi="仿宋_GB2312" w:eastAsia="仿宋_GB2312" w:cs="仿宋_GB2312"/>
          <w:sz w:val="32"/>
          <w:szCs w:val="32"/>
          <w:lang w:val="en-US" w:eastAsia="zh-CN"/>
        </w:rPr>
        <w:t>445.75</w:t>
      </w:r>
      <w:r>
        <w:rPr>
          <w:rFonts w:hint="eastAsia" w:ascii="仿宋_GB2312" w:hAnsi="仿宋_GB2312" w:eastAsia="仿宋_GB2312" w:cs="仿宋_GB2312"/>
          <w:sz w:val="32"/>
          <w:szCs w:val="32"/>
        </w:rPr>
        <w:t>万元，商品服务支出</w:t>
      </w:r>
      <w:r>
        <w:rPr>
          <w:rFonts w:hint="eastAsia" w:ascii="仿宋_GB2312" w:hAnsi="仿宋_GB2312" w:eastAsia="仿宋_GB2312" w:cs="仿宋_GB2312"/>
          <w:sz w:val="32"/>
          <w:szCs w:val="32"/>
          <w:lang w:val="en-US" w:eastAsia="zh-CN"/>
        </w:rPr>
        <w:t>210.68</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111.87</w:t>
      </w:r>
      <w:r>
        <w:rPr>
          <w:rFonts w:hint="eastAsia" w:ascii="仿宋_GB2312" w:hAnsi="仿宋_GB2312" w:eastAsia="仿宋_GB2312" w:cs="仿宋_GB2312"/>
          <w:sz w:val="32"/>
          <w:szCs w:val="32"/>
        </w:rPr>
        <w:t>万元，资本性支出</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万元，对企业补助支出</w:t>
      </w:r>
      <w:r>
        <w:rPr>
          <w:rFonts w:hint="eastAsia" w:ascii="仿宋_GB2312" w:hAnsi="仿宋_GB2312" w:eastAsia="仿宋_GB2312" w:cs="仿宋_GB2312"/>
          <w:sz w:val="32"/>
          <w:szCs w:val="32"/>
          <w:lang w:val="en-US" w:eastAsia="zh-CN"/>
        </w:rPr>
        <w:t>190.70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．支出按经济分类科目分析。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"三公"经</w:t>
      </w:r>
      <w:r>
        <w:rPr>
          <w:rFonts w:hint="eastAsia" w:ascii="仿宋_GB2312" w:hAnsi="仿宋_GB2312" w:eastAsia="仿宋_GB2312" w:cs="仿宋_GB2312"/>
          <w:sz w:val="32"/>
          <w:szCs w:val="32"/>
          <w:lang w:val="en-US" w:eastAsia="zh-CN"/>
        </w:rPr>
        <w:t>费支出情况："三公"经费总额2.85万元，其中：公务用车运行维护费1.36万元，公务接待待费1.49万元，比上年减少是原因为本年已严控开支，厉行节约。公务用车保有量3辆；无因公出国（境）团组情况；国内公务接待42批次，接待人次165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三、部门项目实施情况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蒸财绩【2022】1号文件我局专门成立了预算绩效管理工作领导小组,蒸科工信发【2021】2号文件制定了机关内部财务管理制度，全部资金统一管理。我局在资金使用上一直按照国家财经法规和本局财务管理制度规定以及有关专项资金管理办法的规定收支，资金拨付有完整的审批程序和手续，按照财经制度的有关要求，做到专款专用，单位绩效评价组对专项资金的使用进行全程监督，保证资金使用的合规性。资金使用无截留、挤占、挪用、虚列支出等情况。相关发票由财务室审核后，报分管财务领导签字，再由局长审核同意报帐后到财务室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（一）绩效评价概述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1.1绩效评价目的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我局根据设定的绩效目标，运用科学、合理的评价方法、指标体系和评价标准，对支出产出和效果进行客观、公正的评价。目的是加强支出管理，强化支出责任，建立科学、合理的支出体系，提高资金使用效益。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2.2绩效评价实施过程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到县财政项目绩效自评工作的通知，为加强我局预算绩效管理，不断提高财政资金配置和使用效益，与党组研究决定，成立预算绩效管理自评领导小组，由局长任组长，局领导班子任副组长，各股室负责人为成员专门负责本次绩效自评工作。以绩效考核的各项文件精神为指导，以整体绩效支出为内容，对各项支出的质量指标，数量指标，对指标内容进行一一的评价考核打分，取得的一定经济、社会、环境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三、部门整体支出绩效情况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坚持以习近平新时代中国特色社会主义思想为指导，坚决贯彻落实县委、县政府决策部署，牢固树立过"紧日子"思想，带头厉行节约，认真履行职责，精准精细管理，全面完成了各项工作任务，同时切实加强预算收支的管理，健全内部管理制度，严格财务工作流程，拓展经营收入多种渠道，部门整体支出管理得到了有效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（一）工业指标完成情况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县规模工业增加值增速10.2%，居全市七县市第三；全县规模工业实现税收2.44亿元。湖南塬峰新材料科技有限公司、湖南时光钻石科技有限公司、湖南艾尔时钟表有限公司等24户工业企业成功申报入规，全县累计规模工业企业170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（二）科技指标完成情况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县R&amp;D支出9亿元，R&amp;D支出占GDP比重达2.27%；技术合同成交额4亿元；全年新增高新技术企业11家，全县累计高新技术企业37家；科技型中小企业入库57家；全县实现高新技术产业产值127.57亿元，高新技术产业增加值50.5亿元，高新技术产业增加值占GDP比重12.79%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效益和社会效益：一是创新服务平台建设逐步完善。目前，全县拥有省级高新园区1个，培育省级研发中心1家（恒生制药有限公司的新药研究中心），认定6家市级研究中心（新德力、盛世威得、衡泰机械、金辉新材料、山泰化工、贝恩叮当猫），培育院士专家工作站2家（安邦和耀泓生态）。建成部级星创天地1家（安邦科农星创天地）、省级星创天地3家（安邦科农、山水道星创天地、衡农科星创天地）、市级星创天地1家（大匠农业星创天地）。二是自主创新能力不断提升。不断加强科技人才队伍建设，全县通过产学研合作、引进和聘请重点专业技术人才和实施科技特派员等措施，共引进和聘请各类高级以上职称专业技术人才达100余名。我县今年共派驻企业和偏远乡镇科技特派员46名（其中省派3名、市派21名、县派22名），进行了走访对接并开展了技术培训。三是全民科学素质不断提高。大力实施《衡阳县全民科学素质行动计划纲要实施方案》，努力提升全民科学技术素质。一年来，我县各相关单位利用科技活动周、科技下乡等契机认真开展科普宣传活动20次，发放各类技术资料10万份以上，进行现场技术指导1000次以上。12月1日，在金兰镇举办衡阳县科学素质综合提升教育与宣传培训班，提高全县科技工作人员的科学业务素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3.4效果（各指标得分情况和绩效分析）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效能：通过党的群众路线学习活动的开展，我局把强化工作责任心，提高工作质量，优化工作态度，提高工作对象对我们工作满意度做为主要工作来抓，各股室工作按照年初的计划有序的开展，办事效益进一步提高，服务态度进一步优化，热情接待每一位来我们单位办事的群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公众或服务对象满意度：大力发展通信建设，群众通信通话质量得到了明显改善和提高。根据上级文件精神及任务要求，我局紧紧按照上级关于扶贫通信领域目标任务考核要求，强化部门协调，组织精干力量，积板深入乡镇指导三大运营商组织开展通信领域4G及光纤网络建设。一是调查摸排，全面掌握乡村通信家底。经过多年建设，全县行政村（组）及村民集中聚集区的手机通信信号及光纤网络得到了迅猛的发展，已基本实现各行政村的4G信号覆盖及光纤网络通达，为村民的生产生活便利、脱贫奔小康提供了有力地保障。近几年来，国家实施精准扶贫后，我科工信局、县精脱办、县扶贫办等职能部门陆陆续续接到各乡镇、村支两委及群众反映，部分村（组）4G通信信号质量弱、信号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解决和完善。截止目前，全县443个行政村已基本实现4G信号全覆盖；25个乡镇光纤宽带已100%覆盖各村部。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.绩效评价结论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综合以上各项指标，财务管理健全规范，没有发生违法违规现象，</w:t>
      </w:r>
      <w:r>
        <w:rPr>
          <w:rFonts w:hint="eastAsia" w:ascii="仿宋_GB2312" w:hAnsi="仿宋_GB2312" w:eastAsia="仿宋_GB2312" w:cs="仿宋_GB2312"/>
          <w:sz w:val="32"/>
          <w:szCs w:val="32"/>
          <w:lang w:val="en-US" w:eastAsia="zh-CN"/>
        </w:rPr>
        <w:t>各股室负责人为成员专门负责本次绩效自评工作。以绩效考核的各项文件精神为指导，以整体绩效支出为内容，对各项支出的质量指标，数量指标，对指标内容进行一一的评价考核打分，经过绩效管理小组自评，我单位年初预算，全年执行预算得分8分；各项绩效指标反映在数量、质量、时效、成本方面指标值上均达到或超过我单位年初制定的计划数，得分46分；各项绩效指标反映在经济效益、社会效益、可持续影响指标值上，效益成果突出，干部职工素质和党性修养得到挺高，业务和工作能力不断提高，我单位传递党和政府政策，弘扬社会正能量，促进了社会稳定和文化舆论发展，得分28分；在社会公众或服务对象满意度指标值上，我单位做到了服务质量好、工作水平高，社会公众或服务对象满意度达到95%以上，得分9分；自评总得分91分，评价等级为"优秀"。</w:t>
      </w: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附件：1-1、部门整体支出绩效评价基础数据表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1-2、部门整体支出绩效自评表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kern w:val="0"/>
          <w:sz w:val="32"/>
          <w:szCs w:val="32"/>
          <w:lang w:val="en-US" w:eastAsia="zh-CN" w:bidi="ar"/>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衡阳县科技和工业信息化局</w:t>
      </w:r>
      <w:r>
        <w:rPr>
          <w:rFonts w:ascii="Times New Roman" w:hAnsi="Times New Roman" w:eastAsia="PMingLiU"/>
          <w:kern w:val="0"/>
          <w:sz w:val="24"/>
        </w:rPr>
        <w:tab/>
      </w:r>
      <w:r>
        <w:rPr>
          <w:rFonts w:hint="eastAsia" w:ascii="Times New Roman" w:hAnsi="Times New Roman" w:eastAsia="宋体"/>
          <w:kern w:val="0"/>
          <w:sz w:val="24"/>
          <w:lang w:val="en-US" w:eastAsia="zh-CN"/>
        </w:rPr>
        <w:t xml:space="preserve">      </w:t>
      </w:r>
      <w:r>
        <w:rPr>
          <w:rFonts w:hint="eastAsia" w:ascii="Times New Roman" w:hAnsi="Times New Roman"/>
          <w:kern w:val="0"/>
          <w:sz w:val="24"/>
        </w:rPr>
        <w:t>填报时间：</w:t>
      </w:r>
      <w:r>
        <w:rPr>
          <w:rFonts w:ascii="Times New Roman" w:hAnsi="Times New Roman" w:eastAsia="PMingLiU"/>
          <w:kern w:val="0"/>
          <w:sz w:val="24"/>
        </w:rPr>
        <w:tab/>
      </w:r>
    </w:p>
    <w:tbl>
      <w:tblPr>
        <w:tblStyle w:val="5"/>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42</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40</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95%</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564</w:t>
            </w:r>
            <w:r>
              <w:rPr>
                <w:rFonts w:hint="eastAsia" w:ascii="Times New Roman" w:hAnsi="Times New Roman" w:eastAsia="仿宋_GB2312"/>
                <w:kern w:val="0"/>
                <w:szCs w:val="21"/>
                <w:lang w:val="en-US" w:eastAsia="zh-CN"/>
              </w:rPr>
              <w:t>.</w:t>
            </w:r>
            <w:r>
              <w:rPr>
                <w:rFonts w:hint="eastAsia" w:ascii="Times New Roman" w:hAnsi="Times New Roman" w:eastAsia="仿宋_GB2312"/>
                <w:kern w:val="0"/>
                <w:szCs w:val="21"/>
              </w:rPr>
              <w:t>62</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393</w:t>
            </w:r>
            <w:r>
              <w:rPr>
                <w:rFonts w:hint="eastAsia" w:ascii="Times New Roman" w:hAnsi="Times New Roman" w:eastAsia="仿宋_GB2312"/>
                <w:kern w:val="0"/>
                <w:szCs w:val="21"/>
                <w:lang w:val="en-US" w:eastAsia="zh-CN"/>
              </w:rPr>
              <w:t>.</w:t>
            </w:r>
            <w:r>
              <w:rPr>
                <w:rFonts w:hint="eastAsia" w:ascii="Times New Roman" w:hAnsi="Times New Roman" w:eastAsia="仿宋_GB2312"/>
                <w:kern w:val="0"/>
                <w:szCs w:val="21"/>
              </w:rPr>
              <w:t>01</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723</w:t>
            </w:r>
            <w:r>
              <w:rPr>
                <w:rFonts w:hint="eastAsia" w:ascii="Times New Roman" w:hAnsi="Times New Roman" w:eastAsia="仿宋_GB2312"/>
                <w:kern w:val="0"/>
                <w:szCs w:val="21"/>
                <w:lang w:val="en-US" w:eastAsia="zh-CN"/>
              </w:rPr>
              <w:t>.</w:t>
            </w:r>
            <w:r>
              <w:rPr>
                <w:rFonts w:hint="eastAsia" w:ascii="Times New Roman" w:hAnsi="Times New Roman" w:eastAsia="仿宋_GB2312"/>
                <w:kern w:val="0"/>
                <w:szCs w:val="21"/>
              </w:rPr>
              <w:t>0</w:t>
            </w:r>
            <w:r>
              <w:rPr>
                <w:rFonts w:hint="eastAsia" w:ascii="Times New Roman" w:hAnsi="Times New Roman" w:eastAsia="仿宋_GB2312"/>
                <w:kern w:val="0"/>
                <w:szCs w:val="21"/>
                <w:lang w:val="en-US" w:eastAsia="zh-CN"/>
              </w:rPr>
              <w:t>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85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1</w:t>
            </w:r>
            <w:r>
              <w:rPr>
                <w:rFonts w:hint="eastAsia" w:ascii="Times New Roman" w:hAnsi="Times New Roman"/>
                <w:kern w:val="0"/>
                <w:szCs w:val="21"/>
                <w:lang w:val="en-US" w:eastAsia="zh-CN"/>
              </w:rPr>
              <w:t>.</w:t>
            </w:r>
            <w:r>
              <w:rPr>
                <w:rFonts w:hint="eastAsia" w:ascii="Times New Roman" w:hAnsi="Times New Roman"/>
                <w:kern w:val="0"/>
                <w:szCs w:val="21"/>
              </w:rPr>
              <w:t>0</w:t>
            </w:r>
            <w:r>
              <w:rPr>
                <w:rFonts w:hint="eastAsia" w:ascii="Times New Roman" w:hAnsi="Times New Roman"/>
                <w:kern w:val="0"/>
                <w:szCs w:val="21"/>
                <w:lang w:val="en-US" w:eastAsia="zh-CN"/>
              </w:rPr>
              <w:t>8</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4</w:t>
            </w:r>
            <w:r>
              <w:rPr>
                <w:rFonts w:hint="eastAsia" w:ascii="Times New Roman" w:hAnsi="Times New Roman"/>
                <w:kern w:val="0"/>
                <w:szCs w:val="21"/>
                <w:lang w:val="en-US" w:eastAsia="zh-CN"/>
              </w:rPr>
              <w:t>.</w:t>
            </w:r>
            <w:r>
              <w:rPr>
                <w:rFonts w:hint="eastAsia" w:ascii="Times New Roman" w:hAnsi="Times New Roman"/>
                <w:kern w:val="0"/>
                <w:szCs w:val="21"/>
              </w:rPr>
              <w:t>9</w:t>
            </w:r>
            <w:r>
              <w:rPr>
                <w:rFonts w:hint="eastAsia" w:ascii="Times New Roman" w:hAnsi="Times New Roman"/>
                <w:kern w:val="0"/>
                <w:szCs w:val="21"/>
                <w:lang w:val="en-US" w:eastAsia="zh-CN"/>
              </w:rPr>
              <w:t>2</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w:t>
            </w:r>
            <w:r>
              <w:rPr>
                <w:rFonts w:hint="eastAsia" w:ascii="Times New Roman" w:hAnsi="Times New Roman"/>
                <w:kern w:val="0"/>
                <w:szCs w:val="21"/>
                <w:lang w:val="en-US" w:eastAsia="zh-CN"/>
              </w:rPr>
              <w:t>.</w:t>
            </w:r>
            <w:r>
              <w:rPr>
                <w:rFonts w:hint="eastAsia" w:ascii="Times New Roman" w:hAnsi="Times New Roman"/>
                <w:kern w:val="0"/>
                <w:szCs w:val="21"/>
              </w:rPr>
              <w:t>36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rPr>
              <w:t>2</w:t>
            </w:r>
            <w:r>
              <w:rPr>
                <w:rFonts w:hint="eastAsia" w:ascii="Times New Roman" w:hAnsi="Times New Roman" w:eastAsia="仿宋_GB2312"/>
                <w:kern w:val="0"/>
                <w:szCs w:val="21"/>
                <w:lang w:val="en-US" w:eastAsia="zh-CN"/>
              </w:rPr>
              <w:t>.</w:t>
            </w:r>
            <w:r>
              <w:rPr>
                <w:rFonts w:hint="eastAsia" w:ascii="Times New Roman" w:hAnsi="Times New Roman" w:eastAsia="仿宋_GB2312"/>
                <w:kern w:val="0"/>
                <w:szCs w:val="21"/>
              </w:rPr>
              <w:t>3</w:t>
            </w:r>
            <w:r>
              <w:rPr>
                <w:rFonts w:hint="eastAsia" w:ascii="Times New Roman" w:hAnsi="Times New Roman" w:eastAsia="仿宋_GB2312"/>
                <w:kern w:val="0"/>
                <w:szCs w:val="21"/>
                <w:lang w:val="en-US" w:eastAsia="zh-CN"/>
              </w:rPr>
              <w:t>1</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3</w:t>
            </w:r>
            <w:r>
              <w:rPr>
                <w:rFonts w:hint="eastAsia" w:ascii="Times New Roman" w:hAnsi="Times New Roman"/>
                <w:kern w:val="0"/>
                <w:szCs w:val="21"/>
                <w:lang w:val="en-US" w:eastAsia="zh-CN"/>
              </w:rPr>
              <w:t>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w:t>
            </w:r>
            <w:r>
              <w:rPr>
                <w:rFonts w:hint="eastAsia" w:ascii="Times New Roman" w:hAnsi="Times New Roman"/>
                <w:kern w:val="0"/>
                <w:szCs w:val="21"/>
                <w:lang w:val="en-US" w:eastAsia="zh-CN"/>
              </w:rPr>
              <w:t>.</w:t>
            </w:r>
            <w:r>
              <w:rPr>
                <w:rFonts w:hint="eastAsia" w:ascii="Times New Roman" w:hAnsi="Times New Roman"/>
                <w:kern w:val="0"/>
                <w:szCs w:val="21"/>
              </w:rPr>
              <w:t>36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3</w:t>
            </w:r>
            <w:r>
              <w:rPr>
                <w:rFonts w:hint="eastAsia" w:ascii="Times New Roman" w:hAnsi="Times New Roman"/>
                <w:kern w:val="0"/>
                <w:szCs w:val="21"/>
                <w:lang w:val="en-US" w:eastAsia="zh-CN"/>
              </w:rPr>
              <w:t>1</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2</w:t>
            </w:r>
            <w:r>
              <w:rPr>
                <w:rFonts w:hint="eastAsia" w:ascii="Times New Roman" w:hAnsi="Times New Roman"/>
                <w:kern w:val="0"/>
                <w:szCs w:val="21"/>
                <w:lang w:val="en-US" w:eastAsia="zh-CN"/>
              </w:rPr>
              <w:t>.</w:t>
            </w:r>
            <w:r>
              <w:rPr>
                <w:rFonts w:hint="eastAsia" w:ascii="Times New Roman" w:hAnsi="Times New Roman"/>
                <w:kern w:val="0"/>
                <w:szCs w:val="21"/>
              </w:rPr>
              <w:t>3</w:t>
            </w:r>
            <w:r>
              <w:rPr>
                <w:rFonts w:hint="eastAsia" w:ascii="Times New Roman" w:hAnsi="Times New Roman"/>
                <w:kern w:val="0"/>
                <w:szCs w:val="21"/>
                <w:lang w:val="en-US" w:eastAsia="zh-CN"/>
              </w:rPr>
              <w:t>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w:t>
            </w:r>
            <w:r>
              <w:rPr>
                <w:rFonts w:hint="eastAsia" w:ascii="Times New Roman" w:hAnsi="Times New Roman"/>
                <w:kern w:val="0"/>
                <w:szCs w:val="21"/>
                <w:lang w:val="en-US" w:eastAsia="zh-CN"/>
              </w:rPr>
              <w:t>.</w:t>
            </w:r>
            <w:r>
              <w:rPr>
                <w:rFonts w:hint="eastAsia" w:ascii="Times New Roman" w:hAnsi="Times New Roman"/>
                <w:kern w:val="0"/>
                <w:szCs w:val="21"/>
              </w:rPr>
              <w:t>49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8</w:t>
            </w:r>
            <w:r>
              <w:rPr>
                <w:rFonts w:hint="eastAsia" w:ascii="Times New Roman" w:hAnsi="Times New Roman"/>
                <w:kern w:val="0"/>
                <w:szCs w:val="21"/>
                <w:lang w:val="en-US" w:eastAsia="zh-CN"/>
              </w:rPr>
              <w:t>.</w:t>
            </w:r>
            <w:r>
              <w:rPr>
                <w:rFonts w:hint="eastAsia" w:ascii="Times New Roman" w:hAnsi="Times New Roman"/>
                <w:kern w:val="0"/>
                <w:szCs w:val="21"/>
              </w:rPr>
              <w:t>46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2</w:t>
            </w:r>
            <w:r>
              <w:rPr>
                <w:rFonts w:hint="eastAsia" w:ascii="Times New Roman" w:hAnsi="Times New Roman"/>
                <w:kern w:val="0"/>
                <w:szCs w:val="21"/>
                <w:lang w:val="en-US" w:eastAsia="zh-CN"/>
              </w:rPr>
              <w:t>.</w:t>
            </w:r>
            <w:r>
              <w:rPr>
                <w:rFonts w:hint="eastAsia" w:ascii="Times New Roman" w:hAnsi="Times New Roman"/>
                <w:kern w:val="0"/>
                <w:szCs w:val="21"/>
              </w:rPr>
              <w:t>61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396</w:t>
            </w:r>
            <w:r>
              <w:rPr>
                <w:rFonts w:hint="eastAsia" w:ascii="Times New Roman" w:hAnsi="Times New Roman"/>
                <w:kern w:val="0"/>
                <w:szCs w:val="21"/>
                <w:lang w:val="en-US" w:eastAsia="zh-CN"/>
              </w:rPr>
              <w:t>.</w:t>
            </w:r>
            <w:r>
              <w:rPr>
                <w:rFonts w:hint="eastAsia" w:ascii="Times New Roman" w:hAnsi="Times New Roman"/>
                <w:kern w:val="0"/>
                <w:szCs w:val="21"/>
              </w:rPr>
              <w:t>8</w:t>
            </w:r>
            <w:r>
              <w:rPr>
                <w:rFonts w:hint="eastAsia" w:ascii="Times New Roman" w:hAnsi="Times New Roman"/>
                <w:kern w:val="0"/>
                <w:szCs w:val="21"/>
                <w:lang w:val="en-US" w:eastAsia="zh-CN"/>
              </w:rPr>
              <w:t>2</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160</w:t>
            </w:r>
            <w:r>
              <w:rPr>
                <w:rFonts w:hint="eastAsia" w:ascii="Times New Roman" w:hAnsi="Times New Roman"/>
                <w:kern w:val="0"/>
                <w:szCs w:val="21"/>
                <w:lang w:val="en-US" w:eastAsia="zh-CN"/>
              </w:rPr>
              <w:t>.</w:t>
            </w:r>
            <w:r>
              <w:rPr>
                <w:rFonts w:hint="eastAsia" w:ascii="Times New Roman" w:hAnsi="Times New Roman"/>
                <w:kern w:val="0"/>
                <w:szCs w:val="21"/>
              </w:rPr>
              <w:t>00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Theme="minorEastAsia"/>
                <w:kern w:val="0"/>
                <w:szCs w:val="21"/>
                <w:lang w:eastAsia="zh-CN"/>
              </w:rPr>
            </w:pPr>
            <w:r>
              <w:rPr>
                <w:rFonts w:hint="eastAsia" w:ascii="Times New Roman" w:hAnsi="Times New Roman"/>
                <w:kern w:val="0"/>
                <w:szCs w:val="21"/>
              </w:rPr>
              <w:t>1055</w:t>
            </w:r>
            <w:r>
              <w:rPr>
                <w:rFonts w:hint="eastAsia" w:ascii="Times New Roman" w:hAnsi="Times New Roman"/>
                <w:kern w:val="0"/>
                <w:szCs w:val="21"/>
                <w:lang w:val="en-US" w:eastAsia="zh-CN"/>
              </w:rPr>
              <w:t>.</w:t>
            </w:r>
            <w:r>
              <w:rPr>
                <w:rFonts w:hint="eastAsia" w:ascii="Times New Roman" w:hAnsi="Times New Roman"/>
                <w:kern w:val="0"/>
                <w:szCs w:val="21"/>
              </w:rPr>
              <w:t>3</w:t>
            </w:r>
            <w:r>
              <w:rPr>
                <w:rFonts w:hint="eastAsia" w:ascii="Times New Roman" w:hAnsi="Times New Roman"/>
                <w:kern w:val="0"/>
                <w:szCs w:val="21"/>
                <w:lang w:val="en-US" w:eastAsia="zh-CN"/>
              </w:rPr>
              <w:t>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both"/>
              <w:rPr>
                <w:rFonts w:ascii="Times New Roman" w:hAnsi="Times New Roman" w:eastAsia="仿宋_GB2312"/>
                <w:kern w:val="0"/>
                <w:szCs w:val="21"/>
              </w:rPr>
            </w:pPr>
            <w:r>
              <w:rPr>
                <w:rFonts w:hint="eastAsia" w:ascii="Times New Roman" w:hAnsi="Times New Roman"/>
                <w:kern w:val="0"/>
                <w:szCs w:val="21"/>
                <w:lang w:val="en-US" w:eastAsia="zh-CN"/>
              </w:rPr>
              <w:t>4、</w:t>
            </w: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both"/>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2" w:beforeLines="20" w:line="240" w:lineRule="exact"/>
              <w:textAlignment w:val="auto"/>
              <w:rPr>
                <w:rFonts w:ascii="Times New Roman" w:hAnsi="Times New Roman" w:eastAsia="仿宋_GB2312"/>
                <w:kern w:val="0"/>
                <w:szCs w:val="21"/>
              </w:rPr>
            </w:pPr>
            <w:r>
              <w:rPr>
                <w:rFonts w:hint="eastAsia" w:ascii="仿宋_GB2312" w:hAnsi="仿宋_GB2312" w:eastAsia="仿宋_GB2312" w:cs="仿宋_GB2312"/>
                <w:kern w:val="0"/>
                <w:sz w:val="18"/>
                <w:szCs w:val="18"/>
              </w:rPr>
              <w:t>1、节约用水</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局工作人员树立节约用水意识，重视用水设备的日常维护管理，用水时龙头尽量开小，用完随手关闭，杜绝“长流水”和“跑冒滴漏”现象发生。2、节约用电</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白天，办公室、会议室等要充分利用自然光照，减少照明设备耗电；办公设备使用后，要随手关闭电源；下班时要关闭电脑等用电设备。局机关大楼的空调用电与办公用电实行分闸管理，夏</w:t>
            </w:r>
            <w:r>
              <w:rPr>
                <w:rFonts w:hint="eastAsia" w:ascii="仿宋_GB2312" w:hAnsi="仿宋_GB2312" w:eastAsia="仿宋_GB2312" w:cs="仿宋_GB2312"/>
                <w:kern w:val="0"/>
                <w:sz w:val="18"/>
                <w:szCs w:val="18"/>
                <w:lang w:val="en-US" w:eastAsia="zh-CN"/>
              </w:rPr>
              <w:t>天</w:t>
            </w:r>
            <w:r>
              <w:rPr>
                <w:rFonts w:hint="eastAsia" w:ascii="仿宋_GB2312" w:hAnsi="仿宋_GB2312" w:eastAsia="仿宋_GB2312" w:cs="仿宋_GB2312"/>
                <w:kern w:val="0"/>
                <w:sz w:val="18"/>
                <w:szCs w:val="18"/>
              </w:rPr>
              <w:t>室外温度低于摄氏26度，空调电源一律拉闸限电：空调使用时禁止开窗户；冬季原则上禁止用空调取暖，通过以上措施，实现节电指标下降</w:t>
            </w:r>
            <w:r>
              <w:rPr>
                <w:rFonts w:hint="eastAsia" w:ascii="仿宋_GB2312" w:hAnsi="仿宋_GB2312" w:eastAsia="仿宋_GB2312" w:cs="仿宋_GB2312"/>
                <w:kern w:val="0"/>
                <w:sz w:val="18"/>
                <w:szCs w:val="18"/>
                <w:lang w:val="en-US" w:eastAsia="zh-CN"/>
              </w:rPr>
              <w:t>10</w:t>
            </w:r>
            <w:r>
              <w:rPr>
                <w:rFonts w:hint="eastAsia" w:ascii="仿宋_GB2312" w:hAnsi="仿宋_GB2312" w:eastAsia="仿宋_GB2312" w:cs="仿宋_GB2312"/>
                <w:kern w:val="0"/>
                <w:sz w:val="18"/>
                <w:szCs w:val="18"/>
              </w:rPr>
              <w:t>%的目标。3、加强车辆管理</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严格控制车辆要用公务用车源则上纳入局办公车统一</w:t>
            </w:r>
            <w:r>
              <w:rPr>
                <w:rFonts w:hint="eastAsia" w:ascii="仿宋_GB2312" w:hAnsi="仿宋_GB2312" w:eastAsia="仿宋_GB2312" w:cs="仿宋_GB2312"/>
                <w:kern w:val="0"/>
                <w:sz w:val="18"/>
                <w:szCs w:val="18"/>
                <w:lang w:val="en-US" w:eastAsia="zh-CN"/>
              </w:rPr>
              <w:t>管</w:t>
            </w:r>
            <w:r>
              <w:rPr>
                <w:rFonts w:hint="eastAsia" w:ascii="仿宋_GB2312" w:hAnsi="仿宋_GB2312" w:eastAsia="仿宋_GB2312" w:cs="仿宋_GB2312"/>
                <w:kern w:val="0"/>
                <w:sz w:val="18"/>
                <w:szCs w:val="18"/>
              </w:rPr>
              <w:t>理和</w:t>
            </w:r>
            <w:r>
              <w:rPr>
                <w:rFonts w:hint="eastAsia" w:ascii="仿宋_GB2312" w:hAnsi="仿宋_GB2312" w:eastAsia="仿宋_GB2312" w:cs="仿宋_GB2312"/>
                <w:kern w:val="0"/>
                <w:sz w:val="18"/>
                <w:szCs w:val="18"/>
                <w:lang w:val="en-US" w:eastAsia="zh-CN"/>
              </w:rPr>
              <w:t>调</w:t>
            </w:r>
            <w:r>
              <w:rPr>
                <w:rFonts w:hint="eastAsia" w:ascii="仿宋_GB2312" w:hAnsi="仿宋_GB2312" w:eastAsia="仿宋_GB2312" w:cs="仿宋_GB2312"/>
                <w:kern w:val="0"/>
                <w:sz w:val="18"/>
                <w:szCs w:val="18"/>
              </w:rPr>
              <w:t>度，外出办公，尽量组合安排出车，减少单独出车次数，出车实行登记制度，节假日除值班车辆外，车辆一律入</w:t>
            </w:r>
            <w:r>
              <w:rPr>
                <w:rFonts w:hint="eastAsia" w:ascii="仿宋_GB2312" w:hAnsi="仿宋_GB2312" w:eastAsia="仿宋_GB2312" w:cs="仿宋_GB2312"/>
                <w:kern w:val="0"/>
                <w:sz w:val="18"/>
                <w:szCs w:val="18"/>
                <w:lang w:val="en-US" w:eastAsia="zh-CN"/>
              </w:rPr>
              <w:t>局</w:t>
            </w:r>
            <w:r>
              <w:rPr>
                <w:rFonts w:hint="eastAsia" w:ascii="仿宋_GB2312" w:hAnsi="仿宋_GB2312" w:eastAsia="仿宋_GB2312" w:cs="仿宋_GB2312"/>
                <w:kern w:val="0"/>
                <w:sz w:val="18"/>
                <w:szCs w:val="18"/>
              </w:rPr>
              <w:t>归位，未经允许，不得私自动车</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4、</w:t>
            </w:r>
            <w:r>
              <w:rPr>
                <w:rFonts w:hint="eastAsia" w:ascii="仿宋_GB2312" w:hAnsi="仿宋_GB2312" w:eastAsia="仿宋_GB2312" w:cs="仿宋_GB2312"/>
                <w:kern w:val="0"/>
                <w:sz w:val="18"/>
                <w:szCs w:val="18"/>
              </w:rPr>
              <w:t>车辆修理费</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公务车辆维修实行“定点维修，以旧换新”的方式管理。车辆维修</w:t>
            </w:r>
            <w:r>
              <w:rPr>
                <w:rFonts w:hint="eastAsia" w:ascii="仿宋_GB2312" w:hAnsi="仿宋_GB2312" w:eastAsia="仿宋_GB2312" w:cs="仿宋_GB2312"/>
                <w:kern w:val="0"/>
                <w:sz w:val="18"/>
                <w:szCs w:val="18"/>
                <w:lang w:val="en-US" w:eastAsia="zh-CN"/>
              </w:rPr>
              <w:t>必</w:t>
            </w:r>
            <w:r>
              <w:rPr>
                <w:rFonts w:hint="eastAsia" w:ascii="仿宋_GB2312" w:hAnsi="仿宋_GB2312" w:eastAsia="仿宋_GB2312" w:cs="仿宋_GB2312"/>
                <w:kern w:val="0"/>
                <w:sz w:val="18"/>
                <w:szCs w:val="18"/>
              </w:rPr>
              <w:t>须到政府采购指定维修地点</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4、节约办公经费</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机关各部门要本着节俭、适度的原则配置办公设备和办公用品。招待费开支要严格按照先审批后接待的原则，严格控制招待费支出和陪同人数。</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62" w:beforeLines="20"/>
        <w:rPr>
          <w:rFonts w:hint="eastAsia" w:ascii="宋体" w:hAnsi="宋体" w:cs="宋体"/>
          <w:kern w:val="0"/>
          <w:sz w:val="24"/>
        </w:rPr>
        <w:sectPr>
          <w:footerReference r:id="rId3" w:type="default"/>
          <w:pgSz w:w="11906" w:h="16838"/>
          <w:pgMar w:top="1440" w:right="1800" w:bottom="1440" w:left="1800" w:header="851" w:footer="992" w:gutter="0"/>
          <w:cols w:space="720" w:num="1"/>
          <w:docGrid w:type="lines" w:linePitch="312" w:charSpace="0"/>
        </w:sect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Times New Roman" w:hAnsi="Times New Roman"/>
          <w:kern w:val="0"/>
          <w:sz w:val="24"/>
          <w:lang w:val="en-US" w:eastAsia="zh-CN"/>
        </w:rPr>
        <w:t>衡阳县科技和工业信息化局</w:t>
      </w:r>
      <w:r>
        <w:rPr>
          <w:rFonts w:ascii="宋体"/>
          <w:sz w:val="24"/>
        </w:rPr>
        <w:t xml:space="preserve">     </w:t>
      </w:r>
      <w:r>
        <w:rPr>
          <w:rFonts w:hint="eastAsia" w:ascii="宋体"/>
          <w:sz w:val="24"/>
        </w:rPr>
        <w:t xml:space="preserve"> 填报时间：</w:t>
      </w:r>
    </w:p>
    <w:tbl>
      <w:tblPr>
        <w:tblStyle w:val="5"/>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964"/>
        <w:gridCol w:w="2600"/>
        <w:gridCol w:w="825"/>
        <w:gridCol w:w="55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widowControl/>
              <w:jc w:val="center"/>
              <w:rPr>
                <w:rFonts w:hint="eastAsia" w:ascii="宋体" w:hAnsi="宋体" w:cs="宋体"/>
                <w:color w:val="000000"/>
                <w:kern w:val="0"/>
                <w:szCs w:val="21"/>
              </w:rPr>
            </w:pP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260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5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7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999</w:t>
            </w:r>
            <w:r>
              <w:rPr>
                <w:rFonts w:hint="eastAsia" w:ascii="宋体" w:hAnsi="宋体" w:cs="宋体"/>
                <w:color w:val="000000"/>
                <w:kern w:val="0"/>
                <w:szCs w:val="21"/>
                <w:lang w:val="en-US" w:eastAsia="zh-CN"/>
              </w:rPr>
              <w:t>.</w:t>
            </w:r>
            <w:r>
              <w:rPr>
                <w:rFonts w:hint="eastAsia" w:ascii="宋体" w:hAnsi="宋体" w:cs="宋体"/>
                <w:color w:val="000000"/>
                <w:kern w:val="0"/>
                <w:szCs w:val="21"/>
              </w:rPr>
              <w:t>38</w:t>
            </w:r>
          </w:p>
        </w:tc>
        <w:tc>
          <w:tcPr>
            <w:tcW w:w="2600" w:type="dxa"/>
            <w:noWrap w:val="0"/>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961</w:t>
            </w:r>
            <w:r>
              <w:rPr>
                <w:rFonts w:hint="eastAsia" w:ascii="宋体" w:hAnsi="宋体" w:cs="宋体"/>
                <w:color w:val="000000"/>
                <w:kern w:val="0"/>
                <w:szCs w:val="21"/>
                <w:lang w:val="en-US" w:eastAsia="zh-CN"/>
              </w:rPr>
              <w:t>.</w:t>
            </w:r>
            <w:r>
              <w:rPr>
                <w:rFonts w:hint="eastAsia" w:ascii="宋体" w:hAnsi="宋体" w:cs="宋体"/>
                <w:color w:val="000000"/>
                <w:kern w:val="0"/>
                <w:szCs w:val="21"/>
              </w:rPr>
              <w:t>4</w:t>
            </w:r>
            <w:r>
              <w:rPr>
                <w:rFonts w:hint="eastAsia" w:ascii="宋体" w:hAnsi="宋体" w:cs="宋体"/>
                <w:color w:val="000000"/>
                <w:kern w:val="0"/>
                <w:szCs w:val="21"/>
                <w:lang w:val="en-US" w:eastAsia="zh-CN"/>
              </w:rPr>
              <w:t>4</w:t>
            </w:r>
          </w:p>
        </w:tc>
        <w:tc>
          <w:tcPr>
            <w:tcW w:w="825"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96%</w:t>
            </w:r>
          </w:p>
        </w:tc>
        <w:tc>
          <w:tcPr>
            <w:tcW w:w="5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0" w:type="dxa"/>
            <w:noWrap w:val="0"/>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91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76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964" w:type="dxa"/>
            <w:noWrap w:val="0"/>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629</w:t>
            </w:r>
            <w:r>
              <w:rPr>
                <w:rFonts w:hint="eastAsia" w:ascii="宋体" w:hAnsi="宋体" w:cs="宋体"/>
                <w:color w:val="000000"/>
                <w:kern w:val="0"/>
                <w:szCs w:val="21"/>
                <w:lang w:val="en-US" w:eastAsia="zh-CN"/>
              </w:rPr>
              <w:t>.</w:t>
            </w:r>
            <w:r>
              <w:rPr>
                <w:rFonts w:hint="eastAsia" w:ascii="宋体" w:hAnsi="宋体" w:cs="宋体"/>
                <w:color w:val="000000"/>
                <w:kern w:val="0"/>
                <w:szCs w:val="21"/>
              </w:rPr>
              <w:t>8</w:t>
            </w:r>
            <w:r>
              <w:rPr>
                <w:rFonts w:hint="eastAsia" w:ascii="宋体" w:hAnsi="宋体" w:cs="宋体"/>
                <w:color w:val="000000"/>
                <w:kern w:val="0"/>
                <w:szCs w:val="21"/>
                <w:lang w:val="en-US" w:eastAsia="zh-CN"/>
              </w:rPr>
              <w:t>2</w:t>
            </w:r>
          </w:p>
        </w:tc>
        <w:tc>
          <w:tcPr>
            <w:tcW w:w="3425"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3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564</w:t>
            </w:r>
            <w:r>
              <w:rPr>
                <w:rFonts w:hint="eastAsia" w:ascii="宋体" w:hAnsi="宋体" w:cs="宋体"/>
                <w:color w:val="000000"/>
                <w:kern w:val="0"/>
                <w:szCs w:val="21"/>
                <w:lang w:val="en-US" w:eastAsia="zh-CN"/>
              </w:rPr>
              <w:t>.</w:t>
            </w:r>
            <w:r>
              <w:rPr>
                <w:rFonts w:hint="eastAsia" w:ascii="宋体" w:hAnsi="宋体" w:cs="宋体"/>
                <w:color w:val="000000"/>
                <w:kern w:val="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964" w:type="dxa"/>
            <w:noWrap w:val="0"/>
            <w:vAlign w:val="center"/>
          </w:tcPr>
          <w:p>
            <w:pPr>
              <w:widowControl/>
              <w:jc w:val="center"/>
              <w:rPr>
                <w:rFonts w:hint="eastAsia" w:ascii="宋体" w:hAnsi="宋体" w:cs="宋体"/>
                <w:color w:val="000000"/>
                <w:kern w:val="0"/>
                <w:szCs w:val="21"/>
              </w:rPr>
            </w:pPr>
          </w:p>
        </w:tc>
        <w:tc>
          <w:tcPr>
            <w:tcW w:w="3425"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340" w:type="dxa"/>
            <w:gridSpan w:val="2"/>
            <w:noWrap w:val="0"/>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467</w:t>
            </w:r>
            <w:r>
              <w:rPr>
                <w:rFonts w:hint="eastAsia" w:ascii="宋体" w:hAnsi="宋体" w:cs="宋体"/>
                <w:color w:val="000000"/>
                <w:kern w:val="0"/>
                <w:szCs w:val="21"/>
                <w:lang w:val="en-US" w:eastAsia="zh-CN"/>
              </w:rPr>
              <w:t>.</w:t>
            </w:r>
            <w:r>
              <w:rPr>
                <w:rFonts w:hint="eastAsia" w:ascii="宋体" w:hAnsi="宋体" w:cs="宋体"/>
                <w:color w:val="000000"/>
                <w:kern w:val="0"/>
                <w:szCs w:val="21"/>
              </w:rPr>
              <w:t>5</w:t>
            </w:r>
            <w:r>
              <w:rPr>
                <w:rFonts w:hint="eastAsia" w:ascii="宋体" w:hAnsi="宋体" w:cs="宋体"/>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3425" w:type="dxa"/>
            <w:gridSpan w:val="2"/>
            <w:noWrap w:val="0"/>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340" w:type="dxa"/>
            <w:gridSpan w:val="2"/>
            <w:noWrap w:val="0"/>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97</w:t>
            </w:r>
            <w:r>
              <w:rPr>
                <w:rFonts w:hint="eastAsia" w:ascii="宋体" w:hAnsi="宋体" w:cs="宋体"/>
                <w:color w:val="000000"/>
                <w:kern w:val="0"/>
                <w:szCs w:val="21"/>
                <w:lang w:val="en-US" w:eastAsia="zh-CN"/>
              </w:rPr>
              <w:t>.</w:t>
            </w: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年初结转结余</w:t>
            </w:r>
          </w:p>
        </w:tc>
        <w:tc>
          <w:tcPr>
            <w:tcW w:w="1964" w:type="dxa"/>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214.58</w:t>
            </w:r>
          </w:p>
        </w:tc>
        <w:tc>
          <w:tcPr>
            <w:tcW w:w="3425" w:type="dxa"/>
            <w:gridSpan w:val="2"/>
            <w:noWrap w:val="0"/>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340" w:type="dxa"/>
            <w:gridSpan w:val="2"/>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rPr>
              <w:t>其他</w:t>
            </w:r>
            <w:r>
              <w:rPr>
                <w:rFonts w:hint="eastAsia" w:ascii="宋体" w:hAnsi="宋体" w:cs="宋体"/>
                <w:color w:val="000000"/>
                <w:kern w:val="0"/>
                <w:szCs w:val="21"/>
                <w:lang w:val="en-US" w:eastAsia="zh-CN"/>
              </w:rPr>
              <w:t>收入</w:t>
            </w:r>
          </w:p>
        </w:tc>
        <w:tc>
          <w:tcPr>
            <w:tcW w:w="196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154</w:t>
            </w:r>
            <w:r>
              <w:rPr>
                <w:rFonts w:hint="eastAsia" w:ascii="宋体" w:hAnsi="宋体" w:cs="宋体"/>
                <w:color w:val="000000"/>
                <w:kern w:val="0"/>
                <w:szCs w:val="21"/>
                <w:lang w:val="en-US" w:eastAsia="zh-CN"/>
              </w:rPr>
              <w:t>.</w:t>
            </w:r>
            <w:r>
              <w:rPr>
                <w:rFonts w:hint="eastAsia" w:ascii="宋体" w:hAnsi="宋体" w:cs="宋体"/>
                <w:color w:val="000000"/>
                <w:kern w:val="0"/>
                <w:szCs w:val="21"/>
              </w:rPr>
              <w:t>98　</w:t>
            </w:r>
          </w:p>
        </w:tc>
        <w:tc>
          <w:tcPr>
            <w:tcW w:w="3425"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340" w:type="dxa"/>
            <w:gridSpan w:val="2"/>
            <w:noWrap w:val="0"/>
            <w:vAlign w:val="center"/>
          </w:tcPr>
          <w:p>
            <w:pPr>
              <w:widowControl/>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396</w:t>
            </w:r>
            <w:r>
              <w:rPr>
                <w:rFonts w:hint="eastAsia" w:ascii="宋体" w:hAnsi="宋体" w:cs="宋体"/>
                <w:color w:val="000000"/>
                <w:kern w:val="0"/>
                <w:szCs w:val="21"/>
                <w:lang w:val="en-US" w:eastAsia="zh-CN"/>
              </w:rPr>
              <w:t>.</w:t>
            </w:r>
            <w:r>
              <w:rPr>
                <w:rFonts w:hint="eastAsia" w:ascii="宋体" w:hAnsi="宋体" w:cs="宋体"/>
                <w:color w:val="000000"/>
                <w:kern w:val="0"/>
                <w:szCs w:val="21"/>
              </w:rPr>
              <w:t>8</w:t>
            </w:r>
            <w:r>
              <w:rPr>
                <w:rFonts w:hint="eastAsia" w:ascii="宋体" w:hAnsi="宋体" w:cs="宋体"/>
                <w:color w:val="000000"/>
                <w:kern w:val="0"/>
                <w:szCs w:val="21"/>
                <w:lang w:val="en-US" w:eastAsia="zh-CN"/>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919"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76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202"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919" w:type="dxa"/>
            <w:gridSpan w:val="5"/>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eastAsia" w:ascii="仿宋_GB2312" w:hAnsi="仿宋_GB2312" w:eastAsia="仿宋_GB2312" w:cs="仿宋_GB2312"/>
                <w:kern w:val="0"/>
                <w:sz w:val="18"/>
                <w:szCs w:val="18"/>
              </w:rPr>
              <w:t>2021年，科工信局工作将立足“工业强县”战略，紧紧围绕县委、县政府“全面建成小康社会、县域经济挺进全省50强和打赢脱贫攻坚战”的宏伟目标，瞄准钟表产业城、珠宝产业城、陶瓷产业城、生物医药产业园和轻工制衣制鞋产业园“三城两园”产业布局，按照促进三大升级，力推四大举措，抓实五项工作的总体思路，力争2021年全县实现规模工业总产值240亿元以上，实现规模工业增加值增速8.5%以上，实现工业税收3亿元以上，新增规模工业企业15家以上，新增国家高新技术企业5个以上，创建各类创新、研发、服务平台2个以上，新增5G基站2000个，实现5G信号县城区域全覆盖，力争各项工作进入全市前列。</w:t>
            </w:r>
          </w:p>
        </w:tc>
        <w:tc>
          <w:tcPr>
            <w:tcW w:w="4765" w:type="dxa"/>
            <w:gridSpan w:val="4"/>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360" w:firstLineChars="200"/>
              <w:jc w:val="both"/>
              <w:textAlignment w:val="auto"/>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2021年，全县规模工业增加值增速10.2%，居全市七县市第三；全县规模工业实现税收2.44亿元。湖南塬峰新材料科技有限公司、湖南时光钻石科技有限公司、湖南艾尔时钟表有限公司等24户工业企业成功申报入规，全县累计规模工业企业170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360" w:firstLineChars="200"/>
              <w:jc w:val="both"/>
              <w:textAlignment w:val="auto"/>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全县R&amp;D支出9亿元，R&amp;D支出占GDP比重达2.27%；技术合同成交额4亿元；全年新增高新技术企业11家，全县累计高新技术企业37家；科技型中小企业入库57家；全县实现高新技术产业产值127.57亿元，高新技术产业增加值50.5亿元，高新技术产业增加值占GDP比重12.79%。</w:t>
            </w:r>
          </w:p>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仿宋_GB2312" w:hAnsi="仿宋_GB2312" w:eastAsia="仿宋_GB2312" w:cs="仿宋_GB2312"/>
                <w:kern w:val="0"/>
                <w:sz w:val="18"/>
                <w:szCs w:val="18"/>
                <w:lang w:val="en-US" w:eastAsia="zh-CN" w:bidi="ar-SA"/>
              </w:rPr>
              <w:t xml:space="preserve">   全县443个行政村已基本实现4G信号全覆盖；25个乡镇光纤宽带已100%覆盖各村部。落实乡村振兴行业责任，积极向上级通信管理部门申报“电信普遍服务”，为乡镇通信覆盖增设基站34座，较好的完成上级重点民生项目建设。     </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2" w:hRule="exact"/>
          <w:jc w:val="center"/>
        </w:trPr>
        <w:tc>
          <w:tcPr>
            <w:tcW w:w="612" w:type="dxa"/>
            <w:vMerge w:val="restart"/>
            <w:noWrap w:val="0"/>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96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260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5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7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1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数量指标</w:t>
            </w:r>
            <w:r>
              <w:rPr>
                <w:rFonts w:hint="eastAsia" w:ascii="宋体" w:hAnsi="宋体" w:eastAsia="宋体" w:cs="宋体"/>
                <w:color w:val="000000"/>
                <w:kern w:val="0"/>
                <w:sz w:val="21"/>
                <w:szCs w:val="21"/>
                <w:lang w:val="en-US" w:eastAsia="zh-CN"/>
              </w:rPr>
              <w:t>1</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力争全县高新技术企业达到</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不低于37家</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5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7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9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研发投入强度达到</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2.27</w:t>
            </w:r>
            <w:r>
              <w:rPr>
                <w:rFonts w:hint="eastAsia" w:ascii="宋体" w:hAnsi="宋体" w:eastAsia="宋体" w:cs="宋体"/>
                <w:color w:val="000000"/>
                <w:sz w:val="21"/>
                <w:szCs w:val="21"/>
                <w:lang w:val="en-US" w:eastAsia="zh-CN"/>
              </w:rPr>
              <w:t>%</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技术合同交易额达标</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4亿元</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4亿元</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数量指标2</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完成新增规模企业</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不低于20家</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r>
              <w:rPr>
                <w:rFonts w:hint="eastAsia" w:ascii="宋体" w:hAnsi="宋体" w:eastAsia="宋体" w:cs="宋体"/>
                <w:color w:val="000000"/>
                <w:sz w:val="21"/>
                <w:szCs w:val="21"/>
                <w:lang w:val="en-US" w:eastAsia="zh-CN"/>
              </w:rPr>
              <w:t>家</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完成新增高新技术企业</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不低于10家</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sz w:val="21"/>
                <w:szCs w:val="21"/>
                <w:lang w:val="en-US" w:eastAsia="zh-CN"/>
              </w:rPr>
              <w:t>家</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30"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组织专业团队开展义务项目申报、科普活动</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不低于8次</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数量指标2</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解决企业实际困难</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不低于5家</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1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帮助企业申报科技项目</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不低于8个</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举办现代企业制度、财务、入规、上市等专场培训</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不低于5次</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lang w:val="en-US" w:eastAsia="zh-CN"/>
              </w:rPr>
            </w:pP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企业复工备案率</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100%</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复工现场巡查率</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100%</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时效指标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完成及时率</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各项工作完成及时率</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8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完成时效</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各项工作完成时效</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2021</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年内</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成本指标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成本控制额</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各项支出成本控制额在预算范围内</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成本合规率</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各项成本支出合理、合规</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100%</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4" w:hRule="exact"/>
          <w:jc w:val="center"/>
        </w:trPr>
        <w:tc>
          <w:tcPr>
            <w:tcW w:w="612" w:type="dxa"/>
            <w:vMerge w:val="restart"/>
            <w:noWrap w:val="0"/>
            <w:vAlign w:val="center"/>
          </w:tcPr>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 w:val="24"/>
              </w:rPr>
            </w:pPr>
            <w:r>
              <w:rPr>
                <w:rFonts w:hint="eastAsia" w:ascii="宋体" w:hAnsi="宋体" w:cs="宋体"/>
                <w:color w:val="000000"/>
                <w:kern w:val="0"/>
                <w:sz w:val="22"/>
                <w:szCs w:val="22"/>
              </w:rPr>
              <w:t>效益</w:t>
            </w:r>
          </w:p>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Cs w:val="21"/>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分）</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经济效益指标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经济基础</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为区域经济增长提供资金和项目支持</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增强</w:t>
            </w:r>
          </w:p>
        </w:tc>
        <w:tc>
          <w:tcPr>
            <w:tcW w:w="5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7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服务环境</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与企业发展相关的政务环境、经营环境</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优化</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4" w:hRule="exact"/>
          <w:jc w:val="center"/>
        </w:trPr>
        <w:tc>
          <w:tcPr>
            <w:tcW w:w="612" w:type="dxa"/>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企业融资</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企业因自身发展产生的融资贷款</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降低</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4" w:hRule="exact"/>
          <w:jc w:val="center"/>
        </w:trPr>
        <w:tc>
          <w:tcPr>
            <w:tcW w:w="612" w:type="dxa"/>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政策支持</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为企业提供政策支持力度</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加大</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74" w:hRule="exact"/>
          <w:jc w:val="center"/>
        </w:trPr>
        <w:tc>
          <w:tcPr>
            <w:tcW w:w="612" w:type="dxa"/>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品牌推介</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对我县重点品牌的推介</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加强</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84" w:hRule="exact"/>
          <w:jc w:val="center"/>
        </w:trPr>
        <w:tc>
          <w:tcPr>
            <w:tcW w:w="612" w:type="dxa"/>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产品营销</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对我县重点推介品牌培育的爆款产品营销</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加强</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4" w:hRule="exact"/>
          <w:jc w:val="center"/>
        </w:trPr>
        <w:tc>
          <w:tcPr>
            <w:tcW w:w="612" w:type="dxa"/>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生态效益指标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降低能耗</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督促企业降低能耗</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降低</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1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协调发展</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带动环境和经济协调发展</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提升</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000000"/>
                <w:kern w:val="0"/>
                <w:sz w:val="21"/>
                <w:szCs w:val="21"/>
              </w:rPr>
            </w:pP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和谐发展</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对人与自然和谐可持续发展影响</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提升</w:t>
            </w:r>
          </w:p>
        </w:tc>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可持续影响指标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经济发展</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为经济发展提供持续动力</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增强</w:t>
            </w:r>
          </w:p>
        </w:tc>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p>
        </w:tc>
        <w:tc>
          <w:tcPr>
            <w:tcW w:w="7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84" w:hRule="exact"/>
          <w:jc w:val="center"/>
        </w:trPr>
        <w:tc>
          <w:tcPr>
            <w:tcW w:w="612" w:type="dxa"/>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900" w:type="dxa"/>
            <w:gridSpan w:val="2"/>
            <w:noWrap w:val="0"/>
            <w:vAlign w:val="center"/>
          </w:tcPr>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pacing w:line="200" w:lineRule="exact"/>
              <w:jc w:val="center"/>
              <w:textAlignment w:val="auto"/>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社会公众或服务对象满意度指标</w:t>
            </w:r>
          </w:p>
        </w:tc>
        <w:tc>
          <w:tcPr>
            <w:tcW w:w="2969" w:type="dxa"/>
            <w:gridSpan w:val="2"/>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被服务企业对解决企业实际困难，服务企业发展的满意程度</w:t>
            </w:r>
          </w:p>
        </w:tc>
        <w:tc>
          <w:tcPr>
            <w:tcW w:w="260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lang w:val="en-US" w:eastAsia="zh-CN" w:bidi="ar"/>
              </w:rPr>
              <w:t>服务对象满意度</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lang w:val="en-US" w:eastAsia="zh-CN" w:bidi="ar"/>
              </w:rPr>
              <w:t>≥90%</w:t>
            </w:r>
          </w:p>
        </w:tc>
        <w:tc>
          <w:tcPr>
            <w:tcW w:w="55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70" w:hRule="atLeast"/>
          <w:jc w:val="center"/>
        </w:trPr>
        <w:tc>
          <w:tcPr>
            <w:tcW w:w="2562" w:type="dxa"/>
            <w:gridSpan w:val="4"/>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综合评定等级</w:t>
            </w:r>
          </w:p>
        </w:tc>
        <w:tc>
          <w:tcPr>
            <w:tcW w:w="2969"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c>
          <w:tcPr>
            <w:tcW w:w="3425"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  分</w:t>
            </w:r>
          </w:p>
        </w:tc>
        <w:tc>
          <w:tcPr>
            <w:tcW w:w="55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79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0" w:hRule="atLeast"/>
          <w:jc w:val="center"/>
        </w:trPr>
        <w:tc>
          <w:tcPr>
            <w:tcW w:w="1218"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宋体" w:hAnsi="宋体" w:cs="宋体"/>
                <w:color w:val="000000"/>
                <w:kern w:val="0"/>
                <w:szCs w:val="21"/>
              </w:rPr>
            </w:pPr>
            <w:r>
              <w:rPr>
                <w:rFonts w:hint="eastAsia" w:ascii="宋体" w:hAnsi="宋体" w:cs="宋体"/>
                <w:color w:val="000000"/>
                <w:kern w:val="0"/>
                <w:sz w:val="24"/>
              </w:rPr>
              <w:t>说明</w:t>
            </w:r>
          </w:p>
        </w:tc>
        <w:tc>
          <w:tcPr>
            <w:tcW w:w="4313" w:type="dxa"/>
            <w:gridSpan w:val="4"/>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偏差及原因分析</w:t>
            </w:r>
          </w:p>
        </w:tc>
        <w:tc>
          <w:tcPr>
            <w:tcW w:w="4765" w:type="dxa"/>
            <w:gridSpan w:val="4"/>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61" w:hRule="atLeast"/>
          <w:jc w:val="center"/>
        </w:trPr>
        <w:tc>
          <w:tcPr>
            <w:tcW w:w="1218"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00" w:lineRule="exact"/>
              <w:jc w:val="center"/>
              <w:textAlignment w:val="auto"/>
            </w:pPr>
          </w:p>
        </w:tc>
        <w:tc>
          <w:tcPr>
            <w:tcW w:w="4313" w:type="dxa"/>
            <w:gridSpan w:val="4"/>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c>
          <w:tcPr>
            <w:tcW w:w="4765" w:type="dxa"/>
            <w:gridSpan w:val="4"/>
            <w:noWrap w:val="0"/>
            <w:vAlign w:val="center"/>
          </w:tcPr>
          <w:p>
            <w:pPr>
              <w:keepNext w:val="0"/>
              <w:keepLines w:val="0"/>
              <w:pageBreakBefore w:val="0"/>
              <w:widowControl/>
              <w:kinsoku/>
              <w:wordWrap/>
              <w:overflowPunct/>
              <w:topLinePunct w:val="0"/>
              <w:autoSpaceDE/>
              <w:autoSpaceDN/>
              <w:bidi w:val="0"/>
              <w:adjustRightInd/>
              <w:spacing w:line="200" w:lineRule="exact"/>
              <w:jc w:val="left"/>
              <w:textAlignment w:val="auto"/>
              <w:rPr>
                <w:rFonts w:hint="eastAsia" w:ascii="宋体" w:hAnsi="宋体" w:cs="宋体"/>
                <w:color w:val="000000"/>
                <w:kern w:val="0"/>
                <w:szCs w:val="21"/>
              </w:rPr>
            </w:pPr>
          </w:p>
        </w:tc>
      </w:tr>
    </w:tbl>
    <w:p>
      <w:pPr>
        <w:keepNext w:val="0"/>
        <w:keepLines w:val="0"/>
        <w:pageBreakBefore w:val="0"/>
        <w:kinsoku/>
        <w:wordWrap/>
        <w:overflowPunct/>
        <w:topLinePunct w:val="0"/>
        <w:autoSpaceDE/>
        <w:autoSpaceDN/>
        <w:bidi w:val="0"/>
        <w:adjustRightInd/>
        <w:spacing w:before="156" w:beforeLines="50" w:line="200" w:lineRule="exact"/>
        <w:textAlignment w:val="auto"/>
        <w:rPr>
          <w:rFonts w:hint="eastAsia" w:ascii="仿宋_GB2312" w:hAnsi="仿宋_GB2312" w:eastAsia="仿宋_GB2312" w:cs="仿宋_GB2312"/>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jY1M2Q0MWU0NmNiMzkwMjhmMGUyOTkwYTA5NjAifQ=="/>
  </w:docVars>
  <w:rsids>
    <w:rsidRoot w:val="00000000"/>
    <w:rsid w:val="014C57CC"/>
    <w:rsid w:val="016C6B6F"/>
    <w:rsid w:val="02166478"/>
    <w:rsid w:val="04B96B96"/>
    <w:rsid w:val="04CC7CC3"/>
    <w:rsid w:val="04F51259"/>
    <w:rsid w:val="05811722"/>
    <w:rsid w:val="06505614"/>
    <w:rsid w:val="0895702F"/>
    <w:rsid w:val="09310735"/>
    <w:rsid w:val="09336848"/>
    <w:rsid w:val="099C7718"/>
    <w:rsid w:val="09D73202"/>
    <w:rsid w:val="0BE76C15"/>
    <w:rsid w:val="0C043669"/>
    <w:rsid w:val="0CFF3BD8"/>
    <w:rsid w:val="0F673728"/>
    <w:rsid w:val="0FEB6980"/>
    <w:rsid w:val="13F3549F"/>
    <w:rsid w:val="14693D86"/>
    <w:rsid w:val="15347BD0"/>
    <w:rsid w:val="158346B4"/>
    <w:rsid w:val="168E79F2"/>
    <w:rsid w:val="16B9635E"/>
    <w:rsid w:val="17321EED"/>
    <w:rsid w:val="17380952"/>
    <w:rsid w:val="187A1D9E"/>
    <w:rsid w:val="1AF84C2D"/>
    <w:rsid w:val="1DE81D09"/>
    <w:rsid w:val="21982DE8"/>
    <w:rsid w:val="21D954CA"/>
    <w:rsid w:val="21FA3424"/>
    <w:rsid w:val="28EA6450"/>
    <w:rsid w:val="2D6B24DE"/>
    <w:rsid w:val="2F0551CF"/>
    <w:rsid w:val="30393181"/>
    <w:rsid w:val="32374411"/>
    <w:rsid w:val="32DD21C5"/>
    <w:rsid w:val="36E73EEC"/>
    <w:rsid w:val="39441A3E"/>
    <w:rsid w:val="3ADA62C4"/>
    <w:rsid w:val="3C8C4360"/>
    <w:rsid w:val="40EC04F5"/>
    <w:rsid w:val="410D6D4D"/>
    <w:rsid w:val="41113B0A"/>
    <w:rsid w:val="43690FAB"/>
    <w:rsid w:val="44404CA8"/>
    <w:rsid w:val="45784867"/>
    <w:rsid w:val="475E5D1C"/>
    <w:rsid w:val="485C4B06"/>
    <w:rsid w:val="4A8F7A31"/>
    <w:rsid w:val="4BAF0C7A"/>
    <w:rsid w:val="50951603"/>
    <w:rsid w:val="50F84DFF"/>
    <w:rsid w:val="54621174"/>
    <w:rsid w:val="551D5FEC"/>
    <w:rsid w:val="55F10021"/>
    <w:rsid w:val="571C3A45"/>
    <w:rsid w:val="58D357EB"/>
    <w:rsid w:val="5B174C4F"/>
    <w:rsid w:val="5B9C797A"/>
    <w:rsid w:val="62010C97"/>
    <w:rsid w:val="65615500"/>
    <w:rsid w:val="6A404AB9"/>
    <w:rsid w:val="6B5A247F"/>
    <w:rsid w:val="712126EB"/>
    <w:rsid w:val="721D5979"/>
    <w:rsid w:val="74B444A4"/>
    <w:rsid w:val="756643B1"/>
    <w:rsid w:val="792E40DE"/>
    <w:rsid w:val="7E08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7818</Words>
  <Characters>8311</Characters>
  <Lines>0</Lines>
  <Paragraphs>0</Paragraphs>
  <TotalTime>18</TotalTime>
  <ScaleCrop>false</ScaleCrop>
  <LinksUpToDate>false</LinksUpToDate>
  <CharactersWithSpaces>9482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2022-04-14T03:49:00Z</dcterms:created>
  <dc:creator>dell</dc:creator>
  <cp:lastModifiedBy>不忘初心蓝色行动</cp:lastModifiedBy>
  <cp:lastPrinted>2022-08-26T08:24:38Z</cp:lastPrinted>
  <dcterms:modified xsi:type="dcterms:W3CDTF">2022-08-26T08:25:46Z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D848EFD2EC144A2BA0523A36AD107FD2</vt:lpwstr>
  </property>
</Properties>
</file>