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sz w:val="72"/>
          <w:szCs w:val="72"/>
        </w:rPr>
      </w:pPr>
      <w:r>
        <w:rPr>
          <w:rFonts w:hint="eastAsia"/>
          <w:sz w:val="72"/>
          <w:szCs w:val="72"/>
        </w:rPr>
        <w:t>20</w:t>
      </w:r>
      <w:r>
        <w:rPr>
          <w:rFonts w:hint="eastAsia"/>
          <w:sz w:val="72"/>
          <w:szCs w:val="72"/>
          <w:lang w:val="en-US" w:eastAsia="zh-CN"/>
        </w:rPr>
        <w:t>20</w:t>
      </w:r>
      <w:r>
        <w:rPr>
          <w:rFonts w:hint="eastAsia"/>
          <w:sz w:val="72"/>
          <w:szCs w:val="72"/>
        </w:rPr>
        <w:t>年度</w:t>
      </w:r>
    </w:p>
    <w:p>
      <w:pPr>
        <w:pStyle w:val="14"/>
        <w:jc w:val="center"/>
        <w:rPr>
          <w:sz w:val="72"/>
          <w:szCs w:val="72"/>
        </w:rPr>
      </w:pPr>
      <w:r>
        <w:rPr>
          <w:rFonts w:hint="eastAsia"/>
          <w:sz w:val="72"/>
          <w:szCs w:val="72"/>
        </w:rPr>
        <w:t>衡阳县</w:t>
      </w:r>
      <w:r>
        <w:rPr>
          <w:rFonts w:hint="eastAsia"/>
          <w:sz w:val="72"/>
          <w:szCs w:val="72"/>
          <w:lang w:eastAsia="zh-CN"/>
        </w:rPr>
        <w:t>城坪冲水库管理所</w:t>
      </w:r>
      <w:r>
        <w:rPr>
          <w:rFonts w:hint="eastAsia"/>
          <w:sz w:val="72"/>
          <w:szCs w:val="72"/>
        </w:rPr>
        <w:t>部门决算</w:t>
      </w: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spacing w:line="540" w:lineRule="exact"/>
        <w:jc w:val="center"/>
        <w:rPr>
          <w:sz w:val="56"/>
          <w:szCs w:val="56"/>
        </w:rPr>
      </w:pPr>
    </w:p>
    <w:p>
      <w:pPr>
        <w:pStyle w:val="14"/>
        <w:spacing w:line="520" w:lineRule="exact"/>
        <w:jc w:val="center"/>
        <w:rPr>
          <w:sz w:val="56"/>
          <w:szCs w:val="56"/>
        </w:rPr>
      </w:pPr>
      <w:r>
        <w:rPr>
          <w:rFonts w:hint="eastAsia"/>
          <w:sz w:val="56"/>
          <w:szCs w:val="56"/>
        </w:rPr>
        <w:t>目录</w:t>
      </w:r>
    </w:p>
    <w:p>
      <w:pPr>
        <w:pStyle w:val="14"/>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　</w:t>
      </w:r>
      <w:r>
        <w:rPr>
          <w:rFonts w:hint="eastAsia"/>
          <w:b/>
          <w:sz w:val="28"/>
          <w:szCs w:val="28"/>
        </w:rPr>
        <w:t>衡阳县</w:t>
      </w:r>
      <w:r>
        <w:rPr>
          <w:rFonts w:hint="eastAsia"/>
          <w:b/>
          <w:sz w:val="28"/>
          <w:szCs w:val="28"/>
          <w:lang w:eastAsia="zh-CN"/>
        </w:rPr>
        <w:t>城坪冲水库管理所部门</w:t>
      </w:r>
      <w:r>
        <w:rPr>
          <w:rFonts w:hint="eastAsia"/>
          <w:b/>
          <w:sz w:val="28"/>
          <w:szCs w:val="28"/>
        </w:rPr>
        <w:t>概况</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4"/>
        <w:spacing w:line="52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eastAsia="zh-CN"/>
        </w:rPr>
        <w:t>　</w:t>
      </w:r>
      <w:r>
        <w:rPr>
          <w:rFonts w:hAnsi="仿宋_GB2312"/>
          <w:b/>
          <w:sz w:val="28"/>
          <w:szCs w:val="28"/>
        </w:rPr>
        <w:t>20</w:t>
      </w:r>
      <w:r>
        <w:rPr>
          <w:rFonts w:hint="eastAsia" w:hAnsi="仿宋_GB2312"/>
          <w:b/>
          <w:sz w:val="28"/>
          <w:szCs w:val="28"/>
          <w:lang w:val="en-US" w:eastAsia="zh-CN"/>
        </w:rPr>
        <w:t>20</w:t>
      </w:r>
      <w:r>
        <w:rPr>
          <w:rFonts w:hint="eastAsia" w:hAnsi="仿宋_GB2312"/>
          <w:b/>
          <w:sz w:val="28"/>
          <w:szCs w:val="28"/>
        </w:rPr>
        <w:t>年度部门决算表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w:t>
      </w:r>
      <w:r>
        <w:rPr>
          <w:rFonts w:hint="eastAsia" w:cs="仿宋_GB2312" w:asciiTheme="minorEastAsia" w:hAnsiTheme="minorEastAsia" w:eastAsiaTheme="minorEastAsia"/>
          <w:sz w:val="28"/>
          <w:szCs w:val="28"/>
          <w:lang w:eastAsia="zh-CN"/>
        </w:rPr>
        <w:t>部门</w:t>
      </w:r>
      <w:r>
        <w:rPr>
          <w:rFonts w:cs="仿宋_GB2312" w:asciiTheme="minorEastAsia" w:hAnsiTheme="minorEastAsia" w:eastAsiaTheme="minorEastAsia"/>
          <w:sz w:val="28"/>
          <w:szCs w:val="28"/>
        </w:rPr>
        <w:t>收入支出决算总表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w:t>
      </w:r>
      <w:r>
        <w:rPr>
          <w:rFonts w:hint="eastAsia" w:cs="仿宋_GB2312" w:asciiTheme="minorEastAsia" w:hAnsiTheme="minorEastAsia" w:eastAsiaTheme="minorEastAsia"/>
          <w:sz w:val="28"/>
          <w:szCs w:val="28"/>
          <w:lang w:eastAsia="zh-CN"/>
        </w:rPr>
        <w:t>部门</w:t>
      </w:r>
      <w:r>
        <w:rPr>
          <w:rFonts w:cs="仿宋_GB2312" w:asciiTheme="minorEastAsia" w:hAnsiTheme="minorEastAsia" w:eastAsiaTheme="minorEastAsia"/>
          <w:sz w:val="28"/>
          <w:szCs w:val="28"/>
        </w:rPr>
        <w:t>收入决算表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w:t>
      </w:r>
      <w:r>
        <w:rPr>
          <w:rFonts w:hint="eastAsia" w:cs="仿宋_GB2312" w:asciiTheme="minorEastAsia" w:hAnsiTheme="minorEastAsia" w:eastAsiaTheme="minorEastAsia"/>
          <w:sz w:val="28"/>
          <w:szCs w:val="28"/>
          <w:lang w:eastAsia="zh-CN"/>
        </w:rPr>
        <w:t>部门</w:t>
      </w:r>
      <w:r>
        <w:rPr>
          <w:rFonts w:cs="仿宋_GB2312" w:asciiTheme="minorEastAsia" w:hAnsiTheme="minorEastAsia" w:eastAsiaTheme="minorEastAsia"/>
          <w:sz w:val="28"/>
          <w:szCs w:val="28"/>
        </w:rPr>
        <w:t>支出决算表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4"/>
        <w:spacing w:line="52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eastAsia="zh-CN"/>
        </w:rPr>
        <w:t>　</w:t>
      </w:r>
      <w:r>
        <w:rPr>
          <w:rFonts w:hAnsi="仿宋_GB2312"/>
          <w:b/>
          <w:sz w:val="28"/>
          <w:szCs w:val="28"/>
        </w:rPr>
        <w:t>20</w:t>
      </w:r>
      <w:r>
        <w:rPr>
          <w:rFonts w:hint="eastAsia" w:hAnsi="仿宋_GB2312"/>
          <w:b/>
          <w:sz w:val="28"/>
          <w:szCs w:val="28"/>
          <w:lang w:val="en-US" w:eastAsia="zh-CN"/>
        </w:rPr>
        <w:t>20</w:t>
      </w:r>
      <w:r>
        <w:rPr>
          <w:rFonts w:hint="eastAsia" w:hAnsi="仿宋_GB2312"/>
          <w:b/>
          <w:sz w:val="28"/>
          <w:szCs w:val="28"/>
        </w:rPr>
        <w:t>年度部门决算情况说明</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eastAsia="zh-CN"/>
        </w:rPr>
        <w:t>　</w:t>
      </w:r>
      <w:r>
        <w:rPr>
          <w:rFonts w:ascii="黑体" w:hAnsi="黑体" w:eastAsia="黑体" w:cs="黑体"/>
          <w:b/>
          <w:color w:val="000000"/>
          <w:kern w:val="0"/>
          <w:sz w:val="28"/>
          <w:szCs w:val="28"/>
        </w:rPr>
        <w:t>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eastAsia="zh-CN"/>
        </w:rPr>
        <w:t>　</w:t>
      </w:r>
      <w:r>
        <w:rPr>
          <w:rFonts w:ascii="黑体" w:hAnsi="黑体" w:eastAsia="黑体" w:cs="黑体"/>
          <w:b/>
          <w:color w:val="000000"/>
          <w:kern w:val="0"/>
          <w:sz w:val="28"/>
          <w:szCs w:val="28"/>
        </w:rPr>
        <w:t>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4"/>
        <w:jc w:val="center"/>
        <w:rPr>
          <w:sz w:val="84"/>
          <w:szCs w:val="84"/>
        </w:rPr>
      </w:pPr>
      <w:r>
        <w:rPr>
          <w:rFonts w:hint="eastAsia"/>
          <w:sz w:val="84"/>
          <w:szCs w:val="84"/>
        </w:rPr>
        <w:t>第一部分</w:t>
      </w:r>
      <w:r>
        <w:rPr>
          <w:sz w:val="84"/>
          <w:szCs w:val="84"/>
        </w:rPr>
        <w:t xml:space="preserve"> </w:t>
      </w:r>
    </w:p>
    <w:p>
      <w:pPr>
        <w:pStyle w:val="14"/>
        <w:jc w:val="center"/>
        <w:rPr>
          <w:sz w:val="84"/>
          <w:szCs w:val="84"/>
        </w:rPr>
      </w:pPr>
    </w:p>
    <w:p>
      <w:pPr>
        <w:pStyle w:val="14"/>
        <w:jc w:val="center"/>
        <w:rPr>
          <w:sz w:val="84"/>
          <w:szCs w:val="84"/>
        </w:rPr>
      </w:pPr>
      <w:r>
        <w:rPr>
          <w:rFonts w:hint="eastAsia"/>
          <w:sz w:val="84"/>
          <w:szCs w:val="84"/>
        </w:rPr>
        <w:t>衡阳县</w:t>
      </w:r>
      <w:r>
        <w:rPr>
          <w:rFonts w:hint="eastAsia"/>
          <w:sz w:val="84"/>
          <w:szCs w:val="84"/>
          <w:lang w:eastAsia="zh-CN"/>
        </w:rPr>
        <w:t>城坪冲水库管理所</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5"/>
        <w:ind w:left="720" w:firstLine="0" w:firstLineChars="0"/>
        <w:jc w:val="left"/>
        <w:rPr>
          <w:rFonts w:ascii="黑体" w:hAnsi="黑体" w:eastAsia="黑体"/>
          <w:sz w:val="32"/>
          <w:szCs w:val="32"/>
        </w:rPr>
      </w:pPr>
    </w:p>
    <w:p>
      <w:pPr>
        <w:pStyle w:val="15"/>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numPr>
          <w:ilvl w:val="0"/>
          <w:numId w:val="2"/>
        </w:numPr>
        <w:spacing w:line="580" w:lineRule="atLeast"/>
        <w:ind w:firstLine="640" w:firstLineChars="200"/>
        <w:rPr>
          <w:rFonts w:hint="eastAsia" w:ascii="仿宋" w:hAnsi="仿宋" w:eastAsia="仿宋" w:cs="仿宋"/>
          <w:sz w:val="32"/>
          <w:szCs w:val="32"/>
        </w:rPr>
      </w:pPr>
      <w:r>
        <w:rPr>
          <w:rFonts w:hint="eastAsia" w:ascii="仿宋_GB2312" w:hAnsi="宋体" w:eastAsia="仿宋_GB2312"/>
          <w:sz w:val="32"/>
          <w:szCs w:val="32"/>
        </w:rPr>
        <w:t>、</w:t>
      </w:r>
      <w:r>
        <w:rPr>
          <w:rFonts w:hint="eastAsia" w:ascii="仿宋" w:hAnsi="仿宋" w:eastAsia="仿宋" w:cs="仿宋"/>
          <w:i w:val="0"/>
          <w:iCs w:val="0"/>
          <w:caps w:val="0"/>
          <w:color w:val="000000"/>
          <w:spacing w:val="0"/>
          <w:sz w:val="32"/>
          <w:szCs w:val="32"/>
          <w:shd w:val="clear" w:fill="FFFFFF"/>
        </w:rPr>
        <w:t>贯彻执行国家的有关法律、法规、方针政策及上级主管部门的决定、指令。</w:t>
      </w:r>
    </w:p>
    <w:p>
      <w:pPr>
        <w:spacing w:line="58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i w:val="0"/>
          <w:iCs w:val="0"/>
          <w:caps w:val="0"/>
          <w:color w:val="000000"/>
          <w:spacing w:val="0"/>
          <w:sz w:val="32"/>
          <w:szCs w:val="32"/>
          <w:shd w:val="clear" w:fill="FFFFFF"/>
        </w:rPr>
        <w:t>保证整个库区及大坝安全运行，防止库区内的水土流失，搞好水文测量、大坝位移观察、防洪调度等，及时迅速向有关部门提供准确数据，保证下游人民的生命财产不受损失。</w:t>
      </w:r>
    </w:p>
    <w:p>
      <w:pPr>
        <w:numPr>
          <w:ilvl w:val="0"/>
          <w:numId w:val="0"/>
        </w:numPr>
        <w:spacing w:line="580" w:lineRule="atLeas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　　</w:t>
      </w:r>
      <w:r>
        <w:rPr>
          <w:rFonts w:hint="eastAsia" w:ascii="仿宋" w:hAnsi="仿宋" w:eastAsia="仿宋" w:cs="仿宋"/>
          <w:sz w:val="32"/>
          <w:szCs w:val="32"/>
          <w:highlight w:val="none"/>
        </w:rPr>
        <w:t>（三）、</w:t>
      </w:r>
      <w:r>
        <w:rPr>
          <w:rFonts w:hint="eastAsia" w:ascii="仿宋" w:hAnsi="仿宋" w:eastAsia="仿宋" w:cs="仿宋"/>
          <w:i w:val="0"/>
          <w:iCs w:val="0"/>
          <w:caps w:val="0"/>
          <w:color w:val="000000"/>
          <w:spacing w:val="0"/>
          <w:sz w:val="32"/>
          <w:szCs w:val="32"/>
          <w:shd w:val="clear" w:fill="FFFFFF"/>
        </w:rPr>
        <w:t>组织编制并落实工程管理规划、年度计划及工程渡汛方案、组织编制和实施水库调度运用方案;结合调度指令适时供水。</w:t>
      </w:r>
    </w:p>
    <w:p>
      <w:pPr>
        <w:spacing w:line="580" w:lineRule="atLeast"/>
        <w:ind w:left="638" w:leftChars="304" w:firstLine="0" w:firstLineChars="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sz w:val="32"/>
          <w:szCs w:val="32"/>
        </w:rPr>
        <w:t>（四）、</w:t>
      </w:r>
      <w:r>
        <w:rPr>
          <w:rFonts w:hint="eastAsia" w:ascii="仿宋" w:hAnsi="仿宋" w:eastAsia="仿宋" w:cs="仿宋"/>
          <w:i w:val="0"/>
          <w:iCs w:val="0"/>
          <w:caps w:val="0"/>
          <w:color w:val="000000"/>
          <w:spacing w:val="0"/>
          <w:sz w:val="32"/>
          <w:szCs w:val="32"/>
          <w:shd w:val="clear" w:fill="FFFFFF"/>
        </w:rPr>
        <w:t>负责工程管理，掌握工程运行情况，及时处理主要技术问题。</w:t>
      </w:r>
    </w:p>
    <w:p>
      <w:pPr>
        <w:spacing w:line="580" w:lineRule="atLeast"/>
        <w:ind w:left="638" w:leftChars="304" w:firstLine="0" w:firstLineChars="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sz w:val="32"/>
          <w:szCs w:val="32"/>
        </w:rPr>
        <w:t>（五）、</w:t>
      </w:r>
      <w:r>
        <w:rPr>
          <w:rFonts w:hint="eastAsia" w:ascii="仿宋" w:hAnsi="仿宋" w:eastAsia="仿宋" w:cs="仿宋"/>
          <w:i w:val="0"/>
          <w:iCs w:val="0"/>
          <w:caps w:val="0"/>
          <w:color w:val="000000"/>
          <w:spacing w:val="0"/>
          <w:sz w:val="32"/>
          <w:szCs w:val="32"/>
          <w:shd w:val="clear" w:fill="FFFFFF"/>
        </w:rPr>
        <w:t>负责工程除险加固、更新改造及扩建项目立项申报的相关工作，参与项目实施中的有关管理工作;组织工程的养护修理并参与有关验收工作。</w:t>
      </w:r>
    </w:p>
    <w:p>
      <w:pPr>
        <w:spacing w:line="580" w:lineRule="atLeast"/>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sz w:val="32"/>
          <w:szCs w:val="32"/>
        </w:rPr>
        <w:t>（六）、</w:t>
      </w:r>
      <w:r>
        <w:rPr>
          <w:rFonts w:hint="eastAsia" w:ascii="仿宋" w:hAnsi="仿宋" w:eastAsia="仿宋" w:cs="仿宋"/>
          <w:i w:val="0"/>
          <w:iCs w:val="0"/>
          <w:caps w:val="0"/>
          <w:color w:val="000000"/>
          <w:spacing w:val="0"/>
          <w:sz w:val="32"/>
          <w:szCs w:val="32"/>
          <w:shd w:val="clear" w:fill="FFFFFF"/>
        </w:rPr>
        <w:t>负责汛前准备、汛期抢修、水毁修复等技术管理工作。</w:t>
      </w:r>
    </w:p>
    <w:p>
      <w:pPr>
        <w:spacing w:line="580" w:lineRule="atLeast"/>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sz w:val="32"/>
          <w:szCs w:val="32"/>
        </w:rPr>
        <w:t>（七）、</w:t>
      </w:r>
      <w:r>
        <w:rPr>
          <w:rFonts w:hint="eastAsia" w:ascii="仿宋" w:hAnsi="仿宋" w:eastAsia="仿宋" w:cs="仿宋"/>
          <w:i w:val="0"/>
          <w:iCs w:val="0"/>
          <w:caps w:val="0"/>
          <w:color w:val="000000"/>
          <w:spacing w:val="0"/>
          <w:sz w:val="32"/>
          <w:szCs w:val="32"/>
          <w:shd w:val="clear" w:fill="FFFFFF"/>
        </w:rPr>
        <w:t>参与工程设施重大隐患、事故的调查处理，进行技术分析工作;承担工程养护修理的质量监管工作;参与工程设施一般事故调查，提出技术分析意见。</w:t>
      </w:r>
    </w:p>
    <w:p>
      <w:pPr>
        <w:spacing w:line="580" w:lineRule="atLeast"/>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sz w:val="32"/>
          <w:szCs w:val="32"/>
        </w:rPr>
        <w:t>（八）、</w:t>
      </w:r>
      <w:r>
        <w:rPr>
          <w:rFonts w:hint="eastAsia" w:ascii="仿宋" w:hAnsi="仿宋" w:eastAsia="仿宋" w:cs="仿宋"/>
          <w:i w:val="0"/>
          <w:iCs w:val="0"/>
          <w:caps w:val="0"/>
          <w:color w:val="000000"/>
          <w:spacing w:val="0"/>
          <w:sz w:val="32"/>
          <w:szCs w:val="32"/>
          <w:shd w:val="clear" w:fill="FFFFFF"/>
        </w:rPr>
        <w:t>编制工程管理范围内的水、土、林、牧、渔业等资源管理保护、开发利用的规划和计划，并组织实施。</w:t>
      </w:r>
    </w:p>
    <w:p>
      <w:pPr>
        <w:spacing w:line="580" w:lineRule="atLeast"/>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sz w:val="32"/>
          <w:szCs w:val="32"/>
        </w:rPr>
        <w:t>（九）、</w:t>
      </w:r>
      <w:r>
        <w:rPr>
          <w:rFonts w:hint="eastAsia" w:ascii="仿宋" w:hAnsi="仿宋" w:eastAsia="仿宋" w:cs="仿宋"/>
          <w:i w:val="0"/>
          <w:iCs w:val="0"/>
          <w:caps w:val="0"/>
          <w:color w:val="000000"/>
          <w:spacing w:val="0"/>
          <w:sz w:val="32"/>
          <w:szCs w:val="32"/>
          <w:shd w:val="clear" w:fill="FFFFFF"/>
        </w:rPr>
        <w:t>协调处理各种关系，承办上级交办的其他事项。</w:t>
      </w:r>
    </w:p>
    <w:p>
      <w:pPr>
        <w:spacing w:line="580" w:lineRule="atLeast"/>
        <w:ind w:firstLine="640" w:firstLineChars="200"/>
        <w:rPr>
          <w:rFonts w:asciiTheme="minorEastAsia" w:hAnsiTheme="minorEastAsia"/>
          <w:sz w:val="32"/>
          <w:szCs w:val="32"/>
          <w:highlight w:val="none"/>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ascii="仿宋_GB2312" w:eastAsia="仿宋_GB2312" w:cs="仿宋_GB2312"/>
          <w:i w:val="0"/>
          <w:iCs w:val="0"/>
          <w:caps w:val="0"/>
          <w:color w:val="000000"/>
          <w:spacing w:val="0"/>
          <w:sz w:val="24"/>
          <w:szCs w:val="24"/>
        </w:rPr>
      </w:pPr>
      <w:r>
        <w:rPr>
          <w:rFonts w:hint="eastAsia" w:asciiTheme="minorEastAsia" w:hAnsiTheme="minorEastAsia"/>
          <w:bCs/>
          <w:kern w:val="0"/>
          <w:sz w:val="32"/>
          <w:szCs w:val="32"/>
        </w:rPr>
        <w:t>（一）内设机构设置。</w:t>
      </w:r>
      <w:r>
        <w:rPr>
          <w:rFonts w:hint="default" w:ascii="仿宋_GB2312" w:eastAsia="仿宋_GB2312" w:cs="仿宋_GB2312"/>
          <w:i w:val="0"/>
          <w:iCs w:val="0"/>
          <w:caps w:val="0"/>
          <w:color w:val="000000"/>
          <w:spacing w:val="0"/>
          <w:sz w:val="24"/>
          <w:szCs w:val="24"/>
          <w:shd w:val="clear" w:fill="FFFFFF"/>
        </w:rPr>
        <w:t>根据职责，</w:t>
      </w:r>
      <w:r>
        <w:rPr>
          <w:rFonts w:ascii="微软雅黑" w:hAnsi="微软雅黑" w:eastAsia="微软雅黑" w:cs="微软雅黑"/>
          <w:i w:val="0"/>
          <w:iCs w:val="0"/>
          <w:caps w:val="0"/>
          <w:color w:val="333333"/>
          <w:spacing w:val="0"/>
          <w:sz w:val="24"/>
          <w:szCs w:val="24"/>
          <w:shd w:val="clear" w:fill="FFFFFF"/>
        </w:rPr>
        <w:t>我单位内设股室5个，按定编人员纳入202</w:t>
      </w:r>
      <w:r>
        <w:rPr>
          <w:rFonts w:hint="eastAsia" w:ascii="微软雅黑" w:hAnsi="微软雅黑" w:eastAsia="微软雅黑" w:cs="微软雅黑"/>
          <w:i w:val="0"/>
          <w:iCs w:val="0"/>
          <w:caps w:val="0"/>
          <w:color w:val="333333"/>
          <w:spacing w:val="0"/>
          <w:sz w:val="24"/>
          <w:szCs w:val="24"/>
          <w:shd w:val="clear" w:fill="FFFFFF"/>
          <w:lang w:val="en-US" w:eastAsia="zh-CN"/>
        </w:rPr>
        <w:t>0</w:t>
      </w:r>
      <w:r>
        <w:rPr>
          <w:rFonts w:ascii="微软雅黑" w:hAnsi="微软雅黑" w:eastAsia="微软雅黑" w:cs="微软雅黑"/>
          <w:i w:val="0"/>
          <w:iCs w:val="0"/>
          <w:caps w:val="0"/>
          <w:color w:val="333333"/>
          <w:spacing w:val="0"/>
          <w:sz w:val="24"/>
          <w:szCs w:val="24"/>
          <w:shd w:val="clear" w:fill="FFFFFF"/>
        </w:rPr>
        <w:t>年部门预算编制范围。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default" w:ascii="仿宋_GB2312" w:eastAsia="仿宋_GB2312" w:cs="仿宋_GB2312"/>
          <w:i w:val="0"/>
          <w:iCs w:val="0"/>
          <w:caps w:val="0"/>
          <w:color w:val="000000"/>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内设股室分别是办公室、财务室、工程管理股、供水管理股、电力管理股等。现有干部职工47人，退休人员36人。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default" w:ascii="仿宋_GB2312" w:eastAsia="仿宋_GB2312" w:cs="仿宋_GB2312"/>
          <w:i w:val="0"/>
          <w:iCs w:val="0"/>
          <w:caps w:val="0"/>
          <w:color w:val="000000"/>
          <w:spacing w:val="0"/>
          <w:sz w:val="24"/>
          <w:szCs w:val="24"/>
        </w:rPr>
      </w:pP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ascii="仿宋_GB2312" w:hAnsi="仿宋_GB2312" w:eastAsia="仿宋_GB2312" w:cs="仿宋_GB2312"/>
          <w:color w:val="333333"/>
          <w:sz w:val="32"/>
          <w:szCs w:val="32"/>
          <w:shd w:val="clear" w:color="auto" w:fill="FFFFFF"/>
        </w:rPr>
        <w:t>　20</w:t>
      </w:r>
      <w:r>
        <w:rPr>
          <w:rFonts w:hint="eastAsia" w:ascii="仿宋_GB2312" w:hAnsi="仿宋_GB2312" w:eastAsia="仿宋_GB2312" w:cs="仿宋_GB2312"/>
          <w:color w:val="333333"/>
          <w:sz w:val="32"/>
          <w:szCs w:val="32"/>
          <w:shd w:val="clear" w:color="auto" w:fill="FFFFFF"/>
          <w:lang w:val="en-US" w:eastAsia="zh-CN"/>
        </w:rPr>
        <w:t>20</w:t>
      </w:r>
      <w:r>
        <w:rPr>
          <w:rFonts w:ascii="仿宋_GB2312" w:hAnsi="仿宋_GB2312" w:eastAsia="仿宋_GB2312" w:cs="仿宋_GB2312"/>
          <w:color w:val="333333"/>
          <w:sz w:val="32"/>
          <w:szCs w:val="32"/>
          <w:shd w:val="clear" w:color="auto" w:fill="FFFFFF"/>
        </w:rPr>
        <w:t>年部门决算编报范围包括</w:t>
      </w:r>
      <w:r>
        <w:rPr>
          <w:rFonts w:hint="eastAsia" w:ascii="仿宋_GB2312" w:hAnsi="仿宋_GB2312" w:eastAsia="仿宋_GB2312" w:cs="仿宋_GB2312"/>
          <w:color w:val="333333"/>
          <w:sz w:val="32"/>
          <w:szCs w:val="32"/>
          <w:shd w:val="clear" w:color="auto" w:fill="FFFFFF"/>
          <w:lang w:eastAsia="zh-CN"/>
        </w:rPr>
        <w:t>衡阳县城坪冲水库管理所</w:t>
      </w:r>
      <w:r>
        <w:rPr>
          <w:rFonts w:ascii="仿宋_GB2312" w:hAnsi="仿宋_GB2312" w:eastAsia="仿宋_GB2312" w:cs="仿宋_GB2312"/>
          <w:color w:val="333333"/>
          <w:sz w:val="32"/>
          <w:szCs w:val="32"/>
          <w:shd w:val="clear" w:color="auto" w:fill="FFFFFF"/>
        </w:rPr>
        <w:t>。收入包括公共财政预算和政府性基金收入等收入；支出包括</w:t>
      </w:r>
      <w:r>
        <w:rPr>
          <w:rFonts w:hint="eastAsia" w:ascii="仿宋_GB2312" w:hAnsi="仿宋_GB2312" w:eastAsia="仿宋_GB2312" w:cs="仿宋_GB2312"/>
          <w:color w:val="333333"/>
          <w:sz w:val="32"/>
          <w:szCs w:val="32"/>
          <w:shd w:val="clear" w:color="auto" w:fill="FFFFFF"/>
        </w:rPr>
        <w:t>单位</w:t>
      </w:r>
      <w:r>
        <w:rPr>
          <w:rFonts w:ascii="仿宋_GB2312" w:hAnsi="仿宋_GB2312" w:eastAsia="仿宋_GB2312" w:cs="仿宋_GB2312"/>
          <w:color w:val="333333"/>
          <w:sz w:val="32"/>
          <w:szCs w:val="32"/>
          <w:shd w:val="clear" w:color="auto" w:fill="FFFFFF"/>
        </w:rPr>
        <w:t>基本运行经费及项目</w:t>
      </w:r>
      <w:r>
        <w:rPr>
          <w:rFonts w:hint="eastAsia" w:ascii="仿宋_GB2312" w:hAnsi="仿宋_GB2312" w:eastAsia="仿宋_GB2312" w:cs="仿宋_GB2312"/>
          <w:color w:val="333333"/>
          <w:sz w:val="32"/>
          <w:szCs w:val="32"/>
          <w:shd w:val="clear" w:color="auto" w:fill="FFFFFF"/>
        </w:rPr>
        <w:t>支出。</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1361" w:right="1797" w:bottom="1361" w:left="1797" w:header="851" w:footer="992" w:gutter="0"/>
          <w:cols w:space="425" w:num="1"/>
          <w:docGrid w:type="lines" w:linePitch="312" w:charSpace="0"/>
        </w:sectPr>
      </w:pPr>
    </w:p>
    <w:tbl>
      <w:tblPr>
        <w:tblStyle w:val="9"/>
        <w:tblW w:w="5000" w:type="pct"/>
        <w:tblInd w:w="0" w:type="dxa"/>
        <w:tblLayout w:type="autofit"/>
        <w:tblCellMar>
          <w:top w:w="0" w:type="dxa"/>
          <w:left w:w="108" w:type="dxa"/>
          <w:bottom w:w="0" w:type="dxa"/>
          <w:right w:w="108" w:type="dxa"/>
        </w:tblCellMar>
      </w:tblPr>
      <w:tblGrid>
        <w:gridCol w:w="4665"/>
        <w:gridCol w:w="656"/>
        <w:gridCol w:w="2485"/>
        <w:gridCol w:w="4665"/>
        <w:gridCol w:w="657"/>
        <w:gridCol w:w="2486"/>
      </w:tblGrid>
      <w:tr>
        <w:tblPrEx>
          <w:tblCellMar>
            <w:top w:w="0" w:type="dxa"/>
            <w:left w:w="108" w:type="dxa"/>
            <w:bottom w:w="0" w:type="dxa"/>
            <w:right w:w="108" w:type="dxa"/>
          </w:tblCellMar>
        </w:tblPrEx>
        <w:trPr>
          <w:trHeight w:val="384" w:hRule="atLeast"/>
        </w:trPr>
        <w:tc>
          <w:tcPr>
            <w:tcW w:w="1499" w:type="pct"/>
            <w:tcBorders>
              <w:top w:val="nil"/>
              <w:left w:val="nil"/>
              <w:bottom w:val="nil"/>
              <w:right w:val="nil"/>
            </w:tcBorders>
            <w:shd w:val="clear" w:color="auto" w:fill="auto"/>
            <w:noWrap/>
            <w:vAlign w:val="bottom"/>
          </w:tcPr>
          <w:p>
            <w:pPr>
              <w:pStyle w:val="17"/>
            </w:pPr>
          </w:p>
        </w:tc>
        <w:tc>
          <w:tcPr>
            <w:tcW w:w="200" w:type="pct"/>
            <w:tcBorders>
              <w:top w:val="nil"/>
              <w:left w:val="nil"/>
              <w:bottom w:val="nil"/>
              <w:right w:val="nil"/>
            </w:tcBorders>
            <w:shd w:val="clear" w:color="auto" w:fill="auto"/>
            <w:noWrap/>
            <w:vAlign w:val="bottom"/>
          </w:tcPr>
          <w:p>
            <w:pPr>
              <w:pStyle w:val="17"/>
            </w:pPr>
          </w:p>
        </w:tc>
        <w:tc>
          <w:tcPr>
            <w:tcW w:w="801" w:type="pct"/>
            <w:tcBorders>
              <w:top w:val="nil"/>
              <w:left w:val="nil"/>
              <w:bottom w:val="nil"/>
              <w:right w:val="nil"/>
            </w:tcBorders>
            <w:shd w:val="clear" w:color="auto" w:fill="auto"/>
            <w:noWrap/>
            <w:vAlign w:val="bottom"/>
          </w:tcPr>
          <w:p>
            <w:pPr>
              <w:pStyle w:val="17"/>
            </w:pPr>
            <w:r>
              <w:rPr>
                <w:rFonts w:hint="eastAsia"/>
              </w:rPr>
              <w:t>收入支出决算总表</w:t>
            </w:r>
          </w:p>
        </w:tc>
        <w:tc>
          <w:tcPr>
            <w:tcW w:w="1499" w:type="pct"/>
            <w:tcBorders>
              <w:top w:val="nil"/>
              <w:left w:val="nil"/>
              <w:bottom w:val="nil"/>
              <w:right w:val="nil"/>
            </w:tcBorders>
            <w:shd w:val="clear" w:color="auto" w:fill="auto"/>
            <w:noWrap/>
            <w:vAlign w:val="bottom"/>
          </w:tcPr>
          <w:p>
            <w:pPr>
              <w:pStyle w:val="17"/>
            </w:pPr>
          </w:p>
        </w:tc>
        <w:tc>
          <w:tcPr>
            <w:tcW w:w="200" w:type="pct"/>
            <w:tcBorders>
              <w:top w:val="nil"/>
              <w:left w:val="nil"/>
              <w:bottom w:val="nil"/>
              <w:right w:val="nil"/>
            </w:tcBorders>
            <w:shd w:val="clear" w:color="auto" w:fill="auto"/>
            <w:noWrap/>
            <w:vAlign w:val="bottom"/>
          </w:tcPr>
          <w:p>
            <w:pPr>
              <w:pStyle w:val="17"/>
            </w:pPr>
          </w:p>
        </w:tc>
        <w:tc>
          <w:tcPr>
            <w:tcW w:w="801" w:type="pct"/>
            <w:tcBorders>
              <w:top w:val="nil"/>
              <w:left w:val="nil"/>
              <w:bottom w:val="nil"/>
              <w:right w:val="nil"/>
            </w:tcBorders>
            <w:shd w:val="clear" w:color="auto" w:fill="auto"/>
            <w:noWrap/>
            <w:vAlign w:val="bottom"/>
          </w:tcPr>
          <w:p>
            <w:pPr>
              <w:pStyle w:val="17"/>
            </w:pPr>
          </w:p>
        </w:tc>
      </w:tr>
      <w:tr>
        <w:tblPrEx>
          <w:tblCellMar>
            <w:top w:w="0" w:type="dxa"/>
            <w:left w:w="108" w:type="dxa"/>
            <w:bottom w:w="0" w:type="dxa"/>
            <w:right w:w="108" w:type="dxa"/>
          </w:tblCellMar>
        </w:tblPrEx>
        <w:trPr>
          <w:trHeight w:val="264" w:hRule="atLeast"/>
        </w:trPr>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tblPrEx>
          <w:tblCellMar>
            <w:top w:w="0" w:type="dxa"/>
            <w:left w:w="108" w:type="dxa"/>
            <w:bottom w:w="0" w:type="dxa"/>
            <w:right w:w="108" w:type="dxa"/>
          </w:tblCellMar>
        </w:tblPrEx>
        <w:trPr>
          <w:trHeight w:val="264" w:hRule="atLeast"/>
        </w:trPr>
        <w:tc>
          <w:tcPr>
            <w:tcW w:w="1499" w:type="pct"/>
            <w:tcBorders>
              <w:top w:val="nil"/>
              <w:left w:val="nil"/>
              <w:bottom w:val="nil"/>
              <w:right w:val="nil"/>
            </w:tcBorders>
            <w:shd w:val="clear" w:color="auto" w:fill="auto"/>
            <w:noWrap/>
            <w:vAlign w:val="bottom"/>
          </w:tcPr>
          <w:p>
            <w:pPr>
              <w:widowControl/>
              <w:jc w:val="left"/>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rPr>
              <w:t>部门：衡阳县</w:t>
            </w:r>
            <w:r>
              <w:rPr>
                <w:rFonts w:hint="eastAsia" w:ascii="宋体" w:hAnsi="宋体" w:eastAsia="宋体" w:cs="Arial"/>
                <w:color w:val="000000"/>
                <w:kern w:val="0"/>
                <w:sz w:val="20"/>
                <w:szCs w:val="20"/>
                <w:lang w:eastAsia="zh-CN"/>
              </w:rPr>
              <w:t>城坪冲水库管理所</w:t>
            </w: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264" w:hRule="atLeast"/>
        </w:trPr>
        <w:tc>
          <w:tcPr>
            <w:tcW w:w="1499" w:type="pct"/>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309" w:hRule="atLeast"/>
        </w:trPr>
        <w:tc>
          <w:tcPr>
            <w:tcW w:w="2500"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收入</w:t>
            </w:r>
          </w:p>
        </w:tc>
        <w:tc>
          <w:tcPr>
            <w:tcW w:w="2500" w:type="pct"/>
            <w:gridSpan w:val="3"/>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380.63</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三、上级补助收入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四、事业收入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五、经营收入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六、附属单位上缴收入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七、其他收入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45.99</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25.37</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288.53</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十四、资源勘探信息等支出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20.74</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二十一、灾害防治及应急管理支出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二十二、其他支出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rPr>
            </w:pPr>
            <w:r>
              <w:rPr>
                <w:rFonts w:hint="eastAsia" w:ascii="宋体" w:hAnsi="宋体" w:eastAsia="宋体" w:cs="Arial"/>
                <w:color w:val="000000"/>
                <w:kern w:val="0"/>
                <w:sz w:val="22"/>
                <w:lang w:val="en-US" w:eastAsia="zh-CN"/>
              </w:rPr>
              <w:t>380.63</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380.63</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用事业基金弥补收支差额</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结余分配</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380.63</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380.63</w:t>
            </w:r>
          </w:p>
        </w:tc>
      </w:tr>
      <w:tr>
        <w:tblPrEx>
          <w:tblCellMar>
            <w:top w:w="0" w:type="dxa"/>
            <w:left w:w="108" w:type="dxa"/>
            <w:bottom w:w="0" w:type="dxa"/>
            <w:right w:w="108" w:type="dxa"/>
          </w:tblCellMar>
        </w:tblPrEx>
        <w:trPr>
          <w:trHeight w:val="309" w:hRule="atLeast"/>
        </w:trPr>
        <w:tc>
          <w:tcPr>
            <w:tcW w:w="5000" w:type="pct"/>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9" w:hRule="atLeast"/>
        </w:trPr>
        <w:tc>
          <w:tcPr>
            <w:tcW w:w="5000" w:type="pct"/>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9" w:hRule="atLeast"/>
        </w:trPr>
        <w:tc>
          <w:tcPr>
            <w:tcW w:w="5000" w:type="pct"/>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264" w:hRule="atLeast"/>
        </w:trPr>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333" w:hRule="atLeast"/>
        </w:trPr>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1 —</w:t>
            </w: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jc w:val="center"/>
        <w:rPr>
          <w:rFonts w:ascii="方正小标宋_GBK" w:hAnsi="黑体" w:eastAsia="方正小标宋_GBK"/>
          <w:sz w:val="36"/>
          <w:szCs w:val="32"/>
        </w:rPr>
      </w:pPr>
      <w:r>
        <w:rPr>
          <w:rFonts w:hint="eastAsia" w:ascii="方正小标宋_GBK" w:hAnsi="黑体" w:eastAsia="方正小标宋_GBK"/>
          <w:sz w:val="36"/>
          <w:szCs w:val="32"/>
        </w:rPr>
        <w:t>收入决算表</w:t>
      </w:r>
    </w:p>
    <w:p>
      <w:pPr>
        <w:widowControl/>
        <w:ind w:firstLine="630" w:firstLineChars="300"/>
        <w:jc w:val="left"/>
        <w:rPr>
          <w:rFonts w:eastAsia="仿宋_GB2312"/>
          <w:color w:val="000000"/>
          <w:kern w:val="0"/>
          <w:szCs w:val="21"/>
        </w:rPr>
      </w:pPr>
      <w:r>
        <w:rPr>
          <w:rFonts w:hint="eastAsia" w:eastAsia="仿宋_GB2312"/>
          <w:color w:val="000000"/>
          <w:kern w:val="0"/>
          <w:szCs w:val="21"/>
          <w:lang w:eastAsia="zh-CN"/>
        </w:rPr>
        <w:t>　　</w:t>
      </w:r>
      <w:r>
        <w:rPr>
          <w:rFonts w:hint="eastAsia" w:eastAsia="仿宋_GB2312"/>
          <w:color w:val="000000"/>
          <w:kern w:val="0"/>
          <w:szCs w:val="21"/>
        </w:rPr>
        <w:t>部门：</w:t>
      </w:r>
      <w:r>
        <w:rPr>
          <w:rFonts w:hint="eastAsia" w:eastAsia="仿宋_GB2312"/>
          <w:color w:val="000000"/>
          <w:kern w:val="0"/>
          <w:szCs w:val="21"/>
          <w:lang w:eastAsia="zh-CN"/>
        </w:rPr>
        <w:t>衡阳县城坪冲水库管理所</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02</w:t>
      </w:r>
      <w:r>
        <w:rPr>
          <w:rFonts w:hint="eastAsia" w:eastAsia="仿宋_GB2312"/>
          <w:color w:val="000000"/>
          <w:kern w:val="0"/>
          <w:szCs w:val="21"/>
        </w:rPr>
        <w:t>表</w:t>
      </w:r>
    </w:p>
    <w:p>
      <w:pPr>
        <w:widowControl/>
        <w:ind w:right="630"/>
        <w:jc w:val="center"/>
        <w:rPr>
          <w:rFonts w:eastAsia="仿宋_GB2312"/>
          <w:color w:val="000000"/>
          <w:kern w:val="0"/>
          <w:szCs w:val="21"/>
        </w:rPr>
      </w:pPr>
      <w:r>
        <w:rPr>
          <w:rFonts w:hint="eastAsia" w:eastAsia="仿宋_GB2312"/>
          <w:color w:val="000000"/>
          <w:kern w:val="0"/>
          <w:szCs w:val="21"/>
          <w:lang w:eastAsia="zh-CN"/>
        </w:rPr>
        <w:t>　　　　　　　　　　　　　　　　　　　　　　　　　　　　　　　　　　　　　　　　　　　　　　　　　　　　　　</w:t>
      </w:r>
      <w:r>
        <w:rPr>
          <w:rFonts w:hint="eastAsia" w:eastAsia="仿宋_GB2312"/>
          <w:color w:val="000000"/>
          <w:kern w:val="0"/>
          <w:szCs w:val="21"/>
        </w:rPr>
        <w:t>单位：万元</w:t>
      </w:r>
    </w:p>
    <w:tbl>
      <w:tblPr>
        <w:tblStyle w:val="9"/>
        <w:tblW w:w="13364" w:type="dxa"/>
        <w:jc w:val="center"/>
        <w:tblLayout w:type="fixed"/>
        <w:tblCellMar>
          <w:top w:w="0" w:type="dxa"/>
          <w:left w:w="108" w:type="dxa"/>
          <w:bottom w:w="0" w:type="dxa"/>
          <w:right w:w="108" w:type="dxa"/>
        </w:tblCellMar>
      </w:tblPr>
      <w:tblGrid>
        <w:gridCol w:w="1050"/>
        <w:gridCol w:w="3918"/>
        <w:gridCol w:w="1514"/>
        <w:gridCol w:w="1629"/>
        <w:gridCol w:w="914"/>
        <w:gridCol w:w="1229"/>
        <w:gridCol w:w="728"/>
        <w:gridCol w:w="1229"/>
        <w:gridCol w:w="1153"/>
      </w:tblGrid>
      <w:tr>
        <w:tblPrEx>
          <w:tblCellMar>
            <w:top w:w="0" w:type="dxa"/>
            <w:left w:w="108" w:type="dxa"/>
            <w:bottom w:w="0" w:type="dxa"/>
            <w:right w:w="108" w:type="dxa"/>
          </w:tblCellMar>
        </w:tblPrEx>
        <w:trPr>
          <w:trHeight w:val="450" w:hRule="atLeast"/>
          <w:jc w:val="center"/>
        </w:trPr>
        <w:tc>
          <w:tcPr>
            <w:tcW w:w="4968" w:type="dxa"/>
            <w:gridSpan w:val="2"/>
            <w:tcBorders>
              <w:top w:val="single" w:color="auto" w:sz="8" w:space="0"/>
              <w:left w:val="single" w:color="auto" w:sz="8" w:space="0"/>
              <w:bottom w:val="single" w:color="auto" w:sz="4" w:space="0"/>
              <w:right w:val="nil"/>
            </w:tcBorders>
            <w:noWrap w:val="0"/>
            <w:vAlign w:val="center"/>
          </w:tcPr>
          <w:p>
            <w:pPr>
              <w:widowControl/>
              <w:jc w:val="center"/>
              <w:rPr>
                <w:rFonts w:eastAsia="仿宋_GB2312"/>
                <w:kern w:val="0"/>
                <w:szCs w:val="21"/>
              </w:rPr>
            </w:pPr>
            <w:r>
              <w:rPr>
                <w:rFonts w:hint="eastAsia" w:eastAsia="仿宋_GB2312"/>
                <w:kern w:val="0"/>
                <w:szCs w:val="21"/>
              </w:rPr>
              <w:t>项</w:t>
            </w:r>
            <w:r>
              <w:rPr>
                <w:rFonts w:eastAsia="仿宋_GB2312"/>
                <w:kern w:val="0"/>
                <w:szCs w:val="21"/>
              </w:rPr>
              <w:t xml:space="preserve">    </w:t>
            </w:r>
            <w:r>
              <w:rPr>
                <w:rFonts w:hint="eastAsia" w:eastAsia="仿宋_GB2312"/>
                <w:kern w:val="0"/>
                <w:szCs w:val="21"/>
              </w:rPr>
              <w:t>目</w:t>
            </w:r>
          </w:p>
        </w:tc>
        <w:tc>
          <w:tcPr>
            <w:tcW w:w="1514"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本年收入合计</w:t>
            </w:r>
          </w:p>
        </w:tc>
        <w:tc>
          <w:tcPr>
            <w:tcW w:w="1629"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财政拨款收入</w:t>
            </w:r>
          </w:p>
        </w:tc>
        <w:tc>
          <w:tcPr>
            <w:tcW w:w="914"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上级补助收入</w:t>
            </w:r>
          </w:p>
        </w:tc>
        <w:tc>
          <w:tcPr>
            <w:tcW w:w="1229"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事业收入</w:t>
            </w:r>
          </w:p>
        </w:tc>
        <w:tc>
          <w:tcPr>
            <w:tcW w:w="728"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经营收入</w:t>
            </w:r>
          </w:p>
        </w:tc>
        <w:tc>
          <w:tcPr>
            <w:tcW w:w="1229"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附属单位上缴收入</w:t>
            </w:r>
          </w:p>
        </w:tc>
        <w:tc>
          <w:tcPr>
            <w:tcW w:w="1153" w:type="dxa"/>
            <w:vMerge w:val="restart"/>
            <w:tcBorders>
              <w:top w:val="single" w:color="auto" w:sz="8" w:space="0"/>
              <w:left w:val="single" w:color="auto" w:sz="4" w:space="0"/>
              <w:bottom w:val="single" w:color="000000" w:sz="4"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其他收入</w:t>
            </w:r>
          </w:p>
        </w:tc>
      </w:tr>
      <w:tr>
        <w:tblPrEx>
          <w:tblCellMar>
            <w:top w:w="0" w:type="dxa"/>
            <w:left w:w="108" w:type="dxa"/>
            <w:bottom w:w="0" w:type="dxa"/>
            <w:right w:w="108" w:type="dxa"/>
          </w:tblCellMar>
        </w:tblPrEx>
        <w:trPr>
          <w:trHeight w:val="450" w:hRule="atLeast"/>
          <w:jc w:val="center"/>
        </w:trPr>
        <w:tc>
          <w:tcPr>
            <w:tcW w:w="1050" w:type="dxa"/>
            <w:vMerge w:val="restart"/>
            <w:tcBorders>
              <w:top w:val="single" w:color="auto" w:sz="4" w:space="0"/>
              <w:left w:val="single" w:color="auto" w:sz="8" w:space="0"/>
              <w:bottom w:val="single" w:color="000000" w:sz="4" w:space="0"/>
              <w:right w:val="nil"/>
            </w:tcBorders>
            <w:noWrap w:val="0"/>
            <w:vAlign w:val="center"/>
          </w:tcPr>
          <w:p>
            <w:pPr>
              <w:widowControl/>
              <w:jc w:val="center"/>
              <w:rPr>
                <w:rFonts w:eastAsia="仿宋_GB2312"/>
                <w:kern w:val="0"/>
                <w:szCs w:val="21"/>
              </w:rPr>
            </w:pPr>
            <w:r>
              <w:rPr>
                <w:rFonts w:hint="eastAsia" w:eastAsia="仿宋_GB2312"/>
                <w:kern w:val="0"/>
                <w:szCs w:val="21"/>
              </w:rPr>
              <w:t>功能分类科目编码</w:t>
            </w:r>
          </w:p>
        </w:tc>
        <w:tc>
          <w:tcPr>
            <w:tcW w:w="39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科目名称</w:t>
            </w:r>
          </w:p>
        </w:tc>
        <w:tc>
          <w:tcPr>
            <w:tcW w:w="15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6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9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728"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153" w:type="dxa"/>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eastAsia="仿宋_GB2312"/>
                <w:kern w:val="0"/>
                <w:szCs w:val="21"/>
              </w:rPr>
            </w:pPr>
          </w:p>
        </w:tc>
      </w:tr>
      <w:tr>
        <w:tblPrEx>
          <w:tblCellMar>
            <w:top w:w="0" w:type="dxa"/>
            <w:left w:w="108" w:type="dxa"/>
            <w:bottom w:w="0" w:type="dxa"/>
            <w:right w:w="108" w:type="dxa"/>
          </w:tblCellMar>
        </w:tblPrEx>
        <w:trPr>
          <w:trHeight w:val="312" w:hRule="atLeast"/>
          <w:jc w:val="center"/>
        </w:trPr>
        <w:tc>
          <w:tcPr>
            <w:tcW w:w="1050" w:type="dxa"/>
            <w:vMerge w:val="continue"/>
            <w:tcBorders>
              <w:top w:val="single" w:color="auto" w:sz="4" w:space="0"/>
              <w:left w:val="single" w:color="auto" w:sz="8" w:space="0"/>
              <w:bottom w:val="single" w:color="000000" w:sz="4" w:space="0"/>
              <w:right w:val="nil"/>
            </w:tcBorders>
            <w:noWrap w:val="0"/>
            <w:vAlign w:val="center"/>
          </w:tcPr>
          <w:p>
            <w:pPr>
              <w:widowControl/>
              <w:jc w:val="left"/>
              <w:rPr>
                <w:rFonts w:eastAsia="仿宋_GB2312"/>
                <w:kern w:val="0"/>
                <w:szCs w:val="21"/>
              </w:rPr>
            </w:pPr>
          </w:p>
        </w:tc>
        <w:tc>
          <w:tcPr>
            <w:tcW w:w="39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5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6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9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728"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153" w:type="dxa"/>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4968" w:type="dxa"/>
            <w:gridSpan w:val="2"/>
            <w:tcBorders>
              <w:top w:val="single" w:color="auto" w:sz="4" w:space="0"/>
              <w:left w:val="single" w:color="auto" w:sz="8" w:space="0"/>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栏次</w:t>
            </w:r>
          </w:p>
        </w:tc>
        <w:tc>
          <w:tcPr>
            <w:tcW w:w="151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1</w:t>
            </w:r>
          </w:p>
        </w:tc>
        <w:tc>
          <w:tcPr>
            <w:tcW w:w="1629"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2</w:t>
            </w:r>
          </w:p>
        </w:tc>
        <w:tc>
          <w:tcPr>
            <w:tcW w:w="91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3</w:t>
            </w:r>
          </w:p>
        </w:tc>
        <w:tc>
          <w:tcPr>
            <w:tcW w:w="1229"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4</w:t>
            </w:r>
          </w:p>
        </w:tc>
        <w:tc>
          <w:tcPr>
            <w:tcW w:w="728"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5</w:t>
            </w:r>
          </w:p>
        </w:tc>
        <w:tc>
          <w:tcPr>
            <w:tcW w:w="1229"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6</w:t>
            </w:r>
          </w:p>
        </w:tc>
        <w:tc>
          <w:tcPr>
            <w:tcW w:w="1153" w:type="dxa"/>
            <w:tcBorders>
              <w:top w:val="nil"/>
              <w:left w:val="nil"/>
              <w:bottom w:val="single" w:color="auto" w:sz="4" w:space="0"/>
              <w:right w:val="single" w:color="auto" w:sz="8" w:space="0"/>
            </w:tcBorders>
            <w:noWrap/>
            <w:vAlign w:val="center"/>
          </w:tcPr>
          <w:p>
            <w:pPr>
              <w:widowControl/>
              <w:jc w:val="center"/>
              <w:rPr>
                <w:rFonts w:eastAsia="仿宋_GB2312"/>
                <w:kern w:val="0"/>
                <w:szCs w:val="21"/>
              </w:rPr>
            </w:pPr>
            <w:r>
              <w:rPr>
                <w:rFonts w:eastAsia="仿宋_GB2312"/>
                <w:kern w:val="0"/>
                <w:szCs w:val="21"/>
              </w:rPr>
              <w:t>7</w:t>
            </w:r>
          </w:p>
        </w:tc>
      </w:tr>
      <w:tr>
        <w:tblPrEx>
          <w:tblCellMar>
            <w:top w:w="0" w:type="dxa"/>
            <w:left w:w="108" w:type="dxa"/>
            <w:bottom w:w="0" w:type="dxa"/>
            <w:right w:w="108" w:type="dxa"/>
          </w:tblCellMar>
        </w:tblPrEx>
        <w:trPr>
          <w:trHeight w:val="450" w:hRule="atLeast"/>
          <w:jc w:val="center"/>
        </w:trPr>
        <w:tc>
          <w:tcPr>
            <w:tcW w:w="4968" w:type="dxa"/>
            <w:gridSpan w:val="2"/>
            <w:tcBorders>
              <w:top w:val="nil"/>
              <w:left w:val="single" w:color="auto" w:sz="8" w:space="0"/>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合计</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2"/>
                <w:sz w:val="22"/>
                <w:szCs w:val="22"/>
                <w:u w:val="none"/>
                <w:lang w:val="en-US" w:eastAsia="zh-CN" w:bidi="ar-SA"/>
              </w:rPr>
              <w:t>380.63</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2"/>
                <w:sz w:val="22"/>
                <w:szCs w:val="22"/>
                <w:u w:val="none"/>
                <w:lang w:val="en-US" w:eastAsia="zh-CN" w:bidi="ar-SA"/>
              </w:rPr>
              <w:t>380.63</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208</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社会保障和就业支出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45.99</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45.99</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20805</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行政事业单位养老支出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45.99</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45.99</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2080505</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　机关事业单位基本养老保险缴费支出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45.99</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45.99</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20808</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抚恤</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2080801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死亡抚恤</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210</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卫生健康支出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25.37</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25.37</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21011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行政事业单位医疗</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25.37</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25.37</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2101101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rPr>
            </w:pPr>
            <w:r>
              <w:rPr>
                <w:rFonts w:hint="eastAsia" w:eastAsia="仿宋_GB2312"/>
                <w:kern w:val="0"/>
                <w:szCs w:val="21"/>
                <w:lang w:eastAsia="zh-CN"/>
              </w:rPr>
              <w:t>行政单位医疗</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25.37</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25.37</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节能环保支出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21103</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污染防治</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2110302</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　水体</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农林水支出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288.53</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288.53</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水利</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288.53</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288.53</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行政运行</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2130302</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一般行政管理事务</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2130304</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水利行业业务管理</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268.53</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268.53</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2130305</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rPr>
            </w:pPr>
            <w:r>
              <w:rPr>
                <w:rFonts w:hint="eastAsia" w:eastAsia="仿宋_GB2312"/>
                <w:kern w:val="0"/>
                <w:szCs w:val="21"/>
                <w:lang w:eastAsia="zh-CN"/>
              </w:rPr>
              <w:t>水利工程管理</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2130306</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水利工程运行与维护</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2130309</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水利执法监督</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2130310</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水土保持</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2130311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水资源节约管理与保护</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2130313</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水文测报</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2130316</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农村水利</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2130399</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其他水利支出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21399</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其他农林水支出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2139999</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rPr>
            </w:pPr>
            <w:r>
              <w:rPr>
                <w:rFonts w:hint="eastAsia" w:eastAsia="仿宋_GB2312"/>
                <w:kern w:val="0"/>
                <w:szCs w:val="21"/>
                <w:lang w:eastAsia="zh-CN"/>
              </w:rPr>
              <w:t>　其他农林水支出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221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住房保障支出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20.74</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20.74</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22102</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住房改革支出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20.74</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20.74</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2210201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住房公积金</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20.74</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20.74</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615" w:hRule="atLeast"/>
          <w:jc w:val="center"/>
        </w:trPr>
        <w:tc>
          <w:tcPr>
            <w:tcW w:w="13364" w:type="dxa"/>
            <w:gridSpan w:val="9"/>
            <w:tcBorders>
              <w:top w:val="single" w:color="auto" w:sz="8" w:space="0"/>
              <w:left w:val="nil"/>
              <w:bottom w:val="nil"/>
              <w:right w:val="nil"/>
            </w:tcBorders>
            <w:noWrap w:val="0"/>
            <w:vAlign w:val="center"/>
          </w:tcPr>
          <w:p>
            <w:pPr>
              <w:widowControl/>
              <w:jc w:val="left"/>
              <w:rPr>
                <w:rFonts w:eastAsia="仿宋_GB2312"/>
                <w:kern w:val="0"/>
                <w:szCs w:val="21"/>
              </w:rPr>
            </w:pPr>
            <w:r>
              <w:rPr>
                <w:rFonts w:hint="eastAsia" w:eastAsia="仿宋_GB2312"/>
                <w:kern w:val="0"/>
                <w:szCs w:val="21"/>
              </w:rPr>
              <w:t>注：本表反映部门本年度取得的各项收入情况。</w:t>
            </w:r>
          </w:p>
        </w:tc>
      </w:tr>
    </w:tbl>
    <w:p>
      <w:pPr>
        <w:widowControl/>
        <w:jc w:val="left"/>
        <w:rPr>
          <w:rFonts w:eastAsia="黑体"/>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jc w:val="center"/>
        <w:rPr>
          <w:rFonts w:eastAsia="方正小标宋_GBK"/>
          <w:color w:val="000000"/>
          <w:kern w:val="0"/>
          <w:sz w:val="36"/>
          <w:szCs w:val="36"/>
        </w:rPr>
      </w:pPr>
      <w:r>
        <w:rPr>
          <w:rFonts w:hint="eastAsia" w:eastAsia="方正小标宋_GBK"/>
          <w:color w:val="000000"/>
          <w:kern w:val="0"/>
          <w:sz w:val="36"/>
          <w:szCs w:val="36"/>
        </w:rPr>
        <w:t>支出决算表</w:t>
      </w:r>
    </w:p>
    <w:p>
      <w:pPr>
        <w:widowControl/>
        <w:spacing w:line="400" w:lineRule="exact"/>
        <w:ind w:firstLine="600" w:firstLineChars="300"/>
        <w:jc w:val="left"/>
        <w:rPr>
          <w:rFonts w:eastAsia="仿宋_GB2312"/>
          <w:color w:val="000000"/>
          <w:kern w:val="0"/>
          <w:sz w:val="20"/>
          <w:szCs w:val="20"/>
        </w:rPr>
      </w:pPr>
      <w:r>
        <w:rPr>
          <w:rFonts w:hint="eastAsia" w:eastAsia="仿宋_GB2312"/>
          <w:color w:val="000000"/>
          <w:kern w:val="0"/>
          <w:sz w:val="20"/>
          <w:szCs w:val="20"/>
        </w:rPr>
        <w:t>部门：</w:t>
      </w:r>
      <w:r>
        <w:rPr>
          <w:rFonts w:hint="eastAsia" w:eastAsia="仿宋_GB2312"/>
          <w:color w:val="000000"/>
          <w:kern w:val="0"/>
          <w:sz w:val="20"/>
          <w:szCs w:val="20"/>
          <w:lang w:eastAsia="zh-CN"/>
        </w:rPr>
        <w:t>衡阳县城坪冲水库管理所</w:t>
      </w:r>
      <w:r>
        <w:rPr>
          <w:rFonts w:eastAsia="仿宋_GB2312"/>
          <w:color w:val="000000"/>
          <w:kern w:val="0"/>
          <w:sz w:val="20"/>
          <w:szCs w:val="20"/>
        </w:rPr>
        <w:t xml:space="preserve">                                                                                                     </w:t>
      </w:r>
      <w:r>
        <w:rPr>
          <w:rFonts w:hint="eastAsia" w:eastAsia="仿宋_GB2312"/>
          <w:color w:val="000000"/>
          <w:kern w:val="0"/>
          <w:sz w:val="20"/>
          <w:szCs w:val="20"/>
        </w:rPr>
        <w:t>公开</w:t>
      </w:r>
      <w:r>
        <w:rPr>
          <w:rFonts w:eastAsia="仿宋_GB2312"/>
          <w:color w:val="000000"/>
          <w:kern w:val="0"/>
          <w:sz w:val="20"/>
          <w:szCs w:val="20"/>
        </w:rPr>
        <w:t>03</w:t>
      </w:r>
      <w:r>
        <w:rPr>
          <w:rFonts w:hint="eastAsia" w:eastAsia="仿宋_GB2312"/>
          <w:color w:val="000000"/>
          <w:kern w:val="0"/>
          <w:sz w:val="20"/>
          <w:szCs w:val="20"/>
        </w:rPr>
        <w:t>表</w:t>
      </w:r>
    </w:p>
    <w:p>
      <w:pPr>
        <w:widowControl/>
        <w:spacing w:line="400" w:lineRule="exact"/>
        <w:ind w:right="700"/>
        <w:jc w:val="center"/>
        <w:rPr>
          <w:rFonts w:eastAsia="仿宋_GB2312"/>
          <w:color w:val="000000"/>
          <w:kern w:val="0"/>
          <w:sz w:val="20"/>
          <w:szCs w:val="20"/>
        </w:rPr>
      </w:pPr>
      <w:r>
        <w:rPr>
          <w:rFonts w:hint="eastAsia" w:eastAsia="仿宋_GB2312"/>
          <w:color w:val="000000"/>
          <w:kern w:val="0"/>
          <w:sz w:val="20"/>
          <w:szCs w:val="20"/>
          <w:lang w:eastAsia="zh-CN"/>
        </w:rPr>
        <w:t>　　　　　　　　　　　　　　　　　　　　　　　　　　　　　　　　　　　　　　　　　　　　　　　　　　　　　　　　　　　　　　　　　　</w:t>
      </w:r>
      <w:r>
        <w:rPr>
          <w:rFonts w:hint="eastAsia" w:eastAsia="仿宋_GB2312"/>
          <w:color w:val="000000"/>
          <w:kern w:val="0"/>
          <w:sz w:val="20"/>
          <w:szCs w:val="20"/>
        </w:rPr>
        <w:t>单位：万元</w:t>
      </w:r>
    </w:p>
    <w:tbl>
      <w:tblPr>
        <w:tblStyle w:val="9"/>
        <w:tblW w:w="14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31"/>
        <w:gridCol w:w="3971"/>
        <w:gridCol w:w="1672"/>
        <w:gridCol w:w="1643"/>
        <w:gridCol w:w="2114"/>
        <w:gridCol w:w="957"/>
        <w:gridCol w:w="843"/>
        <w:gridCol w:w="13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502"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项</w:t>
            </w:r>
            <w:r>
              <w:rPr>
                <w:rFonts w:eastAsia="仿宋_GB2312"/>
                <w:kern w:val="0"/>
                <w:szCs w:val="21"/>
              </w:rPr>
              <w:t xml:space="preserve">    </w:t>
            </w:r>
            <w:r>
              <w:rPr>
                <w:rFonts w:hint="eastAsia" w:eastAsia="仿宋_GB2312"/>
                <w:kern w:val="0"/>
                <w:szCs w:val="21"/>
              </w:rPr>
              <w:t>目</w:t>
            </w:r>
          </w:p>
        </w:tc>
        <w:tc>
          <w:tcPr>
            <w:tcW w:w="1672"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本年支出合计</w:t>
            </w:r>
          </w:p>
        </w:tc>
        <w:tc>
          <w:tcPr>
            <w:tcW w:w="164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基本支出</w:t>
            </w:r>
          </w:p>
        </w:tc>
        <w:tc>
          <w:tcPr>
            <w:tcW w:w="211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项目支出</w:t>
            </w:r>
          </w:p>
        </w:tc>
        <w:tc>
          <w:tcPr>
            <w:tcW w:w="957"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上缴上级支出</w:t>
            </w:r>
          </w:p>
        </w:tc>
        <w:tc>
          <w:tcPr>
            <w:tcW w:w="84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经营支出</w:t>
            </w:r>
          </w:p>
        </w:tc>
        <w:tc>
          <w:tcPr>
            <w:tcW w:w="135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功能分类科目编码</w:t>
            </w:r>
          </w:p>
        </w:tc>
        <w:tc>
          <w:tcPr>
            <w:tcW w:w="3971"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科目名称</w:t>
            </w:r>
          </w:p>
        </w:tc>
        <w:tc>
          <w:tcPr>
            <w:tcW w:w="167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6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211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95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8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35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397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67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6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211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95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8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35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502"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栏次</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5</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502"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合计</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380.63</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360.63</w:t>
            </w: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20</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asciiTheme="minorHAnsi" w:hAnsiTheme="minorHAnsi" w:cstheme="minorBidi"/>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208</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社会保障和就业支出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45.99</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45.99</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行政事业单位养老支出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45.99</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45.99</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2080505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机关事业单位基本养老保险缴费支出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45.99</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45.99</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20808</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抚恤</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2080801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死亡抚恤</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卫生健康支出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25.37</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25.37</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21011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行政事业单位医疗</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25.37</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25.37</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2101101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行政单位医疗</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25.37</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25.37</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节能环保支出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21103</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污染防治</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2110302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水体</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21112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可再生能源</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2111201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　可再生能源</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农林水支出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288.53</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268.53</w:t>
            </w: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20</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288.53</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268.53</w:t>
            </w: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20</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行政运行</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both"/>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一般行政管理事务</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20</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2130304</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水利行业业务管理</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268.53</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268.53</w:t>
            </w: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水利工程管理</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2130306</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水利工程运行与维护</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9"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水利执法监督</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2130310</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水土保持</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水资源节约管理与保护</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213034</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防汛</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2130316</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农村水利</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2130335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农村人畜饮水</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2130399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其他水利支出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21399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其他农林水支出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2139999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其他农林水支出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住房保障支出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20.74</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20.74</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22102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住房改革支出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20.74</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20.74</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2210201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住房公积金</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20.74</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20.74</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bl>
    <w:p>
      <w:pPr>
        <w:widowControl/>
        <w:ind w:firstLine="630" w:firstLineChars="300"/>
        <w:jc w:val="left"/>
        <w:rPr>
          <w:rFonts w:eastAsia="仿宋_GB2312"/>
          <w:kern w:val="0"/>
          <w:szCs w:val="21"/>
        </w:rPr>
      </w:pPr>
      <w:r>
        <w:rPr>
          <w:rFonts w:hint="eastAsia" w:eastAsia="仿宋_GB2312"/>
          <w:kern w:val="0"/>
          <w:szCs w:val="21"/>
        </w:rPr>
        <w:t>注：本表反映部门本年度各项支出情况。</w:t>
      </w: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ind w:left="93"/>
        <w:jc w:val="center"/>
        <w:rPr>
          <w:rFonts w:eastAsia="方正小标宋_GBK"/>
          <w:color w:val="000000"/>
          <w:kern w:val="0"/>
          <w:sz w:val="36"/>
          <w:szCs w:val="21"/>
        </w:rPr>
      </w:pPr>
      <w:r>
        <w:rPr>
          <w:rFonts w:hint="eastAsia" w:eastAsia="方正小标宋_GBK"/>
          <w:color w:val="000000"/>
          <w:kern w:val="0"/>
          <w:sz w:val="36"/>
          <w:szCs w:val="21"/>
        </w:rPr>
        <w:t>财政拨款收支决算总表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color w:val="000000"/>
          <w:kern w:val="0"/>
          <w:szCs w:val="21"/>
        </w:rPr>
      </w:pPr>
      <w:r>
        <w:rPr>
          <w:rFonts w:hint="eastAsia"/>
          <w:color w:val="000000"/>
          <w:kern w:val="0"/>
          <w:szCs w:val="21"/>
        </w:rPr>
        <w:t>公开</w:t>
      </w:r>
      <w:r>
        <w:rPr>
          <w:color w:val="000000"/>
          <w:kern w:val="0"/>
          <w:szCs w:val="21"/>
        </w:rPr>
        <w:t>04</w:t>
      </w:r>
      <w:r>
        <w:rPr>
          <w:rFonts w:hint="eastAsia"/>
          <w:color w:val="000000"/>
          <w:kern w:val="0"/>
          <w:szCs w:val="21"/>
        </w:rPr>
        <w:t>表</w:t>
      </w:r>
    </w:p>
    <w:p>
      <w:pPr>
        <w:widowControl/>
        <w:tabs>
          <w:tab w:val="left" w:pos="13725"/>
          <w:tab w:val="left" w:pos="13755"/>
          <w:tab w:val="left" w:pos="13800"/>
        </w:tabs>
        <w:spacing w:line="240" w:lineRule="exact"/>
        <w:ind w:left="91" w:firstLine="315" w:firstLineChars="150"/>
        <w:jc w:val="left"/>
        <w:rPr>
          <w:rFonts w:eastAsia="仿宋_GB2312"/>
          <w:color w:val="000000"/>
          <w:kern w:val="0"/>
          <w:szCs w:val="21"/>
        </w:rPr>
      </w:pPr>
      <w:r>
        <w:rPr>
          <w:rFonts w:hint="eastAsia" w:eastAsia="仿宋_GB2312"/>
          <w:color w:val="000000"/>
          <w:kern w:val="0"/>
          <w:szCs w:val="21"/>
        </w:rPr>
        <w:t>部门：</w:t>
      </w:r>
      <w:r>
        <w:rPr>
          <w:rFonts w:hint="eastAsia" w:eastAsia="仿宋_GB2312"/>
          <w:color w:val="000000"/>
          <w:kern w:val="0"/>
          <w:szCs w:val="21"/>
          <w:lang w:eastAsia="zh-CN"/>
        </w:rPr>
        <w:t>衡阳县城坪冲水库管理所</w:t>
      </w:r>
      <w:r>
        <w:rPr>
          <w:rFonts w:eastAsia="仿宋_GB2312"/>
          <w:color w:val="000000"/>
          <w:kern w:val="0"/>
          <w:sz w:val="20"/>
          <w:szCs w:val="20"/>
        </w:rPr>
        <w:t xml:space="preserve"> </w:t>
      </w:r>
      <w:r>
        <w:rPr>
          <w:rFonts w:eastAsia="仿宋_GB2312"/>
          <w:color w:val="000000"/>
          <w:kern w:val="0"/>
          <w:szCs w:val="21"/>
        </w:rPr>
        <w:tab/>
      </w:r>
      <w:r>
        <w:rPr>
          <w:rFonts w:hint="eastAsia" w:eastAsia="仿宋_GB2312"/>
          <w:color w:val="000000"/>
          <w:kern w:val="0"/>
          <w:szCs w:val="21"/>
        </w:rPr>
        <w:t>单位：万元</w:t>
      </w:r>
    </w:p>
    <w:tbl>
      <w:tblPr>
        <w:tblStyle w:val="9"/>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收入</w:t>
            </w:r>
          </w:p>
        </w:tc>
        <w:tc>
          <w:tcPr>
            <w:tcW w:w="9303" w:type="dxa"/>
            <w:gridSpan w:val="5"/>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hint="eastAsia" w:eastAsia="仿宋_GB2312"/>
                <w:b/>
                <w:kern w:val="0"/>
                <w:szCs w:val="21"/>
              </w:rPr>
              <w:t>目</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行次</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金额</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hint="eastAsia" w:eastAsia="仿宋_GB2312"/>
                <w:b/>
                <w:kern w:val="0"/>
                <w:szCs w:val="21"/>
              </w:rPr>
              <w:t>目</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行次</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合计</w:t>
            </w:r>
          </w:p>
        </w:tc>
        <w:tc>
          <w:tcPr>
            <w:tcW w:w="166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一般公共预算财政拨款</w:t>
            </w:r>
          </w:p>
        </w:tc>
        <w:tc>
          <w:tcPr>
            <w:tcW w:w="157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w:t>
            </w:r>
            <w:r>
              <w:rPr>
                <w:rFonts w:eastAsia="仿宋_GB2312"/>
                <w:kern w:val="0"/>
                <w:szCs w:val="21"/>
              </w:rPr>
              <w:t xml:space="preserve">    </w:t>
            </w:r>
            <w:r>
              <w:rPr>
                <w:rFonts w:hint="eastAsia" w:eastAsia="仿宋_GB2312"/>
                <w:kern w:val="0"/>
                <w:szCs w:val="21"/>
              </w:rPr>
              <w:t>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w:t>
            </w:r>
            <w:r>
              <w:rPr>
                <w:rFonts w:eastAsia="仿宋_GB2312"/>
                <w:kern w:val="0"/>
                <w:szCs w:val="21"/>
              </w:rPr>
              <w:t xml:space="preserve">    </w:t>
            </w:r>
            <w:r>
              <w:rPr>
                <w:rFonts w:hint="eastAsia" w:eastAsia="仿宋_GB2312"/>
                <w:kern w:val="0"/>
                <w:szCs w:val="21"/>
              </w:rPr>
              <w:t>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一、一般公共预算财政拨款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380.63</w:t>
            </w: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一、一般公共服务支出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二、政府性基金预算财政拨款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二、外交支出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三、国防支出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四、公共安全支出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五、教育支出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六、科学技术支出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七、文化旅游体育与传媒支出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八、社会保障和就业支出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45.99</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45.99</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九、卫生健康支出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25.37</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rPr>
            </w:pPr>
            <w:r>
              <w:rPr>
                <w:rFonts w:hint="eastAsia" w:eastAsia="仿宋_GB2312"/>
                <w:kern w:val="0"/>
                <w:szCs w:val="21"/>
                <w:lang w:val="en-US" w:eastAsia="zh-CN"/>
              </w:rPr>
              <w:t>25.37</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十、节能环保支出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十一、城乡社区支出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十二、农林水支出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288.53</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288.53</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十三、交通运输支出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十四、资源勘探信息等支出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十五、商业服务业等支出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十六、金融支出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十七、援助其他地区支出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lang w:val="en-US" w:eastAsia="zh-CN"/>
              </w:rPr>
              <w:t>1</w:t>
            </w:r>
            <w:r>
              <w:rPr>
                <w:rFonts w:eastAsia="仿宋_GB2312"/>
                <w:kern w:val="0"/>
                <w:szCs w:val="21"/>
              </w:rPr>
              <w:t>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十八、自然资源海洋气象等支出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十九、住房保障支出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20.74</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rPr>
            </w:pPr>
            <w:r>
              <w:rPr>
                <w:rFonts w:hint="eastAsia" w:eastAsia="仿宋_GB2312"/>
                <w:kern w:val="0"/>
                <w:szCs w:val="21"/>
                <w:lang w:val="en-US" w:eastAsia="zh-CN"/>
              </w:rPr>
              <w:t>20.74</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二十、粮油物资储备支出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二十一、灾害防治及应急管理支出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二十二、其他支出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rPr>
            </w:pP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本年收入合计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380.63</w:t>
            </w: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本年支出合计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rPr>
            </w:pPr>
            <w:r>
              <w:rPr>
                <w:rFonts w:hint="eastAsia" w:eastAsia="仿宋_GB2312"/>
                <w:kern w:val="0"/>
                <w:szCs w:val="21"/>
                <w:lang w:val="en-US" w:eastAsia="zh-CN"/>
              </w:rPr>
              <w:t>380.63</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lang w:val="en-US" w:eastAsia="zh-CN"/>
              </w:rPr>
              <w:t>380.63</w:t>
            </w: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bCs/>
                <w:kern w:val="0"/>
                <w:szCs w:val="21"/>
              </w:rPr>
            </w:pPr>
            <w:r>
              <w:rPr>
                <w:rFonts w:hint="eastAsia" w:eastAsia="仿宋_GB2312"/>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年初财政拨款结转和结余</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年末财政拨款结转和结余</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一、一般公共预算财政拨款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二、政府性基金预算财政拨款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总计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380.63</w:t>
            </w: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总计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rPr>
            </w:pPr>
            <w:r>
              <w:rPr>
                <w:rFonts w:hint="eastAsia" w:eastAsia="仿宋_GB2312"/>
                <w:kern w:val="0"/>
                <w:szCs w:val="21"/>
                <w:lang w:val="en-US" w:eastAsia="zh-CN"/>
              </w:rPr>
              <w:t>380.63</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380.63</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bCs/>
                <w:kern w:val="0"/>
                <w:szCs w:val="21"/>
              </w:rPr>
            </w:pPr>
            <w:r>
              <w:rPr>
                <w:rFonts w:hint="eastAsia" w:eastAsia="仿宋_GB2312"/>
                <w:b/>
                <w:bCs/>
                <w:kern w:val="0"/>
                <w:szCs w:val="21"/>
              </w:rPr>
              <w:t>　</w:t>
            </w:r>
          </w:p>
        </w:tc>
      </w:tr>
    </w:tbl>
    <w:p>
      <w:pPr>
        <w:widowControl/>
        <w:jc w:val="left"/>
        <w:rPr>
          <w:rFonts w:eastAsia="仿宋_GB2312"/>
          <w:kern w:val="0"/>
          <w:szCs w:val="21"/>
        </w:rPr>
      </w:pPr>
      <w:r>
        <w:rPr>
          <w:rFonts w:hint="eastAsia" w:eastAsia="仿宋_GB2312"/>
          <w:kern w:val="0"/>
          <w:szCs w:val="21"/>
        </w:rPr>
        <w:t>注：本表反映部门本年度一般公共预算财政拨款和政府性基金预算财政拨款的总收支和年末结转结余情况。</w:t>
      </w:r>
    </w:p>
    <w:p>
      <w:pPr>
        <w:widowControl/>
        <w:jc w:val="left"/>
        <w:rPr>
          <w:rFonts w:eastAsia="仿宋_GB2312"/>
          <w:kern w:val="0"/>
          <w:szCs w:val="21"/>
        </w:rPr>
      </w:pPr>
      <w:r>
        <w:rPr>
          <w:rFonts w:eastAsia="仿宋_GB2312"/>
          <w:kern w:val="0"/>
          <w:szCs w:val="21"/>
        </w:rPr>
        <w:br w:type="page"/>
      </w:r>
    </w:p>
    <w:p>
      <w:pPr>
        <w:widowControl/>
        <w:jc w:val="center"/>
        <w:rPr>
          <w:rFonts w:eastAsia="方正小标宋_GBK"/>
          <w:kern w:val="0"/>
          <w:sz w:val="36"/>
          <w:szCs w:val="36"/>
        </w:rPr>
      </w:pPr>
      <w:r>
        <w:rPr>
          <w:rFonts w:hint="eastAsia" w:eastAsia="方正小标宋_GBK"/>
          <w:kern w:val="0"/>
          <w:sz w:val="36"/>
          <w:szCs w:val="36"/>
        </w:rPr>
        <w:t>一般公共预算财政拨款支出决算表</w:t>
      </w:r>
      <w:bookmarkStart w:id="0" w:name="RANGE!A1:F16"/>
      <w:bookmarkEnd w:id="0"/>
    </w:p>
    <w:p>
      <w:pPr>
        <w:widowControl/>
        <w:spacing w:before="156" w:beforeLines="50"/>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部门：</w:t>
      </w:r>
      <w:r>
        <w:rPr>
          <w:rFonts w:hint="eastAsia" w:eastAsia="仿宋_GB2312"/>
          <w:color w:val="000000"/>
          <w:kern w:val="0"/>
          <w:szCs w:val="21"/>
          <w:lang w:eastAsia="zh-CN"/>
        </w:rPr>
        <w:t>衡阳县城坪冲水库管理所</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05</w:t>
      </w:r>
      <w:r>
        <w:rPr>
          <w:rFonts w:hint="eastAsia" w:eastAsia="仿宋_GB2312"/>
          <w:color w:val="000000"/>
          <w:kern w:val="0"/>
          <w:szCs w:val="21"/>
        </w:rPr>
        <w:t>表</w:t>
      </w:r>
    </w:p>
    <w:p>
      <w:pPr>
        <w:widowControl/>
        <w:jc w:val="left"/>
        <w:rPr>
          <w:color w:val="000000"/>
          <w:kern w:val="0"/>
          <w:sz w:val="20"/>
          <w:szCs w:val="20"/>
        </w:rPr>
      </w:pPr>
      <w:r>
        <w:rPr>
          <w:rFonts w:eastAsia="仿宋_GB2312"/>
          <w:color w:val="000000"/>
          <w:kern w:val="0"/>
          <w:szCs w:val="21"/>
        </w:rPr>
        <w:t xml:space="preserve">                                                                                                                                  </w:t>
      </w:r>
      <w:r>
        <w:rPr>
          <w:rFonts w:hint="eastAsia" w:eastAsia="仿宋_GB2312"/>
          <w:color w:val="000000"/>
          <w:kern w:val="0"/>
          <w:szCs w:val="21"/>
        </w:rPr>
        <w:t>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eastAsia="仿宋_GB2312"/>
                <w:b/>
                <w:color w:val="000000"/>
                <w:kern w:val="0"/>
                <w:szCs w:val="21"/>
              </w:rPr>
              <w:t xml:space="preserve">   </w:t>
            </w:r>
            <w:r>
              <w:rPr>
                <w:rFonts w:hint="eastAsia" w:eastAsia="仿宋_GB2312"/>
                <w:b/>
                <w:kern w:val="0"/>
                <w:szCs w:val="21"/>
              </w:rPr>
              <w:t>目</w:t>
            </w:r>
          </w:p>
        </w:tc>
        <w:tc>
          <w:tcPr>
            <w:tcW w:w="9492" w:type="dxa"/>
            <w:gridSpan w:val="3"/>
            <w:tcBorders>
              <w:top w:val="single" w:color="auto" w:sz="8" w:space="0"/>
              <w:left w:val="nil"/>
              <w:bottom w:val="single" w:color="auto" w:sz="4" w:space="0"/>
              <w:right w:val="single" w:color="000000" w:sz="8" w:space="0"/>
            </w:tcBorders>
            <w:noWrap w:val="0"/>
            <w:vAlign w:val="center"/>
          </w:tcPr>
          <w:p>
            <w:pPr>
              <w:widowControl/>
              <w:jc w:val="center"/>
              <w:rPr>
                <w:rFonts w:eastAsia="仿宋_GB2312"/>
                <w:b/>
                <w:kern w:val="0"/>
                <w:szCs w:val="21"/>
              </w:rPr>
            </w:pPr>
            <w:r>
              <w:rPr>
                <w:rFonts w:hint="eastAsia" w:eastAsia="仿宋_GB2312"/>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科目名称</w:t>
            </w:r>
          </w:p>
        </w:tc>
        <w:tc>
          <w:tcPr>
            <w:tcW w:w="30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小计</w:t>
            </w:r>
          </w:p>
        </w:tc>
        <w:tc>
          <w:tcPr>
            <w:tcW w:w="349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基本支出</w:t>
            </w:r>
          </w:p>
        </w:tc>
        <w:tc>
          <w:tcPr>
            <w:tcW w:w="3000" w:type="dxa"/>
            <w:vMerge w:val="restart"/>
            <w:tcBorders>
              <w:top w:val="nil"/>
              <w:left w:val="single" w:color="auto" w:sz="4" w:space="0"/>
              <w:bottom w:val="single" w:color="000000" w:sz="4"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项目支出</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34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3000" w:type="dxa"/>
            <w:vMerge w:val="continue"/>
            <w:tcBorders>
              <w:top w:val="nil"/>
              <w:left w:val="single" w:color="auto" w:sz="4" w:space="0"/>
              <w:bottom w:val="single" w:color="000000" w:sz="4" w:space="0"/>
              <w:right w:val="single" w:color="auto" w:sz="8" w:space="0"/>
            </w:tcBorders>
            <w:noWrap w:val="0"/>
            <w:vAlign w:val="center"/>
          </w:tcPr>
          <w:p>
            <w:pPr>
              <w:widowControl/>
              <w:jc w:val="left"/>
              <w:rPr>
                <w:rFonts w:eastAsia="仿宋_GB2312"/>
                <w:b/>
                <w:kern w:val="0"/>
                <w:szCs w:val="21"/>
              </w:rPr>
            </w:pPr>
          </w:p>
        </w:tc>
      </w:tr>
      <w:tr>
        <w:tblPrEx>
          <w:tblCellMar>
            <w:top w:w="0" w:type="dxa"/>
            <w:left w:w="108" w:type="dxa"/>
            <w:bottom w:w="0" w:type="dxa"/>
            <w:right w:w="108" w:type="dxa"/>
          </w:tblCellMar>
        </w:tblPrEx>
        <w:trPr>
          <w:trHeight w:val="450" w:hRule="atLeast"/>
          <w:jc w:val="center"/>
        </w:trPr>
        <w:tc>
          <w:tcPr>
            <w:tcW w:w="0" w:type="auto"/>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34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3000" w:type="dxa"/>
            <w:vMerge w:val="continue"/>
            <w:tcBorders>
              <w:top w:val="nil"/>
              <w:left w:val="single" w:color="auto" w:sz="4" w:space="0"/>
              <w:bottom w:val="single" w:color="000000" w:sz="4" w:space="0"/>
              <w:right w:val="single" w:color="auto" w:sz="8" w:space="0"/>
            </w:tcBorders>
            <w:noWrap w:val="0"/>
            <w:vAlign w:val="center"/>
          </w:tcPr>
          <w:p>
            <w:pPr>
              <w:widowControl/>
              <w:jc w:val="left"/>
              <w:rPr>
                <w:rFonts w:eastAsia="仿宋_GB2312"/>
                <w:b/>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栏次</w:t>
            </w:r>
          </w:p>
        </w:tc>
        <w:tc>
          <w:tcPr>
            <w:tcW w:w="300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1</w:t>
            </w:r>
          </w:p>
        </w:tc>
        <w:tc>
          <w:tcPr>
            <w:tcW w:w="3492"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2</w:t>
            </w:r>
          </w:p>
        </w:tc>
        <w:tc>
          <w:tcPr>
            <w:tcW w:w="3000" w:type="dxa"/>
            <w:tcBorders>
              <w:top w:val="nil"/>
              <w:left w:val="nil"/>
              <w:bottom w:val="single" w:color="auto" w:sz="4" w:space="0"/>
              <w:right w:val="single" w:color="auto" w:sz="8" w:space="0"/>
            </w:tcBorders>
            <w:noWrap w:val="0"/>
            <w:vAlign w:val="center"/>
          </w:tcPr>
          <w:p>
            <w:pPr>
              <w:widowControl/>
              <w:jc w:val="center"/>
              <w:rPr>
                <w:rFonts w:eastAsia="仿宋_GB2312"/>
                <w:kern w:val="0"/>
                <w:szCs w:val="21"/>
              </w:rPr>
            </w:pPr>
            <w:r>
              <w:rPr>
                <w:rFonts w:eastAsia="仿宋_GB2312"/>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合计</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380.63</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360.63</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208</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社会保障和就业支出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45.99</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45.99</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20805</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行政事业单位养老支出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45.99</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45.99</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2080505</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机关事业单位基本养老保险缴费支出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45.99</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45.99</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20808</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抚恤</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2080801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死亡抚恤</w:t>
            </w:r>
          </w:p>
        </w:tc>
        <w:tc>
          <w:tcPr>
            <w:tcW w:w="3000" w:type="dxa"/>
            <w:tcBorders>
              <w:top w:val="nil"/>
              <w:left w:val="nil"/>
              <w:bottom w:val="single" w:color="auto" w:sz="4" w:space="0"/>
              <w:right w:val="single" w:color="auto" w:sz="4" w:space="0"/>
            </w:tcBorders>
            <w:noWrap w:val="0"/>
            <w:vAlign w:val="center"/>
          </w:tcPr>
          <w:p>
            <w:pPr>
              <w:widowControl/>
              <w:jc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卫生健康支出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25.37</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25.37</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21011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行政事业单位医疗</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25.37</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25.37</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2101101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行政单位医疗</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25.37</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25.37</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节能环保支出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21103</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污染防治</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2110302</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水体</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21112</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可再生能源</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2111201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可再生能源</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农林水支出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288.53</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268.53</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288.53</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268.53</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行政运行</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2130302</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一般行政管理事务</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20</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2130304</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水利行业业务管理</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268.53</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268.53</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2130305</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水利工程管理</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2130306</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水利工程运行与维护</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2130309</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水利执法监督</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2130310</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水土保持</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水资源节约管理与保护</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213034</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防汛</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2130316</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农村水利</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2130335</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农村人畜饮水</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2130399</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其他水利支出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21399</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其他农林水支出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2139999</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其他农林水支出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住房保障支出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20.74</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20.74</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22102</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住房改革支出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20.74</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20.74</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2210201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住房公积金</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20.74</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eastAsia="仿宋_GB2312" w:cstheme="minorBidi"/>
                <w:kern w:val="0"/>
                <w:sz w:val="21"/>
                <w:szCs w:val="21"/>
                <w:lang w:val="en-US" w:eastAsia="zh-CN" w:bidi="ar-SA"/>
              </w:rPr>
              <w:t>20.74</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645" w:hRule="atLeast"/>
          <w:jc w:val="center"/>
        </w:trPr>
        <w:tc>
          <w:tcPr>
            <w:tcW w:w="14219" w:type="dxa"/>
            <w:gridSpan w:val="5"/>
            <w:noWrap w:val="0"/>
            <w:vAlign w:val="center"/>
          </w:tcPr>
          <w:p>
            <w:pPr>
              <w:widowControl/>
              <w:jc w:val="left"/>
              <w:rPr>
                <w:rFonts w:hint="eastAsia" w:eastAsia="仿宋_GB2312"/>
                <w:kern w:val="0"/>
                <w:szCs w:val="21"/>
              </w:rPr>
            </w:pPr>
            <w:r>
              <w:rPr>
                <w:rFonts w:hint="eastAsia" w:eastAsia="仿宋_GB2312"/>
                <w:kern w:val="0"/>
                <w:szCs w:val="21"/>
              </w:rPr>
              <w:t>注：本表反映部门本年度一般公共预算财政拨款支出情况。</w:t>
            </w:r>
          </w:p>
          <w:p>
            <w:pPr>
              <w:widowControl/>
              <w:jc w:val="left"/>
              <w:rPr>
                <w:rFonts w:hint="eastAsia" w:eastAsia="仿宋_GB2312"/>
                <w:kern w:val="0"/>
                <w:szCs w:val="21"/>
              </w:rPr>
            </w:pPr>
          </w:p>
          <w:p>
            <w:pPr>
              <w:widowControl/>
              <w:jc w:val="left"/>
              <w:rPr>
                <w:rFonts w:hint="eastAsia" w:eastAsia="仿宋_GB2312"/>
                <w:kern w:val="0"/>
                <w:szCs w:val="21"/>
              </w:rPr>
            </w:pPr>
          </w:p>
        </w:tc>
      </w:tr>
    </w:tbl>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center"/>
        <w:rPr>
          <w:rFonts w:eastAsia="方正小标宋_GBK"/>
          <w:color w:val="000000"/>
          <w:kern w:val="0"/>
          <w:sz w:val="28"/>
          <w:szCs w:val="36"/>
        </w:rPr>
      </w:pPr>
      <w:r>
        <w:rPr>
          <w:rFonts w:hint="eastAsia" w:eastAsia="方正小标宋_GBK"/>
          <w:color w:val="000000"/>
          <w:kern w:val="0"/>
          <w:sz w:val="28"/>
          <w:szCs w:val="36"/>
        </w:rPr>
        <w:t>一般公共预算财政拨款基本支出决算表</w:t>
      </w:r>
      <w:bookmarkStart w:id="1" w:name="RANGE!A1:I39"/>
      <w:bookmarkEnd w:id="1"/>
    </w:p>
    <w:p>
      <w:pPr>
        <w:widowControl/>
        <w:jc w:val="left"/>
        <w:rPr>
          <w:rFonts w:eastAsia="仿宋_GB2312"/>
          <w:color w:val="000000"/>
          <w:kern w:val="0"/>
          <w:szCs w:val="21"/>
        </w:rPr>
      </w:pPr>
      <w:r>
        <w:rPr>
          <w:rFonts w:hint="eastAsia" w:eastAsia="仿宋_GB2312"/>
          <w:color w:val="000000"/>
          <w:kern w:val="0"/>
          <w:szCs w:val="21"/>
        </w:rPr>
        <w:t>部门：</w:t>
      </w:r>
      <w:r>
        <w:rPr>
          <w:rFonts w:eastAsia="仿宋_GB2312"/>
          <w:color w:val="000000"/>
          <w:kern w:val="0"/>
          <w:szCs w:val="21"/>
        </w:rPr>
        <w:t xml:space="preserve"> </w:t>
      </w:r>
      <w:r>
        <w:rPr>
          <w:rFonts w:hint="eastAsia" w:eastAsia="仿宋_GB2312"/>
          <w:color w:val="000000"/>
          <w:kern w:val="0"/>
          <w:szCs w:val="21"/>
          <w:lang w:eastAsia="zh-CN"/>
        </w:rPr>
        <w:t>衡阳县城坪冲水库管理所</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06</w:t>
      </w:r>
      <w:r>
        <w:rPr>
          <w:rFonts w:hint="eastAsia" w:eastAsia="仿宋_GB2312"/>
          <w:color w:val="000000"/>
          <w:kern w:val="0"/>
          <w:szCs w:val="21"/>
        </w:rPr>
        <w:t>表</w:t>
      </w:r>
    </w:p>
    <w:p>
      <w:pPr>
        <w:widowControl/>
        <w:jc w:val="right"/>
        <w:rPr>
          <w:rFonts w:eastAsia="仿宋_GB2312"/>
          <w:color w:val="000000"/>
          <w:kern w:val="0"/>
          <w:szCs w:val="21"/>
        </w:rPr>
      </w:pPr>
      <w:r>
        <w:rPr>
          <w:rFonts w:hint="eastAsia" w:eastAsia="仿宋_GB2312"/>
          <w:color w:val="000000"/>
          <w:kern w:val="0"/>
          <w:szCs w:val="21"/>
        </w:rPr>
        <w:t>单位：万元</w:t>
      </w:r>
    </w:p>
    <w:tbl>
      <w:tblPr>
        <w:tblStyle w:val="9"/>
        <w:tblW w:w="0" w:type="auto"/>
        <w:tblInd w:w="93" w:type="dxa"/>
        <w:tblLayout w:type="fixed"/>
        <w:tblCellMar>
          <w:top w:w="0" w:type="dxa"/>
          <w:left w:w="108" w:type="dxa"/>
          <w:bottom w:w="0" w:type="dxa"/>
          <w:right w:w="108" w:type="dxa"/>
        </w:tblCellMar>
      </w:tblPr>
      <w:tblGrid>
        <w:gridCol w:w="1149"/>
        <w:gridCol w:w="3306"/>
        <w:gridCol w:w="856"/>
        <w:gridCol w:w="1110"/>
        <w:gridCol w:w="2297"/>
        <w:gridCol w:w="856"/>
        <w:gridCol w:w="1076"/>
        <w:gridCol w:w="4394"/>
        <w:gridCol w:w="856"/>
      </w:tblGrid>
      <w:tr>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w:t>
            </w:r>
          </w:p>
        </w:tc>
        <w:tc>
          <w:tcPr>
            <w:tcW w:w="330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360.63</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307</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30101</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基本工资</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183.89</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30201</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办公费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30701</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国内债务付息</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30102</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津贴补贴</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36.72</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30202</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印刷费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30702</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国外债务付息</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30103</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奖金</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43.8</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30203</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咨询费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30106</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伙食补助费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30204</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手续费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31001</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房屋建筑物购建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30107</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绩效工资</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30205</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水费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31002</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办公设备购置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30108</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机关事业单位基本养老保险费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45.99</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30206</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电费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31003</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专用设备购置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30109</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职业年金缴费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30207</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邮电费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31005</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基础设施建设</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30110</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职工基本医疗保险缴费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25.37</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30208</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取暖费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31006</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大型修缮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30111</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公务员医疗补助缴费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30209</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物业管理费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31007</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信息网络及软件购置更新</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30112</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其他社会保障缴费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4.12</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30211</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差旅费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31008</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物资储备</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30113</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住房公积金</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20.74</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30212</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因公出国（境）费用</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31009</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土地补偿</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30114</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医疗费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30213</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维修（护）费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31010</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安置补助</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30199</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其他工资福利支出</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30214</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租赁费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31011</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地上附着物和青苗补偿</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w:t>
            </w:r>
          </w:p>
        </w:tc>
        <w:tc>
          <w:tcPr>
            <w:tcW w:w="330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30215</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会议费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31012</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拆迁补偿</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30301</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离休费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30216</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培训费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31013</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公务用车购置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30302</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退休费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30217</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公务接待费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31019</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其他交通工具购置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30303</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退职（役）费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30218</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专用材料费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31021</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文物和陈列品购置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30304</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抚恤金</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30224</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被装购置费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31022</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无形资产购置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30305</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生活补助</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30225</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专用燃料费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31099</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其他资本性支出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30306</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救济费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30226</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劳务费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30307</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医疗费补助</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30227</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委托业务费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39906</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赠与</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30308</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助学金</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30228</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工会经费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39907</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国家赔偿费用支出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奖励金</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39908</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个人农业生产补贴</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39999</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3306" w:type="dxa"/>
            <w:tcBorders>
              <w:top w:val="single" w:color="auto" w:sz="8" w:space="0"/>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对其他个人和家庭的补助支出</w:t>
            </w:r>
          </w:p>
        </w:tc>
        <w:tc>
          <w:tcPr>
            <w:tcW w:w="856" w:type="dxa"/>
            <w:tcBorders>
              <w:top w:val="single" w:color="auto" w:sz="8" w:space="0"/>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110" w:type="dxa"/>
            <w:tcBorders>
              <w:top w:val="single" w:color="auto" w:sz="8" w:space="0"/>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76" w:type="dxa"/>
            <w:tcBorders>
              <w:top w:val="single" w:color="auto" w:sz="8" w:space="0"/>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4394" w:type="dxa"/>
            <w:tcBorders>
              <w:top w:val="single" w:color="auto" w:sz="8" w:space="0"/>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single" w:color="auto" w:sz="8" w:space="0"/>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110"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noWrap/>
            <w:vAlign w:val="to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856" w:type="dxa"/>
            <w:tcBorders>
              <w:top w:val="nil"/>
              <w:left w:val="nil"/>
              <w:bottom w:val="single" w:color="auto" w:sz="8" w:space="0"/>
              <w:right w:val="single" w:color="auto" w:sz="8" w:space="0"/>
            </w:tcBorders>
            <w:noWrap/>
            <w:vAlign w:val="center"/>
          </w:tcPr>
          <w:p>
            <w:pPr>
              <w:widowControl/>
              <w:rPr>
                <w:rFonts w:hint="default" w:eastAsiaTheme="minorEastAsia"/>
                <w:color w:val="000000"/>
                <w:kern w:val="0"/>
                <w:sz w:val="18"/>
                <w:szCs w:val="18"/>
                <w:lang w:val="en-US" w:eastAsia="zh-CN"/>
              </w:rPr>
            </w:pPr>
            <w:r>
              <w:rPr>
                <w:rFonts w:hint="eastAsia"/>
                <w:color w:val="000000"/>
                <w:kern w:val="0"/>
                <w:sz w:val="18"/>
                <w:szCs w:val="18"/>
                <w:lang w:val="en-US" w:eastAsia="zh-CN"/>
              </w:rPr>
              <w:t>360.63</w:t>
            </w:r>
          </w:p>
        </w:tc>
        <w:tc>
          <w:tcPr>
            <w:tcW w:w="9733" w:type="dxa"/>
            <w:gridSpan w:val="5"/>
            <w:tcBorders>
              <w:top w:val="nil"/>
              <w:left w:val="nil"/>
              <w:bottom w:val="single" w:color="auto" w:sz="8" w:space="0"/>
              <w:right w:val="single" w:color="auto" w:sz="8" w:space="0"/>
            </w:tcBorders>
            <w:noWrap/>
            <w:vAlign w:val="to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856" w:type="dxa"/>
            <w:tcBorders>
              <w:top w:val="nil"/>
              <w:left w:val="nil"/>
              <w:bottom w:val="single" w:color="auto" w:sz="8" w:space="0"/>
              <w:right w:val="single" w:color="auto" w:sz="8" w:space="0"/>
            </w:tcBorders>
            <w:noWrap w:val="0"/>
            <w:vAlign w:val="center"/>
          </w:tcPr>
          <w:p>
            <w:pPr>
              <w:widowControl/>
              <w:rPr>
                <w:rFonts w:ascii="仿宋_GB2312" w:hAnsi="宋体" w:eastAsia="仿宋_GB2312" w:cs="宋体"/>
                <w:color w:val="000000"/>
                <w:kern w:val="0"/>
                <w:sz w:val="18"/>
                <w:szCs w:val="18"/>
              </w:rPr>
            </w:pPr>
          </w:p>
        </w:tc>
      </w:tr>
    </w:tbl>
    <w:p>
      <w:pPr>
        <w:widowControl/>
        <w:jc w:val="left"/>
        <w:rPr>
          <w:rFonts w:hint="eastAsia" w:ascii="楷体_GB2312" w:hAnsi="黑体" w:eastAsia="楷体_GB2312"/>
          <w:szCs w:val="21"/>
        </w:rPr>
      </w:pPr>
      <w:r>
        <w:rPr>
          <w:rFonts w:hint="eastAsia" w:ascii="楷体_GB2312" w:hAnsi="黑体" w:eastAsia="楷体_GB2312"/>
          <w:szCs w:val="21"/>
        </w:rPr>
        <w:t>注：本表反映部门年度一般公共预算财政拨款基本支出明细情况。</w:t>
      </w:r>
      <w:r>
        <w:rPr>
          <w:rFonts w:hint="eastAsia" w:ascii="楷体_GB2312" w:hAnsi="黑体" w:eastAsia="楷体_GB2312"/>
          <w:szCs w:val="21"/>
        </w:rPr>
        <w:br w:type="page"/>
      </w: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eastAsia="仿宋_GB2312"/>
          <w:bCs/>
          <w:kern w:val="0"/>
          <w:szCs w:val="21"/>
        </w:rPr>
      </w:pPr>
    </w:p>
    <w:p>
      <w:pPr>
        <w:widowControl/>
        <w:jc w:val="left"/>
        <w:rPr>
          <w:rFonts w:hint="eastAsia" w:ascii="黑体" w:hAnsi="黑体" w:eastAsia="黑体"/>
          <w:szCs w:val="21"/>
        </w:rPr>
      </w:pPr>
      <w:r>
        <w:rPr>
          <w:rFonts w:ascii="Times New Roman" w:hAnsi="Times New Roman" w:eastAsia="仿宋_GB2312" w:cs="Times New Roman"/>
          <w:bCs/>
          <w:kern w:val="0"/>
          <w:szCs w:val="21"/>
        </w:rPr>
        <w:br w:type="page"/>
      </w:r>
    </w:p>
    <w:p>
      <w:pPr>
        <w:widowControl/>
        <w:jc w:val="left"/>
        <w:rPr>
          <w:rFonts w:ascii="黑体" w:hAnsi="黑体" w:eastAsia="黑体"/>
          <w:szCs w:val="21"/>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衡阳县</w:t>
      </w:r>
      <w:r>
        <w:rPr>
          <w:rFonts w:hint="eastAsia" w:ascii="Times New Roman" w:hAnsi="Times New Roman" w:eastAsia="仿宋_GB2312" w:cs="Times New Roman"/>
          <w:color w:val="000000"/>
          <w:kern w:val="0"/>
          <w:szCs w:val="21"/>
          <w:lang w:eastAsia="zh-CN"/>
        </w:rPr>
        <w:t>城坪冲水库管理所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9"/>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衡阳县城坪冲水库管理所</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9"/>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p>
      <w:pPr>
        <w:pStyle w:val="14"/>
        <w:rPr>
          <w:sz w:val="72"/>
          <w:szCs w:val="72"/>
        </w:rPr>
        <w:sectPr>
          <w:pgSz w:w="16838" w:h="11906" w:orient="landscape"/>
          <w:pgMar w:top="720" w:right="720" w:bottom="720" w:left="720" w:header="851" w:footer="992" w:gutter="0"/>
          <w:cols w:space="425" w:num="1"/>
          <w:docGrid w:type="lines" w:linePitch="312" w:charSpace="0"/>
        </w:sectPr>
      </w:pPr>
    </w:p>
    <w:p>
      <w:pPr>
        <w:pStyle w:val="14"/>
        <w:rPr>
          <w:sz w:val="72"/>
          <w:szCs w:val="72"/>
        </w:rPr>
      </w:pPr>
    </w:p>
    <w:p>
      <w:pPr>
        <w:pStyle w:val="14"/>
        <w:rPr>
          <w:sz w:val="72"/>
          <w:szCs w:val="72"/>
        </w:rPr>
      </w:pPr>
    </w:p>
    <w:p>
      <w:pPr>
        <w:pStyle w:val="14"/>
        <w:rPr>
          <w:sz w:val="72"/>
          <w:szCs w:val="72"/>
        </w:rPr>
      </w:pPr>
    </w:p>
    <w:p>
      <w:pPr>
        <w:pStyle w:val="14"/>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第三部分</w:t>
      </w:r>
    </w:p>
    <w:p>
      <w:pPr>
        <w:pStyle w:val="14"/>
        <w:jc w:val="center"/>
        <w:rPr>
          <w:sz w:val="70"/>
          <w:szCs w:val="70"/>
        </w:rPr>
      </w:pPr>
    </w:p>
    <w:p>
      <w:pPr>
        <w:pStyle w:val="14"/>
        <w:jc w:val="center"/>
        <w:rPr>
          <w:sz w:val="70"/>
          <w:szCs w:val="70"/>
        </w:rPr>
      </w:pPr>
      <w:r>
        <w:rPr>
          <w:sz w:val="70"/>
          <w:szCs w:val="70"/>
        </w:rPr>
        <w:t>20</w:t>
      </w:r>
      <w:r>
        <w:rPr>
          <w:rFonts w:hint="eastAsia"/>
          <w:sz w:val="70"/>
          <w:szCs w:val="70"/>
          <w:lang w:val="en-US" w:eastAsia="zh-CN"/>
        </w:rPr>
        <w:t>20</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4"/>
        <w:rPr>
          <w:rFonts w:hAnsi="黑体"/>
          <w:b/>
          <w:sz w:val="32"/>
          <w:szCs w:val="32"/>
        </w:rPr>
      </w:pPr>
      <w:r>
        <w:rPr>
          <w:rFonts w:hint="eastAsia" w:hAnsi="黑体"/>
          <w:b/>
          <w:sz w:val="32"/>
          <w:szCs w:val="32"/>
        </w:rPr>
        <w:t>一、收入支出决算总体情况说明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 xml:space="preserve"> 年度收入总计</w:t>
      </w:r>
      <w:r>
        <w:rPr>
          <w:rFonts w:hint="eastAsia" w:asciiTheme="minorEastAsia" w:hAnsiTheme="minorEastAsia" w:eastAsiaTheme="minorEastAsia"/>
          <w:sz w:val="32"/>
          <w:szCs w:val="32"/>
          <w:lang w:val="en-US" w:eastAsia="zh-CN"/>
        </w:rPr>
        <w:t>380.63</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14.13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eastAsia="zh-CN"/>
        </w:rPr>
        <w:t>追加我单位奖励工资。</w:t>
      </w:r>
    </w:p>
    <w:p>
      <w:pPr>
        <w:spacing w:line="60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年度支出总计</w:t>
      </w:r>
      <w:r>
        <w:rPr>
          <w:rFonts w:hint="eastAsia" w:cs="黑体" w:asciiTheme="minorEastAsia" w:hAnsiTheme="minorEastAsia"/>
          <w:color w:val="000000"/>
          <w:kern w:val="0"/>
          <w:sz w:val="32"/>
          <w:szCs w:val="32"/>
          <w:lang w:val="en-US" w:eastAsia="zh-CN"/>
        </w:rPr>
        <w:t>380.63</w:t>
      </w:r>
      <w:r>
        <w:rPr>
          <w:rFonts w:cs="黑体" w:asciiTheme="minorEastAsia" w:hAnsiTheme="minorEastAsia"/>
          <w:color w:val="000000"/>
          <w:kern w:val="0"/>
          <w:sz w:val="32"/>
          <w:szCs w:val="32"/>
        </w:rPr>
        <w:t>万</w:t>
      </w:r>
      <w:r>
        <w:rPr>
          <w:rFonts w:hint="eastAsia" w:cs="黑体" w:asciiTheme="minorEastAsia" w:hAnsiTheme="minorEastAsia"/>
          <w:color w:val="000000"/>
          <w:kern w:val="0"/>
          <w:sz w:val="32"/>
          <w:szCs w:val="32"/>
          <w:lang w:eastAsia="zh-CN"/>
        </w:rPr>
        <w:t>元</w:t>
      </w:r>
      <w:r>
        <w:rPr>
          <w:rFonts w:hint="eastAsia" w:cs="黑体" w:asciiTheme="minorEastAsia" w:hAnsiTheme="minorEastAsia"/>
          <w:color w:val="000000"/>
          <w:kern w:val="0"/>
          <w:sz w:val="32"/>
          <w:szCs w:val="32"/>
        </w:rPr>
        <w:t>，与201</w:t>
      </w:r>
      <w:r>
        <w:rPr>
          <w:rFonts w:hint="eastAsia" w:cs="黑体" w:asciiTheme="minorEastAsia" w:hAnsiTheme="minorEastAsia"/>
          <w:color w:val="000000"/>
          <w:kern w:val="0"/>
          <w:sz w:val="32"/>
          <w:szCs w:val="32"/>
          <w:lang w:val="en-US" w:eastAsia="zh-CN"/>
        </w:rPr>
        <w:t>9</w:t>
      </w:r>
      <w:r>
        <w:rPr>
          <w:rFonts w:hint="eastAsia" w:cs="黑体" w:asciiTheme="minorEastAsia" w:hAnsiTheme="minorEastAsia"/>
          <w:color w:val="000000"/>
          <w:kern w:val="0"/>
          <w:sz w:val="32"/>
          <w:szCs w:val="32"/>
        </w:rPr>
        <w:t>年相比，</w:t>
      </w:r>
      <w:r>
        <w:rPr>
          <w:rFonts w:hint="eastAsia" w:asciiTheme="minorEastAsia" w:hAnsiTheme="minorEastAsia"/>
          <w:sz w:val="32"/>
          <w:szCs w:val="32"/>
          <w:lang w:eastAsia="zh-CN"/>
        </w:rPr>
        <w:t>增加</w:t>
      </w:r>
      <w:r>
        <w:rPr>
          <w:rFonts w:hint="eastAsia" w:cs="黑体" w:asciiTheme="minorEastAsia" w:hAnsiTheme="minorEastAsia"/>
          <w:color w:val="000000"/>
          <w:kern w:val="0"/>
          <w:sz w:val="32"/>
          <w:szCs w:val="32"/>
          <w:lang w:val="en-US" w:eastAsia="zh-CN"/>
        </w:rPr>
        <w:t>14.13</w:t>
      </w:r>
      <w:r>
        <w:rPr>
          <w:rFonts w:hint="eastAsia" w:cs="黑体" w:asciiTheme="minorEastAsia" w:hAnsiTheme="minorEastAsia"/>
          <w:color w:val="000000"/>
          <w:kern w:val="0"/>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sz w:val="32"/>
          <w:szCs w:val="32"/>
          <w:lang w:val="en-US" w:eastAsia="zh-CN"/>
        </w:rPr>
        <w:t>4</w:t>
      </w:r>
      <w:r>
        <w:rPr>
          <w:rFonts w:hint="eastAsia" w:asciiTheme="minorEastAsia" w:hAnsiTheme="minorEastAsia" w:eastAsiaTheme="minorEastAsia"/>
          <w:sz w:val="32"/>
          <w:szCs w:val="32"/>
        </w:rPr>
        <w:t>%，主要是</w:t>
      </w:r>
      <w:r>
        <w:rPr>
          <w:rFonts w:hint="eastAsia" w:asciiTheme="minorEastAsia" w:hAnsiTheme="minorEastAsia"/>
          <w:sz w:val="32"/>
          <w:szCs w:val="32"/>
          <w:lang w:eastAsia="zh-CN"/>
        </w:rPr>
        <w:t>我</w:t>
      </w:r>
      <w:r>
        <w:rPr>
          <w:rFonts w:hint="eastAsia" w:asciiTheme="minorEastAsia" w:hAnsiTheme="minorEastAsia" w:eastAsiaTheme="minorEastAsia"/>
          <w:sz w:val="32"/>
          <w:szCs w:val="32"/>
          <w:lang w:eastAsia="zh-CN"/>
        </w:rPr>
        <w:t>单位</w:t>
      </w:r>
      <w:r>
        <w:rPr>
          <w:rFonts w:hint="eastAsia" w:asciiTheme="minorEastAsia" w:hAnsiTheme="minorEastAsia"/>
          <w:sz w:val="32"/>
          <w:szCs w:val="32"/>
          <w:lang w:eastAsia="zh-CN"/>
        </w:rPr>
        <w:t>发放的职工</w:t>
      </w:r>
      <w:r>
        <w:rPr>
          <w:rFonts w:hint="eastAsia" w:asciiTheme="minorEastAsia" w:hAnsiTheme="minorEastAsia" w:eastAsiaTheme="minorEastAsia"/>
          <w:sz w:val="32"/>
          <w:szCs w:val="32"/>
          <w:lang w:eastAsia="zh-CN"/>
        </w:rPr>
        <w:t>工资</w:t>
      </w:r>
      <w:r>
        <w:rPr>
          <w:rFonts w:hint="eastAsia" w:asciiTheme="minorEastAsia" w:hAnsiTheme="minorEastAsia"/>
          <w:sz w:val="32"/>
          <w:szCs w:val="32"/>
          <w:lang w:eastAsia="zh-CN"/>
        </w:rPr>
        <w:t>增加了</w:t>
      </w:r>
      <w:r>
        <w:rPr>
          <w:rFonts w:hint="eastAsia" w:asciiTheme="minorEastAsia" w:hAnsiTheme="minorEastAsia" w:eastAsiaTheme="minorEastAsia"/>
          <w:sz w:val="32"/>
          <w:szCs w:val="32"/>
          <w:lang w:eastAsia="zh-CN"/>
        </w:rPr>
        <w:t>。</w:t>
      </w:r>
      <w:r>
        <w:rPr>
          <w:rFonts w:cs="黑体" w:asciiTheme="minorEastAsia" w:hAnsiTheme="minorEastAsia"/>
          <w:color w:val="000000"/>
          <w:kern w:val="0"/>
          <w:sz w:val="32"/>
          <w:szCs w:val="32"/>
        </w:rPr>
        <w:t> </w:t>
      </w:r>
    </w:p>
    <w:p>
      <w:pPr>
        <w:pStyle w:val="14"/>
        <w:rPr>
          <w:rFonts w:hAnsi="黑体"/>
          <w:b/>
          <w:sz w:val="32"/>
          <w:szCs w:val="32"/>
        </w:rPr>
      </w:pPr>
      <w:r>
        <w:rPr>
          <w:rFonts w:hint="eastAsia" w:hAnsi="黑体"/>
          <w:b/>
          <w:sz w:val="32"/>
          <w:szCs w:val="32"/>
        </w:rPr>
        <w:t>二、收入决算情况说明</w:t>
      </w:r>
    </w:p>
    <w:p>
      <w:pPr>
        <w:pStyle w:val="14"/>
        <w:ind w:firstLine="640" w:firstLineChars="200"/>
        <w:rPr>
          <w:rFonts w:asciiTheme="minorEastAsia" w:hAnsiTheme="minorEastAsia" w:eastAsiaTheme="minorEastAsia"/>
          <w:sz w:val="32"/>
          <w:szCs w:val="32"/>
        </w:rPr>
      </w:pPr>
      <w:r>
        <w:rPr>
          <w:rFonts w:ascii="仿宋_GB2312" w:hAnsi="仿宋_GB2312" w:eastAsia="仿宋_GB2312" w:cs="仿宋_GB2312"/>
          <w:color w:val="333333"/>
          <w:sz w:val="32"/>
          <w:szCs w:val="32"/>
          <w:shd w:val="clear" w:color="auto" w:fill="FFFFFF"/>
        </w:rPr>
        <w:t>2</w:t>
      </w:r>
      <w:r>
        <w:rPr>
          <w:rFonts w:asciiTheme="minorEastAsia" w:hAnsiTheme="minorEastAsia" w:eastAsiaTheme="minorEastAsia"/>
          <w:sz w:val="32"/>
          <w:szCs w:val="32"/>
        </w:rPr>
        <w:t>0</w:t>
      </w:r>
      <w:r>
        <w:rPr>
          <w:rFonts w:hint="eastAsia" w:asciiTheme="minorEastAsia" w:hAnsiTheme="minorEastAsia" w:eastAsiaTheme="minorEastAsia"/>
          <w:sz w:val="32"/>
          <w:szCs w:val="32"/>
          <w:lang w:val="en-US" w:eastAsia="zh-CN"/>
        </w:rPr>
        <w:t>20</w:t>
      </w:r>
      <w:r>
        <w:rPr>
          <w:rFonts w:asciiTheme="minorEastAsia" w:hAnsiTheme="minorEastAsia" w:eastAsiaTheme="minorEastAsia"/>
          <w:sz w:val="32"/>
          <w:szCs w:val="32"/>
        </w:rPr>
        <w:t>年度收入总计</w:t>
      </w:r>
      <w:r>
        <w:rPr>
          <w:rFonts w:hint="eastAsia" w:asciiTheme="minorEastAsia" w:hAnsiTheme="minorEastAsia" w:eastAsiaTheme="minorEastAsia"/>
          <w:sz w:val="32"/>
          <w:szCs w:val="32"/>
          <w:lang w:val="en-US" w:eastAsia="zh-CN"/>
        </w:rPr>
        <w:t>380.63</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，其中：财政拨款收入</w:t>
      </w:r>
      <w:r>
        <w:rPr>
          <w:rFonts w:hint="eastAsia" w:asciiTheme="minorEastAsia" w:hAnsiTheme="minorEastAsia" w:eastAsiaTheme="minorEastAsia"/>
          <w:sz w:val="32"/>
          <w:szCs w:val="32"/>
          <w:lang w:val="en-US" w:eastAsia="zh-CN"/>
        </w:rPr>
        <w:t>380.63</w:t>
      </w:r>
      <w:r>
        <w:rPr>
          <w:rFonts w:hint="eastAsia" w:asciiTheme="minorEastAsia" w:hAnsiTheme="minorEastAsia" w:eastAsiaTheme="minorEastAsia"/>
          <w:sz w:val="32"/>
          <w:szCs w:val="32"/>
        </w:rPr>
        <w:t>万元（基本收入</w:t>
      </w:r>
      <w:r>
        <w:rPr>
          <w:rFonts w:hint="eastAsia" w:asciiTheme="minorEastAsia" w:hAnsiTheme="minorEastAsia" w:eastAsiaTheme="minorEastAsia"/>
          <w:sz w:val="32"/>
          <w:szCs w:val="32"/>
          <w:lang w:val="en-US" w:eastAsia="zh-CN"/>
        </w:rPr>
        <w:t>360.63</w:t>
      </w:r>
      <w:r>
        <w:rPr>
          <w:rFonts w:hint="eastAsia" w:asciiTheme="minorEastAsia" w:hAnsiTheme="minorEastAsia" w:eastAsiaTheme="minorEastAsia"/>
          <w:sz w:val="32"/>
          <w:szCs w:val="32"/>
        </w:rPr>
        <w:t>万元，项目收入</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万元），占100%。</w:t>
      </w:r>
    </w:p>
    <w:p>
      <w:pPr>
        <w:pStyle w:val="14"/>
        <w:rPr>
          <w:rFonts w:hAnsi="黑体"/>
          <w:b/>
          <w:sz w:val="32"/>
          <w:szCs w:val="32"/>
        </w:rPr>
      </w:pPr>
      <w:r>
        <w:rPr>
          <w:rFonts w:hint="eastAsia" w:hAnsi="黑体"/>
          <w:b/>
          <w:sz w:val="32"/>
          <w:szCs w:val="32"/>
        </w:rPr>
        <w:t>三、支出决算情况说明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cs="黑体" w:asciiTheme="minorEastAsia" w:hAnsiTheme="minorEastAsia"/>
          <w:color w:val="000000"/>
          <w:kern w:val="0"/>
          <w:sz w:val="32"/>
          <w:szCs w:val="32"/>
          <w:lang w:val="en-US" w:eastAsia="zh-CN"/>
        </w:rPr>
        <w:t>380.63</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360.63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95</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w:t>
      </w:r>
    </w:p>
    <w:p>
      <w:pPr>
        <w:pStyle w:val="14"/>
        <w:rPr>
          <w:rFonts w:hAnsi="黑体"/>
          <w:b/>
          <w:sz w:val="32"/>
          <w:szCs w:val="32"/>
        </w:rPr>
      </w:pPr>
      <w:r>
        <w:rPr>
          <w:rFonts w:hint="eastAsia" w:hAnsi="黑体"/>
          <w:b/>
          <w:sz w:val="32"/>
          <w:szCs w:val="32"/>
        </w:rPr>
        <w:t>四、财政拨款收入支出决算总体情况说明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 xml:space="preserve"> 年度收入总计</w:t>
      </w:r>
      <w:r>
        <w:rPr>
          <w:rFonts w:hint="eastAsia" w:asciiTheme="minorEastAsia" w:hAnsiTheme="minorEastAsia" w:eastAsiaTheme="minorEastAsia"/>
          <w:sz w:val="32"/>
          <w:szCs w:val="32"/>
          <w:lang w:val="en-US" w:eastAsia="zh-CN"/>
        </w:rPr>
        <w:t>380.63</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14.13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eastAsia="zh-CN"/>
        </w:rPr>
        <w:t>追加我单位奖励工资。</w:t>
      </w:r>
    </w:p>
    <w:p>
      <w:pPr>
        <w:spacing w:line="600" w:lineRule="exact"/>
        <w:ind w:firstLine="640" w:firstLineChars="200"/>
        <w:rPr>
          <w:rFonts w:cs="黑体" w:asciiTheme="minorEastAsia" w:hAnsiTheme="minorEastAsia"/>
          <w:color w:val="000000"/>
          <w:kern w:val="0"/>
          <w:sz w:val="32"/>
          <w:szCs w:val="32"/>
        </w:rPr>
      </w:pPr>
      <w:r>
        <w:rPr>
          <w:rFonts w:hint="eastAsia" w:asciiTheme="minorEastAsia" w:hAnsiTheme="minorEastAsia" w:eastAsiaTheme="minorEastAsia"/>
          <w:sz w:val="32"/>
          <w:szCs w:val="32"/>
        </w:rPr>
        <w:t>2、</w:t>
      </w:r>
      <w:r>
        <w:rPr>
          <w:rFonts w:hint="eastAsia" w:cs="黑体" w:asciiTheme="minorEastAsia" w:hAnsiTheme="minorEastAsia"/>
          <w:color w:val="000000"/>
          <w:kern w:val="0"/>
          <w:sz w:val="32"/>
          <w:szCs w:val="32"/>
        </w:rPr>
        <w:t>20</w:t>
      </w:r>
      <w:r>
        <w:rPr>
          <w:rFonts w:hint="eastAsia" w:cs="黑体" w:asciiTheme="minorEastAsia" w:hAnsiTheme="minorEastAsia"/>
          <w:color w:val="000000"/>
          <w:kern w:val="0"/>
          <w:sz w:val="32"/>
          <w:szCs w:val="32"/>
          <w:lang w:val="en-US" w:eastAsia="zh-CN"/>
        </w:rPr>
        <w:t>20</w:t>
      </w:r>
      <w:r>
        <w:rPr>
          <w:rFonts w:hint="eastAsia" w:asciiTheme="minorEastAsia" w:hAnsiTheme="minorEastAsia" w:eastAsiaTheme="minorEastAsia"/>
          <w:sz w:val="32"/>
          <w:szCs w:val="32"/>
        </w:rPr>
        <w:t>年度支出总计</w:t>
      </w:r>
      <w:r>
        <w:rPr>
          <w:rFonts w:hint="eastAsia" w:asciiTheme="minorEastAsia" w:hAnsiTheme="minorEastAsia"/>
          <w:sz w:val="32"/>
          <w:szCs w:val="32"/>
          <w:lang w:val="en-US" w:eastAsia="zh-CN"/>
        </w:rPr>
        <w:t>380.63</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eastAsia="zh-CN"/>
        </w:rPr>
        <w:t>元</w:t>
      </w:r>
      <w:r>
        <w:rPr>
          <w:rFonts w:hint="eastAsia" w:asciiTheme="minorEastAsia" w:hAnsiTheme="minorEastAsia" w:eastAsiaTheme="minorEastAsia"/>
          <w:sz w:val="32"/>
          <w:szCs w:val="32"/>
        </w:rPr>
        <w:t>，与201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w:t>
      </w:r>
      <w:r>
        <w:rPr>
          <w:rFonts w:hint="eastAsia" w:asciiTheme="minorEastAsia" w:hAnsiTheme="minorEastAsia"/>
          <w:sz w:val="32"/>
          <w:szCs w:val="32"/>
          <w:lang w:eastAsia="zh-CN"/>
        </w:rPr>
        <w:t>增加</w:t>
      </w:r>
      <w:r>
        <w:rPr>
          <w:rFonts w:hint="eastAsia" w:cs="黑体" w:asciiTheme="minorEastAsia" w:hAnsiTheme="minorEastAsia"/>
          <w:color w:val="000000"/>
          <w:kern w:val="0"/>
          <w:sz w:val="32"/>
          <w:szCs w:val="32"/>
          <w:lang w:val="en-US" w:eastAsia="zh-CN"/>
        </w:rPr>
        <w:t>14.13</w:t>
      </w:r>
      <w:r>
        <w:rPr>
          <w:rFonts w:hint="eastAsia" w:cs="黑体" w:asciiTheme="minorEastAsia" w:hAnsiTheme="minorEastAsia"/>
          <w:color w:val="000000"/>
          <w:kern w:val="0"/>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sz w:val="32"/>
          <w:szCs w:val="32"/>
          <w:lang w:val="en-US" w:eastAsia="zh-CN"/>
        </w:rPr>
        <w:t>4</w:t>
      </w:r>
      <w:r>
        <w:rPr>
          <w:rFonts w:hint="eastAsia" w:asciiTheme="minorEastAsia" w:hAnsiTheme="minorEastAsia" w:eastAsiaTheme="minorEastAsia"/>
          <w:sz w:val="32"/>
          <w:szCs w:val="32"/>
        </w:rPr>
        <w:t>%，主要是</w:t>
      </w:r>
      <w:r>
        <w:rPr>
          <w:rFonts w:hint="eastAsia" w:asciiTheme="minorEastAsia" w:hAnsiTheme="minorEastAsia"/>
          <w:sz w:val="32"/>
          <w:szCs w:val="32"/>
          <w:lang w:eastAsia="zh-CN"/>
        </w:rPr>
        <w:t>我</w:t>
      </w:r>
      <w:r>
        <w:rPr>
          <w:rFonts w:hint="eastAsia" w:asciiTheme="minorEastAsia" w:hAnsiTheme="minorEastAsia" w:eastAsiaTheme="minorEastAsia"/>
          <w:sz w:val="32"/>
          <w:szCs w:val="32"/>
          <w:lang w:eastAsia="zh-CN"/>
        </w:rPr>
        <w:t>单位</w:t>
      </w:r>
      <w:r>
        <w:rPr>
          <w:rFonts w:hint="eastAsia" w:asciiTheme="minorEastAsia" w:hAnsiTheme="minorEastAsia"/>
          <w:sz w:val="32"/>
          <w:szCs w:val="32"/>
          <w:lang w:eastAsia="zh-CN"/>
        </w:rPr>
        <w:t>发放的职工</w:t>
      </w:r>
      <w:r>
        <w:rPr>
          <w:rFonts w:hint="eastAsia" w:asciiTheme="minorEastAsia" w:hAnsiTheme="minorEastAsia" w:eastAsiaTheme="minorEastAsia"/>
          <w:sz w:val="32"/>
          <w:szCs w:val="32"/>
          <w:lang w:eastAsia="zh-CN"/>
        </w:rPr>
        <w:t>工资</w:t>
      </w:r>
      <w:r>
        <w:rPr>
          <w:rFonts w:hint="eastAsia" w:asciiTheme="minorEastAsia" w:hAnsiTheme="minorEastAsia"/>
          <w:sz w:val="32"/>
          <w:szCs w:val="32"/>
          <w:lang w:eastAsia="zh-CN"/>
        </w:rPr>
        <w:t>增加了</w:t>
      </w:r>
      <w:r>
        <w:rPr>
          <w:rFonts w:hint="eastAsia" w:asciiTheme="minorEastAsia" w:hAnsiTheme="minorEastAsia" w:eastAsiaTheme="minorEastAsia"/>
          <w:sz w:val="32"/>
          <w:szCs w:val="32"/>
          <w:lang w:eastAsia="zh-CN"/>
        </w:rPr>
        <w:t>。</w:t>
      </w:r>
      <w:r>
        <w:rPr>
          <w:rFonts w:cs="黑体" w:asciiTheme="minorEastAsia" w:hAnsiTheme="minorEastAsia"/>
          <w:color w:val="000000"/>
          <w:kern w:val="0"/>
          <w:sz w:val="32"/>
          <w:szCs w:val="32"/>
        </w:rPr>
        <w:t> </w:t>
      </w:r>
    </w:p>
    <w:p>
      <w:pPr>
        <w:pStyle w:val="14"/>
        <w:ind w:firstLine="640" w:firstLineChars="200"/>
        <w:rPr>
          <w:rFonts w:asciiTheme="minorEastAsia" w:hAnsiTheme="minorEastAsia" w:eastAsiaTheme="minorEastAsia"/>
          <w:sz w:val="32"/>
          <w:szCs w:val="32"/>
        </w:rPr>
      </w:pPr>
    </w:p>
    <w:p>
      <w:pPr>
        <w:pStyle w:val="14"/>
        <w:rPr>
          <w:rFonts w:hAnsi="黑体"/>
          <w:b/>
          <w:sz w:val="32"/>
          <w:szCs w:val="32"/>
        </w:rPr>
      </w:pPr>
      <w:r>
        <w:rPr>
          <w:rFonts w:hint="eastAsia" w:hAnsi="黑体"/>
          <w:b/>
          <w:sz w:val="32"/>
          <w:szCs w:val="32"/>
        </w:rPr>
        <w:t>五、一般公共预算财政拨款支出决算情况说明</w:t>
      </w:r>
    </w:p>
    <w:p>
      <w:pPr>
        <w:pStyle w:val="14"/>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380.63</w:t>
      </w:r>
      <w:r>
        <w:rPr>
          <w:rFonts w:hint="eastAsia" w:asciiTheme="minorEastAsia" w:hAnsiTheme="minorEastAsia" w:eastAsiaTheme="minorEastAsia"/>
          <w:sz w:val="32"/>
          <w:szCs w:val="32"/>
        </w:rPr>
        <w:t>万元，占本年支出合计的100%，与201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w:t>
      </w:r>
      <w:r>
        <w:rPr>
          <w:rFonts w:hint="eastAsia" w:asciiTheme="minorEastAsia" w:hAnsiTheme="minorEastAsia"/>
          <w:sz w:val="32"/>
          <w:szCs w:val="32"/>
          <w:lang w:eastAsia="zh-CN"/>
        </w:rPr>
        <w:t>增加</w:t>
      </w:r>
      <w:r>
        <w:rPr>
          <w:rFonts w:hint="eastAsia" w:cs="黑体" w:asciiTheme="minorEastAsia" w:hAnsiTheme="minorEastAsia"/>
          <w:color w:val="000000"/>
          <w:kern w:val="0"/>
          <w:sz w:val="32"/>
          <w:szCs w:val="32"/>
          <w:lang w:val="en-US" w:eastAsia="zh-CN"/>
        </w:rPr>
        <w:t>14.13</w:t>
      </w:r>
      <w:r>
        <w:rPr>
          <w:rFonts w:hint="eastAsia" w:cs="黑体" w:asciiTheme="minorEastAsia" w:hAnsiTheme="minorEastAsia"/>
          <w:color w:val="000000"/>
          <w:kern w:val="0"/>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%，主要是</w:t>
      </w:r>
      <w:r>
        <w:rPr>
          <w:rFonts w:hint="eastAsia" w:asciiTheme="minorEastAsia" w:hAnsiTheme="minorEastAsia"/>
          <w:sz w:val="32"/>
          <w:szCs w:val="32"/>
          <w:lang w:eastAsia="zh-CN"/>
        </w:rPr>
        <w:t>我</w:t>
      </w:r>
      <w:r>
        <w:rPr>
          <w:rFonts w:hint="eastAsia" w:asciiTheme="minorEastAsia" w:hAnsiTheme="minorEastAsia" w:eastAsiaTheme="minorEastAsia"/>
          <w:sz w:val="32"/>
          <w:szCs w:val="32"/>
          <w:lang w:eastAsia="zh-CN"/>
        </w:rPr>
        <w:t>单位</w:t>
      </w:r>
      <w:r>
        <w:rPr>
          <w:rFonts w:hint="eastAsia" w:asciiTheme="minorEastAsia" w:hAnsiTheme="minorEastAsia"/>
          <w:sz w:val="32"/>
          <w:szCs w:val="32"/>
          <w:lang w:eastAsia="zh-CN"/>
        </w:rPr>
        <w:t>发放的职工</w:t>
      </w:r>
      <w:r>
        <w:rPr>
          <w:rFonts w:hint="eastAsia" w:asciiTheme="minorEastAsia" w:hAnsiTheme="minorEastAsia" w:eastAsiaTheme="minorEastAsia"/>
          <w:sz w:val="32"/>
          <w:szCs w:val="32"/>
          <w:lang w:eastAsia="zh-CN"/>
        </w:rPr>
        <w:t>工资</w:t>
      </w:r>
      <w:r>
        <w:rPr>
          <w:rFonts w:hint="eastAsia" w:asciiTheme="minorEastAsia" w:hAnsiTheme="minorEastAsia"/>
          <w:sz w:val="32"/>
          <w:szCs w:val="32"/>
          <w:lang w:eastAsia="zh-CN"/>
        </w:rPr>
        <w:t>增加了</w:t>
      </w:r>
      <w:r>
        <w:rPr>
          <w:rFonts w:hint="eastAsia" w:asciiTheme="minorEastAsia" w:hAnsiTheme="minorEastAsia" w:eastAsiaTheme="minorEastAsia"/>
          <w:sz w:val="32"/>
          <w:szCs w:val="32"/>
          <w:lang w:eastAsia="zh-CN"/>
        </w:rPr>
        <w:t>。</w:t>
      </w:r>
      <w:r>
        <w:rPr>
          <w:rFonts w:cs="黑体" w:asciiTheme="minorEastAsia" w:hAnsiTheme="minorEastAsia"/>
          <w:color w:val="000000"/>
          <w:kern w:val="0"/>
          <w:sz w:val="32"/>
          <w:szCs w:val="32"/>
        </w:rPr>
        <w:t> </w:t>
      </w:r>
    </w:p>
    <w:p>
      <w:pPr>
        <w:pStyle w:val="14"/>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380.63</w:t>
      </w:r>
      <w:r>
        <w:rPr>
          <w:rFonts w:hint="eastAsia" w:asciiTheme="minorEastAsia" w:hAnsiTheme="minorEastAsia" w:eastAsiaTheme="minorEastAsia"/>
          <w:sz w:val="32"/>
          <w:szCs w:val="32"/>
        </w:rPr>
        <w:t>万元，主要用于以下方面：社会保障和就业支出</w:t>
      </w:r>
      <w:r>
        <w:rPr>
          <w:rFonts w:hint="eastAsia" w:asciiTheme="minorEastAsia" w:hAnsiTheme="minorEastAsia" w:eastAsiaTheme="minorEastAsia"/>
          <w:sz w:val="32"/>
          <w:szCs w:val="32"/>
          <w:lang w:val="en-US" w:eastAsia="zh-CN"/>
        </w:rPr>
        <w:t>45.99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25.37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%;农林水支出</w:t>
      </w:r>
      <w:r>
        <w:rPr>
          <w:rFonts w:hint="eastAsia" w:asciiTheme="minorEastAsia" w:hAnsiTheme="minorEastAsia" w:eastAsiaTheme="minorEastAsia"/>
          <w:sz w:val="32"/>
          <w:szCs w:val="32"/>
          <w:lang w:val="en-US" w:eastAsia="zh-CN"/>
        </w:rPr>
        <w:t>288.53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76</w:t>
      </w:r>
      <w:r>
        <w:rPr>
          <w:rFonts w:hint="eastAsia" w:asciiTheme="minorEastAsia" w:hAnsiTheme="minorEastAsia" w:eastAsiaTheme="minorEastAsia"/>
          <w:sz w:val="32"/>
          <w:szCs w:val="32"/>
        </w:rPr>
        <w:t>%；住房保障支出</w:t>
      </w:r>
      <w:r>
        <w:rPr>
          <w:rFonts w:hint="eastAsia" w:asciiTheme="minorEastAsia" w:hAnsiTheme="minorEastAsia" w:eastAsiaTheme="minorEastAsia"/>
          <w:sz w:val="32"/>
          <w:szCs w:val="32"/>
          <w:lang w:val="en-US" w:eastAsia="zh-CN"/>
        </w:rPr>
        <w:t>20.74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w:t>
      </w:r>
    </w:p>
    <w:p>
      <w:pPr>
        <w:pStyle w:val="14"/>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年度财政拨款支出年初预算数为</w:t>
      </w:r>
      <w:r>
        <w:rPr>
          <w:rFonts w:hint="eastAsia" w:asciiTheme="minorEastAsia" w:hAnsiTheme="minorEastAsia" w:eastAsiaTheme="minorEastAsia"/>
          <w:sz w:val="32"/>
          <w:szCs w:val="32"/>
          <w:lang w:val="en-US" w:eastAsia="zh-CN"/>
        </w:rPr>
        <w:t>319.72</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380.63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119.05</w:t>
      </w:r>
      <w:r>
        <w:rPr>
          <w:rFonts w:hint="eastAsia" w:asciiTheme="minorEastAsia" w:hAnsiTheme="minorEastAsia" w:eastAsiaTheme="minorEastAsia"/>
          <w:sz w:val="32"/>
          <w:szCs w:val="32"/>
        </w:rPr>
        <w:t>%，其中：</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1、社会保障和就业支出</w:t>
      </w:r>
    </w:p>
    <w:p>
      <w:pPr>
        <w:pStyle w:val="14"/>
        <w:ind w:firstLine="800" w:firstLineChars="250"/>
        <w:rPr>
          <w:rFonts w:asciiTheme="minorEastAsia" w:hAnsiTheme="minorEastAsia" w:eastAsiaTheme="minorEastAsia"/>
          <w:b/>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43.54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45.99</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105.62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，决算数大于年初预算数的主要原因是本年度</w:t>
      </w:r>
      <w:r>
        <w:rPr>
          <w:rFonts w:hint="eastAsia" w:asciiTheme="minorEastAsia" w:hAnsiTheme="minorEastAsia" w:eastAsiaTheme="minorEastAsia"/>
          <w:sz w:val="32"/>
          <w:szCs w:val="32"/>
          <w:lang w:val="en-US" w:eastAsia="zh-CN"/>
        </w:rPr>
        <w:t>养老保险补缴2.45万元</w:t>
      </w:r>
      <w:r>
        <w:rPr>
          <w:rFonts w:hint="eastAsia" w:asciiTheme="minorEastAsia" w:hAnsiTheme="minorEastAsia" w:eastAsiaTheme="minorEastAsia"/>
          <w:sz w:val="32"/>
          <w:szCs w:val="32"/>
        </w:rPr>
        <w:t>。</w:t>
      </w:r>
    </w:p>
    <w:p>
      <w:pPr>
        <w:pStyle w:val="14"/>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2、卫生健康支出</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21.17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25.37</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119.84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决算数大于年初预算数的主要原因是本年度</w:t>
      </w:r>
      <w:r>
        <w:rPr>
          <w:rFonts w:hint="eastAsia" w:asciiTheme="minorEastAsia" w:hAnsiTheme="minorEastAsia" w:eastAsiaTheme="minorEastAsia"/>
          <w:sz w:val="32"/>
          <w:szCs w:val="32"/>
          <w:lang w:val="en-US" w:eastAsia="zh-CN"/>
        </w:rPr>
        <w:t>医疗保险补缴4.2万元</w:t>
      </w:r>
      <w:r>
        <w:rPr>
          <w:rFonts w:hint="eastAsia" w:asciiTheme="minorEastAsia" w:hAnsiTheme="minorEastAsia" w:eastAsiaTheme="minorEastAsia"/>
          <w:sz w:val="32"/>
          <w:szCs w:val="32"/>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、农林水支出</w:t>
      </w:r>
    </w:p>
    <w:p>
      <w:pPr>
        <w:pStyle w:val="14"/>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232.83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288.53</w:t>
      </w:r>
      <w:r>
        <w:rPr>
          <w:rFonts w:hint="eastAsia" w:asciiTheme="minorEastAsia" w:hAnsiTheme="minorEastAsia" w:eastAsiaTheme="minorEastAsia"/>
          <w:sz w:val="32"/>
          <w:szCs w:val="32"/>
        </w:rPr>
        <w:t>万元，完成了年初预算</w:t>
      </w:r>
      <w:r>
        <w:rPr>
          <w:rFonts w:hint="eastAsia" w:asciiTheme="minorEastAsia" w:hAnsiTheme="minorEastAsia" w:eastAsiaTheme="minorEastAsia"/>
          <w:sz w:val="32"/>
          <w:szCs w:val="32"/>
          <w:lang w:val="en-US" w:eastAsia="zh-CN"/>
        </w:rPr>
        <w:t>123.92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决算数大于预算数</w:t>
      </w:r>
      <w:r>
        <w:rPr>
          <w:rFonts w:hint="eastAsia" w:asciiTheme="minorEastAsia" w:hAnsiTheme="minorEastAsia" w:eastAsiaTheme="minorEastAsia"/>
          <w:sz w:val="32"/>
          <w:szCs w:val="32"/>
        </w:rPr>
        <w:t>主要原因为</w:t>
      </w:r>
      <w:r>
        <w:rPr>
          <w:rFonts w:hint="eastAsia" w:asciiTheme="minorEastAsia" w:hAnsiTheme="minorEastAsia" w:eastAsiaTheme="minorEastAsia"/>
          <w:sz w:val="32"/>
          <w:szCs w:val="32"/>
          <w:lang w:eastAsia="zh-CN"/>
        </w:rPr>
        <w:t>包含以前年度的退休人员节日慰问金及奖励工资预算追加</w:t>
      </w:r>
      <w:r>
        <w:rPr>
          <w:rFonts w:hint="eastAsia" w:asciiTheme="minorEastAsia" w:hAnsiTheme="minorEastAsia" w:eastAsiaTheme="minorEastAsia"/>
          <w:sz w:val="32"/>
          <w:szCs w:val="32"/>
        </w:rPr>
        <w:t>。</w:t>
      </w:r>
    </w:p>
    <w:p>
      <w:pPr>
        <w:pStyle w:val="14"/>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一般行政管理事务</w:t>
      </w:r>
    </w:p>
    <w:p>
      <w:pPr>
        <w:pStyle w:val="14"/>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决算数大于预算数的主要原因为：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lang w:eastAsia="zh-CN"/>
        </w:rPr>
        <w:t>预算指标追加我单位特困补助</w:t>
      </w:r>
      <w:r>
        <w:rPr>
          <w:rFonts w:hint="eastAsia" w:asciiTheme="minorEastAsia" w:hAnsiTheme="minorEastAsia" w:eastAsiaTheme="minorEastAsia"/>
          <w:sz w:val="32"/>
          <w:szCs w:val="32"/>
          <w:lang w:val="en-US" w:eastAsia="zh-CN"/>
        </w:rPr>
        <w:t>20万元；</w:t>
      </w:r>
    </w:p>
    <w:p>
      <w:pPr>
        <w:pStyle w:val="14"/>
        <w:ind w:firstLine="800" w:firstLineChars="250"/>
        <w:rPr>
          <w:rFonts w:asciiTheme="minorEastAsia" w:hAnsiTheme="minorEastAsia" w:eastAsiaTheme="minorEastAsia"/>
          <w:sz w:val="32"/>
          <w:szCs w:val="32"/>
        </w:rPr>
      </w:pP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）水利行业业务管理</w:t>
      </w:r>
    </w:p>
    <w:p>
      <w:pPr>
        <w:pStyle w:val="14"/>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232.83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268.53</w:t>
      </w:r>
      <w:r>
        <w:rPr>
          <w:rFonts w:hint="eastAsia" w:asciiTheme="minorEastAsia" w:hAnsiTheme="minorEastAsia" w:eastAsiaTheme="minorEastAsia"/>
          <w:sz w:val="32"/>
          <w:szCs w:val="32"/>
        </w:rPr>
        <w:t>万元，完成了年初预算</w:t>
      </w:r>
      <w:r>
        <w:rPr>
          <w:rFonts w:hint="eastAsia" w:asciiTheme="minorEastAsia" w:hAnsiTheme="minorEastAsia" w:eastAsiaTheme="minorEastAsia"/>
          <w:sz w:val="32"/>
          <w:szCs w:val="32"/>
          <w:lang w:val="en-US" w:eastAsia="zh-CN"/>
        </w:rPr>
        <w:t>115.33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决算数大于预算数的主要原因为：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lang w:eastAsia="zh-CN"/>
        </w:rPr>
        <w:t>预算指标追加我单位奖励工资</w:t>
      </w:r>
      <w:r>
        <w:rPr>
          <w:rFonts w:hint="eastAsia" w:asciiTheme="minorEastAsia" w:hAnsiTheme="minorEastAsia" w:eastAsiaTheme="minorEastAsia"/>
          <w:sz w:val="32"/>
          <w:szCs w:val="32"/>
          <w:lang w:val="en-US" w:eastAsia="zh-CN"/>
        </w:rPr>
        <w:t>35.7万元；</w:t>
      </w:r>
    </w:p>
    <w:p>
      <w:pPr>
        <w:pStyle w:val="14"/>
        <w:numPr>
          <w:ilvl w:val="0"/>
          <w:numId w:val="0"/>
        </w:numPr>
        <w:ind w:left="840" w:leftChars="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4、住房保障支出</w:t>
      </w:r>
    </w:p>
    <w:p>
      <w:pPr>
        <w:pStyle w:val="14"/>
        <w:numPr>
          <w:ilvl w:val="0"/>
          <w:numId w:val="0"/>
        </w:numPr>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年初预算为22.18万元，支出决算为20.74万元，</w:t>
      </w:r>
      <w:r>
        <w:rPr>
          <w:rFonts w:hint="eastAsia" w:asciiTheme="minorEastAsia" w:hAnsiTheme="minorEastAsia" w:eastAsiaTheme="minorEastAsia"/>
          <w:sz w:val="32"/>
          <w:szCs w:val="32"/>
        </w:rPr>
        <w:t>完成年初预算</w:t>
      </w:r>
      <w:r>
        <w:rPr>
          <w:rFonts w:hint="eastAsia" w:asciiTheme="minorEastAsia" w:hAnsiTheme="minorEastAsia" w:eastAsiaTheme="minorEastAsia"/>
          <w:sz w:val="32"/>
          <w:szCs w:val="32"/>
          <w:lang w:val="en-US" w:eastAsia="zh-CN"/>
        </w:rPr>
        <w:t>94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决算数小于预算数</w:t>
      </w:r>
      <w:r>
        <w:rPr>
          <w:rFonts w:hint="eastAsia" w:asciiTheme="minorEastAsia" w:hAnsiTheme="minorEastAsia" w:eastAsiaTheme="minorEastAsia"/>
          <w:sz w:val="32"/>
          <w:szCs w:val="32"/>
        </w:rPr>
        <w:t>主要原因为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lang w:eastAsia="zh-CN"/>
        </w:rPr>
        <w:t>月住房保障金未交。</w:t>
      </w:r>
    </w:p>
    <w:p>
      <w:pPr>
        <w:pStyle w:val="14"/>
        <w:rPr>
          <w:rFonts w:hAnsi="黑体"/>
          <w:b/>
          <w:sz w:val="32"/>
          <w:szCs w:val="32"/>
        </w:rPr>
      </w:pPr>
      <w:r>
        <w:rPr>
          <w:rFonts w:hint="eastAsia" w:hAnsi="黑体"/>
          <w:b/>
          <w:sz w:val="32"/>
          <w:szCs w:val="32"/>
        </w:rPr>
        <w:t>六、一般公共预算财政拨款基本支出决算情况说明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sz w:val="32"/>
          <w:szCs w:val="32"/>
          <w:lang w:val="en-US" w:eastAsia="zh-CN"/>
        </w:rPr>
        <w:t>360.63</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360.63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%,主要包括基本工资、津贴补贴、奖金、机关事业单位基本养老保险缴费、职工基本医疗保险缴费、其他社会保障缴费、住房公积金。</w:t>
      </w:r>
      <w:bookmarkStart w:id="2" w:name="_GoBack"/>
      <w:bookmarkEnd w:id="2"/>
    </w:p>
    <w:p>
      <w:pPr>
        <w:pStyle w:val="14"/>
        <w:rPr>
          <w:rFonts w:hAnsi="黑体"/>
          <w:b/>
          <w:sz w:val="32"/>
          <w:szCs w:val="32"/>
        </w:rPr>
      </w:pPr>
      <w:r>
        <w:rPr>
          <w:rFonts w:hint="eastAsia" w:hAnsi="黑体"/>
          <w:b/>
          <w:sz w:val="32"/>
          <w:szCs w:val="32"/>
        </w:rPr>
        <w:t>七、一般公共预算财政拨款三公经费支出决算情况说明</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4"/>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无</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lang w:eastAsia="zh-CN"/>
        </w:rPr>
        <w:t>无</w:t>
      </w:r>
      <w:r>
        <w:rPr>
          <w:rFonts w:hint="eastAsia" w:asciiTheme="minorEastAsia" w:hAnsiTheme="minorEastAsia"/>
          <w:sz w:val="32"/>
          <w:szCs w:val="32"/>
        </w:rPr>
        <w:t>。</w:t>
      </w:r>
    </w:p>
    <w:p>
      <w:pPr>
        <w:pStyle w:val="14"/>
        <w:rPr>
          <w:rFonts w:hAnsi="黑体"/>
          <w:b/>
          <w:sz w:val="32"/>
          <w:szCs w:val="32"/>
        </w:rPr>
      </w:pPr>
      <w:r>
        <w:rPr>
          <w:rFonts w:hint="eastAsia" w:hAnsi="黑体"/>
          <w:b/>
          <w:sz w:val="32"/>
          <w:szCs w:val="32"/>
        </w:rPr>
        <w:t>八、政府性基金预算收入支出决算情况</w:t>
      </w:r>
    </w:p>
    <w:p>
      <w:pPr>
        <w:pStyle w:val="14"/>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本单位无政府性基金收支。</w:t>
      </w:r>
    </w:p>
    <w:p>
      <w:pPr>
        <w:pStyle w:val="14"/>
        <w:rPr>
          <w:rFonts w:hAnsi="黑体"/>
          <w:b/>
          <w:sz w:val="32"/>
          <w:szCs w:val="32"/>
        </w:rPr>
      </w:pPr>
      <w:r>
        <w:rPr>
          <w:rFonts w:hint="eastAsia" w:hAnsi="黑体"/>
          <w:b/>
          <w:sz w:val="32"/>
          <w:szCs w:val="32"/>
        </w:rPr>
        <w:t>九、关于20</w:t>
      </w:r>
      <w:r>
        <w:rPr>
          <w:rFonts w:hint="eastAsia" w:hAnsi="黑体"/>
          <w:b/>
          <w:sz w:val="32"/>
          <w:szCs w:val="32"/>
          <w:lang w:val="en-US" w:eastAsia="zh-CN"/>
        </w:rPr>
        <w:t>20</w:t>
      </w:r>
      <w:r>
        <w:rPr>
          <w:rFonts w:hint="eastAsia" w:hAnsi="黑体"/>
          <w:b/>
          <w:sz w:val="32"/>
          <w:szCs w:val="32"/>
        </w:rPr>
        <w:t>年度预算绩效情况说明</w:t>
      </w:r>
    </w:p>
    <w:p>
      <w:pPr>
        <w:autoSpaceDE w:val="0"/>
        <w:autoSpaceDN w:val="0"/>
        <w:adjustRightInd w:val="0"/>
        <w:ind w:firstLine="640" w:firstLineChars="200"/>
        <w:jc w:val="left"/>
        <w:rPr>
          <w:rFonts w:ascii="黑体" w:hAnsi="黑体" w:eastAsia="黑体" w:cs="黑体"/>
          <w:b/>
          <w:color w:val="000000"/>
          <w:kern w:val="0"/>
          <w:sz w:val="32"/>
          <w:szCs w:val="32"/>
        </w:rPr>
      </w:pPr>
      <w:r>
        <w:rPr>
          <w:rFonts w:hint="eastAsia" w:cs="黑体" w:asciiTheme="minorEastAsia" w:hAnsiTheme="minorEastAsia"/>
          <w:color w:val="000000"/>
          <w:kern w:val="0"/>
          <w:sz w:val="32"/>
          <w:szCs w:val="32"/>
          <w:lang w:eastAsia="zh-CN"/>
        </w:rPr>
        <w:t>无</w:t>
      </w:r>
      <w:r>
        <w:rPr>
          <w:rFonts w:hint="eastAsia" w:cs="黑体" w:asciiTheme="minorEastAsia" w:hAnsiTheme="minorEastAsia"/>
          <w:color w:val="000000"/>
          <w:kern w:val="0"/>
          <w:sz w:val="32"/>
          <w:szCs w:val="32"/>
        </w:rPr>
        <w:t>。</w:t>
      </w:r>
    </w:p>
    <w:p>
      <w:pPr>
        <w:pStyle w:val="14"/>
        <w:rPr>
          <w:rFonts w:hAnsi="黑体"/>
          <w:b/>
          <w:sz w:val="32"/>
          <w:szCs w:val="32"/>
        </w:rPr>
      </w:pPr>
      <w:r>
        <w:rPr>
          <w:rFonts w:hint="eastAsia" w:hAnsi="黑体"/>
          <w:b/>
          <w:sz w:val="32"/>
          <w:szCs w:val="32"/>
        </w:rPr>
        <w:t>十、其他重要事项情况说明</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无</w:t>
      </w:r>
      <w:r>
        <w:rPr>
          <w:rFonts w:hint="eastAsia" w:cs="黑体" w:asciiTheme="minorEastAsia" w:hAnsiTheme="minorEastAsia"/>
          <w:color w:val="000000"/>
          <w:kern w:val="0"/>
          <w:sz w:val="32"/>
          <w:szCs w:val="32"/>
          <w:lang w:val="en-US" w:eastAsia="zh-CN"/>
        </w:rPr>
        <w:t>。</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无</w:t>
      </w:r>
      <w:r>
        <w:rPr>
          <w:rFonts w:hint="eastAsia" w:cs="黑体" w:asciiTheme="minorEastAsia" w:hAnsiTheme="minorEastAsia"/>
          <w:color w:val="000000"/>
          <w:kern w:val="0"/>
          <w:sz w:val="32"/>
          <w:szCs w:val="32"/>
        </w:rPr>
        <w:t>。</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640" w:firstLineChars="200"/>
        <w:rPr>
          <w:rFonts w:cs="黑体" w:asciiTheme="minorEastAsia" w:hAnsiTheme="minorEastAsia"/>
          <w:i/>
          <w:color w:val="FF0000"/>
          <w:kern w:val="0"/>
          <w:sz w:val="32"/>
          <w:szCs w:val="32"/>
        </w:rPr>
      </w:pPr>
      <w:r>
        <w:rPr>
          <w:rFonts w:hint="eastAsia" w:cs="黑体" w:asciiTheme="minorEastAsia" w:hAnsiTheme="minorEastAsia"/>
          <w:color w:val="000000"/>
          <w:kern w:val="0"/>
          <w:sz w:val="32"/>
          <w:szCs w:val="32"/>
          <w:lang w:eastAsia="zh-CN"/>
        </w:rPr>
        <w:t>无</w:t>
      </w:r>
      <w:r>
        <w:rPr>
          <w:rFonts w:hint="eastAsia" w:cs="黑体" w:asciiTheme="minorEastAsia" w:hAnsiTheme="minorEastAsia"/>
          <w:color w:val="000000"/>
          <w:kern w:val="0"/>
          <w:sz w:val="32"/>
          <w:szCs w:val="32"/>
        </w:rPr>
        <w:t>。</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年12月31日，本单位共有车辆</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w:t>
      </w:r>
    </w:p>
    <w:p>
      <w:pPr>
        <w:widowControl/>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br w:type="page"/>
      </w:r>
    </w:p>
    <w:p>
      <w:pPr>
        <w:ind w:firstLine="640" w:firstLineChars="200"/>
        <w:rPr>
          <w:rFonts w:cs="黑体" w:asciiTheme="minorEastAsia" w:hAnsiTheme="minorEastAsia"/>
          <w:color w:val="000000"/>
          <w:kern w:val="0"/>
          <w:sz w:val="32"/>
          <w:szCs w:val="3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Times New Roman" w:hAnsi="Times New Roman" w:cs="Times New Roman"/>
          <w:color w:val="333333"/>
          <w:kern w:val="0"/>
          <w:sz w:val="32"/>
          <w:szCs w:val="32"/>
        </w:rPr>
      </w:pPr>
      <w:r>
        <w:rPr>
          <w:rFonts w:ascii="黑体" w:eastAsia="黑体" w:cs="黑体"/>
          <w:color w:val="000000"/>
          <w:kern w:val="0"/>
          <w:sz w:val="70"/>
          <w:szCs w:val="70"/>
        </w:rPr>
        <w:br w:type="page"/>
      </w:r>
      <w:r>
        <w:rPr>
          <w:rFonts w:ascii="Times New Roman" w:hAnsi="Times New Roman" w:cs="Times New Roman"/>
          <w:color w:val="333333"/>
          <w:kern w:val="0"/>
          <w:sz w:val="32"/>
          <w:szCs w:val="32"/>
        </w:rPr>
        <w:t>公共财政拨款收入：指财政当年拨付的资金。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基本支出：指为保障机构正常运转、完成日常工作任务而发生的行政单位(含参照公务员法管理的事业单位)履行一般行政管理职能，维持机关日常运转所必须开支的费用，包括用于工资、津贴及奖金等的人员经费和用于办公、水电费等的公用经费。</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项目支出：指在基本支出之外为完成特定行政任务和事业发展目标所发生的支出。</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年初结转和结余：指以前年度尚未完成、结转到本年仍按原规定用途继续使用的资金，或项目已完成等产生的结余资金。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结余分配：指单位按照事业单位会计制度的规定从事业收入或经营收入中按规定提取的事业基金和职工福利基金。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年末结转和结余：指单位按有关规定结转到下年或以后年度继续使用的资金。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住房保障支出(类)住房改革支出(款)：反映行政事业单位用财政拨款资金和其他资金等安排的住房改革支出。</w:t>
      </w:r>
    </w:p>
    <w:p>
      <w:pPr>
        <w:widowControl/>
        <w:shd w:val="clear" w:color="auto" w:fill="FFFFFF"/>
        <w:spacing w:before="100" w:beforeAutospacing="1" w:after="100" w:afterAutospacing="1" w:line="480" w:lineRule="auto"/>
        <w:ind w:firstLine="649"/>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住房公积金(项)：反映行政事业单位按人社厅和财政厅相关规定的以基本工资和津贴补贴等构成的工资总额为基数，按规定比例为职工缴纳的住房公积金。</w:t>
      </w:r>
    </w:p>
    <w:p>
      <w:pPr>
        <w:widowControl/>
        <w:shd w:val="clear" w:color="auto" w:fill="FFFFFF"/>
        <w:spacing w:before="100" w:beforeAutospacing="1" w:after="100" w:afterAutospacing="1" w:line="480" w:lineRule="auto"/>
        <w:ind w:firstLine="647"/>
        <w:rPr>
          <w:rFonts w:ascii="Times New Roman" w:hAnsi="Times New Roman" w:cs="Times New Roman"/>
          <w:color w:val="333333"/>
          <w:kern w:val="0"/>
          <w:sz w:val="32"/>
          <w:szCs w:val="32"/>
        </w:rPr>
      </w:pPr>
      <w:r>
        <w:rPr>
          <w:rFonts w:hint="eastAsia" w:ascii="Times New Roman" w:hAnsi="Times New Roman" w:cs="Times New Roman"/>
          <w:color w:val="333333"/>
          <w:kern w:val="0"/>
          <w:sz w:val="32"/>
          <w:szCs w:val="32"/>
          <w:lang w:eastAsia="zh-CN"/>
        </w:rPr>
        <w:t>机关运行经费：</w:t>
      </w:r>
      <w:r>
        <w:rPr>
          <w:rFonts w:ascii="Times New Roman" w:hAnsi="Times New Roman" w:cs="Times New Roman"/>
          <w:color w:val="333333"/>
          <w:kern w:val="0"/>
          <w:sz w:val="32"/>
          <w:szCs w:val="32"/>
        </w:rPr>
        <w:t>是指为保障单位运行用于购买货物和服务的各项</w:t>
      </w:r>
      <w:r>
        <w:rPr>
          <w:rFonts w:hint="eastAsia" w:ascii="Times New Roman" w:hAnsi="Times New Roman" w:cs="Times New Roman"/>
          <w:color w:val="333333"/>
          <w:kern w:val="0"/>
          <w:sz w:val="32"/>
          <w:szCs w:val="32"/>
          <w:lang w:eastAsia="zh-CN"/>
        </w:rPr>
        <w:t>费用</w:t>
      </w:r>
      <w:r>
        <w:rPr>
          <w:rFonts w:ascii="Times New Roman" w:hAnsi="Times New Roman" w:cs="Times New Roman"/>
          <w:color w:val="333333"/>
          <w:kern w:val="0"/>
          <w:sz w:val="32"/>
          <w:szCs w:val="32"/>
        </w:rPr>
        <w:t>，包括办公</w:t>
      </w:r>
      <w:r>
        <w:rPr>
          <w:rFonts w:hint="eastAsia" w:ascii="Times New Roman" w:hAnsi="Times New Roman" w:cs="Times New Roman"/>
          <w:color w:val="333333"/>
          <w:kern w:val="0"/>
          <w:sz w:val="32"/>
          <w:szCs w:val="32"/>
          <w:lang w:eastAsia="zh-CN"/>
        </w:rPr>
        <w:t>费、</w:t>
      </w:r>
      <w:r>
        <w:rPr>
          <w:rFonts w:ascii="Times New Roman" w:hAnsi="Times New Roman" w:cs="Times New Roman"/>
          <w:color w:val="333333"/>
          <w:kern w:val="0"/>
          <w:sz w:val="32"/>
          <w:szCs w:val="32"/>
        </w:rPr>
        <w:t>印刷费、</w:t>
      </w:r>
      <w:r>
        <w:rPr>
          <w:rFonts w:hint="eastAsia" w:ascii="Times New Roman" w:hAnsi="Times New Roman" w:cs="Times New Roman"/>
          <w:color w:val="333333"/>
          <w:kern w:val="0"/>
          <w:sz w:val="32"/>
          <w:szCs w:val="32"/>
          <w:lang w:eastAsia="zh-CN"/>
        </w:rPr>
        <w:t>咨询费、手续费、</w:t>
      </w:r>
      <w:r>
        <w:rPr>
          <w:rFonts w:ascii="Times New Roman" w:hAnsi="Times New Roman" w:cs="Times New Roman"/>
          <w:color w:val="333333"/>
          <w:kern w:val="0"/>
          <w:sz w:val="32"/>
          <w:szCs w:val="32"/>
        </w:rPr>
        <w:t>水</w:t>
      </w:r>
      <w:r>
        <w:rPr>
          <w:rFonts w:hint="eastAsia" w:ascii="Times New Roman" w:hAnsi="Times New Roman" w:cs="Times New Roman"/>
          <w:color w:val="333333"/>
          <w:kern w:val="0"/>
          <w:sz w:val="32"/>
          <w:szCs w:val="32"/>
          <w:lang w:eastAsia="zh-CN"/>
        </w:rPr>
        <w:t>费、</w:t>
      </w:r>
      <w:r>
        <w:rPr>
          <w:rFonts w:ascii="Times New Roman" w:hAnsi="Times New Roman" w:cs="Times New Roman"/>
          <w:color w:val="333333"/>
          <w:kern w:val="0"/>
          <w:sz w:val="32"/>
          <w:szCs w:val="32"/>
        </w:rPr>
        <w:t>电费</w:t>
      </w:r>
      <w:r>
        <w:rPr>
          <w:rFonts w:hint="eastAsia" w:ascii="Times New Roman" w:hAnsi="Times New Roman" w:cs="Times New Roman"/>
          <w:color w:val="333333"/>
          <w:kern w:val="0"/>
          <w:sz w:val="32"/>
          <w:szCs w:val="32"/>
          <w:lang w:eastAsia="zh-CN"/>
        </w:rPr>
        <w:t>、</w:t>
      </w:r>
      <w:r>
        <w:rPr>
          <w:rFonts w:ascii="Times New Roman" w:hAnsi="Times New Roman" w:cs="Times New Roman"/>
          <w:color w:val="333333"/>
          <w:kern w:val="0"/>
          <w:sz w:val="32"/>
          <w:szCs w:val="32"/>
        </w:rPr>
        <w:t>取暖费</w:t>
      </w:r>
      <w:r>
        <w:rPr>
          <w:rFonts w:hint="eastAsia" w:ascii="Times New Roman" w:hAnsi="Times New Roman" w:cs="Times New Roman"/>
          <w:color w:val="333333"/>
          <w:kern w:val="0"/>
          <w:sz w:val="32"/>
          <w:szCs w:val="32"/>
          <w:lang w:eastAsia="zh-CN"/>
        </w:rPr>
        <w:t>、</w:t>
      </w:r>
      <w:r>
        <w:rPr>
          <w:rFonts w:ascii="Times New Roman" w:hAnsi="Times New Roman" w:cs="Times New Roman"/>
          <w:color w:val="333333"/>
          <w:kern w:val="0"/>
          <w:sz w:val="32"/>
          <w:szCs w:val="32"/>
        </w:rPr>
        <w:t>物业管理费</w:t>
      </w:r>
      <w:r>
        <w:rPr>
          <w:rFonts w:hint="eastAsia" w:ascii="Times New Roman" w:hAnsi="Times New Roman" w:cs="Times New Roman"/>
          <w:color w:val="333333"/>
          <w:kern w:val="0"/>
          <w:sz w:val="32"/>
          <w:szCs w:val="32"/>
          <w:lang w:eastAsia="zh-CN"/>
        </w:rPr>
        <w:t>、</w:t>
      </w:r>
      <w:r>
        <w:rPr>
          <w:rFonts w:ascii="Times New Roman" w:hAnsi="Times New Roman" w:cs="Times New Roman"/>
          <w:color w:val="333333"/>
          <w:kern w:val="0"/>
          <w:sz w:val="32"/>
          <w:szCs w:val="32"/>
        </w:rPr>
        <w:t>差旅费、</w:t>
      </w:r>
      <w:r>
        <w:rPr>
          <w:rFonts w:hint="eastAsia" w:ascii="Times New Roman" w:hAnsi="Times New Roman" w:cs="Times New Roman"/>
          <w:color w:val="333333"/>
          <w:kern w:val="0"/>
          <w:sz w:val="32"/>
          <w:szCs w:val="32"/>
          <w:lang w:eastAsia="zh-CN"/>
        </w:rPr>
        <w:t>因公出国（境）费用、租赁费、</w:t>
      </w:r>
      <w:r>
        <w:rPr>
          <w:rFonts w:ascii="Times New Roman" w:hAnsi="Times New Roman" w:cs="Times New Roman"/>
          <w:color w:val="333333"/>
          <w:kern w:val="0"/>
          <w:sz w:val="32"/>
          <w:szCs w:val="32"/>
        </w:rPr>
        <w:t>会议费、</w:t>
      </w:r>
      <w:r>
        <w:rPr>
          <w:rFonts w:hint="eastAsia" w:ascii="Times New Roman" w:hAnsi="Times New Roman" w:cs="Times New Roman"/>
          <w:color w:val="333333"/>
          <w:kern w:val="0"/>
          <w:sz w:val="32"/>
          <w:szCs w:val="32"/>
          <w:lang w:eastAsia="zh-CN"/>
        </w:rPr>
        <w:t>培训费、公务接待费、专业燃料费、劳务费、委托业务费、工会经费、</w:t>
      </w:r>
      <w:r>
        <w:rPr>
          <w:rFonts w:ascii="Times New Roman" w:hAnsi="Times New Roman" w:cs="Times New Roman"/>
          <w:color w:val="333333"/>
          <w:kern w:val="0"/>
          <w:sz w:val="32"/>
          <w:szCs w:val="32"/>
        </w:rPr>
        <w:t>福利费、公务用车运行维护费</w:t>
      </w:r>
      <w:r>
        <w:rPr>
          <w:rFonts w:hint="eastAsia" w:ascii="Times New Roman" w:hAnsi="Times New Roman" w:cs="Times New Roman"/>
          <w:color w:val="333333"/>
          <w:kern w:val="0"/>
          <w:sz w:val="32"/>
          <w:szCs w:val="32"/>
          <w:lang w:eastAsia="zh-CN"/>
        </w:rPr>
        <w:t>、其他交通费用、税金及附加费用、</w:t>
      </w:r>
      <w:r>
        <w:rPr>
          <w:rFonts w:ascii="Times New Roman" w:hAnsi="Times New Roman" w:cs="Times New Roman"/>
          <w:color w:val="333333"/>
          <w:kern w:val="0"/>
          <w:sz w:val="32"/>
          <w:szCs w:val="32"/>
        </w:rPr>
        <w:t>其他</w:t>
      </w:r>
      <w:r>
        <w:rPr>
          <w:rFonts w:hint="eastAsia" w:ascii="Times New Roman" w:hAnsi="Times New Roman" w:cs="Times New Roman"/>
          <w:color w:val="333333"/>
          <w:kern w:val="0"/>
          <w:sz w:val="32"/>
          <w:szCs w:val="32"/>
          <w:lang w:eastAsia="zh-CN"/>
        </w:rPr>
        <w:t>商品和服务</w:t>
      </w:r>
      <w:r>
        <w:rPr>
          <w:rFonts w:ascii="Times New Roman" w:hAnsi="Times New Roman" w:cs="Times New Roman"/>
          <w:color w:val="333333"/>
          <w:kern w:val="0"/>
          <w:sz w:val="32"/>
          <w:szCs w:val="32"/>
        </w:rPr>
        <w:t>费用。</w:t>
      </w:r>
    </w:p>
    <w:p>
      <w:pPr>
        <w:widowControl/>
        <w:shd w:val="clear" w:color="auto" w:fill="FFFFFF"/>
        <w:spacing w:before="100" w:beforeAutospacing="1" w:after="100" w:afterAutospacing="1" w:line="480" w:lineRule="auto"/>
        <w:ind w:firstLine="647"/>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三公”经费：纳入财政预决算管理的“三公”经费，是指用财政拨款安排的因公出国(境)费、公务用车购置及运行费和公务接待费。其中，因公出国(境)费反映单位因公务出国(境)的国际旅费、国外城市间交通费、住宿费、伙食费、培训费、公杂费等支出；公务用车购置及运行费反映单位因公务用车车辆购置支出(含车辆购置税)及租用费、燃料费、维修费、过路过桥费、保险费、安全奖励费用等支出；公务接待费反映单位按中央和省委省政府相关规定开支的各类公务接待(含外宾接待)支出。</w:t>
      </w:r>
    </w:p>
    <w:p>
      <w:pPr>
        <w:widowControl/>
        <w:jc w:val="left"/>
        <w:rPr>
          <w:rFonts w:asciiTheme="minorEastAsia" w:hAnsiTheme="minorEastAsia"/>
          <w:i/>
          <w:color w:val="FF0000"/>
          <w:sz w:val="32"/>
          <w:szCs w:val="32"/>
        </w:rPr>
      </w:pPr>
      <w:r>
        <w:rPr>
          <w:rFonts w:asciiTheme="minorEastAsia" w:hAnsiTheme="minorEastAsia"/>
          <w:i/>
          <w:color w:val="FF0000"/>
          <w:sz w:val="32"/>
          <w:szCs w:val="32"/>
        </w:rPr>
        <w:br w:type="page"/>
      </w: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hint="eastAsia" w:ascii="黑体" w:eastAsia="黑体" w:cs="黑体"/>
          <w:color w:val="000000"/>
          <w:kern w:val="0"/>
          <w:sz w:val="70"/>
          <w:szCs w:val="70"/>
        </w:rPr>
      </w:pPr>
      <w:r>
        <w:rPr>
          <w:rFonts w:ascii="黑体" w:eastAsia="黑体" w:cs="黑体"/>
          <w:color w:val="000000"/>
          <w:kern w:val="0"/>
          <w:sz w:val="70"/>
          <w:szCs w:val="70"/>
        </w:rPr>
        <w:br w:type="page"/>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28403"/>
    <w:multiLevelType w:val="singleLevel"/>
    <w:tmpl w:val="F9828403"/>
    <w:lvl w:ilvl="0" w:tentative="0">
      <w:start w:val="1"/>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ZjUyMGRkMWQ0MGY4MmVlZDZjYWQ2ZDM4NWRlZmQifQ=="/>
  </w:docVars>
  <w:rsids>
    <w:rsidRoot w:val="004506F9"/>
    <w:rsid w:val="0002229B"/>
    <w:rsid w:val="000273BD"/>
    <w:rsid w:val="000415B7"/>
    <w:rsid w:val="00057ED4"/>
    <w:rsid w:val="000658A3"/>
    <w:rsid w:val="00074155"/>
    <w:rsid w:val="00075C3C"/>
    <w:rsid w:val="00080A5B"/>
    <w:rsid w:val="000A2BAB"/>
    <w:rsid w:val="000A3F69"/>
    <w:rsid w:val="000A5D86"/>
    <w:rsid w:val="00137DC3"/>
    <w:rsid w:val="00152C6D"/>
    <w:rsid w:val="00162D39"/>
    <w:rsid w:val="001A30A3"/>
    <w:rsid w:val="001A67DB"/>
    <w:rsid w:val="001B1833"/>
    <w:rsid w:val="001D51E5"/>
    <w:rsid w:val="001E21AB"/>
    <w:rsid w:val="001F0C3B"/>
    <w:rsid w:val="00203534"/>
    <w:rsid w:val="00212B68"/>
    <w:rsid w:val="00214427"/>
    <w:rsid w:val="0024390A"/>
    <w:rsid w:val="00265724"/>
    <w:rsid w:val="0027426B"/>
    <w:rsid w:val="00277246"/>
    <w:rsid w:val="00295891"/>
    <w:rsid w:val="002A3307"/>
    <w:rsid w:val="002B2648"/>
    <w:rsid w:val="003107A1"/>
    <w:rsid w:val="003236D3"/>
    <w:rsid w:val="003479BD"/>
    <w:rsid w:val="003768D5"/>
    <w:rsid w:val="0039509A"/>
    <w:rsid w:val="003B00CA"/>
    <w:rsid w:val="003C2AF3"/>
    <w:rsid w:val="003E34DA"/>
    <w:rsid w:val="003F5750"/>
    <w:rsid w:val="00401A1C"/>
    <w:rsid w:val="00420B7B"/>
    <w:rsid w:val="004506F9"/>
    <w:rsid w:val="00451238"/>
    <w:rsid w:val="004717A2"/>
    <w:rsid w:val="00491741"/>
    <w:rsid w:val="004D6709"/>
    <w:rsid w:val="00500E5F"/>
    <w:rsid w:val="005122EF"/>
    <w:rsid w:val="00517C33"/>
    <w:rsid w:val="00523644"/>
    <w:rsid w:val="0054069E"/>
    <w:rsid w:val="005767CC"/>
    <w:rsid w:val="00590D9F"/>
    <w:rsid w:val="00595D26"/>
    <w:rsid w:val="005A74E6"/>
    <w:rsid w:val="005B690F"/>
    <w:rsid w:val="005D4D55"/>
    <w:rsid w:val="005E27A6"/>
    <w:rsid w:val="005E2CFB"/>
    <w:rsid w:val="005F6264"/>
    <w:rsid w:val="0062378F"/>
    <w:rsid w:val="00651EEC"/>
    <w:rsid w:val="00683C4E"/>
    <w:rsid w:val="006A351B"/>
    <w:rsid w:val="006A457E"/>
    <w:rsid w:val="006B0422"/>
    <w:rsid w:val="006C1B53"/>
    <w:rsid w:val="006D7730"/>
    <w:rsid w:val="006E5284"/>
    <w:rsid w:val="006F3EB5"/>
    <w:rsid w:val="00702E34"/>
    <w:rsid w:val="00704395"/>
    <w:rsid w:val="00720FF1"/>
    <w:rsid w:val="00744C2B"/>
    <w:rsid w:val="007D6A38"/>
    <w:rsid w:val="00810583"/>
    <w:rsid w:val="00812ED5"/>
    <w:rsid w:val="008277D9"/>
    <w:rsid w:val="00851B5B"/>
    <w:rsid w:val="00857A69"/>
    <w:rsid w:val="008A3E8D"/>
    <w:rsid w:val="008C5FFD"/>
    <w:rsid w:val="009143EA"/>
    <w:rsid w:val="00914953"/>
    <w:rsid w:val="00921581"/>
    <w:rsid w:val="009237C4"/>
    <w:rsid w:val="00950252"/>
    <w:rsid w:val="00963131"/>
    <w:rsid w:val="00967F5D"/>
    <w:rsid w:val="00985C7E"/>
    <w:rsid w:val="009A0F95"/>
    <w:rsid w:val="009A6E34"/>
    <w:rsid w:val="009B3ADF"/>
    <w:rsid w:val="009C3B52"/>
    <w:rsid w:val="009E3CA1"/>
    <w:rsid w:val="00A013A2"/>
    <w:rsid w:val="00A33387"/>
    <w:rsid w:val="00A42218"/>
    <w:rsid w:val="00A70249"/>
    <w:rsid w:val="00AB09D6"/>
    <w:rsid w:val="00AF1087"/>
    <w:rsid w:val="00B33BEA"/>
    <w:rsid w:val="00B53616"/>
    <w:rsid w:val="00B57C9F"/>
    <w:rsid w:val="00B845B3"/>
    <w:rsid w:val="00B85D8B"/>
    <w:rsid w:val="00B92B7D"/>
    <w:rsid w:val="00B97B35"/>
    <w:rsid w:val="00BC0394"/>
    <w:rsid w:val="00BE3674"/>
    <w:rsid w:val="00C3049A"/>
    <w:rsid w:val="00C31B1E"/>
    <w:rsid w:val="00C448B6"/>
    <w:rsid w:val="00C52498"/>
    <w:rsid w:val="00C66D5F"/>
    <w:rsid w:val="00C77645"/>
    <w:rsid w:val="00CE04C3"/>
    <w:rsid w:val="00CE0D08"/>
    <w:rsid w:val="00CE76A0"/>
    <w:rsid w:val="00D148C6"/>
    <w:rsid w:val="00D71466"/>
    <w:rsid w:val="00D801A3"/>
    <w:rsid w:val="00DD06FF"/>
    <w:rsid w:val="00DD5FE9"/>
    <w:rsid w:val="00E00C7A"/>
    <w:rsid w:val="00E2612C"/>
    <w:rsid w:val="00E40F58"/>
    <w:rsid w:val="00E51F2B"/>
    <w:rsid w:val="00E55B68"/>
    <w:rsid w:val="00E92119"/>
    <w:rsid w:val="00EF56E4"/>
    <w:rsid w:val="00F068DA"/>
    <w:rsid w:val="00F46BD0"/>
    <w:rsid w:val="00F529AD"/>
    <w:rsid w:val="00F74360"/>
    <w:rsid w:val="00F90646"/>
    <w:rsid w:val="00FB462F"/>
    <w:rsid w:val="00FE16FA"/>
    <w:rsid w:val="00FE328A"/>
    <w:rsid w:val="01156FB0"/>
    <w:rsid w:val="02AE199B"/>
    <w:rsid w:val="02FB1443"/>
    <w:rsid w:val="032E1F1F"/>
    <w:rsid w:val="03345AEF"/>
    <w:rsid w:val="0418139A"/>
    <w:rsid w:val="043D6C25"/>
    <w:rsid w:val="04441D61"/>
    <w:rsid w:val="04F55751"/>
    <w:rsid w:val="05EE1930"/>
    <w:rsid w:val="06221950"/>
    <w:rsid w:val="06615693"/>
    <w:rsid w:val="072E117B"/>
    <w:rsid w:val="07AB670A"/>
    <w:rsid w:val="085245C5"/>
    <w:rsid w:val="088D11A0"/>
    <w:rsid w:val="095A3DD5"/>
    <w:rsid w:val="09DE4A06"/>
    <w:rsid w:val="09E3201C"/>
    <w:rsid w:val="0A706A8F"/>
    <w:rsid w:val="0A851326"/>
    <w:rsid w:val="0AAE6186"/>
    <w:rsid w:val="0C022D24"/>
    <w:rsid w:val="0CBB6569"/>
    <w:rsid w:val="0E342C89"/>
    <w:rsid w:val="0E4532A6"/>
    <w:rsid w:val="0FAB05B0"/>
    <w:rsid w:val="10AF2C58"/>
    <w:rsid w:val="127F665A"/>
    <w:rsid w:val="12AF0CEE"/>
    <w:rsid w:val="130C25E4"/>
    <w:rsid w:val="136854BB"/>
    <w:rsid w:val="138C7281"/>
    <w:rsid w:val="13BF1404"/>
    <w:rsid w:val="13C24C12"/>
    <w:rsid w:val="13DA4148"/>
    <w:rsid w:val="14020407"/>
    <w:rsid w:val="141F27D6"/>
    <w:rsid w:val="14223741"/>
    <w:rsid w:val="14AD3953"/>
    <w:rsid w:val="1553531B"/>
    <w:rsid w:val="16096967"/>
    <w:rsid w:val="16B26890"/>
    <w:rsid w:val="16C64858"/>
    <w:rsid w:val="170D131D"/>
    <w:rsid w:val="17BD129F"/>
    <w:rsid w:val="17D905BB"/>
    <w:rsid w:val="1809243D"/>
    <w:rsid w:val="18141C2E"/>
    <w:rsid w:val="1853587D"/>
    <w:rsid w:val="18A40E50"/>
    <w:rsid w:val="19137AFC"/>
    <w:rsid w:val="19274B4F"/>
    <w:rsid w:val="19476FF6"/>
    <w:rsid w:val="1A5D31C2"/>
    <w:rsid w:val="1B6F54BE"/>
    <w:rsid w:val="1B9C7DB7"/>
    <w:rsid w:val="1BC33B72"/>
    <w:rsid w:val="1BF87E01"/>
    <w:rsid w:val="1BF9747E"/>
    <w:rsid w:val="1C254C00"/>
    <w:rsid w:val="1C57704F"/>
    <w:rsid w:val="1C7257D6"/>
    <w:rsid w:val="1C81749F"/>
    <w:rsid w:val="1D3953D5"/>
    <w:rsid w:val="1E536C65"/>
    <w:rsid w:val="1E596803"/>
    <w:rsid w:val="1EA832B2"/>
    <w:rsid w:val="1F72720B"/>
    <w:rsid w:val="20EA7FED"/>
    <w:rsid w:val="214E370F"/>
    <w:rsid w:val="2207318B"/>
    <w:rsid w:val="22C205C9"/>
    <w:rsid w:val="231921B3"/>
    <w:rsid w:val="23B64B1A"/>
    <w:rsid w:val="24010D0E"/>
    <w:rsid w:val="243E45C7"/>
    <w:rsid w:val="24594F5D"/>
    <w:rsid w:val="24DD40D8"/>
    <w:rsid w:val="254E083A"/>
    <w:rsid w:val="255B58E1"/>
    <w:rsid w:val="25733DFD"/>
    <w:rsid w:val="26141093"/>
    <w:rsid w:val="26AF5308"/>
    <w:rsid w:val="26EF1DF8"/>
    <w:rsid w:val="278218CF"/>
    <w:rsid w:val="27897907"/>
    <w:rsid w:val="284F767E"/>
    <w:rsid w:val="286E673F"/>
    <w:rsid w:val="28EC0E00"/>
    <w:rsid w:val="2A240259"/>
    <w:rsid w:val="2B572427"/>
    <w:rsid w:val="2C1D1A65"/>
    <w:rsid w:val="2DF83A39"/>
    <w:rsid w:val="2E0902D9"/>
    <w:rsid w:val="2F7D50B0"/>
    <w:rsid w:val="2FAC432F"/>
    <w:rsid w:val="2FE06533"/>
    <w:rsid w:val="2FEC78E2"/>
    <w:rsid w:val="30B712E0"/>
    <w:rsid w:val="310A06C0"/>
    <w:rsid w:val="31545920"/>
    <w:rsid w:val="31D310C0"/>
    <w:rsid w:val="32670166"/>
    <w:rsid w:val="32AE28A0"/>
    <w:rsid w:val="343B2C86"/>
    <w:rsid w:val="353D50F1"/>
    <w:rsid w:val="3550415A"/>
    <w:rsid w:val="36302AFF"/>
    <w:rsid w:val="36B8210E"/>
    <w:rsid w:val="371773B1"/>
    <w:rsid w:val="373E3A6D"/>
    <w:rsid w:val="389B2BD0"/>
    <w:rsid w:val="38B30C88"/>
    <w:rsid w:val="38C9522F"/>
    <w:rsid w:val="393208BC"/>
    <w:rsid w:val="3A4430A9"/>
    <w:rsid w:val="3AE239E9"/>
    <w:rsid w:val="3B850AFF"/>
    <w:rsid w:val="3BA743A8"/>
    <w:rsid w:val="3BAE5C5C"/>
    <w:rsid w:val="3C622E55"/>
    <w:rsid w:val="3DB0197A"/>
    <w:rsid w:val="3E3363C7"/>
    <w:rsid w:val="3E5D5551"/>
    <w:rsid w:val="3E5E1696"/>
    <w:rsid w:val="40353E63"/>
    <w:rsid w:val="40472C6E"/>
    <w:rsid w:val="41FB33A4"/>
    <w:rsid w:val="42336996"/>
    <w:rsid w:val="425E64D5"/>
    <w:rsid w:val="42AA1728"/>
    <w:rsid w:val="43BF44FD"/>
    <w:rsid w:val="43E102DB"/>
    <w:rsid w:val="44D82C00"/>
    <w:rsid w:val="45251D9B"/>
    <w:rsid w:val="45550EE8"/>
    <w:rsid w:val="45A459BF"/>
    <w:rsid w:val="476F0470"/>
    <w:rsid w:val="47AA76FA"/>
    <w:rsid w:val="480908C5"/>
    <w:rsid w:val="495E1736"/>
    <w:rsid w:val="49A33841"/>
    <w:rsid w:val="4AE45662"/>
    <w:rsid w:val="4B9D776B"/>
    <w:rsid w:val="4C0231F9"/>
    <w:rsid w:val="4C1559E9"/>
    <w:rsid w:val="4CF431C6"/>
    <w:rsid w:val="4D260461"/>
    <w:rsid w:val="4D7B194A"/>
    <w:rsid w:val="4D7D0313"/>
    <w:rsid w:val="4D9B0864"/>
    <w:rsid w:val="4DBE0B5D"/>
    <w:rsid w:val="4E4A3C24"/>
    <w:rsid w:val="4EBB043F"/>
    <w:rsid w:val="4F5D5052"/>
    <w:rsid w:val="4FD962F5"/>
    <w:rsid w:val="50A56CB1"/>
    <w:rsid w:val="512B663F"/>
    <w:rsid w:val="51694182"/>
    <w:rsid w:val="51D65BFC"/>
    <w:rsid w:val="52224331"/>
    <w:rsid w:val="52B92EE7"/>
    <w:rsid w:val="533645C1"/>
    <w:rsid w:val="537E3B46"/>
    <w:rsid w:val="548950F0"/>
    <w:rsid w:val="54D264E2"/>
    <w:rsid w:val="54D7297E"/>
    <w:rsid w:val="557B031C"/>
    <w:rsid w:val="58207565"/>
    <w:rsid w:val="582530DC"/>
    <w:rsid w:val="585C14F4"/>
    <w:rsid w:val="59F06150"/>
    <w:rsid w:val="59FD7B5D"/>
    <w:rsid w:val="5A3023B2"/>
    <w:rsid w:val="5B6360E6"/>
    <w:rsid w:val="5B77247F"/>
    <w:rsid w:val="5B9D1889"/>
    <w:rsid w:val="5BAE2176"/>
    <w:rsid w:val="5BB14C4C"/>
    <w:rsid w:val="5BD871F2"/>
    <w:rsid w:val="5DAA1DAA"/>
    <w:rsid w:val="5E6301AB"/>
    <w:rsid w:val="5F1A2C98"/>
    <w:rsid w:val="5F993E84"/>
    <w:rsid w:val="5FBB3D98"/>
    <w:rsid w:val="60AA52A5"/>
    <w:rsid w:val="60D17896"/>
    <w:rsid w:val="61001CE1"/>
    <w:rsid w:val="61B15BC0"/>
    <w:rsid w:val="62575379"/>
    <w:rsid w:val="630C6CD7"/>
    <w:rsid w:val="632432E5"/>
    <w:rsid w:val="63465158"/>
    <w:rsid w:val="6352241A"/>
    <w:rsid w:val="645F71BD"/>
    <w:rsid w:val="650C334B"/>
    <w:rsid w:val="67361AAE"/>
    <w:rsid w:val="67650AF0"/>
    <w:rsid w:val="67E474DF"/>
    <w:rsid w:val="68510EC4"/>
    <w:rsid w:val="693A329B"/>
    <w:rsid w:val="69B635FE"/>
    <w:rsid w:val="69D02B99"/>
    <w:rsid w:val="6A60645F"/>
    <w:rsid w:val="6B191BD3"/>
    <w:rsid w:val="6B2D7B77"/>
    <w:rsid w:val="6B487F00"/>
    <w:rsid w:val="6B6B5978"/>
    <w:rsid w:val="6B9036F9"/>
    <w:rsid w:val="6BA8544F"/>
    <w:rsid w:val="6BC82C13"/>
    <w:rsid w:val="6BDF408E"/>
    <w:rsid w:val="6C1B0A5A"/>
    <w:rsid w:val="6C9C4FB4"/>
    <w:rsid w:val="6DD4077E"/>
    <w:rsid w:val="6F826B56"/>
    <w:rsid w:val="6FAA3E8C"/>
    <w:rsid w:val="706E4EB9"/>
    <w:rsid w:val="70B4781B"/>
    <w:rsid w:val="70E1568B"/>
    <w:rsid w:val="71D46F0F"/>
    <w:rsid w:val="71E87552"/>
    <w:rsid w:val="72BA54D3"/>
    <w:rsid w:val="72C139C6"/>
    <w:rsid w:val="736942B4"/>
    <w:rsid w:val="73972979"/>
    <w:rsid w:val="73F13724"/>
    <w:rsid w:val="74347B76"/>
    <w:rsid w:val="74D013AE"/>
    <w:rsid w:val="755A3B91"/>
    <w:rsid w:val="7662101C"/>
    <w:rsid w:val="76BC3EA1"/>
    <w:rsid w:val="77BB6298"/>
    <w:rsid w:val="781238AD"/>
    <w:rsid w:val="790B3196"/>
    <w:rsid w:val="79351208"/>
    <w:rsid w:val="79610678"/>
    <w:rsid w:val="79B10C2A"/>
    <w:rsid w:val="7AA03EC1"/>
    <w:rsid w:val="7B38234C"/>
    <w:rsid w:val="7B65510B"/>
    <w:rsid w:val="7B95154C"/>
    <w:rsid w:val="7BC71922"/>
    <w:rsid w:val="7CD8510F"/>
    <w:rsid w:val="7D2E1962"/>
    <w:rsid w:val="7D785481"/>
    <w:rsid w:val="7D8803DB"/>
    <w:rsid w:val="7D9C7676"/>
    <w:rsid w:val="7E1B411B"/>
    <w:rsid w:val="7FD71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rPr>
      <w:szCs w:val="22"/>
    </w:r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paragraph" w:styleId="1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8">
    <w:name w:val="标题 1 Char"/>
    <w:basedOn w:val="11"/>
    <w:link w:val="2"/>
    <w:qFormat/>
    <w:uiPriority w:val="9"/>
    <w:rPr>
      <w:b/>
      <w:bCs/>
      <w:kern w:val="44"/>
      <w:sz w:val="44"/>
      <w:szCs w:val="44"/>
    </w:rPr>
  </w:style>
  <w:style w:type="character" w:customStyle="1" w:styleId="19">
    <w:name w:val="标题 2 Char"/>
    <w:basedOn w:val="11"/>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C429A-EA78-4B53-8FBF-6439D75AA95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6248</Words>
  <Characters>7981</Characters>
  <Lines>122</Lines>
  <Paragraphs>34</Paragraphs>
  <TotalTime>10</TotalTime>
  <ScaleCrop>false</ScaleCrop>
  <LinksUpToDate>false</LinksUpToDate>
  <CharactersWithSpaces>9374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刘梓涵35</cp:lastModifiedBy>
  <cp:lastPrinted>2022-09-05T04:22:00Z</cp:lastPrinted>
  <dcterms:modified xsi:type="dcterms:W3CDTF">2022-09-13T04:27:24Z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E8168649177441E3A4DC3FB8F7672E0F</vt:lpwstr>
  </property>
</Properties>
</file>