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embeddings/Microsoft_Visio_2003-2010___8.vsd" ContentType="application/vnd.visio"/>
  <Override PartName="/word/embeddings/Microsoft_Visio___1.vsdx" ContentType="application/vnd.ms-visio.drawing"/>
  <Override PartName="/word/embeddings/Microsoft_Visio___2.vsdx" ContentType="application/vnd.ms-visio.drawing"/>
  <Override PartName="/word/embeddings/Microsoft_Visio___3.vsdx" ContentType="application/vnd.ms-visio.drawing"/>
  <Override PartName="/word/embeddings/Microsoft_Visio___4.vsdx" ContentType="application/vnd.ms-visio.drawing"/>
  <Override PartName="/word/embeddings/Microsoft_Visio___5.vsdx" ContentType="application/vnd.ms-visio.drawing"/>
  <Override PartName="/word/embeddings/Microsoft_Visio___6.vsdx" ContentType="application/vnd.ms-visio.drawing"/>
  <Override PartName="/word/embeddings/Microsoft_Visio___7.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r>
        <w:rPr>
          <w:rFonts w:cs="Times New Roman"/>
          <w:sz w:val="44"/>
          <w:szCs w:val="44"/>
        </w:rPr>
        <w:t>湖南将军新型建材生产项目</w:t>
      </w:r>
    </w:p>
    <w:p>
      <w:pPr>
        <w:ind w:firstLine="0" w:firstLineChars="0"/>
        <w:jc w:val="center"/>
        <w:rPr>
          <w:rFonts w:cs="Times New Roman"/>
          <w:sz w:val="44"/>
          <w:szCs w:val="44"/>
        </w:rPr>
      </w:pPr>
      <w:r>
        <w:rPr>
          <w:rFonts w:cs="Times New Roman"/>
          <w:sz w:val="44"/>
          <w:szCs w:val="44"/>
        </w:rPr>
        <w:t>环境影响报告书</w:t>
      </w:r>
    </w:p>
    <w:p>
      <w:pPr>
        <w:ind w:firstLine="0" w:firstLineChars="0"/>
        <w:jc w:val="center"/>
        <w:rPr>
          <w:rFonts w:cs="Times New Roman"/>
          <w:sz w:val="36"/>
          <w:szCs w:val="36"/>
        </w:rPr>
      </w:pPr>
      <w:r>
        <w:rPr>
          <w:rFonts w:cs="Times New Roman"/>
          <w:sz w:val="36"/>
          <w:szCs w:val="36"/>
        </w:rPr>
        <w:t>（</w:t>
      </w:r>
      <w:r>
        <w:rPr>
          <w:rFonts w:hint="eastAsia" w:cs="Times New Roman"/>
          <w:sz w:val="36"/>
          <w:szCs w:val="36"/>
        </w:rPr>
        <w:t>报批</w:t>
      </w:r>
      <w:r>
        <w:rPr>
          <w:rFonts w:cs="Times New Roman"/>
          <w:sz w:val="36"/>
          <w:szCs w:val="36"/>
        </w:rPr>
        <w:t>稿）</w:t>
      </w: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44"/>
          <w:szCs w:val="44"/>
        </w:rPr>
      </w:pPr>
    </w:p>
    <w:p>
      <w:pPr>
        <w:ind w:firstLine="0" w:firstLineChars="0"/>
        <w:jc w:val="center"/>
        <w:rPr>
          <w:rFonts w:cs="Times New Roman"/>
          <w:sz w:val="32"/>
          <w:szCs w:val="32"/>
        </w:rPr>
      </w:pPr>
      <w:r>
        <w:rPr>
          <w:rFonts w:cs="Times New Roman"/>
          <w:sz w:val="32"/>
          <w:szCs w:val="32"/>
        </w:rPr>
        <w:t>建设单位：湖南将军新型建材有限公司</w:t>
      </w:r>
    </w:p>
    <w:p>
      <w:pPr>
        <w:ind w:firstLine="0" w:firstLineChars="0"/>
        <w:jc w:val="center"/>
        <w:rPr>
          <w:rFonts w:cs="Times New Roman"/>
          <w:sz w:val="32"/>
          <w:szCs w:val="32"/>
        </w:rPr>
      </w:pPr>
      <w:r>
        <w:rPr>
          <w:rFonts w:cs="Times New Roman"/>
          <w:sz w:val="32"/>
          <w:szCs w:val="32"/>
        </w:rPr>
        <w:t>编制单位：</w:t>
      </w:r>
      <w:r>
        <w:rPr>
          <w:rFonts w:hint="eastAsia" w:cs="Times New Roman"/>
          <w:sz w:val="32"/>
          <w:szCs w:val="32"/>
        </w:rPr>
        <w:t>贵州恒蓝环境工程有限公司</w:t>
      </w:r>
    </w:p>
    <w:p>
      <w:pPr>
        <w:ind w:firstLine="0" w:firstLineChars="0"/>
        <w:jc w:val="center"/>
        <w:rPr>
          <w:rFonts w:cs="Times New Roman"/>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pPr>
      <w:r>
        <w:rPr>
          <w:rFonts w:cs="Times New Roman"/>
          <w:sz w:val="32"/>
          <w:szCs w:val="32"/>
        </w:rPr>
        <w:t>二○二一年</w:t>
      </w:r>
      <w:r>
        <w:rPr>
          <w:rFonts w:hint="eastAsia" w:cs="Times New Roman"/>
          <w:sz w:val="32"/>
          <w:szCs w:val="32"/>
        </w:rPr>
        <w:t>十二</w:t>
      </w:r>
      <w:r>
        <w:rPr>
          <w:rFonts w:cs="Times New Roman"/>
          <w:sz w:val="32"/>
          <w:szCs w:val="32"/>
        </w:rPr>
        <w:t>月</w:t>
      </w:r>
    </w:p>
    <w:p>
      <w:pPr>
        <w:ind w:firstLine="0" w:firstLineChars="0"/>
        <w:jc w:val="center"/>
        <w:rPr>
          <w:rFonts w:cs="Times New Roman"/>
          <w:sz w:val="32"/>
          <w:szCs w:val="32"/>
        </w:rPr>
      </w:pPr>
      <w:r>
        <w:rPr>
          <w:rFonts w:cs="Times New Roman"/>
          <w:sz w:val="32"/>
          <w:szCs w:val="32"/>
        </w:rPr>
        <w:t>目  录</w:t>
      </w:r>
    </w:p>
    <w:p>
      <w:pPr>
        <w:pStyle w:val="31"/>
        <w:tabs>
          <w:tab w:val="right" w:leader="dot" w:pos="8721"/>
        </w:tabs>
        <w:spacing w:line="360" w:lineRule="auto"/>
        <w:rPr>
          <w:sz w:val="24"/>
        </w:rPr>
      </w:pPr>
      <w:r>
        <w:fldChar w:fldCharType="begin"/>
      </w:r>
      <w:r>
        <w:instrText xml:space="preserve"> TOC \o "1-3" \h \z \u </w:instrText>
      </w:r>
      <w:r>
        <w:fldChar w:fldCharType="separate"/>
      </w:r>
      <w:r>
        <w:fldChar w:fldCharType="begin"/>
      </w:r>
      <w:r>
        <w:instrText xml:space="preserve"> HYPERLINK \l "_Toc86611212" </w:instrText>
      </w:r>
      <w:r>
        <w:fldChar w:fldCharType="separate"/>
      </w:r>
      <w:r>
        <w:rPr>
          <w:rStyle w:val="54"/>
          <w:sz w:val="24"/>
        </w:rPr>
        <w:t>1概述</w:t>
      </w:r>
      <w:r>
        <w:rPr>
          <w:sz w:val="24"/>
        </w:rPr>
        <w:tab/>
      </w:r>
      <w:r>
        <w:rPr>
          <w:sz w:val="24"/>
        </w:rPr>
        <w:fldChar w:fldCharType="begin"/>
      </w:r>
      <w:r>
        <w:rPr>
          <w:sz w:val="24"/>
        </w:rPr>
        <w:instrText xml:space="preserve"> PAGEREF _Toc86611212 \h </w:instrText>
      </w:r>
      <w:r>
        <w:rPr>
          <w:sz w:val="24"/>
        </w:rPr>
        <w:fldChar w:fldCharType="separate"/>
      </w:r>
      <w:r>
        <w:rPr>
          <w:sz w:val="24"/>
        </w:rPr>
        <w:t>1</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"_Toc86611213" </w:instrText>
      </w:r>
      <w:r>
        <w:fldChar w:fldCharType="separate"/>
      </w:r>
      <w:r>
        <w:rPr>
          <w:rStyle w:val="54"/>
          <w:sz w:val="24"/>
        </w:rPr>
        <w:t>1.1项目背景</w:t>
      </w:r>
      <w:r>
        <w:rPr>
          <w:sz w:val="24"/>
        </w:rPr>
        <w:tab/>
      </w:r>
      <w:r>
        <w:rPr>
          <w:sz w:val="24"/>
        </w:rPr>
        <w:fldChar w:fldCharType="begin"/>
      </w:r>
      <w:r>
        <w:rPr>
          <w:sz w:val="24"/>
        </w:rPr>
        <w:instrText xml:space="preserve"> PAGEREF _Toc86611213 \h </w:instrText>
      </w:r>
      <w:r>
        <w:rPr>
          <w:sz w:val="24"/>
        </w:rPr>
        <w:fldChar w:fldCharType="separate"/>
      </w:r>
      <w:r>
        <w:rPr>
          <w:sz w:val="24"/>
        </w:rPr>
        <w:t>1</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"_Toc86611214" </w:instrText>
      </w:r>
      <w:r>
        <w:fldChar w:fldCharType="separate"/>
      </w:r>
      <w:r>
        <w:rPr>
          <w:rStyle w:val="54"/>
          <w:sz w:val="24"/>
        </w:rPr>
        <w:t>1.2建设项目特点</w:t>
      </w:r>
      <w:r>
        <w:rPr>
          <w:sz w:val="24"/>
        </w:rPr>
        <w:tab/>
      </w:r>
      <w:r>
        <w:rPr>
          <w:sz w:val="24"/>
        </w:rPr>
        <w:fldChar w:fldCharType="begin"/>
      </w:r>
      <w:r>
        <w:rPr>
          <w:sz w:val="24"/>
        </w:rPr>
        <w:instrText xml:space="preserve"> PAGEREF _Toc86611214 \h </w:instrText>
      </w:r>
      <w:r>
        <w:rPr>
          <w:sz w:val="24"/>
        </w:rPr>
        <w:fldChar w:fldCharType="separate"/>
      </w:r>
      <w:r>
        <w:rPr>
          <w:sz w:val="24"/>
        </w:rPr>
        <w:t>2</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"_Toc86611215" </w:instrText>
      </w:r>
      <w:r>
        <w:fldChar w:fldCharType="separate"/>
      </w:r>
      <w:r>
        <w:rPr>
          <w:rStyle w:val="54"/>
          <w:sz w:val="24"/>
        </w:rPr>
        <w:t>1.3环境影响评价的工作过程</w:t>
      </w:r>
      <w:r>
        <w:rPr>
          <w:sz w:val="24"/>
        </w:rPr>
        <w:tab/>
      </w:r>
      <w:r>
        <w:rPr>
          <w:sz w:val="24"/>
        </w:rPr>
        <w:fldChar w:fldCharType="begin"/>
      </w:r>
      <w:r>
        <w:rPr>
          <w:sz w:val="24"/>
        </w:rPr>
        <w:instrText xml:space="preserve"> PAGEREF _Toc86611215 \h </w:instrText>
      </w:r>
      <w:r>
        <w:rPr>
          <w:sz w:val="24"/>
        </w:rPr>
        <w:fldChar w:fldCharType="separate"/>
      </w:r>
      <w:r>
        <w:rPr>
          <w:sz w:val="24"/>
        </w:rPr>
        <w:t>3</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"_Toc86611216" </w:instrText>
      </w:r>
      <w:r>
        <w:fldChar w:fldCharType="separate"/>
      </w:r>
      <w:r>
        <w:rPr>
          <w:rStyle w:val="54"/>
          <w:sz w:val="24"/>
        </w:rPr>
        <w:t>1.4分析判定相关情况</w:t>
      </w:r>
      <w:r>
        <w:rPr>
          <w:sz w:val="24"/>
        </w:rPr>
        <w:tab/>
      </w:r>
      <w:r>
        <w:rPr>
          <w:sz w:val="24"/>
        </w:rPr>
        <w:fldChar w:fldCharType="begin"/>
      </w:r>
      <w:r>
        <w:rPr>
          <w:sz w:val="24"/>
        </w:rPr>
        <w:instrText xml:space="preserve"> PAGEREF _Toc86611216 \h </w:instrText>
      </w:r>
      <w:r>
        <w:rPr>
          <w:sz w:val="24"/>
        </w:rPr>
        <w:fldChar w:fldCharType="separate"/>
      </w:r>
      <w:r>
        <w:rPr>
          <w:sz w:val="24"/>
        </w:rPr>
        <w:t>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"_Toc86611217" </w:instrText>
      </w:r>
      <w:r>
        <w:fldChar w:fldCharType="separate"/>
      </w:r>
      <w:r>
        <w:rPr>
          <w:rStyle w:val="54"/>
          <w:sz w:val="24"/>
        </w:rPr>
        <w:t>1.4.1产业政策符合性分析</w:t>
      </w:r>
      <w:r>
        <w:rPr>
          <w:sz w:val="24"/>
        </w:rPr>
        <w:tab/>
      </w:r>
      <w:r>
        <w:rPr>
          <w:sz w:val="24"/>
        </w:rPr>
        <w:fldChar w:fldCharType="begin"/>
      </w:r>
      <w:r>
        <w:rPr>
          <w:sz w:val="24"/>
        </w:rPr>
        <w:instrText xml:space="preserve"> PAGEREF _Toc86611217 \h </w:instrText>
      </w:r>
      <w:r>
        <w:rPr>
          <w:sz w:val="24"/>
        </w:rPr>
        <w:fldChar w:fldCharType="separate"/>
      </w:r>
      <w:r>
        <w:rPr>
          <w:sz w:val="24"/>
        </w:rPr>
        <w:t>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"_Toc86611218" </w:instrText>
      </w:r>
      <w:r>
        <w:fldChar w:fldCharType="separate"/>
      </w:r>
      <w:r>
        <w:rPr>
          <w:rStyle w:val="54"/>
          <w:sz w:val="24"/>
        </w:rPr>
        <w:t>1.4.2 与污染防治文件符合性分析</w:t>
      </w:r>
      <w:r>
        <w:rPr>
          <w:sz w:val="24"/>
        </w:rPr>
        <w:tab/>
      </w:r>
      <w:r>
        <w:rPr>
          <w:sz w:val="24"/>
        </w:rPr>
        <w:fldChar w:fldCharType="begin"/>
      </w:r>
      <w:r>
        <w:rPr>
          <w:sz w:val="24"/>
        </w:rPr>
        <w:instrText xml:space="preserve"> PAGEREF _Toc86611218 \h </w:instrText>
      </w:r>
      <w:r>
        <w:rPr>
          <w:sz w:val="24"/>
        </w:rPr>
        <w:fldChar w:fldCharType="separate"/>
      </w:r>
      <w:r>
        <w:rPr>
          <w:sz w:val="24"/>
        </w:rPr>
        <w:t>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"_Toc86611219" </w:instrText>
      </w:r>
      <w:r>
        <w:fldChar w:fldCharType="separate"/>
      </w:r>
      <w:r>
        <w:rPr>
          <w:rStyle w:val="54"/>
          <w:sz w:val="24"/>
        </w:rPr>
        <w:t>1.4.3 选址合理性分析</w:t>
      </w:r>
      <w:r>
        <w:rPr>
          <w:sz w:val="24"/>
        </w:rPr>
        <w:tab/>
      </w:r>
      <w:r>
        <w:rPr>
          <w:sz w:val="24"/>
        </w:rPr>
        <w:fldChar w:fldCharType="begin"/>
      </w:r>
      <w:r>
        <w:rPr>
          <w:sz w:val="24"/>
        </w:rPr>
        <w:instrText xml:space="preserve"> PAGEREF _Toc86611219 \h </w:instrText>
      </w:r>
      <w:r>
        <w:rPr>
          <w:sz w:val="24"/>
        </w:rPr>
        <w:fldChar w:fldCharType="separate"/>
      </w:r>
      <w:r>
        <w:rPr>
          <w:sz w:val="24"/>
        </w:rPr>
        <w:t>10</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"_Toc86611220" </w:instrText>
      </w:r>
      <w:r>
        <w:fldChar w:fldCharType="separate"/>
      </w:r>
      <w:r>
        <w:rPr>
          <w:rStyle w:val="54"/>
          <w:sz w:val="24"/>
        </w:rPr>
        <w:t>1.4.4 “三线一单”相符性</w:t>
      </w:r>
      <w:r>
        <w:rPr>
          <w:sz w:val="24"/>
        </w:rPr>
        <w:tab/>
      </w:r>
      <w:r>
        <w:rPr>
          <w:sz w:val="24"/>
        </w:rPr>
        <w:fldChar w:fldCharType="begin"/>
      </w:r>
      <w:r>
        <w:rPr>
          <w:sz w:val="24"/>
        </w:rPr>
        <w:instrText xml:space="preserve"> PAGEREF _Toc86611220 \h </w:instrText>
      </w:r>
      <w:r>
        <w:rPr>
          <w:sz w:val="24"/>
        </w:rPr>
        <w:fldChar w:fldCharType="separate"/>
      </w:r>
      <w:r>
        <w:rPr>
          <w:sz w:val="24"/>
        </w:rPr>
        <w:t>16</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"_Toc86611221" </w:instrText>
      </w:r>
      <w:r>
        <w:fldChar w:fldCharType="separate"/>
      </w:r>
      <w:r>
        <w:rPr>
          <w:rStyle w:val="54"/>
          <w:sz w:val="24"/>
        </w:rPr>
        <w:t>1.4.5环境制约因素</w:t>
      </w:r>
      <w:r>
        <w:rPr>
          <w:sz w:val="24"/>
        </w:rPr>
        <w:tab/>
      </w:r>
      <w:r>
        <w:rPr>
          <w:sz w:val="24"/>
        </w:rPr>
        <w:fldChar w:fldCharType="begin"/>
      </w:r>
      <w:r>
        <w:rPr>
          <w:sz w:val="24"/>
        </w:rPr>
        <w:instrText xml:space="preserve"> PAGEREF _Toc86611221 \h </w:instrText>
      </w:r>
      <w:r>
        <w:rPr>
          <w:sz w:val="24"/>
        </w:rPr>
        <w:fldChar w:fldCharType="separate"/>
      </w:r>
      <w:r>
        <w:rPr>
          <w:sz w:val="24"/>
        </w:rPr>
        <w:t>19</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"_Toc86611222" </w:instrText>
      </w:r>
      <w:r>
        <w:fldChar w:fldCharType="separate"/>
      </w:r>
      <w:r>
        <w:rPr>
          <w:rStyle w:val="54"/>
          <w:sz w:val="24"/>
        </w:rPr>
        <w:t>1.5关注的主要环境问题及环境影响</w:t>
      </w:r>
      <w:r>
        <w:rPr>
          <w:sz w:val="24"/>
        </w:rPr>
        <w:tab/>
      </w:r>
      <w:r>
        <w:rPr>
          <w:sz w:val="24"/>
        </w:rPr>
        <w:fldChar w:fldCharType="begin"/>
      </w:r>
      <w:r>
        <w:rPr>
          <w:sz w:val="24"/>
        </w:rPr>
        <w:instrText xml:space="preserve"> PAGEREF _Toc86611222 \h </w:instrText>
      </w:r>
      <w:r>
        <w:rPr>
          <w:sz w:val="24"/>
        </w:rPr>
        <w:fldChar w:fldCharType="separate"/>
      </w:r>
      <w:r>
        <w:rPr>
          <w:sz w:val="24"/>
        </w:rPr>
        <w:t>19</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"_Toc86611223" </w:instrText>
      </w:r>
      <w:r>
        <w:fldChar w:fldCharType="separate"/>
      </w:r>
      <w:r>
        <w:rPr>
          <w:rStyle w:val="54"/>
          <w:sz w:val="24"/>
        </w:rPr>
        <w:t>1.6主要结论</w:t>
      </w:r>
      <w:r>
        <w:rPr>
          <w:sz w:val="24"/>
        </w:rPr>
        <w:tab/>
      </w:r>
      <w:r>
        <w:rPr>
          <w:sz w:val="24"/>
        </w:rPr>
        <w:fldChar w:fldCharType="begin"/>
      </w:r>
      <w:r>
        <w:rPr>
          <w:sz w:val="24"/>
        </w:rPr>
        <w:instrText xml:space="preserve"> PAGEREF _Toc86611223 \h </w:instrText>
      </w:r>
      <w:r>
        <w:rPr>
          <w:sz w:val="24"/>
        </w:rPr>
        <w:fldChar w:fldCharType="separate"/>
      </w:r>
      <w:r>
        <w:rPr>
          <w:sz w:val="24"/>
        </w:rPr>
        <w:t>19</w:t>
      </w:r>
      <w:r>
        <w:rPr>
          <w:sz w:val="24"/>
        </w:rPr>
        <w:fldChar w:fldCharType="end"/>
      </w:r>
      <w:r>
        <w:rPr>
          <w:sz w:val="24"/>
        </w:rPr>
        <w:fldChar w:fldCharType="end"/>
      </w:r>
    </w:p>
    <w:p>
      <w:pPr>
        <w:pStyle w:val="31"/>
        <w:tabs>
          <w:tab w:val="right" w:leader="dot" w:pos="8721"/>
        </w:tabs>
        <w:spacing w:line="360" w:lineRule="auto"/>
        <w:rPr>
          <w:sz w:val="24"/>
        </w:rPr>
      </w:pPr>
      <w:r>
        <w:fldChar w:fldCharType="begin"/>
      </w:r>
      <w:r>
        <w:instrText xml:space="preserve"> HYPERLINK \l "_Toc86611224" </w:instrText>
      </w:r>
      <w:r>
        <w:fldChar w:fldCharType="separate"/>
      </w:r>
      <w:r>
        <w:rPr>
          <w:rStyle w:val="54"/>
          <w:sz w:val="24"/>
        </w:rPr>
        <w:t>2总则</w:t>
      </w:r>
      <w:r>
        <w:rPr>
          <w:sz w:val="24"/>
        </w:rPr>
        <w:tab/>
      </w:r>
      <w:r>
        <w:rPr>
          <w:sz w:val="24"/>
        </w:rPr>
        <w:fldChar w:fldCharType="begin"/>
      </w:r>
      <w:r>
        <w:rPr>
          <w:sz w:val="24"/>
        </w:rPr>
        <w:instrText xml:space="preserve"> PAGEREF _Toc86611224 \h </w:instrText>
      </w:r>
      <w:r>
        <w:rPr>
          <w:sz w:val="24"/>
        </w:rPr>
        <w:fldChar w:fldCharType="separate"/>
      </w:r>
      <w:r>
        <w:rPr>
          <w:sz w:val="24"/>
        </w:rPr>
        <w:t>21</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"_Toc86611225" </w:instrText>
      </w:r>
      <w:r>
        <w:fldChar w:fldCharType="separate"/>
      </w:r>
      <w:r>
        <w:rPr>
          <w:rStyle w:val="54"/>
          <w:sz w:val="24"/>
        </w:rPr>
        <w:t>2.1编制依据</w:t>
      </w:r>
      <w:r>
        <w:rPr>
          <w:sz w:val="24"/>
        </w:rPr>
        <w:tab/>
      </w:r>
      <w:r>
        <w:rPr>
          <w:sz w:val="24"/>
        </w:rPr>
        <w:fldChar w:fldCharType="begin"/>
      </w:r>
      <w:r>
        <w:rPr>
          <w:sz w:val="24"/>
        </w:rPr>
        <w:instrText xml:space="preserve"> PAGEREF _Toc86611225 \h </w:instrText>
      </w:r>
      <w:r>
        <w:rPr>
          <w:sz w:val="24"/>
        </w:rPr>
        <w:fldChar w:fldCharType="separate"/>
      </w:r>
      <w:r>
        <w:rPr>
          <w:sz w:val="24"/>
        </w:rPr>
        <w:t>21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"_Toc86611226" </w:instrText>
      </w:r>
      <w:r>
        <w:fldChar w:fldCharType="separate"/>
      </w:r>
      <w:r>
        <w:rPr>
          <w:rStyle w:val="54"/>
          <w:sz w:val="24"/>
        </w:rPr>
        <w:t>2.1.1环境保护相关法律</w:t>
      </w:r>
      <w:r>
        <w:rPr>
          <w:sz w:val="24"/>
        </w:rPr>
        <w:tab/>
      </w:r>
      <w:r>
        <w:rPr>
          <w:sz w:val="24"/>
        </w:rPr>
        <w:fldChar w:fldCharType="begin"/>
      </w:r>
      <w:r>
        <w:rPr>
          <w:sz w:val="24"/>
        </w:rPr>
        <w:instrText xml:space="preserve"> PAGEREF _Toc86611226 \h </w:instrText>
      </w:r>
      <w:r>
        <w:rPr>
          <w:sz w:val="24"/>
        </w:rPr>
        <w:fldChar w:fldCharType="separate"/>
      </w:r>
      <w:r>
        <w:rPr>
          <w:sz w:val="24"/>
        </w:rPr>
        <w:t>21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"_Toc86611227" </w:instrText>
      </w:r>
      <w:r>
        <w:fldChar w:fldCharType="separate"/>
      </w:r>
      <w:r>
        <w:rPr>
          <w:rStyle w:val="54"/>
          <w:sz w:val="24"/>
        </w:rPr>
        <w:t>2.1.2环境保护行政法规及文件</w:t>
      </w:r>
      <w:r>
        <w:rPr>
          <w:sz w:val="24"/>
        </w:rPr>
        <w:tab/>
      </w:r>
      <w:r>
        <w:rPr>
          <w:sz w:val="24"/>
        </w:rPr>
        <w:fldChar w:fldCharType="begin"/>
      </w:r>
      <w:r>
        <w:rPr>
          <w:sz w:val="24"/>
        </w:rPr>
        <w:instrText xml:space="preserve"> PAGEREF _Toc86611227 \h </w:instrText>
      </w:r>
      <w:r>
        <w:rPr>
          <w:sz w:val="24"/>
        </w:rPr>
        <w:fldChar w:fldCharType="separate"/>
      </w:r>
      <w:r>
        <w:rPr>
          <w:sz w:val="24"/>
        </w:rPr>
        <w:t>22</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"_Toc86611228" </w:instrText>
      </w:r>
      <w:r>
        <w:fldChar w:fldCharType="separate"/>
      </w:r>
      <w:r>
        <w:rPr>
          <w:rStyle w:val="54"/>
          <w:sz w:val="24"/>
        </w:rPr>
        <w:t>2.1.3技术导则、规范</w:t>
      </w:r>
      <w:r>
        <w:rPr>
          <w:sz w:val="24"/>
        </w:rPr>
        <w:tab/>
      </w:r>
      <w:r>
        <w:rPr>
          <w:sz w:val="24"/>
        </w:rPr>
        <w:fldChar w:fldCharType="begin"/>
      </w:r>
      <w:r>
        <w:rPr>
          <w:sz w:val="24"/>
        </w:rPr>
        <w:instrText xml:space="preserve"> PAGEREF _Toc86611228 \h </w:instrText>
      </w:r>
      <w:r>
        <w:rPr>
          <w:sz w:val="24"/>
        </w:rPr>
        <w:fldChar w:fldCharType="separate"/>
      </w:r>
      <w:r>
        <w:rPr>
          <w:sz w:val="24"/>
        </w:rPr>
        <w:t>24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"_Toc86611229" </w:instrText>
      </w:r>
      <w:r>
        <w:fldChar w:fldCharType="separate"/>
      </w:r>
      <w:r>
        <w:rPr>
          <w:rStyle w:val="54"/>
          <w:sz w:val="24"/>
        </w:rPr>
        <w:t>2.1.4相关文件、资料</w:t>
      </w:r>
      <w:r>
        <w:rPr>
          <w:sz w:val="24"/>
        </w:rPr>
        <w:tab/>
      </w:r>
      <w:r>
        <w:rPr>
          <w:sz w:val="24"/>
        </w:rPr>
        <w:fldChar w:fldCharType="begin"/>
      </w:r>
      <w:r>
        <w:rPr>
          <w:sz w:val="24"/>
        </w:rPr>
        <w:instrText xml:space="preserve"> PAGEREF _Toc86611229 \h </w:instrText>
      </w:r>
      <w:r>
        <w:rPr>
          <w:sz w:val="24"/>
        </w:rPr>
        <w:fldChar w:fldCharType="separate"/>
      </w:r>
      <w:r>
        <w:rPr>
          <w:sz w:val="24"/>
        </w:rPr>
        <w:t>25</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"_Toc86611230" </w:instrText>
      </w:r>
      <w:r>
        <w:fldChar w:fldCharType="separate"/>
      </w:r>
      <w:r>
        <w:rPr>
          <w:rStyle w:val="54"/>
          <w:sz w:val="24"/>
        </w:rPr>
        <w:t>2.2评价因子与评价标准</w:t>
      </w:r>
      <w:r>
        <w:rPr>
          <w:sz w:val="24"/>
        </w:rPr>
        <w:tab/>
      </w:r>
      <w:r>
        <w:rPr>
          <w:sz w:val="24"/>
        </w:rPr>
        <w:fldChar w:fldCharType="begin"/>
      </w:r>
      <w:r>
        <w:rPr>
          <w:sz w:val="24"/>
        </w:rPr>
        <w:instrText xml:space="preserve"> PAGEREF _Toc86611230 \h </w:instrText>
      </w:r>
      <w:r>
        <w:rPr>
          <w:sz w:val="24"/>
        </w:rPr>
        <w:fldChar w:fldCharType="separate"/>
      </w:r>
      <w:r>
        <w:rPr>
          <w:sz w:val="24"/>
        </w:rPr>
        <w:t>25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"_Toc86611231" </w:instrText>
      </w:r>
      <w:r>
        <w:fldChar w:fldCharType="separate"/>
      </w:r>
      <w:r>
        <w:rPr>
          <w:rStyle w:val="54"/>
          <w:sz w:val="24"/>
        </w:rPr>
        <w:t>2.2.1评价因子</w:t>
      </w:r>
      <w:r>
        <w:rPr>
          <w:sz w:val="24"/>
        </w:rPr>
        <w:tab/>
      </w:r>
      <w:r>
        <w:rPr>
          <w:sz w:val="24"/>
        </w:rPr>
        <w:fldChar w:fldCharType="begin"/>
      </w:r>
      <w:r>
        <w:rPr>
          <w:sz w:val="24"/>
        </w:rPr>
        <w:instrText xml:space="preserve"> PAGEREF _Toc86611231 \h </w:instrText>
      </w:r>
      <w:r>
        <w:rPr>
          <w:sz w:val="24"/>
        </w:rPr>
        <w:fldChar w:fldCharType="separate"/>
      </w:r>
      <w:r>
        <w:rPr>
          <w:sz w:val="24"/>
        </w:rPr>
        <w:t>25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"_Toc86611232" </w:instrText>
      </w:r>
      <w:r>
        <w:fldChar w:fldCharType="separate"/>
      </w:r>
      <w:r>
        <w:rPr>
          <w:rStyle w:val="54"/>
          <w:sz w:val="24"/>
        </w:rPr>
        <w:t>2.2.2评价标准</w:t>
      </w:r>
      <w:r>
        <w:rPr>
          <w:sz w:val="24"/>
        </w:rPr>
        <w:tab/>
      </w:r>
      <w:r>
        <w:rPr>
          <w:sz w:val="24"/>
        </w:rPr>
        <w:fldChar w:fldCharType="begin"/>
      </w:r>
      <w:r>
        <w:rPr>
          <w:sz w:val="24"/>
        </w:rPr>
        <w:instrText xml:space="preserve"> PAGEREF _Toc86611232 \h </w:instrText>
      </w:r>
      <w:r>
        <w:rPr>
          <w:sz w:val="24"/>
        </w:rPr>
        <w:fldChar w:fldCharType="separate"/>
      </w:r>
      <w:r>
        <w:rPr>
          <w:sz w:val="24"/>
        </w:rPr>
        <w:t>27</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"_Toc86611233" </w:instrText>
      </w:r>
      <w:r>
        <w:fldChar w:fldCharType="separate"/>
      </w:r>
      <w:r>
        <w:rPr>
          <w:rStyle w:val="54"/>
          <w:sz w:val="24"/>
        </w:rPr>
        <w:t>2.3评价工作等级和评价范围</w:t>
      </w:r>
      <w:r>
        <w:rPr>
          <w:sz w:val="24"/>
        </w:rPr>
        <w:tab/>
      </w:r>
      <w:r>
        <w:rPr>
          <w:sz w:val="24"/>
        </w:rPr>
        <w:fldChar w:fldCharType="begin"/>
      </w:r>
      <w:r>
        <w:rPr>
          <w:sz w:val="24"/>
        </w:rPr>
        <w:instrText xml:space="preserve"> PAGEREF _Toc86611233 \h </w:instrText>
      </w:r>
      <w:r>
        <w:rPr>
          <w:sz w:val="24"/>
        </w:rPr>
        <w:fldChar w:fldCharType="separate"/>
      </w:r>
      <w:r>
        <w:rPr>
          <w:sz w:val="24"/>
        </w:rPr>
        <w:t>37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"_Toc86611234" </w:instrText>
      </w:r>
      <w:r>
        <w:fldChar w:fldCharType="separate"/>
      </w:r>
      <w:r>
        <w:rPr>
          <w:rStyle w:val="54"/>
          <w:sz w:val="24"/>
        </w:rPr>
        <w:t>2.3.1 大气环境影响评价等级</w:t>
      </w:r>
      <w:r>
        <w:rPr>
          <w:sz w:val="24"/>
        </w:rPr>
        <w:tab/>
      </w:r>
      <w:r>
        <w:rPr>
          <w:sz w:val="24"/>
        </w:rPr>
        <w:fldChar w:fldCharType="begin"/>
      </w:r>
      <w:r>
        <w:rPr>
          <w:sz w:val="24"/>
        </w:rPr>
        <w:instrText xml:space="preserve"> PAGEREF _Toc86611234 \h </w:instrText>
      </w:r>
      <w:r>
        <w:rPr>
          <w:sz w:val="24"/>
        </w:rPr>
        <w:fldChar w:fldCharType="separate"/>
      </w:r>
      <w:r>
        <w:rPr>
          <w:sz w:val="24"/>
        </w:rPr>
        <w:t>37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"_Toc86611235" </w:instrText>
      </w:r>
      <w:r>
        <w:fldChar w:fldCharType="separate"/>
      </w:r>
      <w:r>
        <w:rPr>
          <w:rStyle w:val="54"/>
          <w:sz w:val="24"/>
        </w:rPr>
        <w:t>2.3.2 地表水环境影响评价等级</w:t>
      </w:r>
      <w:r>
        <w:rPr>
          <w:sz w:val="24"/>
        </w:rPr>
        <w:tab/>
      </w:r>
      <w:r>
        <w:rPr>
          <w:sz w:val="24"/>
        </w:rPr>
        <w:fldChar w:fldCharType="begin"/>
      </w:r>
      <w:r>
        <w:rPr>
          <w:sz w:val="24"/>
        </w:rPr>
        <w:instrText xml:space="preserve"> PAGEREF _Toc86611235 \h </w:instrText>
      </w:r>
      <w:r>
        <w:rPr>
          <w:sz w:val="24"/>
        </w:rPr>
        <w:fldChar w:fldCharType="separate"/>
      </w:r>
      <w:r>
        <w:rPr>
          <w:sz w:val="24"/>
        </w:rPr>
        <w:t>38</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"_Toc86611236" </w:instrText>
      </w:r>
      <w:r>
        <w:fldChar w:fldCharType="separate"/>
      </w:r>
      <w:r>
        <w:rPr>
          <w:rStyle w:val="54"/>
          <w:sz w:val="24"/>
        </w:rPr>
        <w:t>2.3.3 地下水环境评价等级</w:t>
      </w:r>
      <w:r>
        <w:rPr>
          <w:sz w:val="24"/>
        </w:rPr>
        <w:tab/>
      </w:r>
      <w:r>
        <w:rPr>
          <w:sz w:val="24"/>
        </w:rPr>
        <w:fldChar w:fldCharType="begin"/>
      </w:r>
      <w:r>
        <w:rPr>
          <w:sz w:val="24"/>
        </w:rPr>
        <w:instrText xml:space="preserve"> PAGEREF _Toc86611236 \h </w:instrText>
      </w:r>
      <w:r>
        <w:rPr>
          <w:sz w:val="24"/>
        </w:rPr>
        <w:fldChar w:fldCharType="separate"/>
      </w:r>
      <w:r>
        <w:rPr>
          <w:sz w:val="24"/>
        </w:rPr>
        <w:t>39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"_Toc86611237" </w:instrText>
      </w:r>
      <w:r>
        <w:fldChar w:fldCharType="separate"/>
      </w:r>
      <w:r>
        <w:rPr>
          <w:rStyle w:val="54"/>
          <w:sz w:val="24"/>
        </w:rPr>
        <w:t>2.3.4 声环境影响评价等级</w:t>
      </w:r>
      <w:r>
        <w:rPr>
          <w:sz w:val="24"/>
        </w:rPr>
        <w:tab/>
      </w:r>
      <w:r>
        <w:rPr>
          <w:sz w:val="24"/>
        </w:rPr>
        <w:fldChar w:fldCharType="begin"/>
      </w:r>
      <w:r>
        <w:rPr>
          <w:sz w:val="24"/>
        </w:rPr>
        <w:instrText xml:space="preserve"> PAGEREF _Toc86611237 \h </w:instrText>
      </w:r>
      <w:r>
        <w:rPr>
          <w:sz w:val="24"/>
        </w:rPr>
        <w:fldChar w:fldCharType="separate"/>
      </w:r>
      <w:r>
        <w:rPr>
          <w:sz w:val="24"/>
        </w:rPr>
        <w:t>40</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"_Toc86611238" </w:instrText>
      </w:r>
      <w:r>
        <w:fldChar w:fldCharType="separate"/>
      </w:r>
      <w:r>
        <w:rPr>
          <w:rStyle w:val="54"/>
          <w:sz w:val="24"/>
        </w:rPr>
        <w:t>2.3.5 生态环境影响评价等级</w:t>
      </w:r>
      <w:r>
        <w:rPr>
          <w:sz w:val="24"/>
        </w:rPr>
        <w:tab/>
      </w:r>
      <w:r>
        <w:rPr>
          <w:sz w:val="24"/>
        </w:rPr>
        <w:fldChar w:fldCharType="begin"/>
      </w:r>
      <w:r>
        <w:rPr>
          <w:sz w:val="24"/>
        </w:rPr>
        <w:instrText xml:space="preserve"> PAGEREF _Toc86611238 \h </w:instrText>
      </w:r>
      <w:r>
        <w:rPr>
          <w:sz w:val="24"/>
        </w:rPr>
        <w:fldChar w:fldCharType="separate"/>
      </w:r>
      <w:r>
        <w:rPr>
          <w:sz w:val="24"/>
        </w:rPr>
        <w:t>40</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"_Toc86611239" </w:instrText>
      </w:r>
      <w:r>
        <w:fldChar w:fldCharType="separate"/>
      </w:r>
      <w:r>
        <w:rPr>
          <w:rStyle w:val="54"/>
          <w:sz w:val="24"/>
        </w:rPr>
        <w:t>2.3.6 环境风险评价等级</w:t>
      </w:r>
      <w:r>
        <w:rPr>
          <w:sz w:val="24"/>
        </w:rPr>
        <w:tab/>
      </w:r>
      <w:r>
        <w:rPr>
          <w:sz w:val="24"/>
        </w:rPr>
        <w:fldChar w:fldCharType="begin"/>
      </w:r>
      <w:r>
        <w:rPr>
          <w:sz w:val="24"/>
        </w:rPr>
        <w:instrText xml:space="preserve"> PAGEREF _Toc86611239 \h </w:instrText>
      </w:r>
      <w:r>
        <w:rPr>
          <w:sz w:val="24"/>
        </w:rPr>
        <w:fldChar w:fldCharType="separate"/>
      </w:r>
      <w:r>
        <w:rPr>
          <w:sz w:val="24"/>
        </w:rPr>
        <w:t>41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"_Toc86611240" </w:instrText>
      </w:r>
      <w:r>
        <w:fldChar w:fldCharType="separate"/>
      </w:r>
      <w:r>
        <w:rPr>
          <w:rStyle w:val="54"/>
          <w:sz w:val="24"/>
        </w:rPr>
        <w:t>2.3.7 土壤环境评价等级</w:t>
      </w:r>
      <w:r>
        <w:rPr>
          <w:sz w:val="24"/>
        </w:rPr>
        <w:tab/>
      </w:r>
      <w:r>
        <w:rPr>
          <w:sz w:val="24"/>
        </w:rPr>
        <w:fldChar w:fldCharType="begin"/>
      </w:r>
      <w:r>
        <w:rPr>
          <w:sz w:val="24"/>
        </w:rPr>
        <w:instrText xml:space="preserve"> PAGEREF _Toc86611240 \h </w:instrText>
      </w:r>
      <w:r>
        <w:rPr>
          <w:sz w:val="24"/>
        </w:rPr>
        <w:fldChar w:fldCharType="separate"/>
      </w:r>
      <w:r>
        <w:rPr>
          <w:sz w:val="24"/>
        </w:rPr>
        <w:t>44</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"_Toc86611241" </w:instrText>
      </w:r>
      <w:r>
        <w:fldChar w:fldCharType="separate"/>
      </w:r>
      <w:r>
        <w:rPr>
          <w:rStyle w:val="54"/>
          <w:sz w:val="24"/>
        </w:rPr>
        <w:t>2.4环境功能区划</w:t>
      </w:r>
      <w:r>
        <w:rPr>
          <w:sz w:val="24"/>
        </w:rPr>
        <w:tab/>
      </w:r>
      <w:r>
        <w:rPr>
          <w:sz w:val="24"/>
        </w:rPr>
        <w:fldChar w:fldCharType="begin"/>
      </w:r>
      <w:r>
        <w:rPr>
          <w:sz w:val="24"/>
        </w:rPr>
        <w:instrText xml:space="preserve"> PAGEREF _Toc86611241 \h </w:instrText>
      </w:r>
      <w:r>
        <w:rPr>
          <w:sz w:val="24"/>
        </w:rPr>
        <w:fldChar w:fldCharType="separate"/>
      </w:r>
      <w:r>
        <w:rPr>
          <w:sz w:val="24"/>
        </w:rPr>
        <w:t>45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"_Toc86611242" </w:instrText>
      </w:r>
      <w:r>
        <w:fldChar w:fldCharType="separate"/>
      </w:r>
      <w:r>
        <w:rPr>
          <w:rStyle w:val="54"/>
          <w:sz w:val="24"/>
        </w:rPr>
        <w:t>2.4.1大气环境功能区划</w:t>
      </w:r>
      <w:r>
        <w:rPr>
          <w:sz w:val="24"/>
        </w:rPr>
        <w:tab/>
      </w:r>
      <w:r>
        <w:rPr>
          <w:sz w:val="24"/>
        </w:rPr>
        <w:fldChar w:fldCharType="begin"/>
      </w:r>
      <w:r>
        <w:rPr>
          <w:sz w:val="24"/>
        </w:rPr>
        <w:instrText xml:space="preserve"> PAGEREF _Toc86611242 \h </w:instrText>
      </w:r>
      <w:r>
        <w:rPr>
          <w:sz w:val="24"/>
        </w:rPr>
        <w:fldChar w:fldCharType="separate"/>
      </w:r>
      <w:r>
        <w:rPr>
          <w:sz w:val="24"/>
        </w:rPr>
        <w:t>45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"_Toc86611243" </w:instrText>
      </w:r>
      <w:r>
        <w:fldChar w:fldCharType="separate"/>
      </w:r>
      <w:r>
        <w:rPr>
          <w:rStyle w:val="54"/>
          <w:sz w:val="24"/>
        </w:rPr>
        <w:t>2.4.2地表水环境功能区划</w:t>
      </w:r>
      <w:r>
        <w:rPr>
          <w:sz w:val="24"/>
        </w:rPr>
        <w:tab/>
      </w:r>
      <w:r>
        <w:rPr>
          <w:sz w:val="24"/>
        </w:rPr>
        <w:fldChar w:fldCharType="begin"/>
      </w:r>
      <w:r>
        <w:rPr>
          <w:sz w:val="24"/>
        </w:rPr>
        <w:instrText xml:space="preserve"> PAGEREF _Toc86611243 \h </w:instrText>
      </w:r>
      <w:r>
        <w:rPr>
          <w:sz w:val="24"/>
        </w:rPr>
        <w:fldChar w:fldCharType="separate"/>
      </w:r>
      <w:r>
        <w:rPr>
          <w:sz w:val="24"/>
        </w:rPr>
        <w:t>45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"_Toc86611244" </w:instrText>
      </w:r>
      <w:r>
        <w:fldChar w:fldCharType="separate"/>
      </w:r>
      <w:r>
        <w:rPr>
          <w:rStyle w:val="54"/>
          <w:sz w:val="24"/>
        </w:rPr>
        <w:t>2.4.3地下水环境功能区划</w:t>
      </w:r>
      <w:r>
        <w:rPr>
          <w:sz w:val="24"/>
        </w:rPr>
        <w:tab/>
      </w:r>
      <w:r>
        <w:rPr>
          <w:sz w:val="24"/>
        </w:rPr>
        <w:fldChar w:fldCharType="begin"/>
      </w:r>
      <w:r>
        <w:rPr>
          <w:sz w:val="24"/>
        </w:rPr>
        <w:instrText xml:space="preserve"> PAGEREF _Toc86611244 \h </w:instrText>
      </w:r>
      <w:r>
        <w:rPr>
          <w:sz w:val="24"/>
        </w:rPr>
        <w:fldChar w:fldCharType="separate"/>
      </w:r>
      <w:r>
        <w:rPr>
          <w:sz w:val="24"/>
        </w:rPr>
        <w:t>45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"_Toc86611245" </w:instrText>
      </w:r>
      <w:r>
        <w:fldChar w:fldCharType="separate"/>
      </w:r>
      <w:r>
        <w:rPr>
          <w:rStyle w:val="54"/>
          <w:sz w:val="24"/>
        </w:rPr>
        <w:t>2.4.4声环境功能区划</w:t>
      </w:r>
      <w:r>
        <w:rPr>
          <w:sz w:val="24"/>
        </w:rPr>
        <w:tab/>
      </w:r>
      <w:r>
        <w:rPr>
          <w:sz w:val="24"/>
        </w:rPr>
        <w:fldChar w:fldCharType="begin"/>
      </w:r>
      <w:r>
        <w:rPr>
          <w:sz w:val="24"/>
        </w:rPr>
        <w:instrText xml:space="preserve"> PAGEREF _Toc86611245 \h </w:instrText>
      </w:r>
      <w:r>
        <w:rPr>
          <w:sz w:val="24"/>
        </w:rPr>
        <w:fldChar w:fldCharType="separate"/>
      </w:r>
      <w:r>
        <w:rPr>
          <w:sz w:val="24"/>
        </w:rPr>
        <w:t>45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"_Toc86611246" </w:instrText>
      </w:r>
      <w:r>
        <w:fldChar w:fldCharType="separate"/>
      </w:r>
      <w:r>
        <w:rPr>
          <w:rStyle w:val="54"/>
          <w:sz w:val="24"/>
        </w:rPr>
        <w:t>2.4.5土壤环境功能区划</w:t>
      </w:r>
      <w:r>
        <w:rPr>
          <w:sz w:val="24"/>
        </w:rPr>
        <w:tab/>
      </w:r>
      <w:r>
        <w:rPr>
          <w:sz w:val="24"/>
        </w:rPr>
        <w:fldChar w:fldCharType="begin"/>
      </w:r>
      <w:r>
        <w:rPr>
          <w:sz w:val="24"/>
        </w:rPr>
        <w:instrText xml:space="preserve"> PAGEREF _Toc86611246 \h </w:instrText>
      </w:r>
      <w:r>
        <w:rPr>
          <w:sz w:val="24"/>
        </w:rPr>
        <w:fldChar w:fldCharType="separate"/>
      </w:r>
      <w:r>
        <w:rPr>
          <w:sz w:val="24"/>
        </w:rPr>
        <w:t>45</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"_Toc86611247" </w:instrText>
      </w:r>
      <w:r>
        <w:fldChar w:fldCharType="separate"/>
      </w:r>
      <w:r>
        <w:rPr>
          <w:rStyle w:val="54"/>
          <w:sz w:val="24"/>
        </w:rPr>
        <w:t>2.5主要环境保护目标</w:t>
      </w:r>
      <w:r>
        <w:rPr>
          <w:sz w:val="24"/>
        </w:rPr>
        <w:tab/>
      </w:r>
      <w:r>
        <w:rPr>
          <w:sz w:val="24"/>
        </w:rPr>
        <w:fldChar w:fldCharType="begin"/>
      </w:r>
      <w:r>
        <w:rPr>
          <w:sz w:val="24"/>
        </w:rPr>
        <w:instrText xml:space="preserve"> PAGEREF _Toc86611247 \h </w:instrText>
      </w:r>
      <w:r>
        <w:rPr>
          <w:sz w:val="24"/>
        </w:rPr>
        <w:fldChar w:fldCharType="separate"/>
      </w:r>
      <w:r>
        <w:rPr>
          <w:sz w:val="24"/>
        </w:rPr>
        <w:t>46</w:t>
      </w:r>
      <w:r>
        <w:rPr>
          <w:sz w:val="24"/>
        </w:rPr>
        <w:fldChar w:fldCharType="end"/>
      </w:r>
      <w:r>
        <w:rPr>
          <w:sz w:val="24"/>
        </w:rPr>
        <w:fldChar w:fldCharType="end"/>
      </w:r>
    </w:p>
    <w:p>
      <w:pPr>
        <w:pStyle w:val="31"/>
        <w:tabs>
          <w:tab w:val="right" w:leader="dot" w:pos="8721"/>
        </w:tabs>
        <w:spacing w:line="360" w:lineRule="auto"/>
        <w:rPr>
          <w:sz w:val="24"/>
        </w:rPr>
      </w:pPr>
      <w:r>
        <w:fldChar w:fldCharType="begin"/>
      </w:r>
      <w:r>
        <w:instrText xml:space="preserve"> HYPERLINK \l "_Toc86611248" </w:instrText>
      </w:r>
      <w:r>
        <w:fldChar w:fldCharType="separate"/>
      </w:r>
      <w:r>
        <w:rPr>
          <w:rStyle w:val="54"/>
          <w:sz w:val="24"/>
        </w:rPr>
        <w:t>3建设项目工程分析</w:t>
      </w:r>
      <w:r>
        <w:rPr>
          <w:sz w:val="24"/>
        </w:rPr>
        <w:tab/>
      </w:r>
      <w:r>
        <w:rPr>
          <w:sz w:val="24"/>
        </w:rPr>
        <w:fldChar w:fldCharType="begin"/>
      </w:r>
      <w:r>
        <w:rPr>
          <w:sz w:val="24"/>
        </w:rPr>
        <w:instrText xml:space="preserve"> PAGEREF _Toc86611248 \h </w:instrText>
      </w:r>
      <w:r>
        <w:rPr>
          <w:sz w:val="24"/>
        </w:rPr>
        <w:fldChar w:fldCharType="separate"/>
      </w:r>
      <w:r>
        <w:rPr>
          <w:sz w:val="24"/>
        </w:rPr>
        <w:t>52</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"_Toc86611249" </w:instrText>
      </w:r>
      <w:r>
        <w:fldChar w:fldCharType="separate"/>
      </w:r>
      <w:r>
        <w:rPr>
          <w:rStyle w:val="54"/>
          <w:sz w:val="24"/>
        </w:rPr>
        <w:t>3.1项目概况</w:t>
      </w:r>
      <w:r>
        <w:rPr>
          <w:sz w:val="24"/>
        </w:rPr>
        <w:tab/>
      </w:r>
      <w:r>
        <w:rPr>
          <w:sz w:val="24"/>
        </w:rPr>
        <w:fldChar w:fldCharType="begin"/>
      </w:r>
      <w:r>
        <w:rPr>
          <w:sz w:val="24"/>
        </w:rPr>
        <w:instrText xml:space="preserve"> PAGEREF _Toc86611249 \h </w:instrText>
      </w:r>
      <w:r>
        <w:rPr>
          <w:sz w:val="24"/>
        </w:rPr>
        <w:fldChar w:fldCharType="separate"/>
      </w:r>
      <w:r>
        <w:rPr>
          <w:sz w:val="24"/>
        </w:rPr>
        <w:t>52</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"_Toc86611250" </w:instrText>
      </w:r>
      <w:r>
        <w:fldChar w:fldCharType="separate"/>
      </w:r>
      <w:r>
        <w:rPr>
          <w:rStyle w:val="54"/>
          <w:sz w:val="24"/>
        </w:rPr>
        <w:t>3.1.1项目基本情况</w:t>
      </w:r>
      <w:r>
        <w:rPr>
          <w:sz w:val="24"/>
        </w:rPr>
        <w:tab/>
      </w:r>
      <w:r>
        <w:rPr>
          <w:sz w:val="24"/>
        </w:rPr>
        <w:fldChar w:fldCharType="begin"/>
      </w:r>
      <w:r>
        <w:rPr>
          <w:sz w:val="24"/>
        </w:rPr>
        <w:instrText xml:space="preserve"> PAGEREF _Toc86611250 \h </w:instrText>
      </w:r>
      <w:r>
        <w:rPr>
          <w:sz w:val="24"/>
        </w:rPr>
        <w:fldChar w:fldCharType="separate"/>
      </w:r>
      <w:r>
        <w:rPr>
          <w:sz w:val="24"/>
        </w:rPr>
        <w:t>52</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"_Toc86611251" </w:instrText>
      </w:r>
      <w:r>
        <w:fldChar w:fldCharType="separate"/>
      </w:r>
      <w:r>
        <w:rPr>
          <w:rStyle w:val="54"/>
          <w:sz w:val="24"/>
        </w:rPr>
        <w:t>3.1.2主要建设内容与项目组成</w:t>
      </w:r>
      <w:r>
        <w:rPr>
          <w:sz w:val="24"/>
        </w:rPr>
        <w:tab/>
      </w:r>
      <w:r>
        <w:rPr>
          <w:sz w:val="24"/>
        </w:rPr>
        <w:fldChar w:fldCharType="begin"/>
      </w:r>
      <w:r>
        <w:rPr>
          <w:sz w:val="24"/>
        </w:rPr>
        <w:instrText xml:space="preserve"> PAGEREF _Toc86611251 \h </w:instrText>
      </w:r>
      <w:r>
        <w:rPr>
          <w:sz w:val="24"/>
        </w:rPr>
        <w:fldChar w:fldCharType="separate"/>
      </w:r>
      <w:r>
        <w:rPr>
          <w:sz w:val="24"/>
        </w:rPr>
        <w:t>52</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"_Toc86611252" </w:instrText>
      </w:r>
      <w:r>
        <w:fldChar w:fldCharType="separate"/>
      </w:r>
      <w:r>
        <w:rPr>
          <w:rStyle w:val="54"/>
          <w:sz w:val="24"/>
        </w:rPr>
        <w:t>3.1.3主要产品方案</w:t>
      </w:r>
      <w:r>
        <w:rPr>
          <w:sz w:val="24"/>
        </w:rPr>
        <w:tab/>
      </w:r>
      <w:r>
        <w:rPr>
          <w:sz w:val="24"/>
        </w:rPr>
        <w:fldChar w:fldCharType="begin"/>
      </w:r>
      <w:r>
        <w:rPr>
          <w:sz w:val="24"/>
        </w:rPr>
        <w:instrText xml:space="preserve"> PAGEREF _Toc86611252 \h </w:instrText>
      </w:r>
      <w:r>
        <w:rPr>
          <w:sz w:val="24"/>
        </w:rPr>
        <w:fldChar w:fldCharType="separate"/>
      </w:r>
      <w:r>
        <w:rPr>
          <w:sz w:val="24"/>
        </w:rPr>
        <w:t>54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"_Toc86611253" </w:instrText>
      </w:r>
      <w:r>
        <w:fldChar w:fldCharType="separate"/>
      </w:r>
      <w:r>
        <w:rPr>
          <w:rStyle w:val="54"/>
          <w:sz w:val="24"/>
        </w:rPr>
        <w:t>3.1.4主要原辅材料</w:t>
      </w:r>
      <w:r>
        <w:rPr>
          <w:sz w:val="24"/>
        </w:rPr>
        <w:tab/>
      </w:r>
      <w:r>
        <w:rPr>
          <w:sz w:val="24"/>
        </w:rPr>
        <w:fldChar w:fldCharType="begin"/>
      </w:r>
      <w:r>
        <w:rPr>
          <w:sz w:val="24"/>
        </w:rPr>
        <w:instrText xml:space="preserve"> PAGEREF _Toc86611253 \h </w:instrText>
      </w:r>
      <w:r>
        <w:rPr>
          <w:sz w:val="24"/>
        </w:rPr>
        <w:fldChar w:fldCharType="separate"/>
      </w:r>
      <w:r>
        <w:rPr>
          <w:sz w:val="24"/>
        </w:rPr>
        <w:t>54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"_Toc86611254" </w:instrText>
      </w:r>
      <w:r>
        <w:fldChar w:fldCharType="separate"/>
      </w:r>
      <w:r>
        <w:rPr>
          <w:rStyle w:val="54"/>
          <w:sz w:val="24"/>
        </w:rPr>
        <w:t>3.1.5主要生产设备</w:t>
      </w:r>
      <w:r>
        <w:rPr>
          <w:sz w:val="24"/>
        </w:rPr>
        <w:tab/>
      </w:r>
      <w:r>
        <w:rPr>
          <w:sz w:val="24"/>
        </w:rPr>
        <w:fldChar w:fldCharType="begin"/>
      </w:r>
      <w:r>
        <w:rPr>
          <w:sz w:val="24"/>
        </w:rPr>
        <w:instrText xml:space="preserve"> PAGEREF _Toc86611254 \h </w:instrText>
      </w:r>
      <w:r>
        <w:rPr>
          <w:sz w:val="24"/>
        </w:rPr>
        <w:fldChar w:fldCharType="separate"/>
      </w:r>
      <w:r>
        <w:rPr>
          <w:sz w:val="24"/>
        </w:rPr>
        <w:t>58</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"_Toc86611255" </w:instrText>
      </w:r>
      <w:r>
        <w:fldChar w:fldCharType="separate"/>
      </w:r>
      <w:r>
        <w:rPr>
          <w:rStyle w:val="54"/>
          <w:sz w:val="24"/>
        </w:rPr>
        <w:t>3.1.6总平面布置</w:t>
      </w:r>
      <w:r>
        <w:rPr>
          <w:sz w:val="24"/>
        </w:rPr>
        <w:tab/>
      </w:r>
      <w:r>
        <w:rPr>
          <w:sz w:val="24"/>
        </w:rPr>
        <w:fldChar w:fldCharType="begin"/>
      </w:r>
      <w:r>
        <w:rPr>
          <w:sz w:val="24"/>
        </w:rPr>
        <w:instrText xml:space="preserve"> PAGEREF _Toc86611255 \h </w:instrText>
      </w:r>
      <w:r>
        <w:rPr>
          <w:sz w:val="24"/>
        </w:rPr>
        <w:fldChar w:fldCharType="separate"/>
      </w:r>
      <w:r>
        <w:rPr>
          <w:sz w:val="24"/>
        </w:rPr>
        <w:t>63</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"_Toc86611256" </w:instrText>
      </w:r>
      <w:r>
        <w:fldChar w:fldCharType="separate"/>
      </w:r>
      <w:r>
        <w:rPr>
          <w:rStyle w:val="54"/>
          <w:sz w:val="24"/>
        </w:rPr>
        <w:t>3.1.7劳动组织</w:t>
      </w:r>
      <w:r>
        <w:rPr>
          <w:sz w:val="24"/>
        </w:rPr>
        <w:tab/>
      </w:r>
      <w:r>
        <w:rPr>
          <w:sz w:val="24"/>
        </w:rPr>
        <w:fldChar w:fldCharType="begin"/>
      </w:r>
      <w:r>
        <w:rPr>
          <w:sz w:val="24"/>
        </w:rPr>
        <w:instrText xml:space="preserve"> PAGEREF _Toc86611256 \h </w:instrText>
      </w:r>
      <w:r>
        <w:rPr>
          <w:sz w:val="24"/>
        </w:rPr>
        <w:fldChar w:fldCharType="separate"/>
      </w:r>
      <w:r>
        <w:rPr>
          <w:sz w:val="24"/>
        </w:rPr>
        <w:t>64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"_Toc86611257" </w:instrText>
      </w:r>
      <w:r>
        <w:fldChar w:fldCharType="separate"/>
      </w:r>
      <w:r>
        <w:rPr>
          <w:rStyle w:val="54"/>
          <w:sz w:val="24"/>
        </w:rPr>
        <w:t>3.1.8公用工程</w:t>
      </w:r>
      <w:r>
        <w:rPr>
          <w:sz w:val="24"/>
        </w:rPr>
        <w:tab/>
      </w:r>
      <w:r>
        <w:rPr>
          <w:sz w:val="24"/>
        </w:rPr>
        <w:fldChar w:fldCharType="begin"/>
      </w:r>
      <w:r>
        <w:rPr>
          <w:sz w:val="24"/>
        </w:rPr>
        <w:instrText xml:space="preserve"> PAGEREF _Toc86611257 \h </w:instrText>
      </w:r>
      <w:r>
        <w:rPr>
          <w:sz w:val="24"/>
        </w:rPr>
        <w:fldChar w:fldCharType="separate"/>
      </w:r>
      <w:r>
        <w:rPr>
          <w:sz w:val="24"/>
        </w:rPr>
        <w:t>64</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"_Toc86611258" </w:instrText>
      </w:r>
      <w:r>
        <w:fldChar w:fldCharType="separate"/>
      </w:r>
      <w:r>
        <w:rPr>
          <w:rStyle w:val="54"/>
          <w:sz w:val="24"/>
        </w:rPr>
        <w:t>3.2影响因素分析</w:t>
      </w:r>
      <w:r>
        <w:rPr>
          <w:sz w:val="24"/>
        </w:rPr>
        <w:tab/>
      </w:r>
      <w:r>
        <w:rPr>
          <w:sz w:val="24"/>
        </w:rPr>
        <w:fldChar w:fldCharType="begin"/>
      </w:r>
      <w:r>
        <w:rPr>
          <w:sz w:val="24"/>
        </w:rPr>
        <w:instrText xml:space="preserve"> PAGEREF _Toc86611258 \h </w:instrText>
      </w:r>
      <w:r>
        <w:rPr>
          <w:sz w:val="24"/>
        </w:rPr>
        <w:fldChar w:fldCharType="separate"/>
      </w:r>
      <w:r>
        <w:rPr>
          <w:sz w:val="24"/>
        </w:rPr>
        <w:t>65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"_Toc86611259" </w:instrText>
      </w:r>
      <w:r>
        <w:fldChar w:fldCharType="separate"/>
      </w:r>
      <w:r>
        <w:rPr>
          <w:rStyle w:val="54"/>
          <w:sz w:val="24"/>
        </w:rPr>
        <w:t>3.2.1工艺流程及产污环节</w:t>
      </w:r>
      <w:r>
        <w:rPr>
          <w:sz w:val="24"/>
        </w:rPr>
        <w:tab/>
      </w:r>
      <w:r>
        <w:rPr>
          <w:sz w:val="24"/>
        </w:rPr>
        <w:fldChar w:fldCharType="begin"/>
      </w:r>
      <w:r>
        <w:rPr>
          <w:sz w:val="24"/>
        </w:rPr>
        <w:instrText xml:space="preserve"> PAGEREF _Toc86611259 \h </w:instrText>
      </w:r>
      <w:r>
        <w:rPr>
          <w:sz w:val="24"/>
        </w:rPr>
        <w:fldChar w:fldCharType="separate"/>
      </w:r>
      <w:r>
        <w:rPr>
          <w:sz w:val="24"/>
        </w:rPr>
        <w:t>65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"_Toc86611260" </w:instrText>
      </w:r>
      <w:r>
        <w:fldChar w:fldCharType="separate"/>
      </w:r>
      <w:r>
        <w:rPr>
          <w:rStyle w:val="54"/>
          <w:sz w:val="24"/>
        </w:rPr>
        <w:t>3.2.2主要产污环节及污染因子识别</w:t>
      </w:r>
      <w:r>
        <w:rPr>
          <w:sz w:val="24"/>
        </w:rPr>
        <w:tab/>
      </w:r>
      <w:r>
        <w:rPr>
          <w:sz w:val="24"/>
        </w:rPr>
        <w:fldChar w:fldCharType="begin"/>
      </w:r>
      <w:r>
        <w:rPr>
          <w:sz w:val="24"/>
        </w:rPr>
        <w:instrText xml:space="preserve"> PAGEREF _Toc86611260 \h </w:instrText>
      </w:r>
      <w:r>
        <w:rPr>
          <w:sz w:val="24"/>
        </w:rPr>
        <w:fldChar w:fldCharType="separate"/>
      </w:r>
      <w:r>
        <w:rPr>
          <w:sz w:val="24"/>
        </w:rPr>
        <w:t>71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"_Toc86611261" </w:instrText>
      </w:r>
      <w:r>
        <w:fldChar w:fldCharType="separate"/>
      </w:r>
      <w:r>
        <w:rPr>
          <w:rStyle w:val="54"/>
          <w:sz w:val="24"/>
        </w:rPr>
        <w:t>3.2.3水平衡</w:t>
      </w:r>
      <w:r>
        <w:rPr>
          <w:sz w:val="24"/>
        </w:rPr>
        <w:tab/>
      </w:r>
      <w:r>
        <w:rPr>
          <w:sz w:val="24"/>
        </w:rPr>
        <w:fldChar w:fldCharType="begin"/>
      </w:r>
      <w:r>
        <w:rPr>
          <w:sz w:val="24"/>
        </w:rPr>
        <w:instrText xml:space="preserve"> PAGEREF _Toc86611261 \h </w:instrText>
      </w:r>
      <w:r>
        <w:rPr>
          <w:sz w:val="24"/>
        </w:rPr>
        <w:fldChar w:fldCharType="separate"/>
      </w:r>
      <w:r>
        <w:rPr>
          <w:sz w:val="24"/>
        </w:rPr>
        <w:t>72</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"_Toc86611262" </w:instrText>
      </w:r>
      <w:r>
        <w:fldChar w:fldCharType="separate"/>
      </w:r>
      <w:r>
        <w:rPr>
          <w:rStyle w:val="54"/>
          <w:sz w:val="24"/>
        </w:rPr>
        <w:t>3.2.4物料平衡</w:t>
      </w:r>
      <w:r>
        <w:rPr>
          <w:sz w:val="24"/>
        </w:rPr>
        <w:tab/>
      </w:r>
      <w:r>
        <w:rPr>
          <w:sz w:val="24"/>
        </w:rPr>
        <w:fldChar w:fldCharType="begin"/>
      </w:r>
      <w:r>
        <w:rPr>
          <w:sz w:val="24"/>
        </w:rPr>
        <w:instrText xml:space="preserve"> PAGEREF _Toc86611262 \h </w:instrText>
      </w:r>
      <w:r>
        <w:rPr>
          <w:sz w:val="24"/>
        </w:rPr>
        <w:fldChar w:fldCharType="separate"/>
      </w:r>
      <w:r>
        <w:rPr>
          <w:sz w:val="24"/>
        </w:rPr>
        <w:t>76</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"_Toc86611263" </w:instrText>
      </w:r>
      <w:r>
        <w:fldChar w:fldCharType="separate"/>
      </w:r>
      <w:r>
        <w:rPr>
          <w:rStyle w:val="54"/>
          <w:sz w:val="24"/>
        </w:rPr>
        <w:t>3.3污染源强核算</w:t>
      </w:r>
      <w:r>
        <w:rPr>
          <w:sz w:val="24"/>
        </w:rPr>
        <w:tab/>
      </w:r>
      <w:r>
        <w:rPr>
          <w:sz w:val="24"/>
        </w:rPr>
        <w:fldChar w:fldCharType="begin"/>
      </w:r>
      <w:r>
        <w:rPr>
          <w:sz w:val="24"/>
        </w:rPr>
        <w:instrText xml:space="preserve"> PAGEREF _Toc86611263 \h </w:instrText>
      </w:r>
      <w:r>
        <w:rPr>
          <w:sz w:val="24"/>
        </w:rPr>
        <w:fldChar w:fldCharType="separate"/>
      </w:r>
      <w:r>
        <w:rPr>
          <w:sz w:val="24"/>
        </w:rPr>
        <w:t>78</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"_Toc86611264" </w:instrText>
      </w:r>
      <w:r>
        <w:fldChar w:fldCharType="separate"/>
      </w:r>
      <w:r>
        <w:rPr>
          <w:rStyle w:val="54"/>
          <w:sz w:val="24"/>
        </w:rPr>
        <w:t>3.3.1施工期污染源强核算</w:t>
      </w:r>
      <w:r>
        <w:rPr>
          <w:sz w:val="24"/>
        </w:rPr>
        <w:tab/>
      </w:r>
      <w:r>
        <w:rPr>
          <w:sz w:val="24"/>
        </w:rPr>
        <w:fldChar w:fldCharType="begin"/>
      </w:r>
      <w:r>
        <w:rPr>
          <w:sz w:val="24"/>
        </w:rPr>
        <w:instrText xml:space="preserve"> PAGEREF _Toc86611264 \h </w:instrText>
      </w:r>
      <w:r>
        <w:rPr>
          <w:sz w:val="24"/>
        </w:rPr>
        <w:fldChar w:fldCharType="separate"/>
      </w:r>
      <w:r>
        <w:rPr>
          <w:sz w:val="24"/>
        </w:rPr>
        <w:t>78</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"_Toc86611265" </w:instrText>
      </w:r>
      <w:r>
        <w:fldChar w:fldCharType="separate"/>
      </w:r>
      <w:r>
        <w:rPr>
          <w:rStyle w:val="54"/>
          <w:sz w:val="24"/>
        </w:rPr>
        <w:t>3.3.2营运期污染源强核算</w:t>
      </w:r>
      <w:r>
        <w:rPr>
          <w:sz w:val="24"/>
        </w:rPr>
        <w:tab/>
      </w:r>
      <w:r>
        <w:rPr>
          <w:sz w:val="24"/>
        </w:rPr>
        <w:fldChar w:fldCharType="begin"/>
      </w:r>
      <w:r>
        <w:rPr>
          <w:sz w:val="24"/>
        </w:rPr>
        <w:instrText xml:space="preserve"> PAGEREF _Toc86611265 \h </w:instrText>
      </w:r>
      <w:r>
        <w:rPr>
          <w:sz w:val="24"/>
        </w:rPr>
        <w:fldChar w:fldCharType="separate"/>
      </w:r>
      <w:r>
        <w:rPr>
          <w:sz w:val="24"/>
        </w:rPr>
        <w:t>83</w:t>
      </w:r>
      <w:r>
        <w:rPr>
          <w:sz w:val="24"/>
        </w:rPr>
        <w:fldChar w:fldCharType="end"/>
      </w:r>
      <w:r>
        <w:rPr>
          <w:sz w:val="24"/>
        </w:rPr>
        <w:fldChar w:fldCharType="end"/>
      </w:r>
    </w:p>
    <w:p>
      <w:pPr>
        <w:pStyle w:val="31"/>
        <w:tabs>
          <w:tab w:val="right" w:leader="dot" w:pos="8721"/>
        </w:tabs>
        <w:spacing w:line="360" w:lineRule="auto"/>
        <w:rPr>
          <w:sz w:val="24"/>
        </w:rPr>
      </w:pPr>
      <w:r>
        <w:fldChar w:fldCharType="begin"/>
      </w:r>
      <w:r>
        <w:instrText xml:space="preserve"> HYPERLINK \l "_Toc86611266" </w:instrText>
      </w:r>
      <w:r>
        <w:fldChar w:fldCharType="separate"/>
      </w:r>
      <w:r>
        <w:rPr>
          <w:rStyle w:val="54"/>
          <w:sz w:val="24"/>
        </w:rPr>
        <w:t>4环境现状调查与评价</w:t>
      </w:r>
      <w:r>
        <w:rPr>
          <w:sz w:val="24"/>
        </w:rPr>
        <w:tab/>
      </w:r>
      <w:r>
        <w:rPr>
          <w:sz w:val="24"/>
        </w:rPr>
        <w:fldChar w:fldCharType="begin"/>
      </w:r>
      <w:r>
        <w:rPr>
          <w:sz w:val="24"/>
        </w:rPr>
        <w:instrText xml:space="preserve"> PAGEREF _Toc86611266 \h </w:instrText>
      </w:r>
      <w:r>
        <w:rPr>
          <w:sz w:val="24"/>
        </w:rPr>
        <w:fldChar w:fldCharType="separate"/>
      </w:r>
      <w:r>
        <w:rPr>
          <w:sz w:val="24"/>
        </w:rPr>
        <w:t>105</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"_Toc86611267" </w:instrText>
      </w:r>
      <w:r>
        <w:fldChar w:fldCharType="separate"/>
      </w:r>
      <w:r>
        <w:rPr>
          <w:rStyle w:val="54"/>
          <w:sz w:val="24"/>
        </w:rPr>
        <w:t>4.1地理位置</w:t>
      </w:r>
      <w:r>
        <w:rPr>
          <w:sz w:val="24"/>
        </w:rPr>
        <w:tab/>
      </w:r>
      <w:r>
        <w:rPr>
          <w:sz w:val="24"/>
        </w:rPr>
        <w:fldChar w:fldCharType="begin"/>
      </w:r>
      <w:r>
        <w:rPr>
          <w:sz w:val="24"/>
        </w:rPr>
        <w:instrText xml:space="preserve"> PAGEREF _Toc86611267 \h </w:instrText>
      </w:r>
      <w:r>
        <w:rPr>
          <w:sz w:val="24"/>
        </w:rPr>
        <w:fldChar w:fldCharType="separate"/>
      </w:r>
      <w:r>
        <w:rPr>
          <w:sz w:val="24"/>
        </w:rPr>
        <w:t>105</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"_Toc86611268" </w:instrText>
      </w:r>
      <w:r>
        <w:fldChar w:fldCharType="separate"/>
      </w:r>
      <w:r>
        <w:rPr>
          <w:rStyle w:val="54"/>
          <w:sz w:val="24"/>
        </w:rPr>
        <w:t>4.2自然环境概况</w:t>
      </w:r>
      <w:r>
        <w:rPr>
          <w:sz w:val="24"/>
        </w:rPr>
        <w:tab/>
      </w:r>
      <w:r>
        <w:rPr>
          <w:sz w:val="24"/>
        </w:rPr>
        <w:fldChar w:fldCharType="begin"/>
      </w:r>
      <w:r>
        <w:rPr>
          <w:sz w:val="24"/>
        </w:rPr>
        <w:instrText xml:space="preserve"> PAGEREF _Toc86611268 \h </w:instrText>
      </w:r>
      <w:r>
        <w:rPr>
          <w:sz w:val="24"/>
        </w:rPr>
        <w:fldChar w:fldCharType="separate"/>
      </w:r>
      <w:r>
        <w:rPr>
          <w:sz w:val="24"/>
        </w:rPr>
        <w:t>105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"_Toc86611269" </w:instrText>
      </w:r>
      <w:r>
        <w:fldChar w:fldCharType="separate"/>
      </w:r>
      <w:r>
        <w:rPr>
          <w:rStyle w:val="54"/>
          <w:sz w:val="24"/>
        </w:rPr>
        <w:t>4.2.1地形、地貌</w:t>
      </w:r>
      <w:r>
        <w:rPr>
          <w:sz w:val="24"/>
        </w:rPr>
        <w:tab/>
      </w:r>
      <w:r>
        <w:rPr>
          <w:sz w:val="24"/>
        </w:rPr>
        <w:fldChar w:fldCharType="begin"/>
      </w:r>
      <w:r>
        <w:rPr>
          <w:sz w:val="24"/>
        </w:rPr>
        <w:instrText xml:space="preserve"> PAGEREF _Toc86611269 \h </w:instrText>
      </w:r>
      <w:r>
        <w:rPr>
          <w:sz w:val="24"/>
        </w:rPr>
        <w:fldChar w:fldCharType="separate"/>
      </w:r>
      <w:r>
        <w:rPr>
          <w:sz w:val="24"/>
        </w:rPr>
        <w:t>105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"_Toc86611270" </w:instrText>
      </w:r>
      <w:r>
        <w:fldChar w:fldCharType="separate"/>
      </w:r>
      <w:r>
        <w:rPr>
          <w:rStyle w:val="54"/>
          <w:sz w:val="24"/>
        </w:rPr>
        <w:t>4.2.2气候气象</w:t>
      </w:r>
      <w:r>
        <w:rPr>
          <w:sz w:val="24"/>
        </w:rPr>
        <w:tab/>
      </w:r>
      <w:r>
        <w:rPr>
          <w:sz w:val="24"/>
        </w:rPr>
        <w:fldChar w:fldCharType="begin"/>
      </w:r>
      <w:r>
        <w:rPr>
          <w:sz w:val="24"/>
        </w:rPr>
        <w:instrText xml:space="preserve"> PAGEREF _Toc86611270 \h </w:instrText>
      </w:r>
      <w:r>
        <w:rPr>
          <w:sz w:val="24"/>
        </w:rPr>
        <w:fldChar w:fldCharType="separate"/>
      </w:r>
      <w:r>
        <w:rPr>
          <w:sz w:val="24"/>
        </w:rPr>
        <w:t>106</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"_Toc86611271" </w:instrText>
      </w:r>
      <w:r>
        <w:fldChar w:fldCharType="separate"/>
      </w:r>
      <w:r>
        <w:rPr>
          <w:rStyle w:val="54"/>
          <w:sz w:val="24"/>
        </w:rPr>
        <w:t>4.2.3水文</w:t>
      </w:r>
      <w:r>
        <w:rPr>
          <w:sz w:val="24"/>
        </w:rPr>
        <w:tab/>
      </w:r>
      <w:r>
        <w:rPr>
          <w:sz w:val="24"/>
        </w:rPr>
        <w:fldChar w:fldCharType="begin"/>
      </w:r>
      <w:r>
        <w:rPr>
          <w:sz w:val="24"/>
        </w:rPr>
        <w:instrText xml:space="preserve"> PAGEREF _Toc86611271 \h </w:instrText>
      </w:r>
      <w:r>
        <w:rPr>
          <w:sz w:val="24"/>
        </w:rPr>
        <w:fldChar w:fldCharType="separate"/>
      </w:r>
      <w:r>
        <w:rPr>
          <w:sz w:val="24"/>
        </w:rPr>
        <w:t>107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"_Toc86611272" </w:instrText>
      </w:r>
      <w:r>
        <w:fldChar w:fldCharType="separate"/>
      </w:r>
      <w:r>
        <w:rPr>
          <w:rStyle w:val="54"/>
          <w:sz w:val="24"/>
        </w:rPr>
        <w:t>4.2.4土壤、地质</w:t>
      </w:r>
      <w:r>
        <w:rPr>
          <w:sz w:val="24"/>
        </w:rPr>
        <w:tab/>
      </w:r>
      <w:r>
        <w:rPr>
          <w:sz w:val="24"/>
        </w:rPr>
        <w:fldChar w:fldCharType="begin"/>
      </w:r>
      <w:r>
        <w:rPr>
          <w:sz w:val="24"/>
        </w:rPr>
        <w:instrText xml:space="preserve"> PAGEREF _Toc86611272 \h </w:instrText>
      </w:r>
      <w:r>
        <w:rPr>
          <w:sz w:val="24"/>
        </w:rPr>
        <w:fldChar w:fldCharType="separate"/>
      </w:r>
      <w:r>
        <w:rPr>
          <w:sz w:val="24"/>
        </w:rPr>
        <w:t>110</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"_Toc86611273" </w:instrText>
      </w:r>
      <w:r>
        <w:fldChar w:fldCharType="separate"/>
      </w:r>
      <w:r>
        <w:rPr>
          <w:rStyle w:val="54"/>
          <w:sz w:val="24"/>
        </w:rPr>
        <w:t>4.2.5自然资源</w:t>
      </w:r>
      <w:r>
        <w:rPr>
          <w:sz w:val="24"/>
        </w:rPr>
        <w:tab/>
      </w:r>
      <w:r>
        <w:rPr>
          <w:sz w:val="24"/>
        </w:rPr>
        <w:fldChar w:fldCharType="begin"/>
      </w:r>
      <w:r>
        <w:rPr>
          <w:sz w:val="24"/>
        </w:rPr>
        <w:instrText xml:space="preserve"> PAGEREF _Toc86611273 \h </w:instrText>
      </w:r>
      <w:r>
        <w:rPr>
          <w:sz w:val="24"/>
        </w:rPr>
        <w:fldChar w:fldCharType="separate"/>
      </w:r>
      <w:r>
        <w:rPr>
          <w:sz w:val="24"/>
        </w:rPr>
        <w:t>110</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"_Toc86611274" </w:instrText>
      </w:r>
      <w:r>
        <w:fldChar w:fldCharType="separate"/>
      </w:r>
      <w:r>
        <w:rPr>
          <w:rStyle w:val="54"/>
          <w:sz w:val="24"/>
        </w:rPr>
        <w:t>4.3衡阳界牌镇陶瓷循环经济特色工业园</w:t>
      </w:r>
      <w:r>
        <w:rPr>
          <w:sz w:val="24"/>
        </w:rPr>
        <w:tab/>
      </w:r>
      <w:r>
        <w:rPr>
          <w:sz w:val="24"/>
        </w:rPr>
        <w:fldChar w:fldCharType="begin"/>
      </w:r>
      <w:r>
        <w:rPr>
          <w:sz w:val="24"/>
        </w:rPr>
        <w:instrText xml:space="preserve"> PAGEREF _Toc86611274 \h </w:instrText>
      </w:r>
      <w:r>
        <w:rPr>
          <w:sz w:val="24"/>
        </w:rPr>
        <w:fldChar w:fldCharType="separate"/>
      </w:r>
      <w:r>
        <w:rPr>
          <w:sz w:val="24"/>
        </w:rPr>
        <w:t>111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"_Toc86611275" </w:instrText>
      </w:r>
      <w:r>
        <w:fldChar w:fldCharType="separate"/>
      </w:r>
      <w:r>
        <w:rPr>
          <w:rStyle w:val="54"/>
          <w:sz w:val="24"/>
        </w:rPr>
        <w:t>4.2.1 园区基本情况</w:t>
      </w:r>
      <w:r>
        <w:rPr>
          <w:sz w:val="24"/>
        </w:rPr>
        <w:tab/>
      </w:r>
      <w:r>
        <w:rPr>
          <w:sz w:val="24"/>
        </w:rPr>
        <w:fldChar w:fldCharType="begin"/>
      </w:r>
      <w:r>
        <w:rPr>
          <w:sz w:val="24"/>
        </w:rPr>
        <w:instrText xml:space="preserve"> PAGEREF _Toc86611275 \h </w:instrText>
      </w:r>
      <w:r>
        <w:rPr>
          <w:sz w:val="24"/>
        </w:rPr>
        <w:fldChar w:fldCharType="separate"/>
      </w:r>
      <w:r>
        <w:rPr>
          <w:sz w:val="24"/>
        </w:rPr>
        <w:t>111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"_Toc86611276" </w:instrText>
      </w:r>
      <w:r>
        <w:fldChar w:fldCharType="separate"/>
      </w:r>
      <w:r>
        <w:rPr>
          <w:rStyle w:val="54"/>
          <w:sz w:val="24"/>
        </w:rPr>
        <w:t>4.2.2 规划范围及规划期限</w:t>
      </w:r>
      <w:r>
        <w:rPr>
          <w:sz w:val="24"/>
        </w:rPr>
        <w:tab/>
      </w:r>
      <w:r>
        <w:rPr>
          <w:sz w:val="24"/>
        </w:rPr>
        <w:fldChar w:fldCharType="begin"/>
      </w:r>
      <w:r>
        <w:rPr>
          <w:sz w:val="24"/>
        </w:rPr>
        <w:instrText xml:space="preserve"> PAGEREF _Toc86611276 \h </w:instrText>
      </w:r>
      <w:r>
        <w:rPr>
          <w:sz w:val="24"/>
        </w:rPr>
        <w:fldChar w:fldCharType="separate"/>
      </w:r>
      <w:r>
        <w:rPr>
          <w:sz w:val="24"/>
        </w:rPr>
        <w:t>112</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"_Toc86611277" </w:instrText>
      </w:r>
      <w:r>
        <w:fldChar w:fldCharType="separate"/>
      </w:r>
      <w:r>
        <w:rPr>
          <w:rStyle w:val="54"/>
          <w:sz w:val="24"/>
        </w:rPr>
        <w:t>4.2.3 规划功能与产业定位</w:t>
      </w:r>
      <w:r>
        <w:rPr>
          <w:sz w:val="24"/>
        </w:rPr>
        <w:tab/>
      </w:r>
      <w:r>
        <w:rPr>
          <w:sz w:val="24"/>
        </w:rPr>
        <w:fldChar w:fldCharType="begin"/>
      </w:r>
      <w:r>
        <w:rPr>
          <w:sz w:val="24"/>
        </w:rPr>
        <w:instrText xml:space="preserve"> PAGEREF _Toc86611277 \h </w:instrText>
      </w:r>
      <w:r>
        <w:rPr>
          <w:sz w:val="24"/>
        </w:rPr>
        <w:fldChar w:fldCharType="separate"/>
      </w:r>
      <w:r>
        <w:rPr>
          <w:sz w:val="24"/>
        </w:rPr>
        <w:t>112</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"_Toc86611278" </w:instrText>
      </w:r>
      <w:r>
        <w:fldChar w:fldCharType="separate"/>
      </w:r>
      <w:r>
        <w:rPr>
          <w:rStyle w:val="54"/>
          <w:sz w:val="24"/>
        </w:rPr>
        <w:t>4.2.4 规划目标</w:t>
      </w:r>
      <w:r>
        <w:rPr>
          <w:sz w:val="24"/>
        </w:rPr>
        <w:tab/>
      </w:r>
      <w:r>
        <w:rPr>
          <w:sz w:val="24"/>
        </w:rPr>
        <w:fldChar w:fldCharType="begin"/>
      </w:r>
      <w:r>
        <w:rPr>
          <w:sz w:val="24"/>
        </w:rPr>
        <w:instrText xml:space="preserve"> PAGEREF _Toc86611278 \h </w:instrText>
      </w:r>
      <w:r>
        <w:rPr>
          <w:sz w:val="24"/>
        </w:rPr>
        <w:fldChar w:fldCharType="separate"/>
      </w:r>
      <w:r>
        <w:rPr>
          <w:sz w:val="24"/>
        </w:rPr>
        <w:t>112</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"_Toc86611279" </w:instrText>
      </w:r>
      <w:r>
        <w:fldChar w:fldCharType="separate"/>
      </w:r>
      <w:r>
        <w:rPr>
          <w:rStyle w:val="54"/>
          <w:sz w:val="24"/>
        </w:rPr>
        <w:t>4.2.5 用地布局规划</w:t>
      </w:r>
      <w:r>
        <w:rPr>
          <w:sz w:val="24"/>
        </w:rPr>
        <w:tab/>
      </w:r>
      <w:r>
        <w:rPr>
          <w:sz w:val="24"/>
        </w:rPr>
        <w:fldChar w:fldCharType="begin"/>
      </w:r>
      <w:r>
        <w:rPr>
          <w:sz w:val="24"/>
        </w:rPr>
        <w:instrText xml:space="preserve"> PAGEREF _Toc86611279 \h </w:instrText>
      </w:r>
      <w:r>
        <w:rPr>
          <w:sz w:val="24"/>
        </w:rPr>
        <w:fldChar w:fldCharType="separate"/>
      </w:r>
      <w:r>
        <w:rPr>
          <w:sz w:val="24"/>
        </w:rPr>
        <w:t>113</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"_Toc86611280" </w:instrText>
      </w:r>
      <w:r>
        <w:fldChar w:fldCharType="separate"/>
      </w:r>
      <w:r>
        <w:rPr>
          <w:rStyle w:val="54"/>
          <w:sz w:val="24"/>
        </w:rPr>
        <w:t>4.2.6 绿地系统与景观环境规划</w:t>
      </w:r>
      <w:r>
        <w:rPr>
          <w:sz w:val="24"/>
        </w:rPr>
        <w:tab/>
      </w:r>
      <w:r>
        <w:rPr>
          <w:sz w:val="24"/>
        </w:rPr>
        <w:fldChar w:fldCharType="begin"/>
      </w:r>
      <w:r>
        <w:rPr>
          <w:sz w:val="24"/>
        </w:rPr>
        <w:instrText xml:space="preserve"> PAGEREF _Toc86611280 \h </w:instrText>
      </w:r>
      <w:r>
        <w:rPr>
          <w:sz w:val="24"/>
        </w:rPr>
        <w:fldChar w:fldCharType="separate"/>
      </w:r>
      <w:r>
        <w:rPr>
          <w:sz w:val="24"/>
        </w:rPr>
        <w:t>114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"_Toc86611281" </w:instrText>
      </w:r>
      <w:r>
        <w:fldChar w:fldCharType="separate"/>
      </w:r>
      <w:r>
        <w:rPr>
          <w:rStyle w:val="54"/>
          <w:sz w:val="24"/>
        </w:rPr>
        <w:t>4.2.7 市政工程设施规划</w:t>
      </w:r>
      <w:r>
        <w:rPr>
          <w:sz w:val="24"/>
        </w:rPr>
        <w:tab/>
      </w:r>
      <w:r>
        <w:rPr>
          <w:sz w:val="24"/>
        </w:rPr>
        <w:fldChar w:fldCharType="begin"/>
      </w:r>
      <w:r>
        <w:rPr>
          <w:sz w:val="24"/>
        </w:rPr>
        <w:instrText xml:space="preserve"> PAGEREF _Toc86611281 \h </w:instrText>
      </w:r>
      <w:r>
        <w:rPr>
          <w:sz w:val="24"/>
        </w:rPr>
        <w:fldChar w:fldCharType="separate"/>
      </w:r>
      <w:r>
        <w:rPr>
          <w:sz w:val="24"/>
        </w:rPr>
        <w:t>115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"_Toc86611282" </w:instrText>
      </w:r>
      <w:r>
        <w:fldChar w:fldCharType="separate"/>
      </w:r>
      <w:r>
        <w:rPr>
          <w:rStyle w:val="54"/>
          <w:sz w:val="24"/>
        </w:rPr>
        <w:t>4.2.8 居住安置规划</w:t>
      </w:r>
      <w:r>
        <w:rPr>
          <w:sz w:val="24"/>
        </w:rPr>
        <w:tab/>
      </w:r>
      <w:r>
        <w:rPr>
          <w:sz w:val="24"/>
        </w:rPr>
        <w:fldChar w:fldCharType="begin"/>
      </w:r>
      <w:r>
        <w:rPr>
          <w:sz w:val="24"/>
        </w:rPr>
        <w:instrText xml:space="preserve"> PAGEREF _Toc86611282 \h </w:instrText>
      </w:r>
      <w:r>
        <w:rPr>
          <w:sz w:val="24"/>
        </w:rPr>
        <w:fldChar w:fldCharType="separate"/>
      </w:r>
      <w:r>
        <w:rPr>
          <w:sz w:val="24"/>
        </w:rPr>
        <w:t>118</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"_Toc86611283" </w:instrText>
      </w:r>
      <w:r>
        <w:fldChar w:fldCharType="separate"/>
      </w:r>
      <w:r>
        <w:rPr>
          <w:rStyle w:val="54"/>
          <w:sz w:val="24"/>
          <w:lang w:val="zh-CN"/>
        </w:rPr>
        <w:t>4.4区域污染源调查</w:t>
      </w:r>
      <w:r>
        <w:rPr>
          <w:sz w:val="24"/>
        </w:rPr>
        <w:tab/>
      </w:r>
      <w:r>
        <w:rPr>
          <w:sz w:val="24"/>
        </w:rPr>
        <w:fldChar w:fldCharType="begin"/>
      </w:r>
      <w:r>
        <w:rPr>
          <w:sz w:val="24"/>
        </w:rPr>
        <w:instrText xml:space="preserve"> PAGEREF _Toc86611283 \h </w:instrText>
      </w:r>
      <w:r>
        <w:rPr>
          <w:sz w:val="24"/>
        </w:rPr>
        <w:fldChar w:fldCharType="separate"/>
      </w:r>
      <w:r>
        <w:rPr>
          <w:sz w:val="24"/>
        </w:rPr>
        <w:t>120</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"_Toc86611284" </w:instrText>
      </w:r>
      <w:r>
        <w:fldChar w:fldCharType="separate"/>
      </w:r>
      <w:r>
        <w:rPr>
          <w:rStyle w:val="54"/>
          <w:sz w:val="24"/>
        </w:rPr>
        <w:t>4.6环境空气质量现状调查与评价</w:t>
      </w:r>
      <w:r>
        <w:rPr>
          <w:sz w:val="24"/>
        </w:rPr>
        <w:tab/>
      </w:r>
      <w:r>
        <w:rPr>
          <w:sz w:val="24"/>
        </w:rPr>
        <w:fldChar w:fldCharType="begin"/>
      </w:r>
      <w:r>
        <w:rPr>
          <w:sz w:val="24"/>
        </w:rPr>
        <w:instrText xml:space="preserve"> PAGEREF _Toc86611284 \h </w:instrText>
      </w:r>
      <w:r>
        <w:rPr>
          <w:sz w:val="24"/>
        </w:rPr>
        <w:fldChar w:fldCharType="separate"/>
      </w:r>
      <w:r>
        <w:rPr>
          <w:sz w:val="24"/>
        </w:rPr>
        <w:t>123</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"_Toc86611285" </w:instrText>
      </w:r>
      <w:r>
        <w:fldChar w:fldCharType="separate"/>
      </w:r>
      <w:r>
        <w:rPr>
          <w:rStyle w:val="54"/>
          <w:sz w:val="24"/>
        </w:rPr>
        <w:t>4.6.1评价基准年筛选</w:t>
      </w:r>
      <w:r>
        <w:rPr>
          <w:sz w:val="24"/>
        </w:rPr>
        <w:tab/>
      </w:r>
      <w:r>
        <w:rPr>
          <w:sz w:val="24"/>
        </w:rPr>
        <w:fldChar w:fldCharType="begin"/>
      </w:r>
      <w:r>
        <w:rPr>
          <w:sz w:val="24"/>
        </w:rPr>
        <w:instrText xml:space="preserve"> PAGEREF _Toc86611285 \h </w:instrText>
      </w:r>
      <w:r>
        <w:rPr>
          <w:sz w:val="24"/>
        </w:rPr>
        <w:fldChar w:fldCharType="separate"/>
      </w:r>
      <w:r>
        <w:rPr>
          <w:sz w:val="24"/>
        </w:rPr>
        <w:t>123</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"_Toc86611286" </w:instrText>
      </w:r>
      <w:r>
        <w:fldChar w:fldCharType="separate"/>
      </w:r>
      <w:r>
        <w:rPr>
          <w:rStyle w:val="54"/>
          <w:sz w:val="24"/>
        </w:rPr>
        <w:t>4.6.2环境空气质量达标区判定</w:t>
      </w:r>
      <w:r>
        <w:rPr>
          <w:sz w:val="24"/>
        </w:rPr>
        <w:tab/>
      </w:r>
      <w:r>
        <w:rPr>
          <w:sz w:val="24"/>
        </w:rPr>
        <w:fldChar w:fldCharType="begin"/>
      </w:r>
      <w:r>
        <w:rPr>
          <w:sz w:val="24"/>
        </w:rPr>
        <w:instrText xml:space="preserve"> PAGEREF _Toc86611286 \h </w:instrText>
      </w:r>
      <w:r>
        <w:rPr>
          <w:sz w:val="24"/>
        </w:rPr>
        <w:fldChar w:fldCharType="separate"/>
      </w:r>
      <w:r>
        <w:rPr>
          <w:sz w:val="24"/>
        </w:rPr>
        <w:t>123</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"_Toc86611287" </w:instrText>
      </w:r>
      <w:r>
        <w:fldChar w:fldCharType="separate"/>
      </w:r>
      <w:r>
        <w:rPr>
          <w:rStyle w:val="54"/>
          <w:sz w:val="24"/>
        </w:rPr>
        <w:t>4.6.3 补充监测污染物环境质量现状评价</w:t>
      </w:r>
      <w:r>
        <w:rPr>
          <w:sz w:val="24"/>
        </w:rPr>
        <w:tab/>
      </w:r>
      <w:r>
        <w:rPr>
          <w:sz w:val="24"/>
        </w:rPr>
        <w:fldChar w:fldCharType="begin"/>
      </w:r>
      <w:r>
        <w:rPr>
          <w:sz w:val="24"/>
        </w:rPr>
        <w:instrText xml:space="preserve"> PAGEREF _Toc86611287 \h </w:instrText>
      </w:r>
      <w:r>
        <w:rPr>
          <w:sz w:val="24"/>
        </w:rPr>
        <w:fldChar w:fldCharType="separate"/>
      </w:r>
      <w:r>
        <w:rPr>
          <w:sz w:val="24"/>
        </w:rPr>
        <w:t>123</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"_Toc86611288" </w:instrText>
      </w:r>
      <w:r>
        <w:fldChar w:fldCharType="separate"/>
      </w:r>
      <w:r>
        <w:rPr>
          <w:rStyle w:val="54"/>
          <w:sz w:val="24"/>
        </w:rPr>
        <w:t>4.6.4 结论</w:t>
      </w:r>
      <w:r>
        <w:rPr>
          <w:sz w:val="24"/>
        </w:rPr>
        <w:tab/>
      </w:r>
      <w:r>
        <w:rPr>
          <w:sz w:val="24"/>
        </w:rPr>
        <w:fldChar w:fldCharType="begin"/>
      </w:r>
      <w:r>
        <w:rPr>
          <w:sz w:val="24"/>
        </w:rPr>
        <w:instrText xml:space="preserve"> PAGEREF _Toc86611288 \h </w:instrText>
      </w:r>
      <w:r>
        <w:rPr>
          <w:sz w:val="24"/>
        </w:rPr>
        <w:fldChar w:fldCharType="separate"/>
      </w:r>
      <w:r>
        <w:rPr>
          <w:sz w:val="24"/>
        </w:rPr>
        <w:t>126</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"_Toc86611289" </w:instrText>
      </w:r>
      <w:r>
        <w:fldChar w:fldCharType="separate"/>
      </w:r>
      <w:r>
        <w:rPr>
          <w:rStyle w:val="54"/>
          <w:sz w:val="24"/>
        </w:rPr>
        <w:t>4.7地表水环境质量现状调查与评价</w:t>
      </w:r>
      <w:r>
        <w:rPr>
          <w:sz w:val="24"/>
        </w:rPr>
        <w:tab/>
      </w:r>
      <w:r>
        <w:rPr>
          <w:sz w:val="24"/>
        </w:rPr>
        <w:fldChar w:fldCharType="begin"/>
      </w:r>
      <w:r>
        <w:rPr>
          <w:sz w:val="24"/>
        </w:rPr>
        <w:instrText xml:space="preserve"> PAGEREF _Toc86611289 \h </w:instrText>
      </w:r>
      <w:r>
        <w:rPr>
          <w:sz w:val="24"/>
        </w:rPr>
        <w:fldChar w:fldCharType="separate"/>
      </w:r>
      <w:r>
        <w:rPr>
          <w:sz w:val="24"/>
        </w:rPr>
        <w:t>126</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"_Toc86611290" </w:instrText>
      </w:r>
      <w:r>
        <w:fldChar w:fldCharType="separate"/>
      </w:r>
      <w:r>
        <w:rPr>
          <w:rStyle w:val="54"/>
          <w:sz w:val="24"/>
        </w:rPr>
        <w:t>4.7.1 废水去向情况调查</w:t>
      </w:r>
      <w:r>
        <w:rPr>
          <w:sz w:val="24"/>
        </w:rPr>
        <w:tab/>
      </w:r>
      <w:r>
        <w:rPr>
          <w:sz w:val="24"/>
        </w:rPr>
        <w:fldChar w:fldCharType="begin"/>
      </w:r>
      <w:r>
        <w:rPr>
          <w:sz w:val="24"/>
        </w:rPr>
        <w:instrText xml:space="preserve"> PAGEREF _Toc86611290 \h </w:instrText>
      </w:r>
      <w:r>
        <w:rPr>
          <w:sz w:val="24"/>
        </w:rPr>
        <w:fldChar w:fldCharType="separate"/>
      </w:r>
      <w:r>
        <w:rPr>
          <w:sz w:val="24"/>
        </w:rPr>
        <w:t>126</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"_Toc86611291" </w:instrText>
      </w:r>
      <w:r>
        <w:fldChar w:fldCharType="separate"/>
      </w:r>
      <w:r>
        <w:rPr>
          <w:rStyle w:val="54"/>
          <w:sz w:val="24"/>
        </w:rPr>
        <w:t>4.7.2 水环境状况调查</w:t>
      </w:r>
      <w:r>
        <w:rPr>
          <w:sz w:val="24"/>
        </w:rPr>
        <w:tab/>
      </w:r>
      <w:r>
        <w:rPr>
          <w:sz w:val="24"/>
        </w:rPr>
        <w:fldChar w:fldCharType="begin"/>
      </w:r>
      <w:r>
        <w:rPr>
          <w:sz w:val="24"/>
        </w:rPr>
        <w:instrText xml:space="preserve"> PAGEREF _Toc86611291 \h </w:instrText>
      </w:r>
      <w:r>
        <w:rPr>
          <w:sz w:val="24"/>
        </w:rPr>
        <w:fldChar w:fldCharType="separate"/>
      </w:r>
      <w:r>
        <w:rPr>
          <w:sz w:val="24"/>
        </w:rPr>
        <w:t>126</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"_Toc86611292" </w:instrText>
      </w:r>
      <w:r>
        <w:fldChar w:fldCharType="separate"/>
      </w:r>
      <w:r>
        <w:rPr>
          <w:rStyle w:val="54"/>
          <w:sz w:val="24"/>
        </w:rPr>
        <w:t>4.8地下水环境质量现状调查与评价</w:t>
      </w:r>
      <w:r>
        <w:rPr>
          <w:sz w:val="24"/>
        </w:rPr>
        <w:tab/>
      </w:r>
      <w:r>
        <w:rPr>
          <w:sz w:val="24"/>
        </w:rPr>
        <w:fldChar w:fldCharType="begin"/>
      </w:r>
      <w:r>
        <w:rPr>
          <w:sz w:val="24"/>
        </w:rPr>
        <w:instrText xml:space="preserve"> PAGEREF _Toc86611292 \h </w:instrText>
      </w:r>
      <w:r>
        <w:rPr>
          <w:sz w:val="24"/>
        </w:rPr>
        <w:fldChar w:fldCharType="separate"/>
      </w:r>
      <w:r>
        <w:rPr>
          <w:sz w:val="24"/>
        </w:rPr>
        <w:t>129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"_Toc86611293" </w:instrText>
      </w:r>
      <w:r>
        <w:fldChar w:fldCharType="separate"/>
      </w:r>
      <w:r>
        <w:rPr>
          <w:rStyle w:val="54"/>
          <w:sz w:val="24"/>
        </w:rPr>
        <w:t>4.8.1 地下水水环境质量监测</w:t>
      </w:r>
      <w:r>
        <w:rPr>
          <w:sz w:val="24"/>
        </w:rPr>
        <w:tab/>
      </w:r>
      <w:r>
        <w:rPr>
          <w:sz w:val="24"/>
        </w:rPr>
        <w:fldChar w:fldCharType="begin"/>
      </w:r>
      <w:r>
        <w:rPr>
          <w:sz w:val="24"/>
        </w:rPr>
        <w:instrText xml:space="preserve"> PAGEREF _Toc86611293 \h </w:instrText>
      </w:r>
      <w:r>
        <w:rPr>
          <w:sz w:val="24"/>
        </w:rPr>
        <w:fldChar w:fldCharType="separate"/>
      </w:r>
      <w:r>
        <w:rPr>
          <w:sz w:val="24"/>
        </w:rPr>
        <w:t>129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"_Toc86611294" </w:instrText>
      </w:r>
      <w:r>
        <w:fldChar w:fldCharType="separate"/>
      </w:r>
      <w:r>
        <w:rPr>
          <w:rStyle w:val="54"/>
          <w:sz w:val="24"/>
        </w:rPr>
        <w:t>4.8.2 地下水水位监测</w:t>
      </w:r>
      <w:r>
        <w:rPr>
          <w:sz w:val="24"/>
        </w:rPr>
        <w:tab/>
      </w:r>
      <w:r>
        <w:rPr>
          <w:sz w:val="24"/>
        </w:rPr>
        <w:fldChar w:fldCharType="begin"/>
      </w:r>
      <w:r>
        <w:rPr>
          <w:sz w:val="24"/>
        </w:rPr>
        <w:instrText xml:space="preserve"> PAGEREF _Toc86611294 \h </w:instrText>
      </w:r>
      <w:r>
        <w:rPr>
          <w:sz w:val="24"/>
        </w:rPr>
        <w:fldChar w:fldCharType="separate"/>
      </w:r>
      <w:r>
        <w:rPr>
          <w:sz w:val="24"/>
        </w:rPr>
        <w:t>131</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"_Toc86611295" </w:instrText>
      </w:r>
      <w:r>
        <w:fldChar w:fldCharType="separate"/>
      </w:r>
      <w:r>
        <w:rPr>
          <w:rStyle w:val="54"/>
          <w:sz w:val="24"/>
        </w:rPr>
        <w:t>4.9声环境质量现状调查与评价</w:t>
      </w:r>
      <w:r>
        <w:rPr>
          <w:sz w:val="24"/>
        </w:rPr>
        <w:tab/>
      </w:r>
      <w:r>
        <w:rPr>
          <w:sz w:val="24"/>
        </w:rPr>
        <w:fldChar w:fldCharType="begin"/>
      </w:r>
      <w:r>
        <w:rPr>
          <w:sz w:val="24"/>
        </w:rPr>
        <w:instrText xml:space="preserve"> PAGEREF _Toc86611295 \h </w:instrText>
      </w:r>
      <w:r>
        <w:rPr>
          <w:sz w:val="24"/>
        </w:rPr>
        <w:fldChar w:fldCharType="separate"/>
      </w:r>
      <w:r>
        <w:rPr>
          <w:sz w:val="24"/>
        </w:rPr>
        <w:t>132</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"_Toc86611296" </w:instrText>
      </w:r>
      <w:r>
        <w:fldChar w:fldCharType="separate"/>
      </w:r>
      <w:r>
        <w:rPr>
          <w:rStyle w:val="54"/>
          <w:sz w:val="24"/>
        </w:rPr>
        <w:t>4.10土壤环境质量现状调查与评价</w:t>
      </w:r>
      <w:r>
        <w:rPr>
          <w:sz w:val="24"/>
        </w:rPr>
        <w:tab/>
      </w:r>
      <w:r>
        <w:rPr>
          <w:sz w:val="24"/>
        </w:rPr>
        <w:fldChar w:fldCharType="begin"/>
      </w:r>
      <w:r>
        <w:rPr>
          <w:sz w:val="24"/>
        </w:rPr>
        <w:instrText xml:space="preserve"> PAGEREF _Toc86611296 \h </w:instrText>
      </w:r>
      <w:r>
        <w:rPr>
          <w:sz w:val="24"/>
        </w:rPr>
        <w:fldChar w:fldCharType="separate"/>
      </w:r>
      <w:r>
        <w:rPr>
          <w:sz w:val="24"/>
        </w:rPr>
        <w:t>133</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"_Toc86611297" </w:instrText>
      </w:r>
      <w:r>
        <w:fldChar w:fldCharType="separate"/>
      </w:r>
      <w:r>
        <w:rPr>
          <w:rStyle w:val="54"/>
          <w:sz w:val="24"/>
        </w:rPr>
        <w:t>4.11生态环境现状调查与评价</w:t>
      </w:r>
      <w:r>
        <w:rPr>
          <w:sz w:val="24"/>
        </w:rPr>
        <w:tab/>
      </w:r>
      <w:r>
        <w:rPr>
          <w:sz w:val="24"/>
        </w:rPr>
        <w:fldChar w:fldCharType="begin"/>
      </w:r>
      <w:r>
        <w:rPr>
          <w:sz w:val="24"/>
        </w:rPr>
        <w:instrText xml:space="preserve"> PAGEREF _Toc86611297 \h </w:instrText>
      </w:r>
      <w:r>
        <w:rPr>
          <w:sz w:val="24"/>
        </w:rPr>
        <w:fldChar w:fldCharType="separate"/>
      </w:r>
      <w:r>
        <w:rPr>
          <w:sz w:val="24"/>
        </w:rPr>
        <w:t>136</w:t>
      </w:r>
      <w:r>
        <w:rPr>
          <w:sz w:val="24"/>
        </w:rPr>
        <w:fldChar w:fldCharType="end"/>
      </w:r>
      <w:r>
        <w:rPr>
          <w:sz w:val="24"/>
        </w:rPr>
        <w:fldChar w:fldCharType="end"/>
      </w:r>
    </w:p>
    <w:p>
      <w:pPr>
        <w:pStyle w:val="31"/>
        <w:tabs>
          <w:tab w:val="right" w:leader="dot" w:pos="8721"/>
        </w:tabs>
        <w:spacing w:line="360" w:lineRule="auto"/>
        <w:rPr>
          <w:sz w:val="24"/>
        </w:rPr>
      </w:pPr>
      <w:r>
        <w:fldChar w:fldCharType="begin"/>
      </w:r>
      <w:r>
        <w:instrText xml:space="preserve"> HYPERLINK \l "_Toc86611298" </w:instrText>
      </w:r>
      <w:r>
        <w:fldChar w:fldCharType="separate"/>
      </w:r>
      <w:r>
        <w:rPr>
          <w:rStyle w:val="54"/>
          <w:sz w:val="24"/>
        </w:rPr>
        <w:t>5环境影响预测与评价</w:t>
      </w:r>
      <w:r>
        <w:rPr>
          <w:sz w:val="24"/>
        </w:rPr>
        <w:tab/>
      </w:r>
      <w:r>
        <w:rPr>
          <w:sz w:val="24"/>
        </w:rPr>
        <w:fldChar w:fldCharType="begin"/>
      </w:r>
      <w:r>
        <w:rPr>
          <w:sz w:val="24"/>
        </w:rPr>
        <w:instrText xml:space="preserve"> PAGEREF _Toc86611298 \h </w:instrText>
      </w:r>
      <w:r>
        <w:rPr>
          <w:sz w:val="24"/>
        </w:rPr>
        <w:fldChar w:fldCharType="separate"/>
      </w:r>
      <w:r>
        <w:rPr>
          <w:sz w:val="24"/>
        </w:rPr>
        <w:t>139</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"_Toc86611299" </w:instrText>
      </w:r>
      <w:r>
        <w:fldChar w:fldCharType="separate"/>
      </w:r>
      <w:r>
        <w:rPr>
          <w:rStyle w:val="54"/>
          <w:sz w:val="24"/>
        </w:rPr>
        <w:t>5.1 施工期环境影响分析</w:t>
      </w:r>
      <w:r>
        <w:rPr>
          <w:sz w:val="24"/>
        </w:rPr>
        <w:tab/>
      </w:r>
      <w:r>
        <w:rPr>
          <w:sz w:val="24"/>
        </w:rPr>
        <w:fldChar w:fldCharType="begin"/>
      </w:r>
      <w:r>
        <w:rPr>
          <w:sz w:val="24"/>
        </w:rPr>
        <w:instrText xml:space="preserve"> PAGEREF _Toc86611299 \h </w:instrText>
      </w:r>
      <w:r>
        <w:rPr>
          <w:sz w:val="24"/>
        </w:rPr>
        <w:fldChar w:fldCharType="separate"/>
      </w:r>
      <w:r>
        <w:rPr>
          <w:sz w:val="24"/>
        </w:rPr>
        <w:t>139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"_Toc86611300" </w:instrText>
      </w:r>
      <w:r>
        <w:fldChar w:fldCharType="separate"/>
      </w:r>
      <w:r>
        <w:rPr>
          <w:rStyle w:val="54"/>
          <w:sz w:val="24"/>
        </w:rPr>
        <w:t>5.1.1 施工期地表水环境影响分析</w:t>
      </w:r>
      <w:r>
        <w:rPr>
          <w:sz w:val="24"/>
        </w:rPr>
        <w:tab/>
      </w:r>
      <w:r>
        <w:rPr>
          <w:sz w:val="24"/>
        </w:rPr>
        <w:fldChar w:fldCharType="begin"/>
      </w:r>
      <w:r>
        <w:rPr>
          <w:sz w:val="24"/>
        </w:rPr>
        <w:instrText xml:space="preserve"> PAGEREF _Toc86611300 \h </w:instrText>
      </w:r>
      <w:r>
        <w:rPr>
          <w:sz w:val="24"/>
        </w:rPr>
        <w:fldChar w:fldCharType="separate"/>
      </w:r>
      <w:r>
        <w:rPr>
          <w:sz w:val="24"/>
        </w:rPr>
        <w:t>139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"_Toc86611301" </w:instrText>
      </w:r>
      <w:r>
        <w:fldChar w:fldCharType="separate"/>
      </w:r>
      <w:r>
        <w:rPr>
          <w:rStyle w:val="54"/>
          <w:sz w:val="24"/>
        </w:rPr>
        <w:t>5.1.2 施工期大气环境影响分析</w:t>
      </w:r>
      <w:r>
        <w:rPr>
          <w:sz w:val="24"/>
        </w:rPr>
        <w:tab/>
      </w:r>
      <w:r>
        <w:rPr>
          <w:sz w:val="24"/>
        </w:rPr>
        <w:fldChar w:fldCharType="begin"/>
      </w:r>
      <w:r>
        <w:rPr>
          <w:sz w:val="24"/>
        </w:rPr>
        <w:instrText xml:space="preserve"> PAGEREF _Toc86611301 \h </w:instrText>
      </w:r>
      <w:r>
        <w:rPr>
          <w:sz w:val="24"/>
        </w:rPr>
        <w:fldChar w:fldCharType="separate"/>
      </w:r>
      <w:r>
        <w:rPr>
          <w:sz w:val="24"/>
        </w:rPr>
        <w:t>139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"_Toc86611302" </w:instrText>
      </w:r>
      <w:r>
        <w:fldChar w:fldCharType="separate"/>
      </w:r>
      <w:r>
        <w:rPr>
          <w:rStyle w:val="54"/>
          <w:sz w:val="24"/>
        </w:rPr>
        <w:t>5.1.3 施工期声环境影响分析</w:t>
      </w:r>
      <w:r>
        <w:rPr>
          <w:sz w:val="24"/>
        </w:rPr>
        <w:tab/>
      </w:r>
      <w:r>
        <w:rPr>
          <w:sz w:val="24"/>
        </w:rPr>
        <w:fldChar w:fldCharType="begin"/>
      </w:r>
      <w:r>
        <w:rPr>
          <w:sz w:val="24"/>
        </w:rPr>
        <w:instrText xml:space="preserve"> PAGEREF _Toc86611302 \h </w:instrText>
      </w:r>
      <w:r>
        <w:rPr>
          <w:sz w:val="24"/>
        </w:rPr>
        <w:fldChar w:fldCharType="separate"/>
      </w:r>
      <w:r>
        <w:rPr>
          <w:sz w:val="24"/>
        </w:rPr>
        <w:t>140</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"_Toc86611303" </w:instrText>
      </w:r>
      <w:r>
        <w:fldChar w:fldCharType="separate"/>
      </w:r>
      <w:r>
        <w:rPr>
          <w:rStyle w:val="54"/>
          <w:sz w:val="24"/>
        </w:rPr>
        <w:t>5.1.4 施工期固体废物影响分析</w:t>
      </w:r>
      <w:r>
        <w:rPr>
          <w:sz w:val="24"/>
        </w:rPr>
        <w:tab/>
      </w:r>
      <w:r>
        <w:rPr>
          <w:sz w:val="24"/>
        </w:rPr>
        <w:fldChar w:fldCharType="begin"/>
      </w:r>
      <w:r>
        <w:rPr>
          <w:sz w:val="24"/>
        </w:rPr>
        <w:instrText xml:space="preserve"> PAGEREF _Toc86611303 \h </w:instrText>
      </w:r>
      <w:r>
        <w:rPr>
          <w:sz w:val="24"/>
        </w:rPr>
        <w:fldChar w:fldCharType="separate"/>
      </w:r>
      <w:r>
        <w:rPr>
          <w:sz w:val="24"/>
        </w:rPr>
        <w:t>143</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"_Toc86611304" </w:instrText>
      </w:r>
      <w:r>
        <w:fldChar w:fldCharType="separate"/>
      </w:r>
      <w:r>
        <w:rPr>
          <w:rStyle w:val="54"/>
          <w:sz w:val="24"/>
        </w:rPr>
        <w:t>5.1.5 施工期水土流失环境影响分析</w:t>
      </w:r>
      <w:r>
        <w:rPr>
          <w:sz w:val="24"/>
        </w:rPr>
        <w:tab/>
      </w:r>
      <w:r>
        <w:rPr>
          <w:sz w:val="24"/>
        </w:rPr>
        <w:fldChar w:fldCharType="begin"/>
      </w:r>
      <w:r>
        <w:rPr>
          <w:sz w:val="24"/>
        </w:rPr>
        <w:instrText xml:space="preserve"> PAGEREF _Toc86611304 \h </w:instrText>
      </w:r>
      <w:r>
        <w:rPr>
          <w:sz w:val="24"/>
        </w:rPr>
        <w:fldChar w:fldCharType="separate"/>
      </w:r>
      <w:r>
        <w:rPr>
          <w:sz w:val="24"/>
        </w:rPr>
        <w:t>144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"_Toc86611305" </w:instrText>
      </w:r>
      <w:r>
        <w:fldChar w:fldCharType="separate"/>
      </w:r>
      <w:r>
        <w:rPr>
          <w:rStyle w:val="54"/>
          <w:sz w:val="24"/>
        </w:rPr>
        <w:t>5.1.6 施工期环境影响小结</w:t>
      </w:r>
      <w:r>
        <w:rPr>
          <w:sz w:val="24"/>
        </w:rPr>
        <w:tab/>
      </w:r>
      <w:r>
        <w:rPr>
          <w:sz w:val="24"/>
        </w:rPr>
        <w:fldChar w:fldCharType="begin"/>
      </w:r>
      <w:r>
        <w:rPr>
          <w:sz w:val="24"/>
        </w:rPr>
        <w:instrText xml:space="preserve"> PAGEREF _Toc86611305 \h </w:instrText>
      </w:r>
      <w:r>
        <w:rPr>
          <w:sz w:val="24"/>
        </w:rPr>
        <w:fldChar w:fldCharType="separate"/>
      </w:r>
      <w:r>
        <w:rPr>
          <w:sz w:val="24"/>
        </w:rPr>
        <w:t>146</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"_Toc86611306" </w:instrText>
      </w:r>
      <w:r>
        <w:fldChar w:fldCharType="separate"/>
      </w:r>
      <w:r>
        <w:rPr>
          <w:rStyle w:val="54"/>
          <w:sz w:val="24"/>
        </w:rPr>
        <w:t>5.2营运期环境影响预测与评价</w:t>
      </w:r>
      <w:r>
        <w:rPr>
          <w:sz w:val="24"/>
        </w:rPr>
        <w:tab/>
      </w:r>
      <w:r>
        <w:rPr>
          <w:sz w:val="24"/>
        </w:rPr>
        <w:fldChar w:fldCharType="begin"/>
      </w:r>
      <w:r>
        <w:rPr>
          <w:sz w:val="24"/>
        </w:rPr>
        <w:instrText xml:space="preserve"> PAGEREF _Toc86611306 \h </w:instrText>
      </w:r>
      <w:r>
        <w:rPr>
          <w:sz w:val="24"/>
        </w:rPr>
        <w:fldChar w:fldCharType="separate"/>
      </w:r>
      <w:r>
        <w:rPr>
          <w:sz w:val="24"/>
        </w:rPr>
        <w:t>148</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"_Toc86611307" </w:instrText>
      </w:r>
      <w:r>
        <w:fldChar w:fldCharType="separate"/>
      </w:r>
      <w:r>
        <w:rPr>
          <w:rStyle w:val="54"/>
          <w:sz w:val="24"/>
        </w:rPr>
        <w:t>5.2.1 气象资料的适用性分析</w:t>
      </w:r>
      <w:r>
        <w:rPr>
          <w:sz w:val="24"/>
        </w:rPr>
        <w:tab/>
      </w:r>
      <w:r>
        <w:rPr>
          <w:sz w:val="24"/>
        </w:rPr>
        <w:fldChar w:fldCharType="begin"/>
      </w:r>
      <w:r>
        <w:rPr>
          <w:sz w:val="24"/>
        </w:rPr>
        <w:instrText xml:space="preserve"> PAGEREF _Toc86611307 \h </w:instrText>
      </w:r>
      <w:r>
        <w:rPr>
          <w:sz w:val="24"/>
        </w:rPr>
        <w:fldChar w:fldCharType="separate"/>
      </w:r>
      <w:r>
        <w:rPr>
          <w:sz w:val="24"/>
        </w:rPr>
        <w:t>148</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"_Toc86611308" </w:instrText>
      </w:r>
      <w:r>
        <w:fldChar w:fldCharType="separate"/>
      </w:r>
      <w:r>
        <w:rPr>
          <w:rStyle w:val="54"/>
          <w:sz w:val="24"/>
        </w:rPr>
        <w:t>5.2.2 常规气象资料分析</w:t>
      </w:r>
      <w:r>
        <w:rPr>
          <w:sz w:val="24"/>
        </w:rPr>
        <w:tab/>
      </w:r>
      <w:r>
        <w:rPr>
          <w:sz w:val="24"/>
        </w:rPr>
        <w:fldChar w:fldCharType="begin"/>
      </w:r>
      <w:r>
        <w:rPr>
          <w:sz w:val="24"/>
        </w:rPr>
        <w:instrText xml:space="preserve"> PAGEREF _Toc86611308 \h </w:instrText>
      </w:r>
      <w:r>
        <w:rPr>
          <w:sz w:val="24"/>
        </w:rPr>
        <w:fldChar w:fldCharType="separate"/>
      </w:r>
      <w:r>
        <w:rPr>
          <w:sz w:val="24"/>
        </w:rPr>
        <w:t>148</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"_Toc86611309" </w:instrText>
      </w:r>
      <w:r>
        <w:fldChar w:fldCharType="separate"/>
      </w:r>
      <w:r>
        <w:rPr>
          <w:rStyle w:val="54"/>
          <w:sz w:val="24"/>
        </w:rPr>
        <w:t>5.2.3环境空气影响预测与评价</w:t>
      </w:r>
      <w:r>
        <w:rPr>
          <w:sz w:val="24"/>
        </w:rPr>
        <w:tab/>
      </w:r>
      <w:r>
        <w:rPr>
          <w:sz w:val="24"/>
        </w:rPr>
        <w:fldChar w:fldCharType="begin"/>
      </w:r>
      <w:r>
        <w:rPr>
          <w:sz w:val="24"/>
        </w:rPr>
        <w:instrText xml:space="preserve"> PAGEREF _Toc86611309 \h </w:instrText>
      </w:r>
      <w:r>
        <w:rPr>
          <w:sz w:val="24"/>
        </w:rPr>
        <w:fldChar w:fldCharType="separate"/>
      </w:r>
      <w:r>
        <w:rPr>
          <w:sz w:val="24"/>
        </w:rPr>
        <w:t>152</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"_Toc86611310" </w:instrText>
      </w:r>
      <w:r>
        <w:fldChar w:fldCharType="separate"/>
      </w:r>
      <w:r>
        <w:rPr>
          <w:rStyle w:val="54"/>
          <w:sz w:val="24"/>
        </w:rPr>
        <w:t>5.2.4地表水环境影响预测与评价</w:t>
      </w:r>
      <w:r>
        <w:rPr>
          <w:sz w:val="24"/>
        </w:rPr>
        <w:tab/>
      </w:r>
      <w:r>
        <w:rPr>
          <w:sz w:val="24"/>
        </w:rPr>
        <w:fldChar w:fldCharType="begin"/>
      </w:r>
      <w:r>
        <w:rPr>
          <w:sz w:val="24"/>
        </w:rPr>
        <w:instrText xml:space="preserve"> PAGEREF _Toc86611310 \h </w:instrText>
      </w:r>
      <w:r>
        <w:rPr>
          <w:sz w:val="24"/>
        </w:rPr>
        <w:fldChar w:fldCharType="separate"/>
      </w:r>
      <w:r>
        <w:rPr>
          <w:sz w:val="24"/>
        </w:rPr>
        <w:t>211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"_Toc86611311" </w:instrText>
      </w:r>
      <w:r>
        <w:fldChar w:fldCharType="separate"/>
      </w:r>
      <w:r>
        <w:rPr>
          <w:rStyle w:val="54"/>
          <w:sz w:val="24"/>
        </w:rPr>
        <w:t>5.2.5地下水环境影响分析</w:t>
      </w:r>
      <w:r>
        <w:rPr>
          <w:sz w:val="24"/>
        </w:rPr>
        <w:tab/>
      </w:r>
      <w:r>
        <w:rPr>
          <w:sz w:val="24"/>
        </w:rPr>
        <w:fldChar w:fldCharType="begin"/>
      </w:r>
      <w:r>
        <w:rPr>
          <w:sz w:val="24"/>
        </w:rPr>
        <w:instrText xml:space="preserve"> PAGEREF _Toc86611311 \h </w:instrText>
      </w:r>
      <w:r>
        <w:rPr>
          <w:sz w:val="24"/>
        </w:rPr>
        <w:fldChar w:fldCharType="separate"/>
      </w:r>
      <w:r>
        <w:rPr>
          <w:sz w:val="24"/>
        </w:rPr>
        <w:t>215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"_Toc86611312" </w:instrText>
      </w:r>
      <w:r>
        <w:fldChar w:fldCharType="separate"/>
      </w:r>
      <w:r>
        <w:rPr>
          <w:rStyle w:val="54"/>
          <w:sz w:val="24"/>
        </w:rPr>
        <w:t>5.2.6 声环境影响分析</w:t>
      </w:r>
      <w:r>
        <w:rPr>
          <w:sz w:val="24"/>
        </w:rPr>
        <w:tab/>
      </w:r>
      <w:r>
        <w:rPr>
          <w:sz w:val="24"/>
        </w:rPr>
        <w:fldChar w:fldCharType="begin"/>
      </w:r>
      <w:r>
        <w:rPr>
          <w:sz w:val="24"/>
        </w:rPr>
        <w:instrText xml:space="preserve"> PAGEREF _Toc86611312 \h </w:instrText>
      </w:r>
      <w:r>
        <w:rPr>
          <w:sz w:val="24"/>
        </w:rPr>
        <w:fldChar w:fldCharType="separate"/>
      </w:r>
      <w:r>
        <w:rPr>
          <w:sz w:val="24"/>
        </w:rPr>
        <w:t>223</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"_Toc86611313" </w:instrText>
      </w:r>
      <w:r>
        <w:fldChar w:fldCharType="separate"/>
      </w:r>
      <w:r>
        <w:rPr>
          <w:rStyle w:val="54"/>
          <w:sz w:val="24"/>
        </w:rPr>
        <w:t>5.2.7 固体废物环境影响分析</w:t>
      </w:r>
      <w:r>
        <w:rPr>
          <w:sz w:val="24"/>
        </w:rPr>
        <w:tab/>
      </w:r>
      <w:r>
        <w:rPr>
          <w:sz w:val="24"/>
        </w:rPr>
        <w:fldChar w:fldCharType="begin"/>
      </w:r>
      <w:r>
        <w:rPr>
          <w:sz w:val="24"/>
        </w:rPr>
        <w:instrText xml:space="preserve"> PAGEREF _Toc86611313 \h </w:instrText>
      </w:r>
      <w:r>
        <w:rPr>
          <w:sz w:val="24"/>
        </w:rPr>
        <w:fldChar w:fldCharType="separate"/>
      </w:r>
      <w:r>
        <w:rPr>
          <w:sz w:val="24"/>
        </w:rPr>
        <w:t>226</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"_Toc86611314" </w:instrText>
      </w:r>
      <w:r>
        <w:fldChar w:fldCharType="separate"/>
      </w:r>
      <w:r>
        <w:rPr>
          <w:rStyle w:val="54"/>
          <w:sz w:val="24"/>
        </w:rPr>
        <w:t>5.2.8 土壤环境影响分析</w:t>
      </w:r>
      <w:r>
        <w:rPr>
          <w:sz w:val="24"/>
        </w:rPr>
        <w:tab/>
      </w:r>
      <w:r>
        <w:rPr>
          <w:sz w:val="24"/>
        </w:rPr>
        <w:fldChar w:fldCharType="begin"/>
      </w:r>
      <w:r>
        <w:rPr>
          <w:sz w:val="24"/>
        </w:rPr>
        <w:instrText xml:space="preserve"> PAGEREF _Toc86611314 \h </w:instrText>
      </w:r>
      <w:r>
        <w:rPr>
          <w:sz w:val="24"/>
        </w:rPr>
        <w:fldChar w:fldCharType="separate"/>
      </w:r>
      <w:r>
        <w:rPr>
          <w:sz w:val="24"/>
        </w:rPr>
        <w:t>229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"_Toc86611315" </w:instrText>
      </w:r>
      <w:r>
        <w:fldChar w:fldCharType="separate"/>
      </w:r>
      <w:r>
        <w:rPr>
          <w:rStyle w:val="54"/>
          <w:sz w:val="24"/>
        </w:rPr>
        <w:t>5.2.9 生态环境影响分析</w:t>
      </w:r>
      <w:r>
        <w:rPr>
          <w:sz w:val="24"/>
        </w:rPr>
        <w:tab/>
      </w:r>
      <w:r>
        <w:rPr>
          <w:sz w:val="24"/>
        </w:rPr>
        <w:fldChar w:fldCharType="begin"/>
      </w:r>
      <w:r>
        <w:rPr>
          <w:sz w:val="24"/>
        </w:rPr>
        <w:instrText xml:space="preserve"> PAGEREF _Toc86611315 \h </w:instrText>
      </w:r>
      <w:r>
        <w:rPr>
          <w:sz w:val="24"/>
        </w:rPr>
        <w:fldChar w:fldCharType="separate"/>
      </w:r>
      <w:r>
        <w:rPr>
          <w:sz w:val="24"/>
        </w:rPr>
        <w:t>234</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"_Toc86611316" </w:instrText>
      </w:r>
      <w:r>
        <w:fldChar w:fldCharType="separate"/>
      </w:r>
      <w:r>
        <w:rPr>
          <w:rStyle w:val="54"/>
          <w:sz w:val="24"/>
        </w:rPr>
        <w:t>5.3 环境风险评价</w:t>
      </w:r>
      <w:r>
        <w:rPr>
          <w:sz w:val="24"/>
        </w:rPr>
        <w:tab/>
      </w:r>
      <w:r>
        <w:rPr>
          <w:sz w:val="24"/>
        </w:rPr>
        <w:fldChar w:fldCharType="begin"/>
      </w:r>
      <w:r>
        <w:rPr>
          <w:sz w:val="24"/>
        </w:rPr>
        <w:instrText xml:space="preserve"> PAGEREF _Toc86611316 \h </w:instrText>
      </w:r>
      <w:r>
        <w:rPr>
          <w:sz w:val="24"/>
        </w:rPr>
        <w:fldChar w:fldCharType="separate"/>
      </w:r>
      <w:r>
        <w:rPr>
          <w:sz w:val="24"/>
        </w:rPr>
        <w:t>237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"_Toc86611317" </w:instrText>
      </w:r>
      <w:r>
        <w:fldChar w:fldCharType="separate"/>
      </w:r>
      <w:r>
        <w:rPr>
          <w:rStyle w:val="54"/>
          <w:sz w:val="24"/>
        </w:rPr>
        <w:t>5.3.1 影响分析</w:t>
      </w:r>
      <w:r>
        <w:rPr>
          <w:sz w:val="24"/>
        </w:rPr>
        <w:tab/>
      </w:r>
      <w:r>
        <w:rPr>
          <w:sz w:val="24"/>
        </w:rPr>
        <w:fldChar w:fldCharType="begin"/>
      </w:r>
      <w:r>
        <w:rPr>
          <w:sz w:val="24"/>
        </w:rPr>
        <w:instrText xml:space="preserve"> PAGEREF _Toc86611317 \h </w:instrText>
      </w:r>
      <w:r>
        <w:rPr>
          <w:sz w:val="24"/>
        </w:rPr>
        <w:fldChar w:fldCharType="separate"/>
      </w:r>
      <w:r>
        <w:rPr>
          <w:sz w:val="24"/>
        </w:rPr>
        <w:t>237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"_Toc86611318" </w:instrText>
      </w:r>
      <w:r>
        <w:fldChar w:fldCharType="separate"/>
      </w:r>
      <w:r>
        <w:rPr>
          <w:rStyle w:val="54"/>
          <w:sz w:val="24"/>
        </w:rPr>
        <w:t>5.3.2 事故风险防范措施</w:t>
      </w:r>
      <w:r>
        <w:rPr>
          <w:sz w:val="24"/>
        </w:rPr>
        <w:tab/>
      </w:r>
      <w:r>
        <w:rPr>
          <w:sz w:val="24"/>
        </w:rPr>
        <w:fldChar w:fldCharType="begin"/>
      </w:r>
      <w:r>
        <w:rPr>
          <w:sz w:val="24"/>
        </w:rPr>
        <w:instrText xml:space="preserve"> PAGEREF _Toc86611318 \h </w:instrText>
      </w:r>
      <w:r>
        <w:rPr>
          <w:sz w:val="24"/>
        </w:rPr>
        <w:fldChar w:fldCharType="separate"/>
      </w:r>
      <w:r>
        <w:rPr>
          <w:sz w:val="24"/>
        </w:rPr>
        <w:t>240</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"_Toc86611319" </w:instrText>
      </w:r>
      <w:r>
        <w:fldChar w:fldCharType="separate"/>
      </w:r>
      <w:r>
        <w:rPr>
          <w:rStyle w:val="54"/>
          <w:sz w:val="24"/>
        </w:rPr>
        <w:t>5.3.3 应急预案</w:t>
      </w:r>
      <w:r>
        <w:rPr>
          <w:sz w:val="24"/>
        </w:rPr>
        <w:tab/>
      </w:r>
      <w:r>
        <w:rPr>
          <w:sz w:val="24"/>
        </w:rPr>
        <w:fldChar w:fldCharType="begin"/>
      </w:r>
      <w:r>
        <w:rPr>
          <w:sz w:val="24"/>
        </w:rPr>
        <w:instrText xml:space="preserve"> PAGEREF _Toc86611319 \h </w:instrText>
      </w:r>
      <w:r>
        <w:rPr>
          <w:sz w:val="24"/>
        </w:rPr>
        <w:fldChar w:fldCharType="separate"/>
      </w:r>
      <w:r>
        <w:rPr>
          <w:sz w:val="24"/>
        </w:rPr>
        <w:t>247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"_Toc86611320" </w:instrText>
      </w:r>
      <w:r>
        <w:fldChar w:fldCharType="separate"/>
      </w:r>
      <w:r>
        <w:rPr>
          <w:rStyle w:val="54"/>
          <w:sz w:val="24"/>
        </w:rPr>
        <w:t>5.3.4 环境风险的防范与管理</w:t>
      </w:r>
      <w:r>
        <w:rPr>
          <w:sz w:val="24"/>
        </w:rPr>
        <w:tab/>
      </w:r>
      <w:r>
        <w:rPr>
          <w:sz w:val="24"/>
        </w:rPr>
        <w:fldChar w:fldCharType="begin"/>
      </w:r>
      <w:r>
        <w:rPr>
          <w:sz w:val="24"/>
        </w:rPr>
        <w:instrText xml:space="preserve"> PAGEREF _Toc86611320 \h </w:instrText>
      </w:r>
      <w:r>
        <w:rPr>
          <w:sz w:val="24"/>
        </w:rPr>
        <w:fldChar w:fldCharType="separate"/>
      </w:r>
      <w:r>
        <w:rPr>
          <w:sz w:val="24"/>
        </w:rPr>
        <w:t>249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"_Toc86611321" </w:instrText>
      </w:r>
      <w:r>
        <w:fldChar w:fldCharType="separate"/>
      </w:r>
      <w:r>
        <w:rPr>
          <w:rStyle w:val="54"/>
          <w:sz w:val="24"/>
        </w:rPr>
        <w:t>5.3.5 评价结论</w:t>
      </w:r>
      <w:r>
        <w:rPr>
          <w:sz w:val="24"/>
        </w:rPr>
        <w:tab/>
      </w:r>
      <w:r>
        <w:rPr>
          <w:sz w:val="24"/>
        </w:rPr>
        <w:fldChar w:fldCharType="begin"/>
      </w:r>
      <w:r>
        <w:rPr>
          <w:sz w:val="24"/>
        </w:rPr>
        <w:instrText xml:space="preserve"> PAGEREF _Toc86611321 \h </w:instrText>
      </w:r>
      <w:r>
        <w:rPr>
          <w:sz w:val="24"/>
        </w:rPr>
        <w:fldChar w:fldCharType="separate"/>
      </w:r>
      <w:r>
        <w:rPr>
          <w:sz w:val="24"/>
        </w:rPr>
        <w:t>250</w:t>
      </w:r>
      <w:r>
        <w:rPr>
          <w:sz w:val="24"/>
        </w:rPr>
        <w:fldChar w:fldCharType="end"/>
      </w:r>
      <w:r>
        <w:rPr>
          <w:sz w:val="24"/>
        </w:rPr>
        <w:fldChar w:fldCharType="end"/>
      </w:r>
    </w:p>
    <w:p>
      <w:pPr>
        <w:pStyle w:val="31"/>
        <w:tabs>
          <w:tab w:val="right" w:leader="dot" w:pos="8721"/>
        </w:tabs>
        <w:spacing w:line="360" w:lineRule="auto"/>
        <w:rPr>
          <w:sz w:val="24"/>
        </w:rPr>
      </w:pPr>
      <w:r>
        <w:fldChar w:fldCharType="begin"/>
      </w:r>
      <w:r>
        <w:instrText xml:space="preserve"> HYPERLINK \l "_Toc86611322" </w:instrText>
      </w:r>
      <w:r>
        <w:fldChar w:fldCharType="separate"/>
      </w:r>
      <w:r>
        <w:rPr>
          <w:rStyle w:val="54"/>
          <w:sz w:val="24"/>
        </w:rPr>
        <w:t>6环境保护措施及其可行性论证</w:t>
      </w:r>
      <w:r>
        <w:rPr>
          <w:sz w:val="24"/>
        </w:rPr>
        <w:tab/>
      </w:r>
      <w:r>
        <w:rPr>
          <w:sz w:val="24"/>
        </w:rPr>
        <w:fldChar w:fldCharType="begin"/>
      </w:r>
      <w:r>
        <w:rPr>
          <w:sz w:val="24"/>
        </w:rPr>
        <w:instrText xml:space="preserve"> PAGEREF _Toc86611322 \h </w:instrText>
      </w:r>
      <w:r>
        <w:rPr>
          <w:sz w:val="24"/>
        </w:rPr>
        <w:fldChar w:fldCharType="separate"/>
      </w:r>
      <w:r>
        <w:rPr>
          <w:sz w:val="24"/>
        </w:rPr>
        <w:t>251</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"_Toc86611323" </w:instrText>
      </w:r>
      <w:r>
        <w:fldChar w:fldCharType="separate"/>
      </w:r>
      <w:r>
        <w:rPr>
          <w:rStyle w:val="54"/>
          <w:sz w:val="24"/>
        </w:rPr>
        <w:t>6.1 施工期污染防治措施及可行性论证</w:t>
      </w:r>
      <w:r>
        <w:rPr>
          <w:sz w:val="24"/>
        </w:rPr>
        <w:tab/>
      </w:r>
      <w:r>
        <w:rPr>
          <w:sz w:val="24"/>
        </w:rPr>
        <w:fldChar w:fldCharType="begin"/>
      </w:r>
      <w:r>
        <w:rPr>
          <w:sz w:val="24"/>
        </w:rPr>
        <w:instrText xml:space="preserve"> PAGEREF _Toc86611323 \h </w:instrText>
      </w:r>
      <w:r>
        <w:rPr>
          <w:sz w:val="24"/>
        </w:rPr>
        <w:fldChar w:fldCharType="separate"/>
      </w:r>
      <w:r>
        <w:rPr>
          <w:sz w:val="24"/>
        </w:rPr>
        <w:t>251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"_Toc86611324" </w:instrText>
      </w:r>
      <w:r>
        <w:fldChar w:fldCharType="separate"/>
      </w:r>
      <w:r>
        <w:rPr>
          <w:rStyle w:val="54"/>
          <w:sz w:val="24"/>
        </w:rPr>
        <w:t>6.1.1 大气污染防治措施</w:t>
      </w:r>
      <w:r>
        <w:rPr>
          <w:sz w:val="24"/>
        </w:rPr>
        <w:tab/>
      </w:r>
      <w:r>
        <w:rPr>
          <w:sz w:val="24"/>
        </w:rPr>
        <w:fldChar w:fldCharType="begin"/>
      </w:r>
      <w:r>
        <w:rPr>
          <w:sz w:val="24"/>
        </w:rPr>
        <w:instrText xml:space="preserve"> PAGEREF _Toc86611324 \h </w:instrText>
      </w:r>
      <w:r>
        <w:rPr>
          <w:sz w:val="24"/>
        </w:rPr>
        <w:fldChar w:fldCharType="separate"/>
      </w:r>
      <w:r>
        <w:rPr>
          <w:sz w:val="24"/>
        </w:rPr>
        <w:t>251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"_Toc86611325" </w:instrText>
      </w:r>
      <w:r>
        <w:fldChar w:fldCharType="separate"/>
      </w:r>
      <w:r>
        <w:rPr>
          <w:rStyle w:val="54"/>
          <w:sz w:val="24"/>
        </w:rPr>
        <w:t>6.1.2 水污染防治措施</w:t>
      </w:r>
      <w:r>
        <w:rPr>
          <w:sz w:val="24"/>
        </w:rPr>
        <w:tab/>
      </w:r>
      <w:r>
        <w:rPr>
          <w:sz w:val="24"/>
        </w:rPr>
        <w:fldChar w:fldCharType="begin"/>
      </w:r>
      <w:r>
        <w:rPr>
          <w:sz w:val="24"/>
        </w:rPr>
        <w:instrText xml:space="preserve"> PAGEREF _Toc86611325 \h </w:instrText>
      </w:r>
      <w:r>
        <w:rPr>
          <w:sz w:val="24"/>
        </w:rPr>
        <w:fldChar w:fldCharType="separate"/>
      </w:r>
      <w:r>
        <w:rPr>
          <w:sz w:val="24"/>
        </w:rPr>
        <w:t>252</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"_Toc86611326" </w:instrText>
      </w:r>
      <w:r>
        <w:fldChar w:fldCharType="separate"/>
      </w:r>
      <w:r>
        <w:rPr>
          <w:rStyle w:val="54"/>
          <w:sz w:val="24"/>
        </w:rPr>
        <w:t>6.1.3 噪声防治措施</w:t>
      </w:r>
      <w:r>
        <w:rPr>
          <w:sz w:val="24"/>
        </w:rPr>
        <w:tab/>
      </w:r>
      <w:r>
        <w:rPr>
          <w:sz w:val="24"/>
        </w:rPr>
        <w:fldChar w:fldCharType="begin"/>
      </w:r>
      <w:r>
        <w:rPr>
          <w:sz w:val="24"/>
        </w:rPr>
        <w:instrText xml:space="preserve"> PAGEREF _Toc86611326 \h </w:instrText>
      </w:r>
      <w:r>
        <w:rPr>
          <w:sz w:val="24"/>
        </w:rPr>
        <w:fldChar w:fldCharType="separate"/>
      </w:r>
      <w:r>
        <w:rPr>
          <w:sz w:val="24"/>
        </w:rPr>
        <w:t>253</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"_Toc86611327" </w:instrText>
      </w:r>
      <w:r>
        <w:fldChar w:fldCharType="separate"/>
      </w:r>
      <w:r>
        <w:rPr>
          <w:rStyle w:val="54"/>
          <w:sz w:val="24"/>
        </w:rPr>
        <w:t>6.1.4 固体废弃物处置</w:t>
      </w:r>
      <w:r>
        <w:rPr>
          <w:sz w:val="24"/>
        </w:rPr>
        <w:tab/>
      </w:r>
      <w:r>
        <w:rPr>
          <w:sz w:val="24"/>
        </w:rPr>
        <w:fldChar w:fldCharType="begin"/>
      </w:r>
      <w:r>
        <w:rPr>
          <w:sz w:val="24"/>
        </w:rPr>
        <w:instrText xml:space="preserve"> PAGEREF _Toc86611327 \h </w:instrText>
      </w:r>
      <w:r>
        <w:rPr>
          <w:sz w:val="24"/>
        </w:rPr>
        <w:fldChar w:fldCharType="separate"/>
      </w:r>
      <w:r>
        <w:rPr>
          <w:sz w:val="24"/>
        </w:rPr>
        <w:t>254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"_Toc86611328" </w:instrText>
      </w:r>
      <w:r>
        <w:fldChar w:fldCharType="separate"/>
      </w:r>
      <w:r>
        <w:rPr>
          <w:rStyle w:val="54"/>
          <w:sz w:val="24"/>
        </w:rPr>
        <w:t>6.1.5 生态保护措施</w:t>
      </w:r>
      <w:r>
        <w:rPr>
          <w:sz w:val="24"/>
        </w:rPr>
        <w:tab/>
      </w:r>
      <w:r>
        <w:rPr>
          <w:sz w:val="24"/>
        </w:rPr>
        <w:fldChar w:fldCharType="begin"/>
      </w:r>
      <w:r>
        <w:rPr>
          <w:sz w:val="24"/>
        </w:rPr>
        <w:instrText xml:space="preserve"> PAGEREF _Toc86611328 \h </w:instrText>
      </w:r>
      <w:r>
        <w:rPr>
          <w:sz w:val="24"/>
        </w:rPr>
        <w:fldChar w:fldCharType="separate"/>
      </w:r>
      <w:r>
        <w:rPr>
          <w:sz w:val="24"/>
        </w:rPr>
        <w:t>254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"_Toc86611329" </w:instrText>
      </w:r>
      <w:r>
        <w:fldChar w:fldCharType="separate"/>
      </w:r>
      <w:r>
        <w:rPr>
          <w:rStyle w:val="54"/>
          <w:sz w:val="24"/>
        </w:rPr>
        <w:t>6.1.6 水土流失防治措施</w:t>
      </w:r>
      <w:r>
        <w:rPr>
          <w:sz w:val="24"/>
        </w:rPr>
        <w:tab/>
      </w:r>
      <w:r>
        <w:rPr>
          <w:sz w:val="24"/>
        </w:rPr>
        <w:fldChar w:fldCharType="begin"/>
      </w:r>
      <w:r>
        <w:rPr>
          <w:sz w:val="24"/>
        </w:rPr>
        <w:instrText xml:space="preserve"> PAGEREF _Toc86611329 \h </w:instrText>
      </w:r>
      <w:r>
        <w:rPr>
          <w:sz w:val="24"/>
        </w:rPr>
        <w:fldChar w:fldCharType="separate"/>
      </w:r>
      <w:r>
        <w:rPr>
          <w:sz w:val="24"/>
        </w:rPr>
        <w:t>255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"_Toc86611330" </w:instrText>
      </w:r>
      <w:r>
        <w:fldChar w:fldCharType="separate"/>
      </w:r>
      <w:r>
        <w:rPr>
          <w:rStyle w:val="54"/>
          <w:sz w:val="24"/>
        </w:rPr>
        <w:t>6.1.7 施工期污染防治措施可行性分析</w:t>
      </w:r>
      <w:r>
        <w:rPr>
          <w:sz w:val="24"/>
        </w:rPr>
        <w:tab/>
      </w:r>
      <w:r>
        <w:rPr>
          <w:sz w:val="24"/>
        </w:rPr>
        <w:fldChar w:fldCharType="begin"/>
      </w:r>
      <w:r>
        <w:rPr>
          <w:sz w:val="24"/>
        </w:rPr>
        <w:instrText xml:space="preserve"> PAGEREF _Toc86611330 \h </w:instrText>
      </w:r>
      <w:r>
        <w:rPr>
          <w:sz w:val="24"/>
        </w:rPr>
        <w:fldChar w:fldCharType="separate"/>
      </w:r>
      <w:r>
        <w:rPr>
          <w:sz w:val="24"/>
        </w:rPr>
        <w:t>256</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"_Toc86611331" </w:instrText>
      </w:r>
      <w:r>
        <w:fldChar w:fldCharType="separate"/>
      </w:r>
      <w:r>
        <w:rPr>
          <w:rStyle w:val="54"/>
          <w:sz w:val="24"/>
        </w:rPr>
        <w:t>6.2 运营期污染防治措施及可行性论证</w:t>
      </w:r>
      <w:r>
        <w:rPr>
          <w:sz w:val="24"/>
        </w:rPr>
        <w:tab/>
      </w:r>
      <w:r>
        <w:rPr>
          <w:sz w:val="24"/>
        </w:rPr>
        <w:fldChar w:fldCharType="begin"/>
      </w:r>
      <w:r>
        <w:rPr>
          <w:sz w:val="24"/>
        </w:rPr>
        <w:instrText xml:space="preserve"> PAGEREF _Toc86611331 \h </w:instrText>
      </w:r>
      <w:r>
        <w:rPr>
          <w:sz w:val="24"/>
        </w:rPr>
        <w:fldChar w:fldCharType="separate"/>
      </w:r>
      <w:r>
        <w:rPr>
          <w:sz w:val="24"/>
        </w:rPr>
        <w:t>257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"_Toc86611332" </w:instrText>
      </w:r>
      <w:r>
        <w:fldChar w:fldCharType="separate"/>
      </w:r>
      <w:r>
        <w:rPr>
          <w:rStyle w:val="54"/>
          <w:sz w:val="24"/>
        </w:rPr>
        <w:t>6.2.1 废水污染防治措施及可行性论证</w:t>
      </w:r>
      <w:r>
        <w:rPr>
          <w:sz w:val="24"/>
        </w:rPr>
        <w:tab/>
      </w:r>
      <w:r>
        <w:rPr>
          <w:sz w:val="24"/>
        </w:rPr>
        <w:fldChar w:fldCharType="begin"/>
      </w:r>
      <w:r>
        <w:rPr>
          <w:sz w:val="24"/>
        </w:rPr>
        <w:instrText xml:space="preserve"> PAGEREF _Toc86611332 \h </w:instrText>
      </w:r>
      <w:r>
        <w:rPr>
          <w:sz w:val="24"/>
        </w:rPr>
        <w:fldChar w:fldCharType="separate"/>
      </w:r>
      <w:r>
        <w:rPr>
          <w:sz w:val="24"/>
        </w:rPr>
        <w:t>257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"_Toc86611333" </w:instrText>
      </w:r>
      <w:r>
        <w:fldChar w:fldCharType="separate"/>
      </w:r>
      <w:r>
        <w:rPr>
          <w:rStyle w:val="54"/>
          <w:sz w:val="24"/>
        </w:rPr>
        <w:t>6.2.2 废气污染防治措施及可行性论证</w:t>
      </w:r>
      <w:r>
        <w:rPr>
          <w:sz w:val="24"/>
        </w:rPr>
        <w:tab/>
      </w:r>
      <w:r>
        <w:rPr>
          <w:sz w:val="24"/>
        </w:rPr>
        <w:fldChar w:fldCharType="begin"/>
      </w:r>
      <w:r>
        <w:rPr>
          <w:sz w:val="24"/>
        </w:rPr>
        <w:instrText xml:space="preserve"> PAGEREF _Toc86611333 \h </w:instrText>
      </w:r>
      <w:r>
        <w:rPr>
          <w:sz w:val="24"/>
        </w:rPr>
        <w:fldChar w:fldCharType="separate"/>
      </w:r>
      <w:r>
        <w:rPr>
          <w:sz w:val="24"/>
        </w:rPr>
        <w:t>264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"_Toc86611334" </w:instrText>
      </w:r>
      <w:r>
        <w:fldChar w:fldCharType="separate"/>
      </w:r>
      <w:r>
        <w:rPr>
          <w:rStyle w:val="54"/>
          <w:sz w:val="24"/>
        </w:rPr>
        <w:t>6.2.3 噪声污染防治措施及可行性论证</w:t>
      </w:r>
      <w:r>
        <w:rPr>
          <w:sz w:val="24"/>
        </w:rPr>
        <w:tab/>
      </w:r>
      <w:r>
        <w:rPr>
          <w:sz w:val="24"/>
        </w:rPr>
        <w:fldChar w:fldCharType="begin"/>
      </w:r>
      <w:r>
        <w:rPr>
          <w:sz w:val="24"/>
        </w:rPr>
        <w:instrText xml:space="preserve"> PAGEREF _Toc86611334 \h </w:instrText>
      </w:r>
      <w:r>
        <w:rPr>
          <w:sz w:val="24"/>
        </w:rPr>
        <w:fldChar w:fldCharType="separate"/>
      </w:r>
      <w:r>
        <w:rPr>
          <w:sz w:val="24"/>
        </w:rPr>
        <w:t>277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"_Toc86611335" </w:instrText>
      </w:r>
      <w:r>
        <w:fldChar w:fldCharType="separate"/>
      </w:r>
      <w:r>
        <w:rPr>
          <w:rStyle w:val="54"/>
          <w:sz w:val="24"/>
        </w:rPr>
        <w:t>6.2.4 固废污染防治措施及可行性论证</w:t>
      </w:r>
      <w:r>
        <w:rPr>
          <w:sz w:val="24"/>
        </w:rPr>
        <w:tab/>
      </w:r>
      <w:r>
        <w:rPr>
          <w:sz w:val="24"/>
        </w:rPr>
        <w:fldChar w:fldCharType="begin"/>
      </w:r>
      <w:r>
        <w:rPr>
          <w:sz w:val="24"/>
        </w:rPr>
        <w:instrText xml:space="preserve"> PAGEREF _Toc86611335 \h </w:instrText>
      </w:r>
      <w:r>
        <w:rPr>
          <w:sz w:val="24"/>
        </w:rPr>
        <w:fldChar w:fldCharType="separate"/>
      </w:r>
      <w:r>
        <w:rPr>
          <w:sz w:val="24"/>
        </w:rPr>
        <w:t>277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"_Toc86611336" </w:instrText>
      </w:r>
      <w:r>
        <w:fldChar w:fldCharType="separate"/>
      </w:r>
      <w:r>
        <w:rPr>
          <w:rStyle w:val="54"/>
          <w:sz w:val="24"/>
        </w:rPr>
        <w:t>6.2.5 环境风险防范措施</w:t>
      </w:r>
      <w:r>
        <w:rPr>
          <w:sz w:val="24"/>
        </w:rPr>
        <w:tab/>
      </w:r>
      <w:r>
        <w:rPr>
          <w:sz w:val="24"/>
        </w:rPr>
        <w:fldChar w:fldCharType="begin"/>
      </w:r>
      <w:r>
        <w:rPr>
          <w:sz w:val="24"/>
        </w:rPr>
        <w:instrText xml:space="preserve"> PAGEREF _Toc86611336 \h </w:instrText>
      </w:r>
      <w:r>
        <w:rPr>
          <w:sz w:val="24"/>
        </w:rPr>
        <w:fldChar w:fldCharType="separate"/>
      </w:r>
      <w:r>
        <w:rPr>
          <w:sz w:val="24"/>
        </w:rPr>
        <w:t>278</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"_Toc86611337" </w:instrText>
      </w:r>
      <w:r>
        <w:fldChar w:fldCharType="separate"/>
      </w:r>
      <w:r>
        <w:rPr>
          <w:rStyle w:val="54"/>
          <w:sz w:val="24"/>
        </w:rPr>
        <w:t>6.3 项目“三同时”环保投资</w:t>
      </w:r>
      <w:r>
        <w:rPr>
          <w:sz w:val="24"/>
        </w:rPr>
        <w:tab/>
      </w:r>
      <w:r>
        <w:rPr>
          <w:sz w:val="24"/>
        </w:rPr>
        <w:fldChar w:fldCharType="begin"/>
      </w:r>
      <w:r>
        <w:rPr>
          <w:sz w:val="24"/>
        </w:rPr>
        <w:instrText xml:space="preserve"> PAGEREF _Toc86611337 \h </w:instrText>
      </w:r>
      <w:r>
        <w:rPr>
          <w:sz w:val="24"/>
        </w:rPr>
        <w:fldChar w:fldCharType="separate"/>
      </w:r>
      <w:r>
        <w:rPr>
          <w:sz w:val="24"/>
        </w:rPr>
        <w:t>278</w:t>
      </w:r>
      <w:r>
        <w:rPr>
          <w:sz w:val="24"/>
        </w:rPr>
        <w:fldChar w:fldCharType="end"/>
      </w:r>
      <w:r>
        <w:rPr>
          <w:sz w:val="24"/>
        </w:rPr>
        <w:fldChar w:fldCharType="end"/>
      </w:r>
    </w:p>
    <w:p>
      <w:pPr>
        <w:pStyle w:val="31"/>
        <w:tabs>
          <w:tab w:val="right" w:leader="dot" w:pos="8721"/>
        </w:tabs>
        <w:spacing w:line="360" w:lineRule="auto"/>
        <w:rPr>
          <w:sz w:val="24"/>
        </w:rPr>
      </w:pPr>
      <w:r>
        <w:fldChar w:fldCharType="begin"/>
      </w:r>
      <w:r>
        <w:instrText xml:space="preserve"> HYPERLINK \l "_Toc86611338" </w:instrText>
      </w:r>
      <w:r>
        <w:fldChar w:fldCharType="separate"/>
      </w:r>
      <w:r>
        <w:rPr>
          <w:rStyle w:val="54"/>
          <w:sz w:val="24"/>
        </w:rPr>
        <w:t>7环境影响经济损益分析</w:t>
      </w:r>
      <w:r>
        <w:rPr>
          <w:sz w:val="24"/>
        </w:rPr>
        <w:tab/>
      </w:r>
      <w:r>
        <w:rPr>
          <w:sz w:val="24"/>
        </w:rPr>
        <w:fldChar w:fldCharType="begin"/>
      </w:r>
      <w:r>
        <w:rPr>
          <w:sz w:val="24"/>
        </w:rPr>
        <w:instrText xml:space="preserve"> PAGEREF _Toc86611338 \h </w:instrText>
      </w:r>
      <w:r>
        <w:rPr>
          <w:sz w:val="24"/>
        </w:rPr>
        <w:fldChar w:fldCharType="separate"/>
      </w:r>
      <w:r>
        <w:rPr>
          <w:sz w:val="24"/>
        </w:rPr>
        <w:t>280</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"_Toc86611339" </w:instrText>
      </w:r>
      <w:r>
        <w:fldChar w:fldCharType="separate"/>
      </w:r>
      <w:r>
        <w:rPr>
          <w:rStyle w:val="54"/>
          <w:sz w:val="24"/>
        </w:rPr>
        <w:t>7.1 环境经济效益分析方法</w:t>
      </w:r>
      <w:r>
        <w:rPr>
          <w:sz w:val="24"/>
        </w:rPr>
        <w:tab/>
      </w:r>
      <w:r>
        <w:rPr>
          <w:sz w:val="24"/>
        </w:rPr>
        <w:fldChar w:fldCharType="begin"/>
      </w:r>
      <w:r>
        <w:rPr>
          <w:sz w:val="24"/>
        </w:rPr>
        <w:instrText xml:space="preserve"> PAGEREF _Toc86611339 \h </w:instrText>
      </w:r>
      <w:r>
        <w:rPr>
          <w:sz w:val="24"/>
        </w:rPr>
        <w:fldChar w:fldCharType="separate"/>
      </w:r>
      <w:r>
        <w:rPr>
          <w:sz w:val="24"/>
        </w:rPr>
        <w:t>280</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"_Toc86611340" </w:instrText>
      </w:r>
      <w:r>
        <w:fldChar w:fldCharType="separate"/>
      </w:r>
      <w:r>
        <w:rPr>
          <w:rStyle w:val="54"/>
          <w:sz w:val="24"/>
        </w:rPr>
        <w:t>7.2 项目社会效益分析</w:t>
      </w:r>
      <w:r>
        <w:rPr>
          <w:sz w:val="24"/>
        </w:rPr>
        <w:tab/>
      </w:r>
      <w:r>
        <w:rPr>
          <w:sz w:val="24"/>
        </w:rPr>
        <w:fldChar w:fldCharType="begin"/>
      </w:r>
      <w:r>
        <w:rPr>
          <w:sz w:val="24"/>
        </w:rPr>
        <w:instrText xml:space="preserve"> PAGEREF _Toc86611340 \h </w:instrText>
      </w:r>
      <w:r>
        <w:rPr>
          <w:sz w:val="24"/>
        </w:rPr>
        <w:fldChar w:fldCharType="separate"/>
      </w:r>
      <w:r>
        <w:rPr>
          <w:sz w:val="24"/>
        </w:rPr>
        <w:t>280</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"_Toc86611341" </w:instrText>
      </w:r>
      <w:r>
        <w:fldChar w:fldCharType="separate"/>
      </w:r>
      <w:r>
        <w:rPr>
          <w:rStyle w:val="54"/>
          <w:sz w:val="24"/>
        </w:rPr>
        <w:t>7.3 项目经济效益分析</w:t>
      </w:r>
      <w:r>
        <w:rPr>
          <w:sz w:val="24"/>
        </w:rPr>
        <w:tab/>
      </w:r>
      <w:r>
        <w:rPr>
          <w:sz w:val="24"/>
        </w:rPr>
        <w:fldChar w:fldCharType="begin"/>
      </w:r>
      <w:r>
        <w:rPr>
          <w:sz w:val="24"/>
        </w:rPr>
        <w:instrText xml:space="preserve"> PAGEREF _Toc86611341 \h </w:instrText>
      </w:r>
      <w:r>
        <w:rPr>
          <w:sz w:val="24"/>
        </w:rPr>
        <w:fldChar w:fldCharType="separate"/>
      </w:r>
      <w:r>
        <w:rPr>
          <w:sz w:val="24"/>
        </w:rPr>
        <w:t>280</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"_Toc86611342" </w:instrText>
      </w:r>
      <w:r>
        <w:fldChar w:fldCharType="separate"/>
      </w:r>
      <w:r>
        <w:rPr>
          <w:rStyle w:val="54"/>
          <w:sz w:val="24"/>
        </w:rPr>
        <w:t>7.4 项目环境效益分析</w:t>
      </w:r>
      <w:r>
        <w:rPr>
          <w:sz w:val="24"/>
        </w:rPr>
        <w:tab/>
      </w:r>
      <w:r>
        <w:rPr>
          <w:sz w:val="24"/>
        </w:rPr>
        <w:fldChar w:fldCharType="begin"/>
      </w:r>
      <w:r>
        <w:rPr>
          <w:sz w:val="24"/>
        </w:rPr>
        <w:instrText xml:space="preserve"> PAGEREF _Toc86611342 \h </w:instrText>
      </w:r>
      <w:r>
        <w:rPr>
          <w:sz w:val="24"/>
        </w:rPr>
        <w:fldChar w:fldCharType="separate"/>
      </w:r>
      <w:r>
        <w:rPr>
          <w:sz w:val="24"/>
        </w:rPr>
        <w:t>281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"_Toc86611343" </w:instrText>
      </w:r>
      <w:r>
        <w:fldChar w:fldCharType="separate"/>
      </w:r>
      <w:r>
        <w:rPr>
          <w:rStyle w:val="54"/>
          <w:sz w:val="24"/>
        </w:rPr>
        <w:t>7.4.1 项目工程环境收益估算</w:t>
      </w:r>
      <w:r>
        <w:rPr>
          <w:sz w:val="24"/>
        </w:rPr>
        <w:tab/>
      </w:r>
      <w:r>
        <w:rPr>
          <w:sz w:val="24"/>
        </w:rPr>
        <w:fldChar w:fldCharType="begin"/>
      </w:r>
      <w:r>
        <w:rPr>
          <w:sz w:val="24"/>
        </w:rPr>
        <w:instrText xml:space="preserve"> PAGEREF _Toc86611343 \h </w:instrText>
      </w:r>
      <w:r>
        <w:rPr>
          <w:sz w:val="24"/>
        </w:rPr>
        <w:fldChar w:fldCharType="separate"/>
      </w:r>
      <w:r>
        <w:rPr>
          <w:sz w:val="24"/>
        </w:rPr>
        <w:t>281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"_Toc86611344" </w:instrText>
      </w:r>
      <w:r>
        <w:fldChar w:fldCharType="separate"/>
      </w:r>
      <w:r>
        <w:rPr>
          <w:rStyle w:val="54"/>
          <w:sz w:val="24"/>
        </w:rPr>
        <w:t>7.4.2 环境影响经济损益指标分析</w:t>
      </w:r>
      <w:r>
        <w:rPr>
          <w:sz w:val="24"/>
        </w:rPr>
        <w:tab/>
      </w:r>
      <w:r>
        <w:rPr>
          <w:sz w:val="24"/>
        </w:rPr>
        <w:fldChar w:fldCharType="begin"/>
      </w:r>
      <w:r>
        <w:rPr>
          <w:sz w:val="24"/>
        </w:rPr>
        <w:instrText xml:space="preserve"> PAGEREF _Toc86611344 \h </w:instrText>
      </w:r>
      <w:r>
        <w:rPr>
          <w:sz w:val="24"/>
        </w:rPr>
        <w:fldChar w:fldCharType="separate"/>
      </w:r>
      <w:r>
        <w:rPr>
          <w:sz w:val="24"/>
        </w:rPr>
        <w:t>282</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"_Toc86611345" </w:instrText>
      </w:r>
      <w:r>
        <w:fldChar w:fldCharType="separate"/>
      </w:r>
      <w:r>
        <w:rPr>
          <w:rStyle w:val="54"/>
          <w:sz w:val="24"/>
        </w:rPr>
        <w:t>7.5 综合评价</w:t>
      </w:r>
      <w:r>
        <w:rPr>
          <w:sz w:val="24"/>
        </w:rPr>
        <w:tab/>
      </w:r>
      <w:r>
        <w:rPr>
          <w:sz w:val="24"/>
        </w:rPr>
        <w:fldChar w:fldCharType="begin"/>
      </w:r>
      <w:r>
        <w:rPr>
          <w:sz w:val="24"/>
        </w:rPr>
        <w:instrText xml:space="preserve"> PAGEREF _Toc86611345 \h </w:instrText>
      </w:r>
      <w:r>
        <w:rPr>
          <w:sz w:val="24"/>
        </w:rPr>
        <w:fldChar w:fldCharType="separate"/>
      </w:r>
      <w:r>
        <w:rPr>
          <w:sz w:val="24"/>
        </w:rPr>
        <w:t>283</w:t>
      </w:r>
      <w:r>
        <w:rPr>
          <w:sz w:val="24"/>
        </w:rPr>
        <w:fldChar w:fldCharType="end"/>
      </w:r>
      <w:r>
        <w:rPr>
          <w:sz w:val="24"/>
        </w:rPr>
        <w:fldChar w:fldCharType="end"/>
      </w:r>
    </w:p>
    <w:p>
      <w:pPr>
        <w:pStyle w:val="31"/>
        <w:tabs>
          <w:tab w:val="right" w:leader="dot" w:pos="8721"/>
        </w:tabs>
        <w:spacing w:line="360" w:lineRule="auto"/>
        <w:rPr>
          <w:sz w:val="24"/>
        </w:rPr>
      </w:pPr>
      <w:r>
        <w:fldChar w:fldCharType="begin"/>
      </w:r>
      <w:r>
        <w:instrText xml:space="preserve"> HYPERLINK \l "_Toc86611346" </w:instrText>
      </w:r>
      <w:r>
        <w:fldChar w:fldCharType="separate"/>
      </w:r>
      <w:r>
        <w:rPr>
          <w:rStyle w:val="54"/>
          <w:sz w:val="24"/>
        </w:rPr>
        <w:t>8环境管理与监测计划</w:t>
      </w:r>
      <w:r>
        <w:rPr>
          <w:sz w:val="24"/>
        </w:rPr>
        <w:tab/>
      </w:r>
      <w:r>
        <w:rPr>
          <w:sz w:val="24"/>
        </w:rPr>
        <w:fldChar w:fldCharType="begin"/>
      </w:r>
      <w:r>
        <w:rPr>
          <w:sz w:val="24"/>
        </w:rPr>
        <w:instrText xml:space="preserve"> PAGEREF _Toc86611346 \h </w:instrText>
      </w:r>
      <w:r>
        <w:rPr>
          <w:sz w:val="24"/>
        </w:rPr>
        <w:fldChar w:fldCharType="separate"/>
      </w:r>
      <w:r>
        <w:rPr>
          <w:sz w:val="24"/>
        </w:rPr>
        <w:t>284</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"_Toc86611347" </w:instrText>
      </w:r>
      <w:r>
        <w:fldChar w:fldCharType="separate"/>
      </w:r>
      <w:r>
        <w:rPr>
          <w:rStyle w:val="54"/>
          <w:sz w:val="24"/>
        </w:rPr>
        <w:t>8.1 目的</w:t>
      </w:r>
      <w:r>
        <w:rPr>
          <w:sz w:val="24"/>
        </w:rPr>
        <w:tab/>
      </w:r>
      <w:r>
        <w:rPr>
          <w:sz w:val="24"/>
        </w:rPr>
        <w:fldChar w:fldCharType="begin"/>
      </w:r>
      <w:r>
        <w:rPr>
          <w:sz w:val="24"/>
        </w:rPr>
        <w:instrText xml:space="preserve"> PAGEREF _Toc86611347 \h </w:instrText>
      </w:r>
      <w:r>
        <w:rPr>
          <w:sz w:val="24"/>
        </w:rPr>
        <w:fldChar w:fldCharType="separate"/>
      </w:r>
      <w:r>
        <w:rPr>
          <w:sz w:val="24"/>
        </w:rPr>
        <w:t>284</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"_Toc86611348" </w:instrText>
      </w:r>
      <w:r>
        <w:fldChar w:fldCharType="separate"/>
      </w:r>
      <w:r>
        <w:rPr>
          <w:rStyle w:val="54"/>
          <w:sz w:val="24"/>
        </w:rPr>
        <w:t>8.2 环境管理</w:t>
      </w:r>
      <w:r>
        <w:rPr>
          <w:sz w:val="24"/>
        </w:rPr>
        <w:tab/>
      </w:r>
      <w:r>
        <w:rPr>
          <w:sz w:val="24"/>
        </w:rPr>
        <w:fldChar w:fldCharType="begin"/>
      </w:r>
      <w:r>
        <w:rPr>
          <w:sz w:val="24"/>
        </w:rPr>
        <w:instrText xml:space="preserve"> PAGEREF _Toc86611348 \h </w:instrText>
      </w:r>
      <w:r>
        <w:rPr>
          <w:sz w:val="24"/>
        </w:rPr>
        <w:fldChar w:fldCharType="separate"/>
      </w:r>
      <w:r>
        <w:rPr>
          <w:sz w:val="24"/>
        </w:rPr>
        <w:t>284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"_Toc86611349" </w:instrText>
      </w:r>
      <w:r>
        <w:fldChar w:fldCharType="separate"/>
      </w:r>
      <w:r>
        <w:rPr>
          <w:rStyle w:val="54"/>
          <w:sz w:val="24"/>
        </w:rPr>
        <w:t>8.2.1 环境管理</w:t>
      </w:r>
      <w:r>
        <w:rPr>
          <w:sz w:val="24"/>
        </w:rPr>
        <w:tab/>
      </w:r>
      <w:r>
        <w:rPr>
          <w:sz w:val="24"/>
        </w:rPr>
        <w:fldChar w:fldCharType="begin"/>
      </w:r>
      <w:r>
        <w:rPr>
          <w:sz w:val="24"/>
        </w:rPr>
        <w:instrText xml:space="preserve"> PAGEREF _Toc86611349 \h </w:instrText>
      </w:r>
      <w:r>
        <w:rPr>
          <w:sz w:val="24"/>
        </w:rPr>
        <w:fldChar w:fldCharType="separate"/>
      </w:r>
      <w:r>
        <w:rPr>
          <w:sz w:val="24"/>
        </w:rPr>
        <w:t>284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"_Toc86611350" </w:instrText>
      </w:r>
      <w:r>
        <w:fldChar w:fldCharType="separate"/>
      </w:r>
      <w:r>
        <w:rPr>
          <w:rStyle w:val="54"/>
          <w:sz w:val="24"/>
        </w:rPr>
        <w:t>8.2.2 环境管理目标</w:t>
      </w:r>
      <w:r>
        <w:rPr>
          <w:sz w:val="24"/>
        </w:rPr>
        <w:tab/>
      </w:r>
      <w:r>
        <w:rPr>
          <w:sz w:val="24"/>
        </w:rPr>
        <w:fldChar w:fldCharType="begin"/>
      </w:r>
      <w:r>
        <w:rPr>
          <w:sz w:val="24"/>
        </w:rPr>
        <w:instrText xml:space="preserve"> PAGEREF _Toc86611350 \h </w:instrText>
      </w:r>
      <w:r>
        <w:rPr>
          <w:sz w:val="24"/>
        </w:rPr>
        <w:fldChar w:fldCharType="separate"/>
      </w:r>
      <w:r>
        <w:rPr>
          <w:sz w:val="24"/>
        </w:rPr>
        <w:t>284</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"_Toc86611351" </w:instrText>
      </w:r>
      <w:r>
        <w:fldChar w:fldCharType="separate"/>
      </w:r>
      <w:r>
        <w:rPr>
          <w:rStyle w:val="54"/>
          <w:sz w:val="24"/>
        </w:rPr>
        <w:t>8.2.3 环境管理机构的设置</w:t>
      </w:r>
      <w:r>
        <w:rPr>
          <w:sz w:val="24"/>
        </w:rPr>
        <w:tab/>
      </w:r>
      <w:r>
        <w:rPr>
          <w:sz w:val="24"/>
        </w:rPr>
        <w:fldChar w:fldCharType="begin"/>
      </w:r>
      <w:r>
        <w:rPr>
          <w:sz w:val="24"/>
        </w:rPr>
        <w:instrText xml:space="preserve"> PAGEREF _Toc86611351 \h </w:instrText>
      </w:r>
      <w:r>
        <w:rPr>
          <w:sz w:val="24"/>
        </w:rPr>
        <w:fldChar w:fldCharType="separate"/>
      </w:r>
      <w:r>
        <w:rPr>
          <w:sz w:val="24"/>
        </w:rPr>
        <w:t>285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"_Toc86611352" </w:instrText>
      </w:r>
      <w:r>
        <w:fldChar w:fldCharType="separate"/>
      </w:r>
      <w:r>
        <w:rPr>
          <w:rStyle w:val="54"/>
          <w:sz w:val="24"/>
        </w:rPr>
        <w:t>8.2.4 环境管理机构的职责</w:t>
      </w:r>
      <w:r>
        <w:rPr>
          <w:sz w:val="24"/>
        </w:rPr>
        <w:tab/>
      </w:r>
      <w:r>
        <w:rPr>
          <w:sz w:val="24"/>
        </w:rPr>
        <w:fldChar w:fldCharType="begin"/>
      </w:r>
      <w:r>
        <w:rPr>
          <w:sz w:val="24"/>
        </w:rPr>
        <w:instrText xml:space="preserve"> PAGEREF _Toc86611352 \h </w:instrText>
      </w:r>
      <w:r>
        <w:rPr>
          <w:sz w:val="24"/>
        </w:rPr>
        <w:fldChar w:fldCharType="separate"/>
      </w:r>
      <w:r>
        <w:rPr>
          <w:sz w:val="24"/>
        </w:rPr>
        <w:t>285</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"_Toc86611353" </w:instrText>
      </w:r>
      <w:r>
        <w:fldChar w:fldCharType="separate"/>
      </w:r>
      <w:r>
        <w:rPr>
          <w:rStyle w:val="54"/>
          <w:sz w:val="24"/>
        </w:rPr>
        <w:t>8.2.5 环境管理体系</w:t>
      </w:r>
      <w:r>
        <w:rPr>
          <w:sz w:val="24"/>
        </w:rPr>
        <w:tab/>
      </w:r>
      <w:r>
        <w:rPr>
          <w:sz w:val="24"/>
        </w:rPr>
        <w:fldChar w:fldCharType="begin"/>
      </w:r>
      <w:r>
        <w:rPr>
          <w:sz w:val="24"/>
        </w:rPr>
        <w:instrText xml:space="preserve"> PAGEREF _Toc86611353 \h </w:instrText>
      </w:r>
      <w:r>
        <w:rPr>
          <w:sz w:val="24"/>
        </w:rPr>
        <w:fldChar w:fldCharType="separate"/>
      </w:r>
      <w:r>
        <w:rPr>
          <w:sz w:val="24"/>
        </w:rPr>
        <w:t>286</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"_Toc86611354" </w:instrText>
      </w:r>
      <w:r>
        <w:fldChar w:fldCharType="separate"/>
      </w:r>
      <w:r>
        <w:rPr>
          <w:rStyle w:val="54"/>
          <w:sz w:val="24"/>
        </w:rPr>
        <w:t>8.2.6 环境管理计划</w:t>
      </w:r>
      <w:r>
        <w:rPr>
          <w:sz w:val="24"/>
        </w:rPr>
        <w:tab/>
      </w:r>
      <w:r>
        <w:rPr>
          <w:sz w:val="24"/>
        </w:rPr>
        <w:fldChar w:fldCharType="begin"/>
      </w:r>
      <w:r>
        <w:rPr>
          <w:sz w:val="24"/>
        </w:rPr>
        <w:instrText xml:space="preserve"> PAGEREF _Toc86611354 \h </w:instrText>
      </w:r>
      <w:r>
        <w:rPr>
          <w:sz w:val="24"/>
        </w:rPr>
        <w:fldChar w:fldCharType="separate"/>
      </w:r>
      <w:r>
        <w:rPr>
          <w:sz w:val="24"/>
        </w:rPr>
        <w:t>286</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"_Toc86611355" </w:instrText>
      </w:r>
      <w:r>
        <w:fldChar w:fldCharType="separate"/>
      </w:r>
      <w:r>
        <w:rPr>
          <w:rStyle w:val="54"/>
          <w:sz w:val="24"/>
        </w:rPr>
        <w:t>8.2.7 总量控制</w:t>
      </w:r>
      <w:r>
        <w:rPr>
          <w:sz w:val="24"/>
        </w:rPr>
        <w:tab/>
      </w:r>
      <w:r>
        <w:rPr>
          <w:sz w:val="24"/>
        </w:rPr>
        <w:fldChar w:fldCharType="begin"/>
      </w:r>
      <w:r>
        <w:rPr>
          <w:sz w:val="24"/>
        </w:rPr>
        <w:instrText xml:space="preserve"> PAGEREF _Toc86611355 \h </w:instrText>
      </w:r>
      <w:r>
        <w:rPr>
          <w:sz w:val="24"/>
        </w:rPr>
        <w:fldChar w:fldCharType="separate"/>
      </w:r>
      <w:r>
        <w:rPr>
          <w:sz w:val="24"/>
        </w:rPr>
        <w:t>287</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"_Toc86611356" </w:instrText>
      </w:r>
      <w:r>
        <w:fldChar w:fldCharType="separate"/>
      </w:r>
      <w:r>
        <w:rPr>
          <w:rStyle w:val="54"/>
          <w:sz w:val="24"/>
        </w:rPr>
        <w:t>8.3 信息公开</w:t>
      </w:r>
      <w:r>
        <w:rPr>
          <w:sz w:val="24"/>
        </w:rPr>
        <w:tab/>
      </w:r>
      <w:r>
        <w:rPr>
          <w:sz w:val="24"/>
        </w:rPr>
        <w:fldChar w:fldCharType="begin"/>
      </w:r>
      <w:r>
        <w:rPr>
          <w:sz w:val="24"/>
        </w:rPr>
        <w:instrText xml:space="preserve"> PAGEREF _Toc86611356 \h </w:instrText>
      </w:r>
      <w:r>
        <w:rPr>
          <w:sz w:val="24"/>
        </w:rPr>
        <w:fldChar w:fldCharType="separate"/>
      </w:r>
      <w:r>
        <w:rPr>
          <w:sz w:val="24"/>
        </w:rPr>
        <w:t>288</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"_Toc86611357" </w:instrText>
      </w:r>
      <w:r>
        <w:fldChar w:fldCharType="separate"/>
      </w:r>
      <w:r>
        <w:rPr>
          <w:rStyle w:val="54"/>
          <w:sz w:val="24"/>
        </w:rPr>
        <w:t>8.4 排污口信息</w:t>
      </w:r>
      <w:r>
        <w:rPr>
          <w:sz w:val="24"/>
        </w:rPr>
        <w:tab/>
      </w:r>
      <w:r>
        <w:rPr>
          <w:sz w:val="24"/>
        </w:rPr>
        <w:fldChar w:fldCharType="begin"/>
      </w:r>
      <w:r>
        <w:rPr>
          <w:sz w:val="24"/>
        </w:rPr>
        <w:instrText xml:space="preserve"> PAGEREF _Toc86611357 \h </w:instrText>
      </w:r>
      <w:r>
        <w:rPr>
          <w:sz w:val="24"/>
        </w:rPr>
        <w:fldChar w:fldCharType="separate"/>
      </w:r>
      <w:r>
        <w:rPr>
          <w:sz w:val="24"/>
        </w:rPr>
        <w:t>288</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"_Toc86611358" </w:instrText>
      </w:r>
      <w:r>
        <w:fldChar w:fldCharType="separate"/>
      </w:r>
      <w:r>
        <w:rPr>
          <w:rStyle w:val="54"/>
          <w:sz w:val="24"/>
        </w:rPr>
        <w:t>8.4.1 项目排污口信息</w:t>
      </w:r>
      <w:r>
        <w:rPr>
          <w:sz w:val="24"/>
        </w:rPr>
        <w:tab/>
      </w:r>
      <w:r>
        <w:rPr>
          <w:sz w:val="24"/>
        </w:rPr>
        <w:fldChar w:fldCharType="begin"/>
      </w:r>
      <w:r>
        <w:rPr>
          <w:sz w:val="24"/>
        </w:rPr>
        <w:instrText xml:space="preserve"> PAGEREF _Toc86611358 \h </w:instrText>
      </w:r>
      <w:r>
        <w:rPr>
          <w:sz w:val="24"/>
        </w:rPr>
        <w:fldChar w:fldCharType="separate"/>
      </w:r>
      <w:r>
        <w:rPr>
          <w:sz w:val="24"/>
        </w:rPr>
        <w:t>288</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"_Toc86611359" </w:instrText>
      </w:r>
      <w:r>
        <w:fldChar w:fldCharType="separate"/>
      </w:r>
      <w:r>
        <w:rPr>
          <w:rStyle w:val="54"/>
          <w:sz w:val="24"/>
        </w:rPr>
        <w:t>8.4.2 项目排污口管理原则</w:t>
      </w:r>
      <w:r>
        <w:rPr>
          <w:sz w:val="24"/>
        </w:rPr>
        <w:tab/>
      </w:r>
      <w:r>
        <w:rPr>
          <w:sz w:val="24"/>
        </w:rPr>
        <w:fldChar w:fldCharType="begin"/>
      </w:r>
      <w:r>
        <w:rPr>
          <w:sz w:val="24"/>
        </w:rPr>
        <w:instrText xml:space="preserve"> PAGEREF _Toc86611359 \h </w:instrText>
      </w:r>
      <w:r>
        <w:rPr>
          <w:sz w:val="24"/>
        </w:rPr>
        <w:fldChar w:fldCharType="separate"/>
      </w:r>
      <w:r>
        <w:rPr>
          <w:sz w:val="24"/>
        </w:rPr>
        <w:t>289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"_Toc86611360" </w:instrText>
      </w:r>
      <w:r>
        <w:fldChar w:fldCharType="separate"/>
      </w:r>
      <w:r>
        <w:rPr>
          <w:rStyle w:val="54"/>
          <w:sz w:val="24"/>
        </w:rPr>
        <w:t>8.4.3 项目排污口立标管理</w:t>
      </w:r>
      <w:r>
        <w:rPr>
          <w:sz w:val="24"/>
        </w:rPr>
        <w:tab/>
      </w:r>
      <w:r>
        <w:rPr>
          <w:sz w:val="24"/>
        </w:rPr>
        <w:fldChar w:fldCharType="begin"/>
      </w:r>
      <w:r>
        <w:rPr>
          <w:sz w:val="24"/>
        </w:rPr>
        <w:instrText xml:space="preserve"> PAGEREF _Toc86611360 \h </w:instrText>
      </w:r>
      <w:r>
        <w:rPr>
          <w:sz w:val="24"/>
        </w:rPr>
        <w:fldChar w:fldCharType="separate"/>
      </w:r>
      <w:r>
        <w:rPr>
          <w:sz w:val="24"/>
        </w:rPr>
        <w:t>289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"_Toc86611361" </w:instrText>
      </w:r>
      <w:r>
        <w:fldChar w:fldCharType="separate"/>
      </w:r>
      <w:r>
        <w:rPr>
          <w:rStyle w:val="54"/>
          <w:sz w:val="24"/>
        </w:rPr>
        <w:t>8.4.4 排污口建档管理</w:t>
      </w:r>
      <w:r>
        <w:rPr>
          <w:sz w:val="24"/>
        </w:rPr>
        <w:tab/>
      </w:r>
      <w:r>
        <w:rPr>
          <w:sz w:val="24"/>
        </w:rPr>
        <w:fldChar w:fldCharType="begin"/>
      </w:r>
      <w:r>
        <w:rPr>
          <w:sz w:val="24"/>
        </w:rPr>
        <w:instrText xml:space="preserve"> PAGEREF _Toc86611361 \h </w:instrText>
      </w:r>
      <w:r>
        <w:rPr>
          <w:sz w:val="24"/>
        </w:rPr>
        <w:fldChar w:fldCharType="separate"/>
      </w:r>
      <w:r>
        <w:rPr>
          <w:sz w:val="24"/>
        </w:rPr>
        <w:t>290</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"_Toc86611362" </w:instrText>
      </w:r>
      <w:r>
        <w:fldChar w:fldCharType="separate"/>
      </w:r>
      <w:r>
        <w:rPr>
          <w:rStyle w:val="54"/>
          <w:sz w:val="24"/>
        </w:rPr>
        <w:t>8.5 环境监测计划</w:t>
      </w:r>
      <w:r>
        <w:rPr>
          <w:sz w:val="24"/>
        </w:rPr>
        <w:tab/>
      </w:r>
      <w:r>
        <w:rPr>
          <w:sz w:val="24"/>
        </w:rPr>
        <w:fldChar w:fldCharType="begin"/>
      </w:r>
      <w:r>
        <w:rPr>
          <w:sz w:val="24"/>
        </w:rPr>
        <w:instrText xml:space="preserve"> PAGEREF _Toc86611362 \h </w:instrText>
      </w:r>
      <w:r>
        <w:rPr>
          <w:sz w:val="24"/>
        </w:rPr>
        <w:fldChar w:fldCharType="separate"/>
      </w:r>
      <w:r>
        <w:rPr>
          <w:sz w:val="24"/>
        </w:rPr>
        <w:t>290</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"_Toc86611363" </w:instrText>
      </w:r>
      <w:r>
        <w:fldChar w:fldCharType="separate"/>
      </w:r>
      <w:r>
        <w:rPr>
          <w:rStyle w:val="54"/>
          <w:sz w:val="24"/>
        </w:rPr>
        <w:t>8.5.1 监测内容</w:t>
      </w:r>
      <w:r>
        <w:rPr>
          <w:sz w:val="24"/>
        </w:rPr>
        <w:tab/>
      </w:r>
      <w:r>
        <w:rPr>
          <w:sz w:val="24"/>
        </w:rPr>
        <w:fldChar w:fldCharType="begin"/>
      </w:r>
      <w:r>
        <w:rPr>
          <w:sz w:val="24"/>
        </w:rPr>
        <w:instrText xml:space="preserve"> PAGEREF _Toc86611363 \h </w:instrText>
      </w:r>
      <w:r>
        <w:rPr>
          <w:sz w:val="24"/>
        </w:rPr>
        <w:fldChar w:fldCharType="separate"/>
      </w:r>
      <w:r>
        <w:rPr>
          <w:sz w:val="24"/>
        </w:rPr>
        <w:t>291</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"_Toc86611364" </w:instrText>
      </w:r>
      <w:r>
        <w:fldChar w:fldCharType="separate"/>
      </w:r>
      <w:r>
        <w:rPr>
          <w:rStyle w:val="54"/>
          <w:sz w:val="24"/>
        </w:rPr>
        <w:t>8.5.2 监测实施和成果的管理</w:t>
      </w:r>
      <w:r>
        <w:rPr>
          <w:sz w:val="24"/>
        </w:rPr>
        <w:tab/>
      </w:r>
      <w:r>
        <w:rPr>
          <w:sz w:val="24"/>
        </w:rPr>
        <w:fldChar w:fldCharType="begin"/>
      </w:r>
      <w:r>
        <w:rPr>
          <w:sz w:val="24"/>
        </w:rPr>
        <w:instrText xml:space="preserve"> PAGEREF _Toc86611364 \h </w:instrText>
      </w:r>
      <w:r>
        <w:rPr>
          <w:sz w:val="24"/>
        </w:rPr>
        <w:fldChar w:fldCharType="separate"/>
      </w:r>
      <w:r>
        <w:rPr>
          <w:sz w:val="24"/>
        </w:rPr>
        <w:t>292</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"_Toc86611365" </w:instrText>
      </w:r>
      <w:r>
        <w:fldChar w:fldCharType="separate"/>
      </w:r>
      <w:r>
        <w:rPr>
          <w:rStyle w:val="54"/>
          <w:sz w:val="24"/>
        </w:rPr>
        <w:t>8.6 建设项目环境保护“环保设施竣工”验收内容</w:t>
      </w:r>
      <w:r>
        <w:rPr>
          <w:sz w:val="24"/>
        </w:rPr>
        <w:tab/>
      </w:r>
      <w:r>
        <w:rPr>
          <w:sz w:val="24"/>
        </w:rPr>
        <w:fldChar w:fldCharType="begin"/>
      </w:r>
      <w:r>
        <w:rPr>
          <w:sz w:val="24"/>
        </w:rPr>
        <w:instrText xml:space="preserve"> PAGEREF _Toc86611365 \h </w:instrText>
      </w:r>
      <w:r>
        <w:rPr>
          <w:sz w:val="24"/>
        </w:rPr>
        <w:fldChar w:fldCharType="separate"/>
      </w:r>
      <w:r>
        <w:rPr>
          <w:sz w:val="24"/>
        </w:rPr>
        <w:t>292</w:t>
      </w:r>
      <w:r>
        <w:rPr>
          <w:sz w:val="24"/>
        </w:rPr>
        <w:fldChar w:fldCharType="end"/>
      </w:r>
      <w:r>
        <w:rPr>
          <w:sz w:val="24"/>
        </w:rPr>
        <w:fldChar w:fldCharType="end"/>
      </w:r>
    </w:p>
    <w:p>
      <w:pPr>
        <w:pStyle w:val="31"/>
        <w:tabs>
          <w:tab w:val="right" w:leader="dot" w:pos="8721"/>
        </w:tabs>
        <w:spacing w:line="360" w:lineRule="auto"/>
        <w:rPr>
          <w:sz w:val="24"/>
        </w:rPr>
      </w:pPr>
      <w:r>
        <w:fldChar w:fldCharType="begin"/>
      </w:r>
      <w:r>
        <w:instrText xml:space="preserve"> HYPERLINK \l "_Toc86611366" </w:instrText>
      </w:r>
      <w:r>
        <w:fldChar w:fldCharType="separate"/>
      </w:r>
      <w:r>
        <w:rPr>
          <w:rStyle w:val="54"/>
          <w:sz w:val="24"/>
        </w:rPr>
        <w:t>9环境影响评价结论</w:t>
      </w:r>
      <w:r>
        <w:rPr>
          <w:sz w:val="24"/>
        </w:rPr>
        <w:tab/>
      </w:r>
      <w:r>
        <w:rPr>
          <w:sz w:val="24"/>
        </w:rPr>
        <w:fldChar w:fldCharType="begin"/>
      </w:r>
      <w:r>
        <w:rPr>
          <w:sz w:val="24"/>
        </w:rPr>
        <w:instrText xml:space="preserve"> PAGEREF _Toc86611366 \h </w:instrText>
      </w:r>
      <w:r>
        <w:rPr>
          <w:sz w:val="24"/>
        </w:rPr>
        <w:fldChar w:fldCharType="separate"/>
      </w:r>
      <w:r>
        <w:rPr>
          <w:sz w:val="24"/>
        </w:rPr>
        <w:t>295</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"_Toc86611367" </w:instrText>
      </w:r>
      <w:r>
        <w:fldChar w:fldCharType="separate"/>
      </w:r>
      <w:r>
        <w:rPr>
          <w:rStyle w:val="54"/>
          <w:sz w:val="24"/>
        </w:rPr>
        <w:t>9.1 项目概况</w:t>
      </w:r>
      <w:r>
        <w:rPr>
          <w:sz w:val="24"/>
        </w:rPr>
        <w:tab/>
      </w:r>
      <w:r>
        <w:rPr>
          <w:sz w:val="24"/>
        </w:rPr>
        <w:fldChar w:fldCharType="begin"/>
      </w:r>
      <w:r>
        <w:rPr>
          <w:sz w:val="24"/>
        </w:rPr>
        <w:instrText xml:space="preserve"> PAGEREF _Toc86611367 \h </w:instrText>
      </w:r>
      <w:r>
        <w:rPr>
          <w:sz w:val="24"/>
        </w:rPr>
        <w:fldChar w:fldCharType="separate"/>
      </w:r>
      <w:r>
        <w:rPr>
          <w:sz w:val="24"/>
        </w:rPr>
        <w:t>295</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"_Toc86611368" </w:instrText>
      </w:r>
      <w:r>
        <w:fldChar w:fldCharType="separate"/>
      </w:r>
      <w:r>
        <w:rPr>
          <w:rStyle w:val="54"/>
          <w:sz w:val="24"/>
        </w:rPr>
        <w:t>9.2 环境影响评价结论</w:t>
      </w:r>
      <w:r>
        <w:rPr>
          <w:sz w:val="24"/>
        </w:rPr>
        <w:tab/>
      </w:r>
      <w:r>
        <w:rPr>
          <w:sz w:val="24"/>
        </w:rPr>
        <w:fldChar w:fldCharType="begin"/>
      </w:r>
      <w:r>
        <w:rPr>
          <w:sz w:val="24"/>
        </w:rPr>
        <w:instrText xml:space="preserve"> PAGEREF _Toc86611368 \h </w:instrText>
      </w:r>
      <w:r>
        <w:rPr>
          <w:sz w:val="24"/>
        </w:rPr>
        <w:fldChar w:fldCharType="separate"/>
      </w:r>
      <w:r>
        <w:rPr>
          <w:sz w:val="24"/>
        </w:rPr>
        <w:t>295</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"_Toc86611369" </w:instrText>
      </w:r>
      <w:r>
        <w:fldChar w:fldCharType="separate"/>
      </w:r>
      <w:r>
        <w:rPr>
          <w:rStyle w:val="54"/>
          <w:sz w:val="24"/>
        </w:rPr>
        <w:t>9.3 环境影响分析结论</w:t>
      </w:r>
      <w:r>
        <w:rPr>
          <w:sz w:val="24"/>
        </w:rPr>
        <w:tab/>
      </w:r>
      <w:r>
        <w:rPr>
          <w:sz w:val="24"/>
        </w:rPr>
        <w:fldChar w:fldCharType="begin"/>
      </w:r>
      <w:r>
        <w:rPr>
          <w:sz w:val="24"/>
        </w:rPr>
        <w:instrText xml:space="preserve"> PAGEREF _Toc86611369 \h </w:instrText>
      </w:r>
      <w:r>
        <w:rPr>
          <w:sz w:val="24"/>
        </w:rPr>
        <w:fldChar w:fldCharType="separate"/>
      </w:r>
      <w:r>
        <w:rPr>
          <w:sz w:val="24"/>
        </w:rPr>
        <w:t>296</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"_Toc86611370" </w:instrText>
      </w:r>
      <w:r>
        <w:fldChar w:fldCharType="separate"/>
      </w:r>
      <w:r>
        <w:rPr>
          <w:rStyle w:val="54"/>
          <w:sz w:val="24"/>
        </w:rPr>
        <w:t>9.3.1废气影响分析结论</w:t>
      </w:r>
      <w:r>
        <w:rPr>
          <w:sz w:val="24"/>
        </w:rPr>
        <w:tab/>
      </w:r>
      <w:r>
        <w:rPr>
          <w:sz w:val="24"/>
        </w:rPr>
        <w:fldChar w:fldCharType="begin"/>
      </w:r>
      <w:r>
        <w:rPr>
          <w:sz w:val="24"/>
        </w:rPr>
        <w:instrText xml:space="preserve"> PAGEREF _Toc86611370 \h </w:instrText>
      </w:r>
      <w:r>
        <w:rPr>
          <w:sz w:val="24"/>
        </w:rPr>
        <w:fldChar w:fldCharType="separate"/>
      </w:r>
      <w:r>
        <w:rPr>
          <w:sz w:val="24"/>
        </w:rPr>
        <w:t>296</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"_Toc86611371" </w:instrText>
      </w:r>
      <w:r>
        <w:fldChar w:fldCharType="separate"/>
      </w:r>
      <w:r>
        <w:rPr>
          <w:rStyle w:val="54"/>
          <w:sz w:val="24"/>
        </w:rPr>
        <w:t>9.3.2 地表水影响分析结论</w:t>
      </w:r>
      <w:r>
        <w:rPr>
          <w:sz w:val="24"/>
        </w:rPr>
        <w:tab/>
      </w:r>
      <w:r>
        <w:rPr>
          <w:sz w:val="24"/>
        </w:rPr>
        <w:fldChar w:fldCharType="begin"/>
      </w:r>
      <w:r>
        <w:rPr>
          <w:sz w:val="24"/>
        </w:rPr>
        <w:instrText xml:space="preserve"> PAGEREF _Toc86611371 \h </w:instrText>
      </w:r>
      <w:r>
        <w:rPr>
          <w:sz w:val="24"/>
        </w:rPr>
        <w:fldChar w:fldCharType="separate"/>
      </w:r>
      <w:r>
        <w:rPr>
          <w:sz w:val="24"/>
        </w:rPr>
        <w:t>297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"_Toc86611372" </w:instrText>
      </w:r>
      <w:r>
        <w:fldChar w:fldCharType="separate"/>
      </w:r>
      <w:r>
        <w:rPr>
          <w:rStyle w:val="54"/>
          <w:sz w:val="24"/>
        </w:rPr>
        <w:t>9.3.3 地下水影响分析结论</w:t>
      </w:r>
      <w:r>
        <w:rPr>
          <w:sz w:val="24"/>
        </w:rPr>
        <w:tab/>
      </w:r>
      <w:r>
        <w:rPr>
          <w:sz w:val="24"/>
        </w:rPr>
        <w:fldChar w:fldCharType="begin"/>
      </w:r>
      <w:r>
        <w:rPr>
          <w:sz w:val="24"/>
        </w:rPr>
        <w:instrText xml:space="preserve"> PAGEREF _Toc86611372 \h </w:instrText>
      </w:r>
      <w:r>
        <w:rPr>
          <w:sz w:val="24"/>
        </w:rPr>
        <w:fldChar w:fldCharType="separate"/>
      </w:r>
      <w:r>
        <w:rPr>
          <w:sz w:val="24"/>
        </w:rPr>
        <w:t>297</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"_Toc86611373" </w:instrText>
      </w:r>
      <w:r>
        <w:fldChar w:fldCharType="separate"/>
      </w:r>
      <w:r>
        <w:rPr>
          <w:rStyle w:val="54"/>
          <w:sz w:val="24"/>
        </w:rPr>
        <w:t>9.3.4 噪声影响分析结论</w:t>
      </w:r>
      <w:r>
        <w:rPr>
          <w:sz w:val="24"/>
        </w:rPr>
        <w:tab/>
      </w:r>
      <w:r>
        <w:rPr>
          <w:sz w:val="24"/>
        </w:rPr>
        <w:fldChar w:fldCharType="begin"/>
      </w:r>
      <w:r>
        <w:rPr>
          <w:sz w:val="24"/>
        </w:rPr>
        <w:instrText xml:space="preserve"> PAGEREF _Toc86611373 \h </w:instrText>
      </w:r>
      <w:r>
        <w:rPr>
          <w:sz w:val="24"/>
        </w:rPr>
        <w:fldChar w:fldCharType="separate"/>
      </w:r>
      <w:r>
        <w:rPr>
          <w:sz w:val="24"/>
        </w:rPr>
        <w:t>298</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"_Toc86611374" </w:instrText>
      </w:r>
      <w:r>
        <w:fldChar w:fldCharType="separate"/>
      </w:r>
      <w:r>
        <w:rPr>
          <w:rStyle w:val="54"/>
          <w:sz w:val="24"/>
        </w:rPr>
        <w:t>9.3.5 固废影响分析结论</w:t>
      </w:r>
      <w:r>
        <w:rPr>
          <w:sz w:val="24"/>
        </w:rPr>
        <w:tab/>
      </w:r>
      <w:r>
        <w:rPr>
          <w:sz w:val="24"/>
        </w:rPr>
        <w:fldChar w:fldCharType="begin"/>
      </w:r>
      <w:r>
        <w:rPr>
          <w:sz w:val="24"/>
        </w:rPr>
        <w:instrText xml:space="preserve"> PAGEREF _Toc86611374 \h </w:instrText>
      </w:r>
      <w:r>
        <w:rPr>
          <w:sz w:val="24"/>
        </w:rPr>
        <w:fldChar w:fldCharType="separate"/>
      </w:r>
      <w:r>
        <w:rPr>
          <w:sz w:val="24"/>
        </w:rPr>
        <w:t>298</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"_Toc86611375" </w:instrText>
      </w:r>
      <w:r>
        <w:fldChar w:fldCharType="separate"/>
      </w:r>
      <w:r>
        <w:rPr>
          <w:rStyle w:val="54"/>
          <w:sz w:val="24"/>
        </w:rPr>
        <w:t>9.3.6 土壤环境影响分析结论</w:t>
      </w:r>
      <w:r>
        <w:rPr>
          <w:sz w:val="24"/>
        </w:rPr>
        <w:tab/>
      </w:r>
      <w:r>
        <w:rPr>
          <w:sz w:val="24"/>
        </w:rPr>
        <w:fldChar w:fldCharType="begin"/>
      </w:r>
      <w:r>
        <w:rPr>
          <w:sz w:val="24"/>
        </w:rPr>
        <w:instrText xml:space="preserve"> PAGEREF _Toc86611375 \h </w:instrText>
      </w:r>
      <w:r>
        <w:rPr>
          <w:sz w:val="24"/>
        </w:rPr>
        <w:fldChar w:fldCharType="separate"/>
      </w:r>
      <w:r>
        <w:rPr>
          <w:sz w:val="24"/>
        </w:rPr>
        <w:t>299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"_Toc86611376" </w:instrText>
      </w:r>
      <w:r>
        <w:fldChar w:fldCharType="separate"/>
      </w:r>
      <w:r>
        <w:rPr>
          <w:rStyle w:val="54"/>
          <w:sz w:val="24"/>
        </w:rPr>
        <w:t>9.3.7 生态环境影响分析结论</w:t>
      </w:r>
      <w:r>
        <w:rPr>
          <w:sz w:val="24"/>
        </w:rPr>
        <w:tab/>
      </w:r>
      <w:r>
        <w:rPr>
          <w:sz w:val="24"/>
        </w:rPr>
        <w:fldChar w:fldCharType="begin"/>
      </w:r>
      <w:r>
        <w:rPr>
          <w:sz w:val="24"/>
        </w:rPr>
        <w:instrText xml:space="preserve"> PAGEREF _Toc86611376 \h </w:instrText>
      </w:r>
      <w:r>
        <w:rPr>
          <w:sz w:val="24"/>
        </w:rPr>
        <w:fldChar w:fldCharType="separate"/>
      </w:r>
      <w:r>
        <w:rPr>
          <w:sz w:val="24"/>
        </w:rPr>
        <w:t>299</w:t>
      </w:r>
      <w:r>
        <w:rPr>
          <w:sz w:val="24"/>
        </w:rPr>
        <w:fldChar w:fldCharType="end"/>
      </w:r>
      <w:r>
        <w:rPr>
          <w:sz w:val="24"/>
        </w:rPr>
        <w:fldChar w:fldCharType="end"/>
      </w:r>
    </w:p>
    <w:p>
      <w:pPr>
        <w:pStyle w:val="23"/>
        <w:tabs>
          <w:tab w:val="right" w:leader="dot" w:pos="8721"/>
        </w:tabs>
        <w:spacing w:line="360" w:lineRule="auto"/>
        <w:ind w:left="960"/>
        <w:rPr>
          <w:sz w:val="24"/>
        </w:rPr>
      </w:pPr>
      <w:r>
        <w:fldChar w:fldCharType="begin"/>
      </w:r>
      <w:r>
        <w:instrText xml:space="preserve"> HYPERLINK \l "_Toc86611377" </w:instrText>
      </w:r>
      <w:r>
        <w:fldChar w:fldCharType="separate"/>
      </w:r>
      <w:r>
        <w:rPr>
          <w:rStyle w:val="54"/>
          <w:sz w:val="24"/>
        </w:rPr>
        <w:t>9.3.8 环境风险影响分析结论</w:t>
      </w:r>
      <w:r>
        <w:rPr>
          <w:sz w:val="24"/>
        </w:rPr>
        <w:tab/>
      </w:r>
      <w:r>
        <w:rPr>
          <w:sz w:val="24"/>
        </w:rPr>
        <w:fldChar w:fldCharType="begin"/>
      </w:r>
      <w:r>
        <w:rPr>
          <w:sz w:val="24"/>
        </w:rPr>
        <w:instrText xml:space="preserve"> PAGEREF _Toc86611377 \h </w:instrText>
      </w:r>
      <w:r>
        <w:rPr>
          <w:sz w:val="24"/>
        </w:rPr>
        <w:fldChar w:fldCharType="separate"/>
      </w:r>
      <w:r>
        <w:rPr>
          <w:sz w:val="24"/>
        </w:rPr>
        <w:t>299</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"_Toc86611378" </w:instrText>
      </w:r>
      <w:r>
        <w:fldChar w:fldCharType="separate"/>
      </w:r>
      <w:r>
        <w:rPr>
          <w:rStyle w:val="54"/>
          <w:sz w:val="24"/>
        </w:rPr>
        <w:t>9.4与政策、规划的符合性</w:t>
      </w:r>
      <w:r>
        <w:rPr>
          <w:sz w:val="24"/>
        </w:rPr>
        <w:tab/>
      </w:r>
      <w:r>
        <w:rPr>
          <w:sz w:val="24"/>
        </w:rPr>
        <w:fldChar w:fldCharType="begin"/>
      </w:r>
      <w:r>
        <w:rPr>
          <w:sz w:val="24"/>
        </w:rPr>
        <w:instrText xml:space="preserve"> PAGEREF _Toc86611378 \h </w:instrText>
      </w:r>
      <w:r>
        <w:rPr>
          <w:sz w:val="24"/>
        </w:rPr>
        <w:fldChar w:fldCharType="separate"/>
      </w:r>
      <w:r>
        <w:rPr>
          <w:sz w:val="24"/>
        </w:rPr>
        <w:t>299</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"_Toc86611379" </w:instrText>
      </w:r>
      <w:r>
        <w:fldChar w:fldCharType="separate"/>
      </w:r>
      <w:r>
        <w:rPr>
          <w:rStyle w:val="54"/>
          <w:sz w:val="24"/>
        </w:rPr>
        <w:t>9.5 “三线一单”符合性分析</w:t>
      </w:r>
      <w:r>
        <w:rPr>
          <w:sz w:val="24"/>
        </w:rPr>
        <w:tab/>
      </w:r>
      <w:r>
        <w:rPr>
          <w:sz w:val="24"/>
        </w:rPr>
        <w:fldChar w:fldCharType="begin"/>
      </w:r>
      <w:r>
        <w:rPr>
          <w:sz w:val="24"/>
        </w:rPr>
        <w:instrText xml:space="preserve"> PAGEREF _Toc86611379 \h </w:instrText>
      </w:r>
      <w:r>
        <w:rPr>
          <w:sz w:val="24"/>
        </w:rPr>
        <w:fldChar w:fldCharType="separate"/>
      </w:r>
      <w:r>
        <w:rPr>
          <w:sz w:val="24"/>
        </w:rPr>
        <w:t>299</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"_Toc86611380" </w:instrText>
      </w:r>
      <w:r>
        <w:fldChar w:fldCharType="separate"/>
      </w:r>
      <w:r>
        <w:rPr>
          <w:rStyle w:val="54"/>
          <w:sz w:val="24"/>
        </w:rPr>
        <w:t>9.6环境制约因素与解决办法</w:t>
      </w:r>
      <w:r>
        <w:rPr>
          <w:sz w:val="24"/>
        </w:rPr>
        <w:tab/>
      </w:r>
      <w:r>
        <w:rPr>
          <w:sz w:val="24"/>
        </w:rPr>
        <w:fldChar w:fldCharType="begin"/>
      </w:r>
      <w:r>
        <w:rPr>
          <w:sz w:val="24"/>
        </w:rPr>
        <w:instrText xml:space="preserve"> PAGEREF _Toc86611380 \h </w:instrText>
      </w:r>
      <w:r>
        <w:rPr>
          <w:sz w:val="24"/>
        </w:rPr>
        <w:fldChar w:fldCharType="separate"/>
      </w:r>
      <w:r>
        <w:rPr>
          <w:sz w:val="24"/>
        </w:rPr>
        <w:t>300</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"_Toc86611381" </w:instrText>
      </w:r>
      <w:r>
        <w:fldChar w:fldCharType="separate"/>
      </w:r>
      <w:r>
        <w:rPr>
          <w:rStyle w:val="54"/>
          <w:sz w:val="24"/>
        </w:rPr>
        <w:t>9.7 公众意见采纳情况</w:t>
      </w:r>
      <w:r>
        <w:rPr>
          <w:sz w:val="24"/>
        </w:rPr>
        <w:tab/>
      </w:r>
      <w:r>
        <w:rPr>
          <w:sz w:val="24"/>
        </w:rPr>
        <w:fldChar w:fldCharType="begin"/>
      </w:r>
      <w:r>
        <w:rPr>
          <w:sz w:val="24"/>
        </w:rPr>
        <w:instrText xml:space="preserve"> PAGEREF _Toc86611381 \h </w:instrText>
      </w:r>
      <w:r>
        <w:rPr>
          <w:sz w:val="24"/>
        </w:rPr>
        <w:fldChar w:fldCharType="separate"/>
      </w:r>
      <w:r>
        <w:rPr>
          <w:sz w:val="24"/>
        </w:rPr>
        <w:t>300</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"_Toc86611382" </w:instrText>
      </w:r>
      <w:r>
        <w:fldChar w:fldCharType="separate"/>
      </w:r>
      <w:r>
        <w:rPr>
          <w:rStyle w:val="54"/>
          <w:sz w:val="24"/>
        </w:rPr>
        <w:t>9.8 环境管理与监测计划</w:t>
      </w:r>
      <w:r>
        <w:rPr>
          <w:sz w:val="24"/>
        </w:rPr>
        <w:tab/>
      </w:r>
      <w:r>
        <w:rPr>
          <w:sz w:val="24"/>
        </w:rPr>
        <w:fldChar w:fldCharType="begin"/>
      </w:r>
      <w:r>
        <w:rPr>
          <w:sz w:val="24"/>
        </w:rPr>
        <w:instrText xml:space="preserve"> PAGEREF _Toc86611382 \h </w:instrText>
      </w:r>
      <w:r>
        <w:rPr>
          <w:sz w:val="24"/>
        </w:rPr>
        <w:fldChar w:fldCharType="separate"/>
      </w:r>
      <w:r>
        <w:rPr>
          <w:sz w:val="24"/>
        </w:rPr>
        <w:t>300</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"_Toc86611383" </w:instrText>
      </w:r>
      <w:r>
        <w:fldChar w:fldCharType="separate"/>
      </w:r>
      <w:r>
        <w:rPr>
          <w:rStyle w:val="54"/>
          <w:sz w:val="24"/>
        </w:rPr>
        <w:t>9.9 污染物排放总量控制</w:t>
      </w:r>
      <w:r>
        <w:rPr>
          <w:sz w:val="24"/>
        </w:rPr>
        <w:tab/>
      </w:r>
      <w:r>
        <w:rPr>
          <w:sz w:val="24"/>
        </w:rPr>
        <w:fldChar w:fldCharType="begin"/>
      </w:r>
      <w:r>
        <w:rPr>
          <w:sz w:val="24"/>
        </w:rPr>
        <w:instrText xml:space="preserve"> PAGEREF _Toc86611383 \h </w:instrText>
      </w:r>
      <w:r>
        <w:rPr>
          <w:sz w:val="24"/>
        </w:rPr>
        <w:fldChar w:fldCharType="separate"/>
      </w:r>
      <w:r>
        <w:rPr>
          <w:sz w:val="24"/>
        </w:rPr>
        <w:t>300</w:t>
      </w:r>
      <w:r>
        <w:rPr>
          <w:sz w:val="24"/>
        </w:rPr>
        <w:fldChar w:fldCharType="end"/>
      </w:r>
      <w:r>
        <w:rPr>
          <w:sz w:val="24"/>
        </w:rPr>
        <w:fldChar w:fldCharType="end"/>
      </w:r>
    </w:p>
    <w:p>
      <w:pPr>
        <w:pStyle w:val="36"/>
        <w:tabs>
          <w:tab w:val="right" w:leader="dot" w:pos="8721"/>
        </w:tabs>
        <w:spacing w:line="360" w:lineRule="auto"/>
        <w:ind w:left="480"/>
        <w:rPr>
          <w:sz w:val="24"/>
        </w:rPr>
      </w:pPr>
      <w:r>
        <w:fldChar w:fldCharType="begin"/>
      </w:r>
      <w:r>
        <w:instrText xml:space="preserve"> HYPERLINK \l "_Toc86611384" </w:instrText>
      </w:r>
      <w:r>
        <w:fldChar w:fldCharType="separate"/>
      </w:r>
      <w:r>
        <w:rPr>
          <w:rStyle w:val="54"/>
          <w:sz w:val="24"/>
        </w:rPr>
        <w:t>9.9 总结论</w:t>
      </w:r>
      <w:r>
        <w:rPr>
          <w:sz w:val="24"/>
        </w:rPr>
        <w:tab/>
      </w:r>
      <w:r>
        <w:rPr>
          <w:sz w:val="24"/>
        </w:rPr>
        <w:fldChar w:fldCharType="begin"/>
      </w:r>
      <w:r>
        <w:rPr>
          <w:sz w:val="24"/>
        </w:rPr>
        <w:instrText xml:space="preserve"> PAGEREF _Toc86611384 \h </w:instrText>
      </w:r>
      <w:r>
        <w:rPr>
          <w:sz w:val="24"/>
        </w:rPr>
        <w:fldChar w:fldCharType="separate"/>
      </w:r>
      <w:r>
        <w:rPr>
          <w:sz w:val="24"/>
        </w:rPr>
        <w:t>301</w:t>
      </w:r>
      <w:r>
        <w:rPr>
          <w:sz w:val="24"/>
        </w:rPr>
        <w:fldChar w:fldCharType="end"/>
      </w:r>
      <w:r>
        <w:rPr>
          <w:sz w:val="24"/>
        </w:rPr>
        <w:fldChar w:fldCharType="end"/>
      </w:r>
    </w:p>
    <w:p>
      <w:pPr>
        <w:pStyle w:val="36"/>
        <w:tabs>
          <w:tab w:val="right" w:leader="dot" w:pos="8721"/>
        </w:tabs>
        <w:spacing w:line="360" w:lineRule="auto"/>
        <w:ind w:left="480"/>
        <w:rPr>
          <w:rFonts w:asciiTheme="minorHAnsi" w:hAnsiTheme="minorHAnsi" w:eastAsiaTheme="minorEastAsia" w:cstheme="minorBidi"/>
          <w:szCs w:val="22"/>
        </w:rPr>
      </w:pPr>
      <w:r>
        <w:fldChar w:fldCharType="begin"/>
      </w:r>
      <w:r>
        <w:instrText xml:space="preserve"> HYPERLINK \l "_Toc86611385" </w:instrText>
      </w:r>
      <w:r>
        <w:fldChar w:fldCharType="separate"/>
      </w:r>
      <w:r>
        <w:rPr>
          <w:rStyle w:val="54"/>
          <w:sz w:val="24"/>
        </w:rPr>
        <w:t>9.10 建议</w:t>
      </w:r>
      <w:r>
        <w:rPr>
          <w:sz w:val="24"/>
        </w:rPr>
        <w:tab/>
      </w:r>
      <w:r>
        <w:rPr>
          <w:sz w:val="24"/>
        </w:rPr>
        <w:fldChar w:fldCharType="begin"/>
      </w:r>
      <w:r>
        <w:rPr>
          <w:sz w:val="24"/>
        </w:rPr>
        <w:instrText xml:space="preserve"> PAGEREF _Toc86611385 \h </w:instrText>
      </w:r>
      <w:r>
        <w:rPr>
          <w:sz w:val="24"/>
        </w:rPr>
        <w:fldChar w:fldCharType="separate"/>
      </w:r>
      <w:r>
        <w:rPr>
          <w:sz w:val="24"/>
        </w:rPr>
        <w:t>301</w:t>
      </w:r>
      <w:r>
        <w:rPr>
          <w:sz w:val="24"/>
        </w:rPr>
        <w:fldChar w:fldCharType="end"/>
      </w:r>
      <w:r>
        <w:rPr>
          <w:sz w:val="24"/>
        </w:rPr>
        <w:fldChar w:fldCharType="end"/>
      </w:r>
    </w:p>
    <w:p>
      <w:pPr>
        <w:tabs>
          <w:tab w:val="right" w:leader="dot" w:pos="8731"/>
        </w:tabs>
        <w:ind w:firstLine="480"/>
      </w:pPr>
      <w:r>
        <w:fldChar w:fldCharType="end"/>
      </w:r>
    </w:p>
    <w:p>
      <w:pPr>
        <w:tabs>
          <w:tab w:val="right" w:leader="dot" w:pos="8731"/>
        </w:tabs>
        <w:ind w:left="480" w:firstLine="480"/>
        <w:sectPr>
          <w:footerReference r:id="rId11" w:type="default"/>
          <w:pgSz w:w="11907" w:h="16840"/>
          <w:pgMar w:top="1701" w:right="1588" w:bottom="1985" w:left="1588" w:header="851" w:footer="1134" w:gutter="0"/>
          <w:pgNumType w:start="1"/>
          <w:cols w:space="720" w:num="1"/>
          <w:titlePg/>
          <w:docGrid w:linePitch="312" w:charSpace="0"/>
        </w:sectPr>
      </w:pPr>
    </w:p>
    <w:p>
      <w:pPr>
        <w:ind w:firstLine="482"/>
        <w:rPr>
          <w:rFonts w:cs="Times New Roman"/>
          <w:b/>
        </w:rPr>
      </w:pPr>
      <w:r>
        <w:rPr>
          <w:rFonts w:cs="Times New Roman"/>
          <w:b/>
        </w:rPr>
        <w:t>附图</w:t>
      </w:r>
    </w:p>
    <w:p>
      <w:pPr>
        <w:ind w:firstLine="480"/>
        <w:rPr>
          <w:rFonts w:cs="Times New Roman"/>
        </w:rPr>
      </w:pPr>
      <w:r>
        <w:rPr>
          <w:rFonts w:cs="Times New Roman"/>
        </w:rPr>
        <w:t>附图1  项目地理位置示意图</w:t>
      </w:r>
    </w:p>
    <w:p>
      <w:pPr>
        <w:ind w:firstLine="480"/>
        <w:rPr>
          <w:rFonts w:cs="Times New Roman"/>
        </w:rPr>
      </w:pPr>
      <w:r>
        <w:rPr>
          <w:rFonts w:cs="Times New Roman"/>
        </w:rPr>
        <w:t>附图2  项目现场勘查图</w:t>
      </w:r>
    </w:p>
    <w:p>
      <w:pPr>
        <w:ind w:firstLine="480"/>
        <w:rPr>
          <w:rFonts w:cs="Times New Roman"/>
        </w:rPr>
      </w:pPr>
      <w:r>
        <w:rPr>
          <w:rFonts w:cs="Times New Roman"/>
        </w:rPr>
        <w:t>附图3  项目环境保护目标及大气评价范围图</w:t>
      </w:r>
    </w:p>
    <w:p>
      <w:pPr>
        <w:ind w:firstLine="480"/>
        <w:rPr>
          <w:rFonts w:cs="Times New Roman"/>
        </w:rPr>
      </w:pPr>
      <w:r>
        <w:rPr>
          <w:rFonts w:cs="Times New Roman"/>
        </w:rPr>
        <w:t>附图4  项目区域水系图</w:t>
      </w:r>
    </w:p>
    <w:p>
      <w:pPr>
        <w:ind w:firstLine="480"/>
        <w:rPr>
          <w:rFonts w:cs="Times New Roman"/>
        </w:rPr>
      </w:pPr>
      <w:r>
        <w:rPr>
          <w:rFonts w:cs="Times New Roman"/>
        </w:rPr>
        <w:t>附图5  项目现状监测布点图（声环境）</w:t>
      </w:r>
    </w:p>
    <w:p>
      <w:pPr>
        <w:ind w:firstLine="480"/>
        <w:rPr>
          <w:rFonts w:cs="Times New Roman"/>
        </w:rPr>
      </w:pPr>
      <w:r>
        <w:rPr>
          <w:rFonts w:cs="Times New Roman"/>
        </w:rPr>
        <w:t>附图6  项目现状监测布点图（大气环境）</w:t>
      </w:r>
    </w:p>
    <w:p>
      <w:pPr>
        <w:ind w:firstLine="480"/>
        <w:rPr>
          <w:rFonts w:cs="Times New Roman"/>
        </w:rPr>
      </w:pPr>
      <w:r>
        <w:rPr>
          <w:rFonts w:cs="Times New Roman"/>
        </w:rPr>
        <w:t>附图7  项目现状监测布点图（地表水、地下水、土壤环境）</w:t>
      </w:r>
    </w:p>
    <w:p>
      <w:pPr>
        <w:ind w:firstLine="480"/>
        <w:rPr>
          <w:rFonts w:cs="Times New Roman"/>
        </w:rPr>
      </w:pPr>
      <w:r>
        <w:rPr>
          <w:rFonts w:cs="Times New Roman"/>
        </w:rPr>
        <w:t>附图8  项目与园区规划范围位置关系图</w:t>
      </w:r>
    </w:p>
    <w:p>
      <w:pPr>
        <w:ind w:firstLine="480"/>
        <w:rPr>
          <w:rFonts w:cs="Times New Roman"/>
        </w:rPr>
      </w:pPr>
      <w:r>
        <w:rPr>
          <w:rFonts w:cs="Times New Roman"/>
        </w:rPr>
        <w:t>附图9  项目总平面布置图</w:t>
      </w:r>
    </w:p>
    <w:p>
      <w:pPr>
        <w:ind w:firstLine="480"/>
        <w:rPr>
          <w:rFonts w:cs="Times New Roman"/>
        </w:rPr>
      </w:pPr>
      <w:r>
        <w:rPr>
          <w:rFonts w:cs="Times New Roman"/>
        </w:rPr>
        <w:t>附图10  项目位置与斜陂堰水库陆域保护区位置关系图</w:t>
      </w:r>
    </w:p>
    <w:p>
      <w:pPr>
        <w:ind w:firstLine="482"/>
        <w:rPr>
          <w:rFonts w:cs="Times New Roman"/>
          <w:b/>
        </w:rPr>
      </w:pPr>
      <w:r>
        <w:rPr>
          <w:rFonts w:cs="Times New Roman"/>
          <w:b/>
        </w:rPr>
        <w:t>附件</w:t>
      </w:r>
    </w:p>
    <w:p>
      <w:pPr>
        <w:ind w:firstLine="480"/>
        <w:rPr>
          <w:rFonts w:cs="Times New Roman"/>
        </w:rPr>
      </w:pPr>
      <w:r>
        <w:rPr>
          <w:rFonts w:cs="Times New Roman"/>
        </w:rPr>
        <w:t>附件1  环评委托书</w:t>
      </w:r>
    </w:p>
    <w:p>
      <w:pPr>
        <w:ind w:firstLine="480"/>
        <w:rPr>
          <w:rFonts w:cs="Times New Roman"/>
        </w:rPr>
      </w:pPr>
      <w:r>
        <w:rPr>
          <w:rFonts w:cs="Times New Roman"/>
        </w:rPr>
        <w:t>附件2  湖南省环保厅关于《衡阳界牌陶瓷工业园环境影响报告书》的审查意见（湘环评函[2016]34号）</w:t>
      </w:r>
    </w:p>
    <w:p>
      <w:pPr>
        <w:ind w:firstLine="480"/>
        <w:rPr>
          <w:rFonts w:cs="Times New Roman"/>
        </w:rPr>
      </w:pPr>
      <w:r>
        <w:rPr>
          <w:rFonts w:cs="Times New Roman"/>
        </w:rPr>
        <w:t>附件3  现状监测质保单</w:t>
      </w:r>
    </w:p>
    <w:p>
      <w:pPr>
        <w:ind w:firstLine="480"/>
        <w:rPr>
          <w:rFonts w:cs="Times New Roman"/>
        </w:rPr>
      </w:pPr>
      <w:r>
        <w:rPr>
          <w:rFonts w:cs="Times New Roman"/>
        </w:rPr>
        <w:t>附件4  煤成分分析单</w:t>
      </w:r>
    </w:p>
    <w:p>
      <w:pPr>
        <w:ind w:firstLine="480"/>
        <w:rPr>
          <w:rFonts w:cs="Times New Roman"/>
        </w:rPr>
      </w:pPr>
      <w:r>
        <w:rPr>
          <w:rFonts w:cs="Times New Roman"/>
        </w:rPr>
        <w:t>附件5  总量购买协议</w:t>
      </w:r>
    </w:p>
    <w:p>
      <w:pPr>
        <w:ind w:firstLine="480"/>
        <w:rPr>
          <w:rFonts w:cs="Times New Roman"/>
        </w:rPr>
      </w:pPr>
      <w:r>
        <w:rPr>
          <w:rFonts w:cs="Times New Roman"/>
        </w:rPr>
        <w:t>附件6  用地证明</w:t>
      </w:r>
    </w:p>
    <w:p>
      <w:pPr>
        <w:ind w:firstLine="482"/>
        <w:rPr>
          <w:rFonts w:cs="Times New Roman"/>
          <w:b/>
        </w:rPr>
      </w:pPr>
      <w:r>
        <w:rPr>
          <w:rFonts w:cs="Times New Roman"/>
          <w:b/>
        </w:rPr>
        <w:t>附表</w:t>
      </w:r>
    </w:p>
    <w:p>
      <w:pPr>
        <w:pStyle w:val="43"/>
        <w:adjustRightInd w:val="0"/>
        <w:snapToGrid w:val="0"/>
        <w:spacing w:after="0" w:line="312" w:lineRule="auto"/>
        <w:ind w:firstLine="480" w:firstLineChars="200"/>
        <w:rPr>
          <w:rFonts w:ascii="Times New Roman" w:hAnsi="Times New Roman"/>
          <w:sz w:val="24"/>
        </w:rPr>
      </w:pPr>
      <w:r>
        <w:rPr>
          <w:rFonts w:ascii="Times New Roman" w:hAnsi="Times New Roman"/>
          <w:sz w:val="24"/>
        </w:rPr>
        <w:t>附表1  建设项目大气环境影响评价自查表</w:t>
      </w:r>
    </w:p>
    <w:p>
      <w:pPr>
        <w:pStyle w:val="43"/>
        <w:adjustRightInd w:val="0"/>
        <w:snapToGrid w:val="0"/>
        <w:spacing w:after="0" w:line="312" w:lineRule="auto"/>
        <w:ind w:firstLine="480" w:firstLineChars="200"/>
        <w:rPr>
          <w:rFonts w:ascii="Times New Roman" w:hAnsi="Times New Roman"/>
          <w:sz w:val="24"/>
        </w:rPr>
      </w:pPr>
      <w:r>
        <w:rPr>
          <w:rFonts w:ascii="Times New Roman" w:hAnsi="Times New Roman"/>
          <w:sz w:val="24"/>
        </w:rPr>
        <w:t>附表2  建设项目地表水环境评价自查表</w:t>
      </w:r>
    </w:p>
    <w:p>
      <w:pPr>
        <w:pStyle w:val="43"/>
        <w:adjustRightInd w:val="0"/>
        <w:snapToGrid w:val="0"/>
        <w:spacing w:after="0" w:line="312" w:lineRule="auto"/>
        <w:ind w:firstLine="480" w:firstLineChars="200"/>
        <w:rPr>
          <w:rFonts w:ascii="Times New Roman" w:hAnsi="Times New Roman"/>
          <w:sz w:val="24"/>
        </w:rPr>
      </w:pPr>
      <w:r>
        <w:rPr>
          <w:rFonts w:ascii="Times New Roman" w:hAnsi="Times New Roman"/>
          <w:sz w:val="24"/>
        </w:rPr>
        <w:t>附表3  建设项目环境风险评价自查表</w:t>
      </w:r>
    </w:p>
    <w:p>
      <w:pPr>
        <w:pStyle w:val="43"/>
        <w:adjustRightInd w:val="0"/>
        <w:snapToGrid w:val="0"/>
        <w:spacing w:after="0" w:line="312" w:lineRule="auto"/>
        <w:ind w:firstLine="480" w:firstLineChars="200"/>
        <w:rPr>
          <w:rFonts w:ascii="Times New Roman" w:hAnsi="Times New Roman"/>
          <w:sz w:val="24"/>
        </w:rPr>
      </w:pPr>
      <w:r>
        <w:rPr>
          <w:rFonts w:ascii="Times New Roman" w:hAnsi="Times New Roman"/>
          <w:sz w:val="24"/>
        </w:rPr>
        <w:t>附表4  建设项目土壤环境评价自查表</w:t>
      </w:r>
    </w:p>
    <w:p>
      <w:pPr>
        <w:pStyle w:val="43"/>
        <w:adjustRightInd w:val="0"/>
        <w:snapToGrid w:val="0"/>
        <w:spacing w:after="0" w:line="312" w:lineRule="auto"/>
        <w:ind w:firstLine="480" w:firstLineChars="200"/>
        <w:rPr>
          <w:rFonts w:ascii="Times New Roman" w:hAnsi="Times New Roman"/>
          <w:sz w:val="24"/>
        </w:rPr>
      </w:pPr>
      <w:r>
        <w:rPr>
          <w:rFonts w:ascii="Times New Roman" w:hAnsi="Times New Roman"/>
          <w:sz w:val="24"/>
        </w:rPr>
        <w:t>附表5  建设项目环评审批基础信息表</w:t>
      </w:r>
    </w:p>
    <w:p>
      <w:pPr>
        <w:ind w:firstLine="0" w:firstLineChars="0"/>
        <w:jc w:val="center"/>
        <w:rPr>
          <w:rFonts w:cs="Times New Roman"/>
          <w:sz w:val="32"/>
          <w:szCs w:val="32"/>
        </w:rPr>
        <w:sectPr>
          <w:pgSz w:w="11906" w:h="16838"/>
          <w:pgMar w:top="1440" w:right="1800" w:bottom="1440" w:left="1800" w:header="851" w:footer="992" w:gutter="0"/>
          <w:cols w:space="425" w:num="1"/>
          <w:docGrid w:type="lines" w:linePitch="312" w:charSpace="0"/>
        </w:sectPr>
      </w:pPr>
    </w:p>
    <w:p>
      <w:pPr>
        <w:pStyle w:val="2"/>
        <w:rPr>
          <w:rFonts w:cs="Times New Roman"/>
        </w:rPr>
      </w:pPr>
      <w:bookmarkStart w:id="0" w:name="_Toc86611212"/>
      <w:r>
        <w:rPr>
          <w:rFonts w:cs="Times New Roman"/>
        </w:rPr>
        <w:t>1概述</w:t>
      </w:r>
      <w:bookmarkEnd w:id="0"/>
    </w:p>
    <w:p>
      <w:pPr>
        <w:pStyle w:val="3"/>
        <w:rPr>
          <w:rFonts w:cs="Times New Roman"/>
        </w:rPr>
      </w:pPr>
      <w:bookmarkStart w:id="1" w:name="_Toc86611213"/>
      <w:r>
        <w:rPr>
          <w:rFonts w:cs="Times New Roman"/>
        </w:rPr>
        <w:t>1.1项目背景</w:t>
      </w:r>
      <w:bookmarkEnd w:id="1"/>
    </w:p>
    <w:p>
      <w:pPr>
        <w:ind w:firstLine="480"/>
        <w:rPr>
          <w:rFonts w:cs="Times New Roman"/>
          <w:szCs w:val="24"/>
        </w:rPr>
      </w:pPr>
      <w:r>
        <w:rPr>
          <w:rFonts w:cs="Times New Roman"/>
          <w:szCs w:val="24"/>
        </w:rPr>
        <w:t>中国陶瓷发展历史悠久，但建筑陶瓷工业的迅猛发展却是改革开放以来的事。改革开放三十年来，中国陶瓷工业迅速发展，如今已名副其实成为世界上淘瓷生产大国、消费大国。中国生产的日用陶瓷产量占全世界的70%左右，陈设艺术陶瓷产量是全球的65%，建筑陶瓷产量也占世界总产量半壁江山。近十年来，我国的建筑陶瓷产量连续稳居世界第一，已经成为生产和消费大国了。尤其是近几年在全国范围内城市基础建设的持续升温和房地产开发、工业园区建设及各类工程项目的开工，使得建筑陶瓷行业一直呈强劲发展态势，带动了建筑陶瓷需求量的大幅度增加。我国建筑陶瓷生产企业的区域化集中程度非常高，具有较典型的区域经济特点。湖南省在建筑卫生陶瓷领域将衡阳、岳阳和常德作为建筑卫生陶瓷的重点区域。</w:t>
      </w:r>
    </w:p>
    <w:p>
      <w:pPr>
        <w:ind w:firstLine="480"/>
        <w:rPr>
          <w:rFonts w:cs="Times New Roman"/>
        </w:rPr>
      </w:pPr>
      <w:r>
        <w:rPr>
          <w:rFonts w:cs="Times New Roman"/>
        </w:rPr>
        <w:t>衡阳市位于湖南省中南部，毗邻广东边界的韶关、清远，位于承接珠三角产业转移的前沿位置，交通条件便利，劳动力充足，具备建筑专业化陶瓷生产项目的地理优势、原料优势、能源优势等。</w:t>
      </w:r>
    </w:p>
    <w:p>
      <w:pPr>
        <w:ind w:firstLine="480"/>
        <w:rPr>
          <w:rFonts w:cs="Times New Roman"/>
          <w:u w:val="single"/>
        </w:rPr>
      </w:pPr>
      <w:r>
        <w:rPr>
          <w:rFonts w:cs="Times New Roman"/>
          <w:u w:val="single"/>
        </w:rPr>
        <w:t>湖南将军新型建材有限公司</w:t>
      </w:r>
      <w:r>
        <w:rPr>
          <w:rFonts w:cs="Times New Roman"/>
          <w:szCs w:val="24"/>
          <w:u w:val="single"/>
        </w:rPr>
        <w:t>是专业生产各种规格建筑陶瓷砖的现代化知名陶瓷企业，在佛山、肇庆等地都拥有陶瓷生产基地，现在衡阳市设立</w:t>
      </w:r>
      <w:r>
        <w:rPr>
          <w:rFonts w:cs="Times New Roman"/>
          <w:u w:val="single"/>
        </w:rPr>
        <w:t>湖南将军新型建材有限公司，将利用广东大将军新型建材有限公司和</w:t>
      </w:r>
      <w:r>
        <w:rPr>
          <w:rFonts w:cs="Times New Roman"/>
          <w:bCs/>
          <w:u w:val="single"/>
        </w:rPr>
        <w:t>肇庆市将军陶瓷有限公司作为技术、管理、资金平台、专业生产各种规格建筑陶瓷砖。在</w:t>
      </w:r>
      <w:r>
        <w:rPr>
          <w:rFonts w:cs="Times New Roman"/>
          <w:u w:val="single"/>
        </w:rPr>
        <w:t>湖南衡阳西渡高新技术产业园界牌陶瓷工业园征地1165333.2m</w:t>
      </w:r>
      <w:r>
        <w:rPr>
          <w:rFonts w:cs="Times New Roman"/>
          <w:u w:val="single"/>
          <w:vertAlign w:val="superscript"/>
        </w:rPr>
        <w:t>2</w:t>
      </w:r>
      <w:r>
        <w:rPr>
          <w:rFonts w:cs="Times New Roman"/>
          <w:u w:val="single"/>
        </w:rPr>
        <w:t>（合1748亩）建设湖南将军新型建材生产项目，年产12804万m</w:t>
      </w:r>
      <w:r>
        <w:rPr>
          <w:rFonts w:cs="Times New Roman"/>
          <w:u w:val="single"/>
          <w:vertAlign w:val="superscript"/>
        </w:rPr>
        <w:t>2</w:t>
      </w:r>
      <w:r>
        <w:rPr>
          <w:rFonts w:cs="Times New Roman"/>
          <w:u w:val="single"/>
        </w:rPr>
        <w:t>建筑陶瓷及120万件卫生洁具。</w:t>
      </w:r>
      <w:r>
        <w:rPr>
          <w:rFonts w:hint="eastAsia" w:cs="Times New Roman"/>
          <w:u w:val="single"/>
        </w:rPr>
        <w:t>根据湖南省发展和改革委员会《关于印发“五个1</w:t>
      </w:r>
      <w:r>
        <w:rPr>
          <w:rFonts w:cs="Times New Roman"/>
          <w:u w:val="single"/>
        </w:rPr>
        <w:t>00</w:t>
      </w:r>
      <w:r>
        <w:rPr>
          <w:rFonts w:hint="eastAsia" w:cs="Times New Roman"/>
          <w:u w:val="single"/>
        </w:rPr>
        <w:t>”2</w:t>
      </w:r>
      <w:r>
        <w:rPr>
          <w:rFonts w:cs="Times New Roman"/>
          <w:u w:val="single"/>
        </w:rPr>
        <w:t>020</w:t>
      </w:r>
      <w:r>
        <w:rPr>
          <w:rFonts w:hint="eastAsia" w:cs="Times New Roman"/>
          <w:u w:val="single"/>
        </w:rPr>
        <w:t>年实施计划的通知》，本项目属于“湖南省100个重大产业建设项目2020年实施计划”中的项目，属于省重点项目。</w:t>
      </w:r>
    </w:p>
    <w:p>
      <w:pPr>
        <w:ind w:firstLine="480"/>
        <w:rPr>
          <w:rFonts w:cs="Times New Roman"/>
        </w:rPr>
      </w:pPr>
      <w:r>
        <w:rPr>
          <w:rFonts w:cs="Times New Roman"/>
        </w:rPr>
        <w:t>根据《建设项目环境保护管理条例》（国务院第682号令）、建设项目环境影响评价分类管理名录（环保部令第44号）以及《关于修改＜建设项目环境影响评价分类管理名录＞部分内容的决定》（生态环境部令第1号）等有关文件的规定，本项目属于“二十七、非金属矿物制品业 59、陶瓷制品制造307*”的“使用高污染燃料的（高污染燃料指国环规大气〔2017〕2号《高污染燃料目录》中规定的燃料）”，本项目须编写环境影响报告书。为切实做好该项目的环境保护工作，湖南将军新型建材有限公司委托贵州恒蓝环境工程有限公司开展该项目的环境影响评价工作。我司接受任务委托后，即组织有关技术人员到建设所在地及其周围进行了实地调查与现场踏勘，详细了解与收集了本项目有关的资料，按照《环境影响评价技术导则》要求，结合本项目的特点，编制完成了本项目的环境影响报告书，报请审查。</w:t>
      </w:r>
    </w:p>
    <w:p>
      <w:pPr>
        <w:pStyle w:val="3"/>
        <w:rPr>
          <w:rFonts w:cs="Times New Roman"/>
        </w:rPr>
      </w:pPr>
      <w:bookmarkStart w:id="2" w:name="_Toc86611214"/>
      <w:r>
        <w:rPr>
          <w:rFonts w:cs="Times New Roman"/>
        </w:rPr>
        <w:t>1.2建设项目特点</w:t>
      </w:r>
      <w:bookmarkEnd w:id="2"/>
    </w:p>
    <w:p>
      <w:pPr>
        <w:ind w:firstLine="482"/>
        <w:rPr>
          <w:rFonts w:cs="Times New Roman"/>
          <w:b/>
        </w:rPr>
      </w:pPr>
      <w:r>
        <w:rPr>
          <w:rFonts w:cs="Times New Roman"/>
          <w:b/>
        </w:rPr>
        <w:t>1、项目建设内容及特点</w:t>
      </w:r>
    </w:p>
    <w:p>
      <w:pPr>
        <w:ind w:firstLine="480"/>
        <w:rPr>
          <w:rFonts w:cs="Times New Roman"/>
          <w:u w:val="single"/>
        </w:rPr>
      </w:pPr>
      <w:r>
        <w:rPr>
          <w:rFonts w:cs="Times New Roman"/>
          <w:u w:val="single"/>
        </w:rPr>
        <w:t>项目拟建设12条高科技新型环保建材生产线，主产品方案为仿古/抛釉砖8613万㎡，通体抛釉砖4026万㎡，微晶大板165万㎡，卫生洁具120万件。</w:t>
      </w:r>
      <w:r>
        <w:rPr>
          <w:rFonts w:hint="eastAsia" w:cs="Times New Roman"/>
          <w:u w:val="single"/>
        </w:rPr>
        <w:t>受工业园规模限值的原因，项目分两期建设，一期建设6条生产线，除烧成窑及干燥窑仅建设总规模的一半以外，其余设备一期全部配齐，待工业园调扩区完成后，立即启动二期工程，将剩余6条烧成窑及其配套的干燥窑建成</w:t>
      </w:r>
      <w:r>
        <w:rPr>
          <w:rFonts w:cs="Times New Roman"/>
          <w:u w:val="single"/>
        </w:rPr>
        <w:t>。</w:t>
      </w:r>
    </w:p>
    <w:p>
      <w:pPr>
        <w:ind w:firstLine="480"/>
        <w:rPr>
          <w:rFonts w:cs="Times New Roman"/>
        </w:rPr>
      </w:pPr>
      <w:r>
        <w:rPr>
          <w:rFonts w:cs="Times New Roman"/>
        </w:rPr>
        <w:t>本项目建设具有以下的特点：</w:t>
      </w:r>
    </w:p>
    <w:p>
      <w:pPr>
        <w:ind w:firstLine="480"/>
        <w:rPr>
          <w:rFonts w:cs="Times New Roman"/>
        </w:rPr>
      </w:pPr>
      <w:r>
        <w:rPr>
          <w:rFonts w:cs="Times New Roman"/>
        </w:rPr>
        <w:t>（1）建设用地已落实，场地尚未实现“三通一平”，但不涉及征地拆迁问题。</w:t>
      </w:r>
    </w:p>
    <w:p>
      <w:pPr>
        <w:ind w:firstLine="480"/>
        <w:rPr>
          <w:rFonts w:cs="Times New Roman"/>
        </w:rPr>
      </w:pPr>
      <w:r>
        <w:rPr>
          <w:rFonts w:cs="Times New Roman"/>
        </w:rPr>
        <w:t>（2）区域市政基础设施相对落后，园区污水处理厂尚未建设完成。</w:t>
      </w:r>
    </w:p>
    <w:p>
      <w:pPr>
        <w:ind w:firstLine="480"/>
        <w:rPr>
          <w:rFonts w:cs="Times New Roman"/>
        </w:rPr>
      </w:pPr>
      <w:r>
        <w:rPr>
          <w:rFonts w:cs="Times New Roman"/>
        </w:rPr>
        <w:t>（3）项目的建设将产生“三废”等不利影响。</w:t>
      </w:r>
    </w:p>
    <w:p>
      <w:pPr>
        <w:ind w:firstLine="480"/>
        <w:rPr>
          <w:rFonts w:cs="Times New Roman"/>
        </w:rPr>
      </w:pPr>
      <w:r>
        <w:rPr>
          <w:rFonts w:cs="Times New Roman"/>
        </w:rPr>
        <w:t>（4）项目所在区域以荒山为主，周边没有集中的工业污染源，具有较好的环境相容性。</w:t>
      </w:r>
    </w:p>
    <w:p>
      <w:pPr>
        <w:ind w:firstLine="482"/>
        <w:rPr>
          <w:rFonts w:cs="Times New Roman"/>
          <w:b/>
        </w:rPr>
      </w:pPr>
      <w:r>
        <w:rPr>
          <w:rFonts w:cs="Times New Roman"/>
          <w:b/>
        </w:rPr>
        <w:t>2、本环评关注的主要环境问题</w:t>
      </w:r>
    </w:p>
    <w:p>
      <w:pPr>
        <w:ind w:firstLine="480"/>
        <w:rPr>
          <w:rFonts w:cs="Times New Roman"/>
        </w:rPr>
      </w:pPr>
      <w:r>
        <w:rPr>
          <w:rFonts w:cs="Times New Roman"/>
        </w:rPr>
        <w:t>本项目主要的环境问题为：施工造成的水土流失，施工期的废水、废气、噪声、固废的产生和排放；项目建设运营后，以下几点需关注：</w:t>
      </w:r>
    </w:p>
    <w:p>
      <w:pPr>
        <w:ind w:firstLine="480"/>
        <w:rPr>
          <w:rFonts w:cs="Times New Roman"/>
        </w:rPr>
      </w:pPr>
      <w:r>
        <w:rPr>
          <w:rFonts w:cs="Times New Roman"/>
        </w:rPr>
        <w:t>（1）项目生产废水不得外排，生活污水经生化一体污水处理设施</w:t>
      </w:r>
      <w:r>
        <w:rPr>
          <w:rFonts w:hint="eastAsia" w:cs="Times New Roman"/>
        </w:rPr>
        <w:t>+人工湿地</w:t>
      </w:r>
      <w:r>
        <w:rPr>
          <w:rFonts w:cs="Times New Roman"/>
        </w:rPr>
        <w:t>处理达到</w:t>
      </w:r>
      <w:r>
        <w:rPr>
          <w:rFonts w:hint="eastAsia" w:cs="Times New Roman"/>
        </w:rPr>
        <w:t>《污水综合排放标准》（GB</w:t>
      </w:r>
      <w:r>
        <w:rPr>
          <w:rFonts w:cs="Times New Roman"/>
        </w:rPr>
        <w:t>8978</w:t>
      </w:r>
      <w:r>
        <w:rPr>
          <w:rFonts w:hint="eastAsia" w:cs="Times New Roman"/>
        </w:rPr>
        <w:t>-</w:t>
      </w:r>
      <w:r>
        <w:rPr>
          <w:rFonts w:cs="Times New Roman"/>
        </w:rPr>
        <w:t>1996</w:t>
      </w:r>
      <w:r>
        <w:rPr>
          <w:rFonts w:hint="eastAsia" w:cs="Times New Roman"/>
        </w:rPr>
        <w:t>）中一级标准后直接排入白象河</w:t>
      </w:r>
      <w:r>
        <w:rPr>
          <w:rFonts w:cs="Times New Roman"/>
        </w:rPr>
        <w:t xml:space="preserve">，远期待污水处理厂建成后，处理达到《陶瓷工业污染物排放标准》（GB25464-2010）中表2 间接排放限值后排入市政管网进入污水处理厂进行深度处理后排入白象河。 </w:t>
      </w:r>
    </w:p>
    <w:p>
      <w:pPr>
        <w:ind w:firstLine="480"/>
        <w:rPr>
          <w:rFonts w:cs="Times New Roman"/>
        </w:rPr>
      </w:pPr>
      <w:r>
        <w:rPr>
          <w:rFonts w:cs="Times New Roman"/>
        </w:rPr>
        <w:t>（2）项目产生的固废须进行妥善处理，使之不成为危害区域环境的新的污染源。</w:t>
      </w:r>
    </w:p>
    <w:p>
      <w:pPr>
        <w:ind w:firstLine="480"/>
        <w:rPr>
          <w:rFonts w:cs="Times New Roman"/>
        </w:rPr>
      </w:pPr>
      <w:r>
        <w:rPr>
          <w:rFonts w:cs="Times New Roman"/>
        </w:rPr>
        <w:t>（3）项目“三废”对周边居民的影响。</w:t>
      </w:r>
    </w:p>
    <w:p>
      <w:pPr>
        <w:ind w:firstLine="482"/>
        <w:rPr>
          <w:rFonts w:cs="Times New Roman"/>
          <w:b/>
        </w:rPr>
      </w:pPr>
      <w:r>
        <w:rPr>
          <w:rFonts w:cs="Times New Roman"/>
          <w:b/>
        </w:rPr>
        <w:t>3、区域主要环境问题</w:t>
      </w:r>
    </w:p>
    <w:p>
      <w:pPr>
        <w:ind w:firstLine="480"/>
        <w:rPr>
          <w:rFonts w:cs="Times New Roman"/>
        </w:rPr>
      </w:pPr>
      <w:r>
        <w:rPr>
          <w:rFonts w:cs="Times New Roman"/>
        </w:rPr>
        <w:t>根据现场调查，未发现评价区域内存在环境问题。</w:t>
      </w:r>
    </w:p>
    <w:p>
      <w:pPr>
        <w:pStyle w:val="3"/>
        <w:rPr>
          <w:rFonts w:cs="Times New Roman"/>
        </w:rPr>
      </w:pPr>
      <w:bookmarkStart w:id="3" w:name="_Toc86611215"/>
      <w:r>
        <w:rPr>
          <w:rFonts w:cs="Times New Roman"/>
        </w:rPr>
        <w:t>1.3环境影响评价的工作过程</w:t>
      </w:r>
      <w:bookmarkEnd w:id="3"/>
    </w:p>
    <w:p>
      <w:pPr>
        <w:ind w:firstLine="480"/>
        <w:rPr>
          <w:rFonts w:cs="Times New Roman"/>
        </w:rPr>
      </w:pPr>
      <w:r>
        <w:rPr>
          <w:rFonts w:cs="Times New Roman"/>
        </w:rPr>
        <w:t>我公司接受建设单位委托后，对该项目周边环境状况进行实地踏勘，收集了当地环境现状背景与工程等相关资料。在上述大量工作的基础上，编制完成了该项目的环境影响报告书。本项目的工作内容主要为环境现状调查、工程分析、环境的影响预测和评价、环境风险评价。在环评的工作过程中，针对不同的内容采用不同的方法进行影响分析。工程分析部分主要采用类比分析、排污系数法、物料衡算法等技术方法进行本项目的工程分析。环境质量现状调查与评价部分主要通过收集资料、现场勘察、现状监测等方法进行。环境影响预测和评价主要采用数学模型和类比分析等技术方法进行各环境影响要素的影响分析，并提出了相关环境保护措施及建议。</w:t>
      </w:r>
    </w:p>
    <w:p>
      <w:pPr>
        <w:ind w:firstLine="480"/>
        <w:rPr>
          <w:rFonts w:cs="Times New Roman"/>
        </w:rPr>
      </w:pPr>
      <w:r>
        <w:rPr>
          <w:rFonts w:cs="Times New Roman"/>
        </w:rPr>
        <w:t>根据《建设项目环境影响评价技术导则总纲》（HJ 2.1-2016）等相关技术规范的要求，本项目环境影响评价的工作过程及程序见图1.3-1。</w:t>
      </w:r>
    </w:p>
    <w:p>
      <w:pPr>
        <w:ind w:firstLine="0" w:firstLineChars="0"/>
        <w:rPr>
          <w:rFonts w:cs="Times New Roman"/>
        </w:rPr>
      </w:pPr>
      <w:r>
        <w:rPr>
          <w:rFonts w:cs="Times New Roman"/>
        </w:rPr>
        <w:drawing>
          <wp:inline distT="0" distB="0" distL="0" distR="0">
            <wp:extent cx="5476875" cy="5629275"/>
            <wp:effectExtent l="19050" t="0" r="9525" b="0"/>
            <wp:docPr id="2" name="图片 43" descr="C752]T2ETGS@Q34]PP5BK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3" descr="C752]T2ETGS@Q34]PP5BKAF"/>
                    <pic:cNvPicPr>
                      <a:picLocks noChangeAspect="1" noChangeArrowheads="1"/>
                    </pic:cNvPicPr>
                  </pic:nvPicPr>
                  <pic:blipFill>
                    <a:blip r:embed="rId14"/>
                    <a:srcRect l="3024" t="6531" r="4320" b="3468"/>
                    <a:stretch>
                      <a:fillRect/>
                    </a:stretch>
                  </pic:blipFill>
                  <pic:spPr>
                    <a:xfrm>
                      <a:off x="0" y="0"/>
                      <a:ext cx="5476875" cy="5629275"/>
                    </a:xfrm>
                    <a:prstGeom prst="rect">
                      <a:avLst/>
                    </a:prstGeom>
                    <a:noFill/>
                    <a:ln w="9525">
                      <a:noFill/>
                      <a:miter lim="800000"/>
                      <a:headEnd/>
                      <a:tailEnd/>
                    </a:ln>
                  </pic:spPr>
                </pic:pic>
              </a:graphicData>
            </a:graphic>
          </wp:inline>
        </w:drawing>
      </w:r>
    </w:p>
    <w:p>
      <w:pPr>
        <w:ind w:firstLine="422"/>
        <w:jc w:val="center"/>
        <w:rPr>
          <w:rFonts w:cs="Times New Roman"/>
        </w:rPr>
      </w:pPr>
      <w:r>
        <w:rPr>
          <w:rFonts w:cs="Times New Roman"/>
          <w:b/>
          <w:sz w:val="21"/>
          <w:szCs w:val="21"/>
        </w:rPr>
        <w:t>图1.3-1  建设项目环境影响评价工作程序图</w:t>
      </w:r>
    </w:p>
    <w:p>
      <w:pPr>
        <w:pStyle w:val="3"/>
        <w:rPr>
          <w:rFonts w:cs="Times New Roman"/>
        </w:rPr>
      </w:pPr>
      <w:bookmarkStart w:id="4" w:name="_Toc86611216"/>
      <w:r>
        <w:rPr>
          <w:rFonts w:cs="Times New Roman"/>
        </w:rPr>
        <w:t>1.4分析判定相关情况</w:t>
      </w:r>
      <w:bookmarkEnd w:id="4"/>
    </w:p>
    <w:p>
      <w:pPr>
        <w:pStyle w:val="4"/>
        <w:rPr>
          <w:rFonts w:cs="Times New Roman"/>
        </w:rPr>
      </w:pPr>
      <w:bookmarkStart w:id="5" w:name="_Toc86611217"/>
      <w:r>
        <w:rPr>
          <w:rFonts w:cs="Times New Roman"/>
        </w:rPr>
        <w:t>1.4.1产业政策符合性分析</w:t>
      </w:r>
      <w:bookmarkEnd w:id="5"/>
    </w:p>
    <w:p>
      <w:pPr>
        <w:ind w:firstLine="480"/>
        <w:rPr>
          <w:rFonts w:cs="Times New Roman"/>
        </w:rPr>
      </w:pPr>
      <w:r>
        <w:rPr>
          <w:rFonts w:cs="Times New Roman"/>
        </w:rPr>
        <w:t>本项目为陶瓷生产制造项目，项目符合国家发改委第9号令《产业结构调整指导目录（2011年本）》和国家发展和改革委员会2013年2月16日第21号令公布的《国家发展改革委关于修改&lt;产业结构与调整指导目录（2011年本）&gt;有关条款的决定》修正，本项目不属于鼓励类、限制类和淘汰类，属于允许类。同时根据《部分工业行业淘汰落后生产工艺装备和产品指导目录（2010年本）》（工产业[2010]第122号），本项目使用的原材料、生产设备等均不属于其中的淘汰类。因此，项目符合国家现行的产业政策。</w:t>
      </w:r>
    </w:p>
    <w:p>
      <w:pPr>
        <w:pStyle w:val="4"/>
        <w:rPr>
          <w:rFonts w:cs="Times New Roman"/>
        </w:rPr>
      </w:pPr>
      <w:bookmarkStart w:id="6" w:name="_Toc86611218"/>
      <w:r>
        <w:rPr>
          <w:rFonts w:cs="Times New Roman"/>
        </w:rPr>
        <w:t>1.4.2 与污染防治文件符合性分析</w:t>
      </w:r>
      <w:bookmarkEnd w:id="6"/>
    </w:p>
    <w:p>
      <w:pPr>
        <w:ind w:firstLine="482"/>
        <w:rPr>
          <w:rFonts w:cs="Times New Roman"/>
          <w:b/>
        </w:rPr>
      </w:pPr>
      <w:r>
        <w:rPr>
          <w:rFonts w:cs="Times New Roman"/>
          <w:b/>
        </w:rPr>
        <w:t>1、与“水十条”、“大气十条”、“土十条”符合性分析</w:t>
      </w:r>
    </w:p>
    <w:p>
      <w:pPr>
        <w:ind w:firstLine="480"/>
        <w:rPr>
          <w:rFonts w:cs="Times New Roman"/>
        </w:rPr>
      </w:pPr>
      <w:r>
        <w:rPr>
          <w:rFonts w:cs="Times New Roman"/>
        </w:rPr>
        <w:t>（1）大气污染防治行动计划</w:t>
      </w:r>
    </w:p>
    <w:p>
      <w:pPr>
        <w:ind w:firstLine="480"/>
        <w:rPr>
          <w:rFonts w:cs="Times New Roman"/>
        </w:rPr>
      </w:pPr>
      <w:r>
        <w:rPr>
          <w:rFonts w:hint="eastAsia" w:cs="Times New Roman"/>
        </w:rPr>
        <w:t>本项目主要用液化天然气作为热源，由于工艺需求，在喷粉车间采用微煤粉作</w:t>
      </w:r>
      <w:r>
        <w:rPr>
          <w:rFonts w:cs="Times New Roman"/>
        </w:rPr>
        <w:t>；项目施工期施工现场全封闭设置围挡墙，施工现场道路应进行地面硬化，煤堆、原料堆场实现封闭储存并设置了抑尘设施；项目为年产12804万平方米建筑陶瓷，单条生产线年产大于150万平方米，使用的烧成窑为辊道窑，成型机械为液压压砖机，符合《部分工业行业淘汰落后生产工艺装备和产品指导目录（2010 年本）》和《产业结构调整指导目录（2011 年本）（修正）》的要求；项目清洁生产水平可达到国内先进水平；项目建设性质为新建，未开工建设，项目环保手续完善后将明确新建后具体的污染物（二氧化硫、氮氧化物、烟粉尘）总量控制指标，在采取相应的污染防治措施后污染物能实现达标排放。总体项目符合《国务院关于印发〈大气污染防治行动计划〉的通知》（国发〔2013〕37号）的“大气十条”相关要求。</w:t>
      </w:r>
    </w:p>
    <w:p>
      <w:pPr>
        <w:ind w:firstLine="480"/>
        <w:rPr>
          <w:rFonts w:cs="Times New Roman"/>
        </w:rPr>
      </w:pPr>
      <w:r>
        <w:rPr>
          <w:rFonts w:cs="Times New Roman"/>
        </w:rPr>
        <w:t>（2）水污染防治行动计划</w:t>
      </w:r>
    </w:p>
    <w:p>
      <w:pPr>
        <w:ind w:firstLine="480"/>
        <w:rPr>
          <w:rFonts w:cs="Times New Roman"/>
        </w:rPr>
      </w:pPr>
      <w:r>
        <w:rPr>
          <w:rFonts w:cs="Times New Roman"/>
        </w:rPr>
        <w:t>项目新建絮凝二级沉淀池、生活污水处理设施等设施，不属于装备水平低、环保设施差的小型工业企业；项目生产废水通过相应设施处理后全部回用于生产，不外排，大大减少工艺用新水的量；生活污水经地埋式一体化污水处理设施处理后回</w:t>
      </w:r>
      <w:r>
        <w:rPr>
          <w:rFonts w:hint="eastAsia" w:cs="Times New Roman"/>
        </w:rPr>
        <w:t>近期排入白象河，远期排入园区污水处理厂</w:t>
      </w:r>
      <w:r>
        <w:rPr>
          <w:rFonts w:cs="Times New Roman"/>
        </w:rPr>
        <w:t>；项目生产废水污水处理设施污泥回用到原料中，生活污水处理设施污泥定期清掏委托环卫部门清运处理；项目环保手续完善后将制定相应的环境监测计划，落实环境风险防控的相关要求及地表水、地下水的污染防治对策措施，同时落实信息公开制度，符合《国务院关于印发〈水污染防治行动计划〉的通知》（国发〔2015〕17号）的“水十条”相关要求。</w:t>
      </w:r>
    </w:p>
    <w:p>
      <w:pPr>
        <w:ind w:firstLine="480"/>
        <w:rPr>
          <w:rFonts w:cs="Times New Roman"/>
        </w:rPr>
      </w:pPr>
      <w:r>
        <w:rPr>
          <w:rFonts w:cs="Times New Roman"/>
        </w:rPr>
        <w:t>（3）土壤污染防治行动计划</w:t>
      </w:r>
    </w:p>
    <w:p>
      <w:pPr>
        <w:ind w:firstLine="480"/>
        <w:rPr>
          <w:rFonts w:cs="Times New Roman"/>
        </w:rPr>
        <w:sectPr>
          <w:footerReference r:id="rId12" w:type="default"/>
          <w:pgSz w:w="11906" w:h="16838"/>
          <w:pgMar w:top="1440" w:right="1800" w:bottom="1440" w:left="1800" w:header="851" w:footer="992" w:gutter="0"/>
          <w:pgNumType w:start="1"/>
          <w:cols w:space="425" w:num="1"/>
          <w:docGrid w:type="lines" w:linePitch="312" w:charSpace="0"/>
        </w:sectPr>
      </w:pPr>
      <w:r>
        <w:rPr>
          <w:rFonts w:cs="Times New Roman"/>
        </w:rPr>
        <w:t>项目已进行土壤环境质量现状监测，监测因子主要为重金属和项目特征污染因子氟化物等。项目位于</w:t>
      </w:r>
      <w:r>
        <w:rPr>
          <w:rFonts w:cs="Times New Roman"/>
          <w:bCs/>
        </w:rPr>
        <w:t>衡阳界牌陶瓷循环经济特色工业园区建筑陶瓷生产组团工业工业建设用地内</w:t>
      </w:r>
      <w:r>
        <w:rPr>
          <w:rFonts w:cs="Times New Roman"/>
        </w:rPr>
        <w:t>，项目不属于对土壤污染严重的企业，占地范围不涉及基本农田及公益林，在落实相关环保措施后能有效控制项目造成的污染影响，符合《国务院关于印发〈土壤污染防治行动计划〉的通知》（国发〔2016〕31 号）的“土十条”相关要求。具体分析详见表1.4-1。</w:t>
      </w:r>
    </w:p>
    <w:p>
      <w:pPr>
        <w:ind w:firstLine="0" w:firstLineChars="0"/>
        <w:jc w:val="center"/>
        <w:rPr>
          <w:rFonts w:cs="Times New Roman"/>
          <w:b/>
          <w:szCs w:val="24"/>
        </w:rPr>
      </w:pPr>
      <w:r>
        <w:rPr>
          <w:rFonts w:cs="Times New Roman"/>
          <w:b/>
          <w:szCs w:val="24"/>
        </w:rPr>
        <w:t>表1.4-1  项目与“水十条”“土十条”“气十条”符合性分析</w:t>
      </w:r>
    </w:p>
    <w:tbl>
      <w:tblPr>
        <w:tblStyle w:val="4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67"/>
        <w:gridCol w:w="7362"/>
        <w:gridCol w:w="5108"/>
        <w:gridCol w:w="8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Align w:val="center"/>
          </w:tcPr>
          <w:p>
            <w:pPr>
              <w:spacing w:line="240" w:lineRule="auto"/>
              <w:ind w:firstLine="0" w:firstLineChars="0"/>
              <w:jc w:val="center"/>
              <w:rPr>
                <w:rFonts w:cs="Times New Roman"/>
                <w:b/>
                <w:sz w:val="21"/>
                <w:szCs w:val="21"/>
              </w:rPr>
            </w:pPr>
            <w:r>
              <w:rPr>
                <w:rFonts w:cs="Times New Roman"/>
                <w:b/>
                <w:sz w:val="21"/>
                <w:szCs w:val="21"/>
              </w:rPr>
              <w:t>序号</w:t>
            </w:r>
          </w:p>
        </w:tc>
        <w:tc>
          <w:tcPr>
            <w:tcW w:w="2597" w:type="pct"/>
            <w:vAlign w:val="center"/>
          </w:tcPr>
          <w:p>
            <w:pPr>
              <w:spacing w:line="240" w:lineRule="auto"/>
              <w:ind w:firstLine="0" w:firstLineChars="0"/>
              <w:jc w:val="center"/>
              <w:rPr>
                <w:rFonts w:cs="Times New Roman"/>
                <w:b/>
                <w:sz w:val="21"/>
                <w:szCs w:val="21"/>
              </w:rPr>
            </w:pPr>
            <w:r>
              <w:rPr>
                <w:rFonts w:cs="Times New Roman"/>
                <w:b/>
                <w:sz w:val="21"/>
                <w:szCs w:val="21"/>
              </w:rPr>
              <w:t>行业准入条件要求</w:t>
            </w:r>
          </w:p>
        </w:tc>
        <w:tc>
          <w:tcPr>
            <w:tcW w:w="1802" w:type="pct"/>
            <w:vAlign w:val="center"/>
          </w:tcPr>
          <w:p>
            <w:pPr>
              <w:spacing w:line="240" w:lineRule="auto"/>
              <w:ind w:firstLine="0" w:firstLineChars="0"/>
              <w:jc w:val="center"/>
              <w:rPr>
                <w:rFonts w:cs="Times New Roman"/>
                <w:b/>
                <w:sz w:val="21"/>
                <w:szCs w:val="21"/>
              </w:rPr>
            </w:pPr>
            <w:r>
              <w:rPr>
                <w:rFonts w:cs="Times New Roman"/>
                <w:b/>
                <w:sz w:val="21"/>
                <w:szCs w:val="21"/>
              </w:rPr>
              <w:t>本项目</w:t>
            </w:r>
          </w:p>
        </w:tc>
        <w:tc>
          <w:tcPr>
            <w:tcW w:w="295" w:type="pct"/>
            <w:vAlign w:val="center"/>
          </w:tcPr>
          <w:p>
            <w:pPr>
              <w:spacing w:line="240" w:lineRule="auto"/>
              <w:ind w:firstLine="0" w:firstLineChars="0"/>
              <w:jc w:val="center"/>
              <w:rPr>
                <w:rFonts w:cs="Times New Roman"/>
                <w:b/>
                <w:sz w:val="21"/>
                <w:szCs w:val="21"/>
              </w:rPr>
            </w:pPr>
            <w:r>
              <w:rPr>
                <w:rFonts w:cs="Times New Roman"/>
                <w:b/>
                <w:sz w:val="21"/>
                <w:szCs w:val="21"/>
              </w:rPr>
              <w:t>结论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restar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一、气十条</w:t>
            </w:r>
          </w:p>
        </w:tc>
        <w:tc>
          <w:tcPr>
            <w:tcW w:w="2597" w:type="pct"/>
            <w:vAlign w:val="center"/>
          </w:tcPr>
          <w:p>
            <w:pPr>
              <w:spacing w:line="240" w:lineRule="auto"/>
              <w:ind w:firstLine="0" w:firstLineChars="0"/>
              <w:jc w:val="center"/>
              <w:rPr>
                <w:rFonts w:cs="Times New Roman"/>
                <w:sz w:val="21"/>
                <w:szCs w:val="21"/>
              </w:rPr>
            </w:pPr>
            <w:r>
              <w:rPr>
                <w:rFonts w:cs="Times New Roman"/>
                <w:sz w:val="21"/>
                <w:szCs w:val="21"/>
              </w:rPr>
              <w:t>加快推进集中供热、“煤改气”、“煤改电”工程建设，到2017 年，除必要保留的以外，地级及以上城市建成区基本淘汰每小时10 蒸吨及以下的燃煤锅炉，禁止新建每小时20 蒸吨以下的燃煤锅炉；其他地区原则上不再新建每小时10 蒸吨以下的燃煤锅炉。在供热供气管网不能覆盖的地区，改用电、新能源或洁净煤，推广应用高效节能环保型锅炉</w:t>
            </w:r>
          </w:p>
        </w:tc>
        <w:tc>
          <w:tcPr>
            <w:tcW w:w="1802" w:type="pct"/>
            <w:vAlign w:val="center"/>
          </w:tcPr>
          <w:p>
            <w:pPr>
              <w:autoSpaceDE w:val="0"/>
              <w:autoSpaceDN w:val="0"/>
              <w:adjustRightInd w:val="0"/>
              <w:spacing w:line="240" w:lineRule="auto"/>
              <w:ind w:firstLine="0" w:firstLineChars="0"/>
              <w:jc w:val="center"/>
              <w:rPr>
                <w:rFonts w:cs="Times New Roman"/>
                <w:sz w:val="21"/>
                <w:szCs w:val="21"/>
              </w:rPr>
            </w:pPr>
            <w:r>
              <w:rPr>
                <w:rFonts w:hint="eastAsia" w:cs="Times New Roman"/>
                <w:kern w:val="0"/>
                <w:sz w:val="21"/>
                <w:szCs w:val="21"/>
              </w:rPr>
              <w:t>本项目采用天然气作为热源，在喷雾干燥工段由于天然气不能满足工艺需求，采用微煤粉作为热源</w:t>
            </w:r>
          </w:p>
        </w:tc>
        <w:tc>
          <w:tcPr>
            <w:tcW w:w="295" w:type="pct"/>
            <w:vAlign w:val="center"/>
          </w:tcPr>
          <w:p>
            <w:pPr>
              <w:spacing w:line="240" w:lineRule="auto"/>
              <w:ind w:firstLine="0" w:firstLineChars="0"/>
              <w:jc w:val="center"/>
              <w:rPr>
                <w:rFonts w:cs="Times New Roman"/>
                <w:sz w:val="21"/>
                <w:szCs w:val="21"/>
              </w:rPr>
            </w:pPr>
            <w:r>
              <w:rPr>
                <w:rFonts w:cs="Times New Roman"/>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spacing w:line="240" w:lineRule="auto"/>
              <w:ind w:firstLine="0" w:firstLineChars="0"/>
              <w:jc w:val="center"/>
              <w:rPr>
                <w:rFonts w:cs="Times New Roman"/>
                <w:sz w:val="21"/>
                <w:szCs w:val="21"/>
              </w:rPr>
            </w:pPr>
          </w:p>
        </w:tc>
        <w:tc>
          <w:tcPr>
            <w:tcW w:w="2597"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加强施工扬尘监管，积极推进绿色施工，建设工程施工现场应全封闭设置围挡墙，严禁敞开式作业，施工现场道路应进行地面硬化。渣土运输车辆应采取密闭措施，并逐步安装卫星定位系统。大型煤堆、料堆要实现封闭储存或建设防风抑尘设施</w:t>
            </w:r>
          </w:p>
        </w:tc>
        <w:tc>
          <w:tcPr>
            <w:tcW w:w="1802"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项目施工期施工现场设置全封闭围挡墙，渣土运输车采取密闭措施，施工现场道路进行地面硬化；煤堆、原料堆场实现四面设棚封闭储存并设置了喷雾洒水抑尘设施</w:t>
            </w:r>
          </w:p>
        </w:tc>
        <w:tc>
          <w:tcPr>
            <w:tcW w:w="295" w:type="pct"/>
            <w:vAlign w:val="center"/>
          </w:tcPr>
          <w:p>
            <w:pPr>
              <w:spacing w:line="240" w:lineRule="auto"/>
              <w:ind w:firstLine="0" w:firstLineChars="0"/>
              <w:jc w:val="center"/>
              <w:rPr>
                <w:rFonts w:cs="Times New Roman"/>
                <w:sz w:val="21"/>
                <w:szCs w:val="21"/>
              </w:rPr>
            </w:pPr>
            <w:r>
              <w:rPr>
                <w:rFonts w:cs="Times New Roman"/>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spacing w:line="240" w:lineRule="auto"/>
              <w:ind w:firstLine="0" w:firstLineChars="0"/>
              <w:jc w:val="center"/>
              <w:rPr>
                <w:rFonts w:cs="Times New Roman"/>
                <w:sz w:val="21"/>
                <w:szCs w:val="21"/>
              </w:rPr>
            </w:pPr>
          </w:p>
        </w:tc>
        <w:tc>
          <w:tcPr>
            <w:tcW w:w="2597" w:type="pct"/>
            <w:vAlign w:val="center"/>
          </w:tcPr>
          <w:p>
            <w:pPr>
              <w:autoSpaceDE w:val="0"/>
              <w:autoSpaceDN w:val="0"/>
              <w:adjustRightInd w:val="0"/>
              <w:spacing w:line="240" w:lineRule="auto"/>
              <w:ind w:firstLine="0" w:firstLineChars="0"/>
              <w:jc w:val="center"/>
              <w:rPr>
                <w:rFonts w:cs="Times New Roman"/>
                <w:kern w:val="0"/>
                <w:sz w:val="21"/>
                <w:szCs w:val="21"/>
              </w:rPr>
            </w:pPr>
            <w:r>
              <w:rPr>
                <w:rFonts w:cs="Times New Roman"/>
                <w:kern w:val="0"/>
                <w:sz w:val="21"/>
                <w:szCs w:val="21"/>
              </w:rPr>
              <w:t>按照《部分工业行业淘汰落后生产工艺装备和产品指导目录</w:t>
            </w:r>
            <w:r>
              <w:rPr>
                <w:rFonts w:eastAsia="TimesNewRomanPSMT" w:cs="Times New Roman"/>
                <w:kern w:val="0"/>
                <w:sz w:val="21"/>
                <w:szCs w:val="21"/>
              </w:rPr>
              <w:t xml:space="preserve">(2010 </w:t>
            </w:r>
            <w:r>
              <w:rPr>
                <w:rFonts w:cs="Times New Roman"/>
                <w:kern w:val="0"/>
                <w:sz w:val="21"/>
                <w:szCs w:val="21"/>
              </w:rPr>
              <w:t>年本</w:t>
            </w:r>
            <w:r>
              <w:rPr>
                <w:rFonts w:eastAsia="TimesNewRomanPSMT" w:cs="Times New Roman"/>
                <w:kern w:val="0"/>
                <w:sz w:val="21"/>
                <w:szCs w:val="21"/>
              </w:rPr>
              <w:t>)</w:t>
            </w:r>
            <w:r>
              <w:rPr>
                <w:rFonts w:cs="Times New Roman"/>
                <w:kern w:val="0"/>
                <w:sz w:val="21"/>
                <w:szCs w:val="21"/>
              </w:rPr>
              <w:t>》、《产业结构调整指导目录</w:t>
            </w:r>
            <w:r>
              <w:rPr>
                <w:rFonts w:eastAsia="TimesNewRomanPSMT" w:cs="Times New Roman"/>
                <w:kern w:val="0"/>
                <w:sz w:val="21"/>
                <w:szCs w:val="21"/>
              </w:rPr>
              <w:t xml:space="preserve">(2011 </w:t>
            </w:r>
            <w:r>
              <w:rPr>
                <w:rFonts w:cs="Times New Roman"/>
                <w:kern w:val="0"/>
                <w:sz w:val="21"/>
                <w:szCs w:val="21"/>
              </w:rPr>
              <w:t>年本</w:t>
            </w:r>
            <w:r>
              <w:rPr>
                <w:rFonts w:eastAsia="TimesNewRomanPSMT" w:cs="Times New Roman"/>
                <w:kern w:val="0"/>
                <w:sz w:val="21"/>
                <w:szCs w:val="21"/>
              </w:rPr>
              <w:t>)(</w:t>
            </w:r>
            <w:r>
              <w:rPr>
                <w:rFonts w:cs="Times New Roman"/>
                <w:kern w:val="0"/>
                <w:sz w:val="21"/>
                <w:szCs w:val="21"/>
              </w:rPr>
              <w:t>修正</w:t>
            </w:r>
            <w:r>
              <w:rPr>
                <w:rFonts w:eastAsia="TimesNewRomanPSMT" w:cs="Times New Roman"/>
                <w:kern w:val="0"/>
                <w:sz w:val="21"/>
                <w:szCs w:val="21"/>
              </w:rPr>
              <w:t>)</w:t>
            </w:r>
            <w:r>
              <w:rPr>
                <w:rFonts w:cs="Times New Roman"/>
                <w:kern w:val="0"/>
                <w:sz w:val="21"/>
                <w:szCs w:val="21"/>
              </w:rPr>
              <w:t>》的要求，采取经济、技术、法律和必要的行政手段，提前一年完成钢铁、水泥、电解铝、平板玻璃等</w:t>
            </w:r>
            <w:r>
              <w:rPr>
                <w:rFonts w:eastAsia="TimesNewRomanPSMT" w:cs="Times New Roman"/>
                <w:kern w:val="0"/>
                <w:sz w:val="21"/>
                <w:szCs w:val="21"/>
              </w:rPr>
              <w:t xml:space="preserve">21 </w:t>
            </w:r>
            <w:r>
              <w:rPr>
                <w:rFonts w:cs="Times New Roman"/>
                <w:kern w:val="0"/>
                <w:sz w:val="21"/>
                <w:szCs w:val="21"/>
              </w:rPr>
              <w:t>个重点行业的</w:t>
            </w:r>
            <w:r>
              <w:rPr>
                <w:rFonts w:cs="Times New Roman" w:eastAsiaTheme="majorEastAsia"/>
                <w:kern w:val="0"/>
                <w:sz w:val="21"/>
                <w:szCs w:val="21"/>
              </w:rPr>
              <w:t>“</w:t>
            </w:r>
            <w:r>
              <w:rPr>
                <w:rFonts w:cs="Times New Roman"/>
                <w:kern w:val="0"/>
                <w:sz w:val="21"/>
                <w:szCs w:val="21"/>
              </w:rPr>
              <w:t>十二五</w:t>
            </w:r>
            <w:r>
              <w:rPr>
                <w:rFonts w:cs="Times New Roman" w:eastAsiaTheme="minorEastAsia"/>
                <w:kern w:val="0"/>
                <w:sz w:val="21"/>
                <w:szCs w:val="21"/>
              </w:rPr>
              <w:t>"</w:t>
            </w:r>
            <w:r>
              <w:rPr>
                <w:rFonts w:cs="Times New Roman"/>
                <w:kern w:val="0"/>
                <w:sz w:val="21"/>
                <w:szCs w:val="21"/>
              </w:rPr>
              <w:t>落后产能淘汰任务</w:t>
            </w:r>
          </w:p>
        </w:tc>
        <w:tc>
          <w:tcPr>
            <w:tcW w:w="1802"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项目为年产</w:t>
            </w:r>
            <w:r>
              <w:rPr>
                <w:rFonts w:eastAsia="TimesNewRomanPSMT" w:cs="Times New Roman"/>
                <w:kern w:val="0"/>
                <w:sz w:val="21"/>
                <w:szCs w:val="21"/>
              </w:rPr>
              <w:t>12804</w:t>
            </w:r>
            <w:r>
              <w:rPr>
                <w:rFonts w:cs="Times New Roman"/>
                <w:kern w:val="0"/>
                <w:sz w:val="21"/>
                <w:szCs w:val="21"/>
              </w:rPr>
              <w:t>万平方米建筑陶瓷，单条生产线年产大于</w:t>
            </w:r>
            <w:r>
              <w:rPr>
                <w:rFonts w:eastAsia="TimesNewRomanPSMT" w:cs="Times New Roman"/>
                <w:kern w:val="0"/>
                <w:sz w:val="21"/>
                <w:szCs w:val="21"/>
              </w:rPr>
              <w:t>150</w:t>
            </w:r>
            <w:r>
              <w:rPr>
                <w:rFonts w:cs="Times New Roman"/>
                <w:kern w:val="0"/>
                <w:sz w:val="21"/>
                <w:szCs w:val="21"/>
              </w:rPr>
              <w:t>万平方米，使用的烧成窑为辊道窑，成型机械为液压压砖机，符合《部分工业行业淘汰落后生产工艺装备和产品指导目录（</w:t>
            </w:r>
            <w:r>
              <w:rPr>
                <w:rFonts w:eastAsia="TimesNewRomanPSMT" w:cs="Times New Roman"/>
                <w:kern w:val="0"/>
                <w:sz w:val="21"/>
                <w:szCs w:val="21"/>
              </w:rPr>
              <w:t xml:space="preserve">2010 </w:t>
            </w:r>
            <w:r>
              <w:rPr>
                <w:rFonts w:cs="Times New Roman"/>
                <w:kern w:val="0"/>
                <w:sz w:val="21"/>
                <w:szCs w:val="21"/>
              </w:rPr>
              <w:t>年本）》和《产业结构调整指导目录（</w:t>
            </w:r>
            <w:r>
              <w:rPr>
                <w:rFonts w:eastAsia="TimesNewRomanPSMT" w:cs="Times New Roman"/>
                <w:kern w:val="0"/>
                <w:sz w:val="21"/>
                <w:szCs w:val="21"/>
              </w:rPr>
              <w:t>2011</w:t>
            </w:r>
            <w:r>
              <w:rPr>
                <w:rFonts w:cs="Times New Roman"/>
                <w:kern w:val="0"/>
                <w:sz w:val="21"/>
                <w:szCs w:val="21"/>
              </w:rPr>
              <w:t>年本）（修正）》的要求</w:t>
            </w:r>
          </w:p>
        </w:tc>
        <w:tc>
          <w:tcPr>
            <w:tcW w:w="295" w:type="pct"/>
            <w:vAlign w:val="center"/>
          </w:tcPr>
          <w:p>
            <w:pPr>
              <w:spacing w:line="240" w:lineRule="auto"/>
              <w:ind w:firstLine="0" w:firstLineChars="0"/>
              <w:jc w:val="center"/>
              <w:rPr>
                <w:rFonts w:cs="Times New Roman"/>
                <w:sz w:val="21"/>
                <w:szCs w:val="21"/>
              </w:rPr>
            </w:pPr>
            <w:r>
              <w:rPr>
                <w:rFonts w:cs="Times New Roman"/>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spacing w:line="240" w:lineRule="auto"/>
              <w:ind w:firstLine="0" w:firstLineChars="0"/>
              <w:jc w:val="center"/>
              <w:rPr>
                <w:rFonts w:cs="Times New Roman"/>
                <w:sz w:val="21"/>
                <w:szCs w:val="21"/>
              </w:rPr>
            </w:pPr>
          </w:p>
        </w:tc>
        <w:tc>
          <w:tcPr>
            <w:tcW w:w="2597" w:type="pct"/>
            <w:vAlign w:val="center"/>
          </w:tcPr>
          <w:p>
            <w:pPr>
              <w:autoSpaceDE w:val="0"/>
              <w:autoSpaceDN w:val="0"/>
              <w:adjustRightInd w:val="0"/>
              <w:spacing w:line="240" w:lineRule="auto"/>
              <w:ind w:firstLine="0" w:firstLineChars="0"/>
              <w:jc w:val="center"/>
              <w:rPr>
                <w:rFonts w:cs="Times New Roman"/>
                <w:kern w:val="0"/>
                <w:sz w:val="21"/>
                <w:szCs w:val="21"/>
              </w:rPr>
            </w:pPr>
            <w:r>
              <w:rPr>
                <w:rFonts w:cs="Times New Roman"/>
                <w:kern w:val="0"/>
                <w:sz w:val="21"/>
                <w:szCs w:val="21"/>
              </w:rPr>
              <w:t>所有新、改、扩建项目，必须全部进行环境影响评价；未通过环境影响评价审批的，一律不准开工建设</w:t>
            </w:r>
            <w:r>
              <w:rPr>
                <w:rFonts w:eastAsia="TimesNewRomanPSMT" w:cs="Times New Roman"/>
                <w:kern w:val="0"/>
                <w:sz w:val="21"/>
                <w:szCs w:val="21"/>
              </w:rPr>
              <w:t>;</w:t>
            </w:r>
            <w:r>
              <w:rPr>
                <w:rFonts w:cs="Times New Roman"/>
                <w:kern w:val="0"/>
                <w:sz w:val="21"/>
                <w:szCs w:val="21"/>
              </w:rPr>
              <w:t>违规建设的，要依法进行处罚。加强产业政策在产业转移过程中的引导与约束作用，严格限制在生态脆弱或环境敏感地区建设</w:t>
            </w:r>
            <w:r>
              <w:rPr>
                <w:rFonts w:eastAsia="TimesNewRomanPSMT" w:cs="Times New Roman"/>
                <w:kern w:val="0"/>
                <w:sz w:val="21"/>
                <w:szCs w:val="21"/>
              </w:rPr>
              <w:t>"</w:t>
            </w:r>
            <w:r>
              <w:rPr>
                <w:rFonts w:cs="Times New Roman"/>
                <w:kern w:val="0"/>
                <w:sz w:val="21"/>
                <w:szCs w:val="21"/>
              </w:rPr>
              <w:t>两高</w:t>
            </w:r>
            <w:r>
              <w:rPr>
                <w:rFonts w:eastAsia="TimesNewRomanPSMT" w:cs="Times New Roman"/>
                <w:kern w:val="0"/>
                <w:sz w:val="21"/>
                <w:szCs w:val="21"/>
              </w:rPr>
              <w:t>"</w:t>
            </w:r>
            <w:r>
              <w:rPr>
                <w:rFonts w:cs="Times New Roman"/>
                <w:kern w:val="0"/>
                <w:sz w:val="21"/>
                <w:szCs w:val="21"/>
              </w:rPr>
              <w:t>行业项目。</w:t>
            </w:r>
          </w:p>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加快大气污染防治法修订步伐，重点健全总量控制、排污许可、应急预警、法律责任等方面的制度，研究增加对恶意排污、造成重大污染危害的企业及其相关负责人追究刑事责任的内容，加大对违法行为的处罚力度</w:t>
            </w:r>
          </w:p>
        </w:tc>
        <w:tc>
          <w:tcPr>
            <w:tcW w:w="1802"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项目建设性质为新建，未开工建设；项目位于</w:t>
            </w:r>
            <w:r>
              <w:rPr>
                <w:rFonts w:cs="Times New Roman"/>
                <w:bCs/>
                <w:kern w:val="0"/>
                <w:sz w:val="21"/>
                <w:szCs w:val="21"/>
              </w:rPr>
              <w:t>衡阳界牌陶瓷循环经济特色工业园区建筑陶瓷生产组团</w:t>
            </w:r>
            <w:r>
              <w:rPr>
                <w:rFonts w:cs="Times New Roman"/>
                <w:kern w:val="0"/>
                <w:sz w:val="21"/>
                <w:szCs w:val="21"/>
              </w:rPr>
              <w:t>工业建设用地内，符合园区规划要求；项目环保手续完善后将明确新建后具体的污染物（二氧化硫、氮氧化物、烟粉尘）总量控制指标，在采取相应的污染防治措施后污染物能实现达标排放</w:t>
            </w:r>
          </w:p>
        </w:tc>
        <w:tc>
          <w:tcPr>
            <w:tcW w:w="295" w:type="pct"/>
            <w:vAlign w:val="center"/>
          </w:tcPr>
          <w:p>
            <w:pPr>
              <w:spacing w:line="240" w:lineRule="auto"/>
              <w:ind w:firstLine="0" w:firstLineChars="0"/>
              <w:jc w:val="center"/>
              <w:rPr>
                <w:rFonts w:cs="Times New Roman"/>
                <w:sz w:val="21"/>
                <w:szCs w:val="21"/>
              </w:rPr>
            </w:pPr>
            <w:r>
              <w:rPr>
                <w:rFonts w:cs="Times New Roman"/>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restar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二、水十条</w:t>
            </w:r>
          </w:p>
        </w:tc>
        <w:tc>
          <w:tcPr>
            <w:tcW w:w="2597"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取缔</w:t>
            </w:r>
            <w:r>
              <w:rPr>
                <w:rFonts w:eastAsia="TimesNewRomanPSMT" w:cs="Times New Roman"/>
                <w:kern w:val="0"/>
                <w:sz w:val="21"/>
                <w:szCs w:val="21"/>
              </w:rPr>
              <w:t>“</w:t>
            </w:r>
            <w:r>
              <w:rPr>
                <w:rFonts w:cs="Times New Roman"/>
                <w:kern w:val="0"/>
                <w:sz w:val="21"/>
                <w:szCs w:val="21"/>
              </w:rPr>
              <w:t>十小</w:t>
            </w:r>
            <w:r>
              <w:rPr>
                <w:rFonts w:eastAsia="TimesNewRomanPSMT" w:cs="Times New Roman"/>
                <w:kern w:val="0"/>
                <w:sz w:val="21"/>
                <w:szCs w:val="21"/>
              </w:rPr>
              <w:t>”</w:t>
            </w:r>
            <w:r>
              <w:rPr>
                <w:rFonts w:cs="Times New Roman"/>
                <w:kern w:val="0"/>
                <w:sz w:val="21"/>
                <w:szCs w:val="21"/>
              </w:rPr>
              <w:t>企业。全面排查装备水平低、环保设施差的小型工业企</w:t>
            </w:r>
          </w:p>
        </w:tc>
        <w:tc>
          <w:tcPr>
            <w:tcW w:w="1802"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项目新建絮凝二级沉淀池、生活污水处理设施等设施，不属于装备水平低、环保设施差的小型工业企业</w:t>
            </w:r>
          </w:p>
        </w:tc>
        <w:tc>
          <w:tcPr>
            <w:tcW w:w="295" w:type="pct"/>
            <w:vAlign w:val="center"/>
          </w:tcPr>
          <w:p>
            <w:pPr>
              <w:spacing w:line="240" w:lineRule="auto"/>
              <w:ind w:firstLine="0" w:firstLineChars="0"/>
              <w:jc w:val="center"/>
              <w:rPr>
                <w:rFonts w:cs="Times New Roman"/>
                <w:sz w:val="21"/>
                <w:szCs w:val="21"/>
              </w:rPr>
            </w:pPr>
            <w:r>
              <w:rPr>
                <w:rFonts w:cs="Times New Roman"/>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306" w:type="pct"/>
            <w:vMerge w:val="continue"/>
            <w:vAlign w:val="center"/>
          </w:tcPr>
          <w:p>
            <w:pPr>
              <w:spacing w:line="240" w:lineRule="auto"/>
              <w:ind w:firstLine="0" w:firstLineChars="0"/>
              <w:jc w:val="center"/>
              <w:rPr>
                <w:rFonts w:cs="Times New Roman"/>
                <w:sz w:val="21"/>
                <w:szCs w:val="21"/>
              </w:rPr>
            </w:pPr>
          </w:p>
        </w:tc>
        <w:tc>
          <w:tcPr>
            <w:tcW w:w="2597"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污水处理设施产生的污泥应进行稳定化、无害化和资源化处理处置，禁止处理处置不达标的污泥进入耕地</w:t>
            </w:r>
          </w:p>
        </w:tc>
        <w:tc>
          <w:tcPr>
            <w:tcW w:w="1802"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项目生产废水处理设施污泥回用到原料中，生活污水处理设施污泥委托环卫部门清掏处置，处置率</w:t>
            </w:r>
            <w:r>
              <w:rPr>
                <w:rFonts w:eastAsia="TimesNewRomanPSMT" w:cs="Times New Roman"/>
                <w:kern w:val="0"/>
                <w:sz w:val="21"/>
                <w:szCs w:val="21"/>
              </w:rPr>
              <w:t>100%</w:t>
            </w:r>
            <w:r>
              <w:rPr>
                <w:rFonts w:cs="Times New Roman"/>
                <w:kern w:val="0"/>
                <w:sz w:val="21"/>
                <w:szCs w:val="21"/>
              </w:rPr>
              <w:t>；</w:t>
            </w:r>
          </w:p>
        </w:tc>
        <w:tc>
          <w:tcPr>
            <w:tcW w:w="295" w:type="pct"/>
            <w:vAlign w:val="center"/>
          </w:tcPr>
          <w:p>
            <w:pPr>
              <w:spacing w:line="240" w:lineRule="auto"/>
              <w:ind w:firstLine="0" w:firstLineChars="0"/>
              <w:jc w:val="center"/>
              <w:rPr>
                <w:rFonts w:cs="Times New Roman"/>
                <w:sz w:val="21"/>
                <w:szCs w:val="21"/>
              </w:rPr>
            </w:pPr>
            <w:r>
              <w:rPr>
                <w:rFonts w:cs="Times New Roman"/>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spacing w:line="240" w:lineRule="auto"/>
              <w:ind w:firstLine="0" w:firstLineChars="0"/>
              <w:jc w:val="center"/>
              <w:rPr>
                <w:rFonts w:cs="Times New Roman"/>
                <w:sz w:val="21"/>
                <w:szCs w:val="21"/>
              </w:rPr>
            </w:pPr>
          </w:p>
        </w:tc>
        <w:tc>
          <w:tcPr>
            <w:tcW w:w="2597"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加强工业水循环利用。推进矿井水综合利用，煤炭矿区的补充用水、周边地区生产和生态用水应优先使用矿井水，加强洗煤废水循环利用。鼓励钢铁、纺织印染、造纸、石油石化、化工、制革等高耗水企业废水深度处理回用。</w:t>
            </w:r>
          </w:p>
        </w:tc>
        <w:tc>
          <w:tcPr>
            <w:tcW w:w="1802"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项目生产废水通过相应设施处理后全部回用于生产，不外排，大大减少工艺用新水的量</w:t>
            </w:r>
            <w:r>
              <w:rPr>
                <w:rFonts w:cs="Times New Roman"/>
                <w:sz w:val="21"/>
                <w:szCs w:val="21"/>
              </w:rPr>
              <w:t xml:space="preserve"> </w:t>
            </w:r>
          </w:p>
        </w:tc>
        <w:tc>
          <w:tcPr>
            <w:tcW w:w="295" w:type="pct"/>
            <w:vAlign w:val="center"/>
          </w:tcPr>
          <w:p>
            <w:pPr>
              <w:spacing w:line="240" w:lineRule="auto"/>
              <w:ind w:firstLine="0" w:firstLineChars="0"/>
              <w:jc w:val="center"/>
              <w:rPr>
                <w:rFonts w:cs="Times New Roman"/>
                <w:sz w:val="21"/>
                <w:szCs w:val="21"/>
              </w:rPr>
            </w:pPr>
            <w:r>
              <w:rPr>
                <w:rFonts w:cs="Times New Roman"/>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306" w:type="pct"/>
            <w:vMerge w:val="continue"/>
            <w:vAlign w:val="center"/>
          </w:tcPr>
          <w:p>
            <w:pPr>
              <w:spacing w:line="240" w:lineRule="auto"/>
              <w:ind w:firstLine="0" w:firstLineChars="0"/>
              <w:jc w:val="center"/>
              <w:rPr>
                <w:rFonts w:cs="Times New Roman"/>
                <w:sz w:val="21"/>
                <w:szCs w:val="21"/>
              </w:rPr>
            </w:pPr>
          </w:p>
        </w:tc>
        <w:tc>
          <w:tcPr>
            <w:tcW w:w="2597"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各类排污单位要严格执行环保法律法规和制度，加强污染治理设施建设和运行管理，开展自行监测，落实治污减排、环境风险防范等责任。中央企业和国有企业要带头落实，工业集聚区内的企业要探索建立环保自律机制。</w:t>
            </w:r>
          </w:p>
        </w:tc>
        <w:tc>
          <w:tcPr>
            <w:tcW w:w="1802"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项目环保手续完善后将制定相应的环境监测计划，落实环境风险防控的相关要求及地表水、地下水的污染防治对策措施，同时落实信息公开制度</w:t>
            </w:r>
          </w:p>
        </w:tc>
        <w:tc>
          <w:tcPr>
            <w:tcW w:w="295" w:type="pct"/>
            <w:vAlign w:val="center"/>
          </w:tcPr>
          <w:p>
            <w:pPr>
              <w:spacing w:line="240" w:lineRule="auto"/>
              <w:ind w:firstLine="0" w:firstLineChars="0"/>
              <w:jc w:val="center"/>
              <w:rPr>
                <w:rFonts w:cs="Times New Roman"/>
                <w:sz w:val="21"/>
                <w:szCs w:val="21"/>
              </w:rPr>
            </w:pPr>
            <w:r>
              <w:rPr>
                <w:rFonts w:cs="Times New Roman"/>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restar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三、土十条</w:t>
            </w:r>
          </w:p>
        </w:tc>
        <w:tc>
          <w:tcPr>
            <w:tcW w:w="2597" w:type="pct"/>
            <w:vAlign w:val="center"/>
          </w:tcPr>
          <w:p>
            <w:pPr>
              <w:autoSpaceDE w:val="0"/>
              <w:autoSpaceDN w:val="0"/>
              <w:adjustRightInd w:val="0"/>
              <w:spacing w:line="240" w:lineRule="auto"/>
              <w:ind w:firstLine="0" w:firstLineChars="0"/>
              <w:jc w:val="center"/>
              <w:rPr>
                <w:rFonts w:cs="Times New Roman"/>
                <w:kern w:val="0"/>
                <w:sz w:val="21"/>
                <w:szCs w:val="21"/>
              </w:rPr>
            </w:pPr>
            <w:r>
              <w:rPr>
                <w:rFonts w:cs="Times New Roman"/>
                <w:kern w:val="0"/>
                <w:sz w:val="21"/>
                <w:szCs w:val="21"/>
              </w:rPr>
              <w:t>排放重点污染物的建设项目，在开展环境影响评价时，要增加对土壤环境影响的评价内容，并提出防范土壤污染的具体措施</w:t>
            </w:r>
            <w:r>
              <w:rPr>
                <w:rFonts w:eastAsia="TimesNewRomanPSMT" w:cs="Times New Roman"/>
                <w:kern w:val="0"/>
                <w:sz w:val="21"/>
                <w:szCs w:val="21"/>
              </w:rPr>
              <w:t>;</w:t>
            </w:r>
            <w:r>
              <w:rPr>
                <w:rFonts w:cs="Times New Roman"/>
                <w:kern w:val="0"/>
                <w:sz w:val="21"/>
                <w:szCs w:val="21"/>
              </w:rPr>
              <w:t>需要建设的土壤污染防治设施，要与主体工程同时设计、同时施工、同时投产使用</w:t>
            </w:r>
            <w:r>
              <w:rPr>
                <w:rFonts w:eastAsia="TimesNewRomanPSMT" w:cs="Times New Roman"/>
                <w:kern w:val="0"/>
                <w:sz w:val="21"/>
                <w:szCs w:val="21"/>
              </w:rPr>
              <w:t>;</w:t>
            </w:r>
            <w:r>
              <w:rPr>
                <w:rFonts w:cs="Times New Roman"/>
                <w:kern w:val="0"/>
                <w:sz w:val="21"/>
                <w:szCs w:val="21"/>
              </w:rPr>
              <w:t>有关环境保护部门要做好有关措施落实情况的监督管理工作</w:t>
            </w:r>
          </w:p>
        </w:tc>
        <w:tc>
          <w:tcPr>
            <w:tcW w:w="1802"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项目已进行土壤环境质量现状监测，监测因子主要为重金属和项目特征污染因子氟化物等。在落实项目相关环保措施后能有效控制项目对土壤环境造成的污染影响</w:t>
            </w:r>
          </w:p>
        </w:tc>
        <w:tc>
          <w:tcPr>
            <w:tcW w:w="295" w:type="pct"/>
            <w:vAlign w:val="center"/>
          </w:tcPr>
          <w:p>
            <w:pPr>
              <w:spacing w:line="240" w:lineRule="auto"/>
              <w:ind w:firstLine="0" w:firstLineChars="0"/>
              <w:jc w:val="center"/>
              <w:rPr>
                <w:rFonts w:cs="Times New Roman"/>
                <w:sz w:val="21"/>
                <w:szCs w:val="21"/>
              </w:rPr>
            </w:pPr>
            <w:r>
              <w:rPr>
                <w:rFonts w:cs="Times New Roman"/>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spacing w:line="240" w:lineRule="auto"/>
              <w:ind w:firstLine="0" w:firstLineChars="0"/>
              <w:jc w:val="center"/>
              <w:rPr>
                <w:rFonts w:cs="Times New Roman"/>
                <w:sz w:val="21"/>
                <w:szCs w:val="21"/>
              </w:rPr>
            </w:pPr>
          </w:p>
        </w:tc>
        <w:tc>
          <w:tcPr>
            <w:tcW w:w="2597"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将建设用地土壤环境管理要求纳入城市规划和供地管理，土地开发利用必须符合土壤环境质量要求。地方各级国土资源、城乡规划等部门在编制土地利用总体规划、城市总体规划、控制性详细规划等相关规划时，应充分考虑污染地块的环境风险，合理确定土地用途</w:t>
            </w:r>
          </w:p>
        </w:tc>
        <w:tc>
          <w:tcPr>
            <w:tcW w:w="1802"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项目位于</w:t>
            </w:r>
            <w:r>
              <w:rPr>
                <w:rFonts w:cs="Times New Roman"/>
                <w:bCs/>
                <w:kern w:val="0"/>
                <w:sz w:val="21"/>
                <w:szCs w:val="21"/>
              </w:rPr>
              <w:t>衡阳界牌陶瓷循环经济特色工业园区建筑陶瓷生产组团</w:t>
            </w:r>
            <w:r>
              <w:rPr>
                <w:rFonts w:cs="Times New Roman"/>
                <w:kern w:val="0"/>
                <w:sz w:val="21"/>
                <w:szCs w:val="21"/>
              </w:rPr>
              <w:t>工业建设用地内，符合园区规划要求，项目不属于对土壤污染严重的企业，占地范围不涉及基本农田及公益林</w:t>
            </w:r>
          </w:p>
        </w:tc>
        <w:tc>
          <w:tcPr>
            <w:tcW w:w="295" w:type="pct"/>
            <w:vAlign w:val="center"/>
          </w:tcPr>
          <w:p>
            <w:pPr>
              <w:spacing w:line="240" w:lineRule="auto"/>
              <w:ind w:firstLine="0" w:firstLineChars="0"/>
              <w:jc w:val="center"/>
              <w:rPr>
                <w:rFonts w:cs="Times New Roman"/>
                <w:sz w:val="21"/>
                <w:szCs w:val="21"/>
              </w:rPr>
            </w:pPr>
            <w:r>
              <w:rPr>
                <w:rFonts w:cs="Times New Roman"/>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spacing w:line="240" w:lineRule="auto"/>
              <w:ind w:firstLine="0" w:firstLineChars="0"/>
              <w:jc w:val="center"/>
              <w:rPr>
                <w:rFonts w:cs="Times New Roman"/>
                <w:sz w:val="21"/>
                <w:szCs w:val="21"/>
              </w:rPr>
            </w:pPr>
          </w:p>
        </w:tc>
        <w:tc>
          <w:tcPr>
            <w:tcW w:w="2597"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全面整治尾矿、煤矸石、工业副产石膏、粉煤灰、赤泥、冶炼渣、电石渣、铬渣、砷渣以及脱硫、脱硝、除尘产生固体废物的堆存场所，完善防扬散、防流失、防渗漏等设施，制定整治方案并有序实施</w:t>
            </w:r>
          </w:p>
        </w:tc>
        <w:tc>
          <w:tcPr>
            <w:tcW w:w="1802" w:type="pct"/>
            <w:vAlign w:val="center"/>
          </w:tcPr>
          <w:p>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项目产生的脱硫石膏、煤渣、除尘等固体废物均堆存于环保措施齐全的堆渣棚内，定期外售给合法企业，不乱堆、乱排</w:t>
            </w:r>
          </w:p>
        </w:tc>
        <w:tc>
          <w:tcPr>
            <w:tcW w:w="295" w:type="pct"/>
            <w:vAlign w:val="center"/>
          </w:tcPr>
          <w:p>
            <w:pPr>
              <w:spacing w:line="240" w:lineRule="auto"/>
              <w:ind w:firstLine="0" w:firstLineChars="0"/>
              <w:jc w:val="center"/>
              <w:rPr>
                <w:rFonts w:cs="Times New Roman"/>
                <w:sz w:val="21"/>
                <w:szCs w:val="21"/>
              </w:rPr>
            </w:pPr>
            <w:r>
              <w:rPr>
                <w:rFonts w:cs="Times New Roman"/>
                <w:sz w:val="21"/>
                <w:szCs w:val="21"/>
              </w:rPr>
              <w:t>符合</w:t>
            </w:r>
          </w:p>
        </w:tc>
      </w:tr>
    </w:tbl>
    <w:p>
      <w:pPr>
        <w:ind w:firstLine="0" w:firstLineChars="0"/>
        <w:rPr>
          <w:rFonts w:cs="Times New Roman"/>
        </w:rPr>
      </w:pPr>
    </w:p>
    <w:p>
      <w:pPr>
        <w:ind w:firstLine="480"/>
        <w:rPr>
          <w:rFonts w:cs="Times New Roman"/>
        </w:rPr>
        <w:sectPr>
          <w:pgSz w:w="16838" w:h="11906" w:orient="landscape"/>
          <w:pgMar w:top="1800" w:right="1440" w:bottom="1800" w:left="1440" w:header="851" w:footer="992" w:gutter="0"/>
          <w:cols w:space="425" w:num="1"/>
          <w:docGrid w:type="lines" w:linePitch="326" w:charSpace="0"/>
        </w:sectPr>
      </w:pPr>
    </w:p>
    <w:p>
      <w:pPr>
        <w:ind w:firstLine="480"/>
        <w:rPr>
          <w:rFonts w:cs="Times New Roman"/>
        </w:rPr>
      </w:pPr>
      <w:r>
        <w:rPr>
          <w:rFonts w:cs="Times New Roman"/>
        </w:rPr>
        <w:t>本次评价核算项目大气污染物排放量SO</w:t>
      </w:r>
      <w:r>
        <w:rPr>
          <w:rFonts w:cs="Times New Roman"/>
          <w:vertAlign w:val="subscript"/>
        </w:rPr>
        <w:t>2</w:t>
      </w:r>
      <w:r>
        <w:rPr>
          <w:rFonts w:cs="Times New Roman"/>
        </w:rPr>
        <w:t>为155.16吨/年、NOx为814.38吨/年，来源由湖南省调剂。项目符合环境保护部办公厅文件“关于落实大气污染防治行动计划严格环境影响评价准入的通知”环办[2014]30号相关要求。目前本项目所在地区暂时未接通天然气管线，尚不具备天然气供应及使用条件</w:t>
      </w:r>
      <w:r>
        <w:rPr>
          <w:rFonts w:hint="eastAsia" w:cs="Times New Roman"/>
        </w:rPr>
        <w:t>，故项目自建液化天然气站，使用液化天然气作为能源</w:t>
      </w:r>
      <w:r>
        <w:rPr>
          <w:rFonts w:cs="Times New Roman"/>
        </w:rPr>
        <w:t>。本项目建设符合《衡阳市污染防治攻坚战三年行动计划（2018-2020年》相关要求。</w:t>
      </w:r>
    </w:p>
    <w:p>
      <w:pPr>
        <w:ind w:firstLine="480"/>
        <w:rPr>
          <w:rFonts w:cs="Times New Roman"/>
        </w:rPr>
      </w:pPr>
      <w:r>
        <w:rPr>
          <w:rFonts w:cs="Times New Roman"/>
        </w:rPr>
        <w:t>2、与《关于加强重点行业建设项目区域削减措施监督管理的通知》符合性分析</w:t>
      </w:r>
    </w:p>
    <w:p>
      <w:pPr>
        <w:ind w:firstLine="480"/>
        <w:rPr>
          <w:rFonts w:cs="Times New Roman"/>
        </w:rPr>
      </w:pPr>
      <w:r>
        <w:rPr>
          <w:rFonts w:cs="Times New Roman"/>
        </w:rPr>
        <w:t>根据《关于加强重点行业建设项目区域削减措施监督管理的通知》环办环评〔2020〕36号：建设项目应满足区域、流域控制单元环境质量改善目标管理要求。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p>
      <w:pPr>
        <w:ind w:firstLine="480"/>
        <w:rPr>
          <w:rFonts w:cs="Times New Roman"/>
        </w:rPr>
      </w:pPr>
      <w:r>
        <w:rPr>
          <w:rFonts w:cs="Times New Roman"/>
          <w:u w:val="single"/>
        </w:rPr>
        <w:t>本项目所在区域为</w:t>
      </w:r>
      <w:r>
        <w:rPr>
          <w:rFonts w:hint="eastAsia" w:cs="Times New Roman"/>
          <w:u w:val="single"/>
        </w:rPr>
        <w:t>不</w:t>
      </w:r>
      <w:r>
        <w:rPr>
          <w:rFonts w:cs="Times New Roman"/>
          <w:u w:val="single"/>
        </w:rPr>
        <w:t>达标区，原则上建设项目主要污染物实行区域</w:t>
      </w:r>
      <w:r>
        <w:rPr>
          <w:rFonts w:hint="eastAsia" w:cs="Times New Roman"/>
          <w:u w:val="single"/>
        </w:rPr>
        <w:t>倍</w:t>
      </w:r>
      <w:r>
        <w:rPr>
          <w:rFonts w:cs="Times New Roman"/>
          <w:u w:val="single"/>
        </w:rPr>
        <w:t>量削减，本项目已购买SO</w:t>
      </w:r>
      <w:r>
        <w:rPr>
          <w:rFonts w:cs="Times New Roman"/>
          <w:u w:val="single"/>
          <w:vertAlign w:val="subscript"/>
        </w:rPr>
        <w:t>2</w:t>
      </w:r>
      <w:r>
        <w:rPr>
          <w:rFonts w:cs="Times New Roman"/>
          <w:u w:val="single"/>
        </w:rPr>
        <w:t>和NO</w:t>
      </w:r>
      <w:r>
        <w:rPr>
          <w:rFonts w:cs="Times New Roman"/>
          <w:u w:val="single"/>
          <w:vertAlign w:val="subscript"/>
        </w:rPr>
        <w:t>x</w:t>
      </w:r>
      <w:r>
        <w:rPr>
          <w:rFonts w:cs="Times New Roman"/>
          <w:u w:val="single"/>
        </w:rPr>
        <w:t>总量，来源分别为“十二五”衡阳县富余总量以及从湖南衡利丰瓷业有限公司租赁</w:t>
      </w:r>
      <w:r>
        <w:rPr>
          <w:rFonts w:hint="eastAsia" w:cs="Times New Roman"/>
          <w:u w:val="single"/>
        </w:rPr>
        <w:t>。根据衡阳市生态环境局提供资料，项目SO</w:t>
      </w:r>
      <w:r>
        <w:rPr>
          <w:rFonts w:cs="Times New Roman"/>
          <w:u w:val="single"/>
          <w:vertAlign w:val="subscript"/>
        </w:rPr>
        <w:t>2</w:t>
      </w:r>
      <w:r>
        <w:rPr>
          <w:rFonts w:hint="eastAsia" w:cs="Times New Roman"/>
          <w:u w:val="single"/>
        </w:rPr>
        <w:t>和NO</w:t>
      </w:r>
      <w:r>
        <w:rPr>
          <w:rFonts w:hint="eastAsia" w:cs="Times New Roman"/>
          <w:u w:val="single"/>
          <w:vertAlign w:val="subscript"/>
        </w:rPr>
        <w:t>x</w:t>
      </w:r>
      <w:r>
        <w:rPr>
          <w:rFonts w:hint="eastAsia" w:cs="Times New Roman"/>
          <w:u w:val="single"/>
        </w:rPr>
        <w:t>削减源可从衡阳县淘汰的板市乡子园砖厂、西渡镇宏伟砖厂、西渡镇咸育砖厂、演陂镇正源砖厂、渣江镇油库砖厂、渣江镇河西砖厂、大安乡上升砖厂等7家砖厂及衡阳县1</w:t>
      </w:r>
      <w:r>
        <w:rPr>
          <w:rFonts w:cs="Times New Roman"/>
          <w:u w:val="single"/>
        </w:rPr>
        <w:t>4</w:t>
      </w:r>
      <w:r>
        <w:rPr>
          <w:rFonts w:hint="eastAsia" w:cs="Times New Roman"/>
          <w:u w:val="single"/>
        </w:rPr>
        <w:t>家砖厂通过采取措施后削减SO</w:t>
      </w:r>
      <w:r>
        <w:rPr>
          <w:rFonts w:cs="Times New Roman"/>
          <w:u w:val="single"/>
          <w:vertAlign w:val="subscript"/>
        </w:rPr>
        <w:t>2</w:t>
      </w:r>
      <w:r>
        <w:rPr>
          <w:rFonts w:hint="eastAsia" w:cs="Times New Roman"/>
          <w:u w:val="single"/>
        </w:rPr>
        <w:t>及NO</w:t>
      </w:r>
      <w:r>
        <w:rPr>
          <w:rFonts w:hint="eastAsia" w:cs="Times New Roman"/>
          <w:u w:val="single"/>
          <w:vertAlign w:val="subscript"/>
        </w:rPr>
        <w:t>x</w:t>
      </w:r>
      <w:r>
        <w:rPr>
          <w:rFonts w:hint="eastAsia" w:cs="Times New Roman"/>
          <w:u w:val="single"/>
        </w:rPr>
        <w:t>获得，并异地削减NO</w:t>
      </w:r>
      <w:r>
        <w:rPr>
          <w:rFonts w:hint="eastAsia" w:cs="Times New Roman"/>
          <w:u w:val="single"/>
          <w:vertAlign w:val="subscript"/>
        </w:rPr>
        <w:t>x</w:t>
      </w:r>
      <w:r>
        <w:rPr>
          <w:rFonts w:cs="Times New Roman"/>
          <w:u w:val="single"/>
        </w:rPr>
        <w:t>756.13</w:t>
      </w:r>
      <w:r>
        <w:rPr>
          <w:rFonts w:hint="eastAsia" w:cs="Times New Roman"/>
          <w:u w:val="single"/>
        </w:rPr>
        <w:t>t</w:t>
      </w:r>
      <w:r>
        <w:rPr>
          <w:rFonts w:cs="Times New Roman"/>
          <w:u w:val="single"/>
        </w:rPr>
        <w:t>/a</w:t>
      </w:r>
      <w:r>
        <w:rPr>
          <w:rFonts w:hint="eastAsia" w:cs="Times New Roman"/>
          <w:u w:val="single"/>
        </w:rPr>
        <w:t>（湖南柳化桂成化工有限公司），可满足本项目倍量削减需求：SO</w:t>
      </w:r>
      <w:r>
        <w:rPr>
          <w:rFonts w:cs="Times New Roman"/>
          <w:u w:val="single"/>
          <w:vertAlign w:val="subscript"/>
        </w:rPr>
        <w:t>2</w:t>
      </w:r>
      <w:r>
        <w:rPr>
          <w:rFonts w:hint="eastAsia" w:cs="Times New Roman"/>
          <w:u w:val="single"/>
        </w:rPr>
        <w:t>：</w:t>
      </w:r>
      <w:r>
        <w:rPr>
          <w:rFonts w:cs="Times New Roman"/>
          <w:u w:val="single"/>
        </w:rPr>
        <w:t>310.32</w:t>
      </w:r>
      <w:r>
        <w:rPr>
          <w:rFonts w:hint="eastAsia" w:cs="Times New Roman"/>
          <w:u w:val="single"/>
        </w:rPr>
        <w:t>t</w:t>
      </w:r>
      <w:r>
        <w:rPr>
          <w:rFonts w:cs="Times New Roman"/>
          <w:u w:val="single"/>
        </w:rPr>
        <w:t>/a</w:t>
      </w:r>
      <w:r>
        <w:rPr>
          <w:rFonts w:hint="eastAsia" w:cs="Times New Roman"/>
          <w:u w:val="single"/>
        </w:rPr>
        <w:t>（项目2倍排放量）、NO</w:t>
      </w:r>
      <w:r>
        <w:rPr>
          <w:rFonts w:hint="eastAsia" w:cs="Times New Roman"/>
          <w:u w:val="single"/>
          <w:vertAlign w:val="subscript"/>
        </w:rPr>
        <w:t>x</w:t>
      </w:r>
      <w:r>
        <w:rPr>
          <w:rFonts w:hint="eastAsia" w:cs="Times New Roman"/>
          <w:u w:val="single"/>
        </w:rPr>
        <w:t>：</w:t>
      </w:r>
      <w:r>
        <w:rPr>
          <w:rFonts w:cs="Times New Roman"/>
          <w:u w:val="single"/>
        </w:rPr>
        <w:t>814.38</w:t>
      </w:r>
      <w:r>
        <w:rPr>
          <w:rFonts w:hint="eastAsia" w:cs="Times New Roman"/>
          <w:u w:val="single"/>
        </w:rPr>
        <w:t>t</w:t>
      </w:r>
      <w:r>
        <w:rPr>
          <w:rFonts w:cs="Times New Roman"/>
          <w:u w:val="single"/>
        </w:rPr>
        <w:t>/a</w:t>
      </w:r>
      <w:r>
        <w:rPr>
          <w:rFonts w:hint="eastAsia" w:cs="Times New Roman"/>
          <w:u w:val="single"/>
        </w:rPr>
        <w:t>（项目2倍排放量）。因此，项目满足倍量削减的要求。</w:t>
      </w:r>
    </w:p>
    <w:p>
      <w:pPr>
        <w:ind w:firstLine="480"/>
        <w:rPr>
          <w:rFonts w:cs="Times New Roman"/>
        </w:rPr>
      </w:pPr>
      <w:r>
        <w:rPr>
          <w:rFonts w:cs="Times New Roman"/>
        </w:rPr>
        <w:t>3、</w:t>
      </w:r>
      <w:bookmarkStart w:id="7" w:name="_Hlk75678630"/>
      <w:r>
        <w:rPr>
          <w:rFonts w:cs="Times New Roman"/>
        </w:rPr>
        <w:t>与《关于加强高耗能、高排放建设项目生态环境源头防控的指导意见》符</w:t>
      </w:r>
      <w:bookmarkStart w:id="8" w:name="_Hlk75678651"/>
      <w:r>
        <w:rPr>
          <w:rFonts w:cs="Times New Roman"/>
        </w:rPr>
        <w:t>合性分析</w:t>
      </w:r>
      <w:bookmarkEnd w:id="7"/>
    </w:p>
    <w:p>
      <w:pPr>
        <w:ind w:firstLine="480"/>
        <w:rPr>
          <w:rFonts w:cs="Times New Roman"/>
        </w:rPr>
      </w:pPr>
      <w:r>
        <w:rPr>
          <w:rFonts w:cs="Times New Roman"/>
        </w:rPr>
        <w:t>根据《关于加强高耗能、高排放建设项目生态环境源头防控的指导意见》环环评〔2021〕45号：新建、改建、扩建“两高”项目须符合生态环境保护法律法规和相关法定规划，满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区。各级生态环境部门和行政审批部门要严格把关，对于不符合相关法律法规的，依法不予审批。</w:t>
      </w:r>
      <w:bookmarkEnd w:id="8"/>
    </w:p>
    <w:p>
      <w:pPr>
        <w:ind w:firstLine="480"/>
        <w:rPr>
          <w:rFonts w:cs="Times New Roman"/>
        </w:rPr>
      </w:pPr>
      <w:r>
        <w:rPr>
          <w:rFonts w:cs="Times New Roman"/>
        </w:rPr>
        <w:t>经分析，本项目符合区域规划环评及相关环保规划，满足重点污染物排放总量控制，SO</w:t>
      </w:r>
      <w:r>
        <w:rPr>
          <w:rFonts w:cs="Times New Roman"/>
          <w:vertAlign w:val="subscript"/>
        </w:rPr>
        <w:t>2</w:t>
      </w:r>
      <w:r>
        <w:rPr>
          <w:rFonts w:cs="Times New Roman"/>
        </w:rPr>
        <w:t>、NO</w:t>
      </w:r>
      <w:r>
        <w:rPr>
          <w:rFonts w:cs="Times New Roman"/>
          <w:vertAlign w:val="subscript"/>
        </w:rPr>
        <w:t>x</w:t>
      </w:r>
      <w:r>
        <w:rPr>
          <w:rFonts w:cs="Times New Roman"/>
        </w:rPr>
        <w:t>等已通过租赁、购买等方式获取总量。</w:t>
      </w:r>
      <w:r>
        <w:rPr>
          <w:rFonts w:hint="eastAsia" w:cs="Times New Roman"/>
          <w:u w:val="single"/>
        </w:rPr>
        <w:t>根据衡阳市生态环境局提供资料，项目SO</w:t>
      </w:r>
      <w:r>
        <w:rPr>
          <w:rFonts w:cs="Times New Roman"/>
          <w:u w:val="single"/>
          <w:vertAlign w:val="subscript"/>
        </w:rPr>
        <w:t>2</w:t>
      </w:r>
      <w:r>
        <w:rPr>
          <w:rFonts w:hint="eastAsia" w:cs="Times New Roman"/>
          <w:u w:val="single"/>
        </w:rPr>
        <w:t>和NO</w:t>
      </w:r>
      <w:r>
        <w:rPr>
          <w:rFonts w:hint="eastAsia" w:cs="Times New Roman"/>
          <w:u w:val="single"/>
          <w:vertAlign w:val="subscript"/>
        </w:rPr>
        <w:t>x</w:t>
      </w:r>
      <w:r>
        <w:rPr>
          <w:rFonts w:hint="eastAsia" w:cs="Times New Roman"/>
          <w:u w:val="single"/>
        </w:rPr>
        <w:t>削减源可从衡阳县淘汰的板市乡子园砖厂、西渡镇宏伟砖厂、西渡镇咸育砖厂、演陂镇正源砖厂、渣江镇油库砖厂、渣江镇河西砖厂、大安乡上升砖厂等7家砖厂及衡阳县1</w:t>
      </w:r>
      <w:r>
        <w:rPr>
          <w:rFonts w:cs="Times New Roman"/>
          <w:u w:val="single"/>
        </w:rPr>
        <w:t>4</w:t>
      </w:r>
      <w:r>
        <w:rPr>
          <w:rFonts w:hint="eastAsia" w:cs="Times New Roman"/>
          <w:u w:val="single"/>
        </w:rPr>
        <w:t>家砖厂通过采取措施后削减SO</w:t>
      </w:r>
      <w:r>
        <w:rPr>
          <w:rFonts w:cs="Times New Roman"/>
          <w:u w:val="single"/>
          <w:vertAlign w:val="subscript"/>
        </w:rPr>
        <w:t>2</w:t>
      </w:r>
      <w:r>
        <w:rPr>
          <w:rFonts w:hint="eastAsia" w:cs="Times New Roman"/>
          <w:u w:val="single"/>
        </w:rPr>
        <w:t>及NO</w:t>
      </w:r>
      <w:r>
        <w:rPr>
          <w:rFonts w:hint="eastAsia" w:cs="Times New Roman"/>
          <w:u w:val="single"/>
          <w:vertAlign w:val="subscript"/>
        </w:rPr>
        <w:t>x</w:t>
      </w:r>
      <w:r>
        <w:rPr>
          <w:rFonts w:hint="eastAsia" w:cs="Times New Roman"/>
          <w:u w:val="single"/>
        </w:rPr>
        <w:t>获得，并异地削减NO</w:t>
      </w:r>
      <w:r>
        <w:rPr>
          <w:rFonts w:hint="eastAsia" w:cs="Times New Roman"/>
          <w:u w:val="single"/>
          <w:vertAlign w:val="subscript"/>
        </w:rPr>
        <w:t>x</w:t>
      </w:r>
      <w:r>
        <w:rPr>
          <w:rFonts w:cs="Times New Roman"/>
          <w:u w:val="single"/>
        </w:rPr>
        <w:t>756.13</w:t>
      </w:r>
      <w:r>
        <w:rPr>
          <w:rFonts w:hint="eastAsia" w:cs="Times New Roman"/>
          <w:u w:val="single"/>
        </w:rPr>
        <w:t>t</w:t>
      </w:r>
      <w:r>
        <w:rPr>
          <w:rFonts w:cs="Times New Roman"/>
          <w:u w:val="single"/>
        </w:rPr>
        <w:t>/a</w:t>
      </w:r>
      <w:r>
        <w:rPr>
          <w:rFonts w:hint="eastAsia" w:cs="Times New Roman"/>
          <w:u w:val="single"/>
        </w:rPr>
        <w:t>（湖南柳化桂成化工有限公司），可满足本项目倍量削减需求：SO</w:t>
      </w:r>
      <w:r>
        <w:rPr>
          <w:rFonts w:cs="Times New Roman"/>
          <w:u w:val="single"/>
          <w:vertAlign w:val="subscript"/>
        </w:rPr>
        <w:t>2</w:t>
      </w:r>
      <w:r>
        <w:rPr>
          <w:rFonts w:hint="eastAsia" w:cs="Times New Roman"/>
          <w:u w:val="single"/>
        </w:rPr>
        <w:t>：</w:t>
      </w:r>
      <w:r>
        <w:rPr>
          <w:rFonts w:cs="Times New Roman"/>
          <w:u w:val="single"/>
        </w:rPr>
        <w:t>310.32</w:t>
      </w:r>
      <w:r>
        <w:rPr>
          <w:rFonts w:hint="eastAsia" w:cs="Times New Roman"/>
          <w:u w:val="single"/>
        </w:rPr>
        <w:t>t</w:t>
      </w:r>
      <w:r>
        <w:rPr>
          <w:rFonts w:cs="Times New Roman"/>
          <w:u w:val="single"/>
        </w:rPr>
        <w:t>/a</w:t>
      </w:r>
      <w:r>
        <w:rPr>
          <w:rFonts w:hint="eastAsia" w:cs="Times New Roman"/>
          <w:u w:val="single"/>
        </w:rPr>
        <w:t>（项目2倍排放量）、NO</w:t>
      </w:r>
      <w:r>
        <w:rPr>
          <w:rFonts w:hint="eastAsia" w:cs="Times New Roman"/>
          <w:u w:val="single"/>
          <w:vertAlign w:val="subscript"/>
        </w:rPr>
        <w:t>x</w:t>
      </w:r>
      <w:r>
        <w:rPr>
          <w:rFonts w:hint="eastAsia" w:cs="Times New Roman"/>
          <w:u w:val="single"/>
        </w:rPr>
        <w:t>：</w:t>
      </w:r>
      <w:r>
        <w:rPr>
          <w:rFonts w:cs="Times New Roman"/>
          <w:u w:val="single"/>
        </w:rPr>
        <w:t>814.38</w:t>
      </w:r>
      <w:r>
        <w:rPr>
          <w:rFonts w:hint="eastAsia" w:cs="Times New Roman"/>
          <w:u w:val="single"/>
        </w:rPr>
        <w:t>t</w:t>
      </w:r>
      <w:r>
        <w:rPr>
          <w:rFonts w:cs="Times New Roman"/>
          <w:u w:val="single"/>
        </w:rPr>
        <w:t>/a</w:t>
      </w:r>
      <w:r>
        <w:rPr>
          <w:rFonts w:hint="eastAsia" w:cs="Times New Roman"/>
          <w:u w:val="single"/>
        </w:rPr>
        <w:t>（项目2倍排放量）。因此，项目满足倍量削减的要求。</w:t>
      </w:r>
    </w:p>
    <w:p>
      <w:pPr>
        <w:pStyle w:val="4"/>
        <w:adjustRightInd w:val="0"/>
        <w:snapToGrid w:val="0"/>
        <w:jc w:val="left"/>
        <w:rPr>
          <w:rFonts w:cs="Times New Roman"/>
          <w:szCs w:val="24"/>
        </w:rPr>
      </w:pPr>
      <w:bookmarkStart w:id="9" w:name="_Toc86611219"/>
      <w:r>
        <w:rPr>
          <w:rFonts w:cs="Times New Roman"/>
          <w:szCs w:val="24"/>
        </w:rPr>
        <w:t>1.4.3 选址合理性分析</w:t>
      </w:r>
      <w:bookmarkEnd w:id="9"/>
    </w:p>
    <w:p>
      <w:pPr>
        <w:ind w:firstLine="482"/>
        <w:rPr>
          <w:rFonts w:cs="Times New Roman"/>
          <w:b/>
          <w:bCs/>
          <w:kern w:val="0"/>
        </w:rPr>
      </w:pPr>
      <w:r>
        <w:rPr>
          <w:rFonts w:cs="Times New Roman"/>
          <w:b/>
          <w:bCs/>
          <w:kern w:val="0"/>
        </w:rPr>
        <w:t>1、与湖南省主体功能区规划的符合性分析</w:t>
      </w:r>
    </w:p>
    <w:p>
      <w:pPr>
        <w:autoSpaceDE w:val="0"/>
        <w:autoSpaceDN w:val="0"/>
        <w:adjustRightInd w:val="0"/>
        <w:ind w:firstLine="480"/>
        <w:rPr>
          <w:rFonts w:cs="Times New Roman"/>
          <w:bCs/>
          <w:kern w:val="0"/>
        </w:rPr>
      </w:pPr>
      <w:r>
        <w:rPr>
          <w:rFonts w:cs="Times New Roman"/>
          <w:bCs/>
          <w:kern w:val="0"/>
        </w:rPr>
        <w:t>本工程与《湖南省主体功能区规划》的符合性见表1.4-2。</w:t>
      </w:r>
    </w:p>
    <w:p>
      <w:pPr>
        <w:pStyle w:val="19"/>
        <w:spacing w:before="156" w:beforeLines="50" w:line="240" w:lineRule="auto"/>
        <w:ind w:firstLine="480"/>
        <w:jc w:val="center"/>
        <w:rPr>
          <w:rFonts w:cs="Times New Roman"/>
          <w:szCs w:val="24"/>
        </w:rPr>
      </w:pPr>
      <w:r>
        <w:rPr>
          <w:rFonts w:cs="Times New Roman"/>
          <w:szCs w:val="24"/>
        </w:rPr>
        <w:t>表1.4-2  项目与《湖南省主体功能区规划》的符合性分析</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1"/>
        <w:gridCol w:w="2794"/>
        <w:gridCol w:w="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999" w:type="pct"/>
            <w:vAlign w:val="center"/>
          </w:tcPr>
          <w:p>
            <w:pPr>
              <w:spacing w:line="240" w:lineRule="auto"/>
              <w:ind w:firstLine="0" w:firstLineChars="0"/>
              <w:rPr>
                <w:rFonts w:cs="Times New Roman"/>
                <w:b/>
                <w:sz w:val="21"/>
                <w:szCs w:val="21"/>
              </w:rPr>
            </w:pPr>
            <w:r>
              <w:rPr>
                <w:rFonts w:cs="Times New Roman"/>
                <w:b/>
                <w:sz w:val="21"/>
                <w:szCs w:val="21"/>
              </w:rPr>
              <w:t>规划内容</w:t>
            </w:r>
          </w:p>
        </w:tc>
        <w:tc>
          <w:tcPr>
            <w:tcW w:w="1639" w:type="pct"/>
            <w:vAlign w:val="center"/>
          </w:tcPr>
          <w:p>
            <w:pPr>
              <w:spacing w:line="240" w:lineRule="auto"/>
              <w:ind w:firstLine="0" w:firstLineChars="0"/>
              <w:rPr>
                <w:rFonts w:cs="Times New Roman"/>
                <w:b/>
                <w:sz w:val="21"/>
                <w:szCs w:val="21"/>
              </w:rPr>
            </w:pPr>
            <w:r>
              <w:rPr>
                <w:rFonts w:cs="Times New Roman"/>
                <w:b/>
                <w:sz w:val="21"/>
                <w:szCs w:val="21"/>
              </w:rPr>
              <w:t>本项目情况</w:t>
            </w:r>
          </w:p>
        </w:tc>
        <w:tc>
          <w:tcPr>
            <w:tcW w:w="362" w:type="pct"/>
            <w:vAlign w:val="center"/>
          </w:tcPr>
          <w:p>
            <w:pPr>
              <w:spacing w:line="240" w:lineRule="auto"/>
              <w:ind w:firstLine="0" w:firstLineChars="0"/>
              <w:rPr>
                <w:rFonts w:cs="Times New Roman"/>
                <w:b/>
                <w:sz w:val="21"/>
                <w:szCs w:val="21"/>
              </w:rPr>
            </w:pPr>
            <w:r>
              <w:rPr>
                <w:rFonts w:cs="Times New Roman"/>
                <w:b/>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9" w:type="pct"/>
            <w:vAlign w:val="center"/>
          </w:tcPr>
          <w:p>
            <w:pPr>
              <w:spacing w:line="240" w:lineRule="auto"/>
              <w:ind w:firstLine="0" w:firstLineChars="0"/>
              <w:rPr>
                <w:rFonts w:cs="Times New Roman"/>
                <w:sz w:val="21"/>
                <w:szCs w:val="21"/>
              </w:rPr>
            </w:pPr>
            <w:r>
              <w:rPr>
                <w:rFonts w:cs="Times New Roman"/>
                <w:sz w:val="21"/>
                <w:szCs w:val="21"/>
              </w:rPr>
              <w:t>《湖南省主体功能区规划》的农产品主产区即限制进行大规模高强度工业化城镇化开发的农业区域。主要是“一圈一区两带”4个片区，即长株潭都市农业圈，包括长沙、株洲、湘潭城市外围地区；环洞庭湖平湖农业区，包括岳阳、常德、益阳部分地区；湘中南丘岗农业带，包括娄底、邵阳、衡阳、永州部分地区；武陵雪峰南岭罗霄山脉山地农业带，包括武陵山、雪峰山、南岭、罗霄山等地区的农产品主产区，共计35个县市区，面积约7.14万平方公里，占全省国土面积的33.7%，全部为国家级农产品主产区。</w:t>
            </w:r>
          </w:p>
        </w:tc>
        <w:tc>
          <w:tcPr>
            <w:tcW w:w="1639" w:type="pct"/>
            <w:vAlign w:val="center"/>
          </w:tcPr>
          <w:p>
            <w:pPr>
              <w:spacing w:line="240" w:lineRule="auto"/>
              <w:ind w:firstLine="0" w:firstLineChars="0"/>
              <w:rPr>
                <w:rFonts w:cs="Times New Roman"/>
                <w:sz w:val="21"/>
                <w:szCs w:val="21"/>
              </w:rPr>
            </w:pPr>
            <w:r>
              <w:rPr>
                <w:rFonts w:cs="Times New Roman"/>
                <w:sz w:val="21"/>
                <w:szCs w:val="21"/>
              </w:rPr>
              <w:t>1、在《湖南省主体功能区划》中附表6农产品主产品一览表中，衡阳衡阳县属于国家级农产品主产区；2、根据《湖南省主体功能区划》，将国家级农产品主产区的重点建制镇划为本区域的重点开发区域，由附表5可知，界牌镇为衡阳县重点建制镇，属于衡阳县重点开发区域。</w:t>
            </w:r>
          </w:p>
        </w:tc>
        <w:tc>
          <w:tcPr>
            <w:tcW w:w="362" w:type="pct"/>
            <w:vAlign w:val="center"/>
          </w:tcPr>
          <w:p>
            <w:pPr>
              <w:spacing w:line="240" w:lineRule="auto"/>
              <w:ind w:firstLine="0" w:firstLineChars="0"/>
              <w:rPr>
                <w:rFonts w:cs="Times New Roman"/>
                <w:sz w:val="21"/>
                <w:szCs w:val="21"/>
              </w:rPr>
            </w:pPr>
            <w:r>
              <w:rPr>
                <w:rFonts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9" w:type="pct"/>
            <w:vAlign w:val="center"/>
          </w:tcPr>
          <w:p>
            <w:pPr>
              <w:spacing w:line="240" w:lineRule="auto"/>
              <w:ind w:firstLine="0" w:firstLineChars="0"/>
              <w:rPr>
                <w:rFonts w:cs="Times New Roman"/>
                <w:sz w:val="21"/>
                <w:szCs w:val="21"/>
              </w:rPr>
            </w:pPr>
            <w:r>
              <w:rPr>
                <w:rFonts w:cs="Times New Roman"/>
                <w:sz w:val="21"/>
                <w:szCs w:val="21"/>
              </w:rPr>
              <w:t>农产品主产区发展方向：加强耕地保护，加快中低产田改造和农田防护林建设，推进连片标准良田建设，稳定粮食作物播种面积。严格控制区内农用地转为建设用地，禁止违法占用耕地，严禁擅自毁坏、污染耕地。</w:t>
            </w:r>
          </w:p>
        </w:tc>
        <w:tc>
          <w:tcPr>
            <w:tcW w:w="1639" w:type="pct"/>
            <w:vAlign w:val="center"/>
          </w:tcPr>
          <w:p>
            <w:pPr>
              <w:spacing w:line="240" w:lineRule="auto"/>
              <w:ind w:firstLine="0" w:firstLineChars="0"/>
              <w:rPr>
                <w:rFonts w:cs="Times New Roman"/>
                <w:sz w:val="21"/>
                <w:szCs w:val="21"/>
              </w:rPr>
            </w:pPr>
            <w:r>
              <w:rPr>
                <w:rFonts w:cs="Times New Roman"/>
                <w:sz w:val="21"/>
                <w:szCs w:val="21"/>
              </w:rPr>
              <w:t>项目选址位于</w:t>
            </w:r>
            <w:r>
              <w:rPr>
                <w:rFonts w:cs="Times New Roman"/>
                <w:bCs/>
                <w:sz w:val="21"/>
                <w:szCs w:val="21"/>
              </w:rPr>
              <w:t>衡阳界牌陶瓷循环经济特色工业园区建筑陶瓷生产组团</w:t>
            </w:r>
            <w:r>
              <w:rPr>
                <w:rFonts w:cs="Times New Roman"/>
                <w:sz w:val="21"/>
                <w:szCs w:val="21"/>
              </w:rPr>
              <w:t>工业建设用地内，未占用基本农田</w:t>
            </w:r>
          </w:p>
        </w:tc>
        <w:tc>
          <w:tcPr>
            <w:tcW w:w="362" w:type="pct"/>
            <w:vAlign w:val="center"/>
          </w:tcPr>
          <w:p>
            <w:pPr>
              <w:spacing w:line="240" w:lineRule="auto"/>
              <w:ind w:firstLine="0" w:firstLineChars="0"/>
              <w:rPr>
                <w:rFonts w:cs="Times New Roman"/>
                <w:sz w:val="21"/>
                <w:szCs w:val="21"/>
              </w:rPr>
            </w:pPr>
            <w:r>
              <w:rPr>
                <w:rFonts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9" w:type="pct"/>
            <w:vAlign w:val="center"/>
          </w:tcPr>
          <w:p>
            <w:pPr>
              <w:spacing w:line="240" w:lineRule="auto"/>
              <w:ind w:firstLine="0" w:firstLineChars="0"/>
              <w:rPr>
                <w:rFonts w:cs="Times New Roman"/>
                <w:sz w:val="21"/>
                <w:szCs w:val="21"/>
              </w:rPr>
            </w:pPr>
            <w:r>
              <w:rPr>
                <w:rFonts w:cs="Times New Roman"/>
                <w:sz w:val="21"/>
                <w:szCs w:val="21"/>
              </w:rPr>
              <w:t>衡阳：重点发展输变电装备、汽车零部件、矿产开发及深加工、盐化工及精细化工、物流、旅游等优势产业以及生物医药、新能源、新材料、电子信息、节能环保等新兴产业，大力发展加工贸易产业，建成全省重要的综合制造业基地、重化工基地、能源基地、物流基地、旅游休闲基地和承接产业转移基地。推进“西南云大”都市经济圈建设，打造湘中南地区重要中心城市。构建以湘江、耒水、蒸水、洣水和衡山山脉为主体的城市生态体系</w:t>
            </w:r>
          </w:p>
        </w:tc>
        <w:tc>
          <w:tcPr>
            <w:tcW w:w="1639" w:type="pct"/>
            <w:vAlign w:val="center"/>
          </w:tcPr>
          <w:p>
            <w:pPr>
              <w:spacing w:line="240" w:lineRule="auto"/>
              <w:ind w:firstLine="0" w:firstLineChars="0"/>
              <w:rPr>
                <w:rFonts w:cs="Times New Roman"/>
                <w:sz w:val="21"/>
                <w:szCs w:val="21"/>
              </w:rPr>
            </w:pPr>
            <w:r>
              <w:rPr>
                <w:rFonts w:cs="Times New Roman"/>
                <w:sz w:val="21"/>
                <w:szCs w:val="21"/>
              </w:rPr>
              <w:t>本项目位于</w:t>
            </w:r>
            <w:r>
              <w:rPr>
                <w:rFonts w:cs="Times New Roman"/>
                <w:bCs/>
                <w:sz w:val="21"/>
                <w:szCs w:val="21"/>
              </w:rPr>
              <w:t>衡阳界牌陶瓷循环经济特色工业园区</w:t>
            </w:r>
            <w:r>
              <w:rPr>
                <w:rFonts w:cs="Times New Roman"/>
                <w:sz w:val="21"/>
                <w:szCs w:val="21"/>
              </w:rPr>
              <w:t>内，属于陶瓷生产项目，属于矿产开发及深加工项目，属于衡阳市规划重点发展行业</w:t>
            </w:r>
          </w:p>
        </w:tc>
        <w:tc>
          <w:tcPr>
            <w:tcW w:w="362" w:type="pct"/>
            <w:vAlign w:val="center"/>
          </w:tcPr>
          <w:p>
            <w:pPr>
              <w:spacing w:line="240" w:lineRule="auto"/>
              <w:ind w:firstLine="0" w:firstLineChars="0"/>
              <w:rPr>
                <w:rFonts w:cs="Times New Roman"/>
                <w:sz w:val="21"/>
                <w:szCs w:val="21"/>
              </w:rPr>
            </w:pPr>
            <w:r>
              <w:rPr>
                <w:rFonts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9" w:type="pct"/>
            <w:vAlign w:val="center"/>
          </w:tcPr>
          <w:p>
            <w:pPr>
              <w:spacing w:line="240" w:lineRule="auto"/>
              <w:ind w:firstLine="0" w:firstLineChars="0"/>
              <w:rPr>
                <w:rFonts w:cs="Times New Roman"/>
                <w:sz w:val="21"/>
                <w:szCs w:val="21"/>
              </w:rPr>
            </w:pPr>
            <w:r>
              <w:rPr>
                <w:rFonts w:cs="Times New Roman"/>
                <w:sz w:val="21"/>
                <w:szCs w:val="21"/>
              </w:rPr>
              <w:t>禁止开发区域是指依法设立的各级各类自然文化资源保护区域，以及其它禁止进行工业化城镇化开发、需要特殊保护的重点生态功能区，点状分布于重点开发和限制开发区域之中。主要包括：各级各类自然保护区、风景名胜区、森林公园、地质公园、重要湿地、历史文化自然遗产、基本农田、蓄滞洪区、重要水源地等。</w:t>
            </w:r>
          </w:p>
        </w:tc>
        <w:tc>
          <w:tcPr>
            <w:tcW w:w="1639" w:type="pct"/>
            <w:vAlign w:val="center"/>
          </w:tcPr>
          <w:p>
            <w:pPr>
              <w:spacing w:line="240" w:lineRule="auto"/>
              <w:ind w:firstLine="0" w:firstLineChars="0"/>
              <w:rPr>
                <w:rFonts w:cs="Times New Roman"/>
                <w:sz w:val="21"/>
                <w:szCs w:val="21"/>
              </w:rPr>
            </w:pPr>
            <w:r>
              <w:rPr>
                <w:rFonts w:cs="Times New Roman"/>
                <w:sz w:val="21"/>
                <w:szCs w:val="21"/>
              </w:rPr>
              <w:t>本项目厂址不涉及自然保护区、风景名胜区、森林公园、国家级水产种质资源保护区等禁止开发区域</w:t>
            </w:r>
          </w:p>
        </w:tc>
        <w:tc>
          <w:tcPr>
            <w:tcW w:w="362" w:type="pct"/>
            <w:vAlign w:val="center"/>
          </w:tcPr>
          <w:p>
            <w:pPr>
              <w:spacing w:line="240" w:lineRule="auto"/>
              <w:ind w:firstLine="0" w:firstLineChars="0"/>
              <w:rPr>
                <w:rFonts w:cs="Times New Roman"/>
                <w:sz w:val="21"/>
                <w:szCs w:val="21"/>
              </w:rPr>
            </w:pPr>
            <w:r>
              <w:rPr>
                <w:rFonts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9" w:type="pct"/>
            <w:vAlign w:val="center"/>
          </w:tcPr>
          <w:p>
            <w:pPr>
              <w:spacing w:line="240" w:lineRule="auto"/>
              <w:ind w:firstLine="0" w:firstLineChars="0"/>
              <w:rPr>
                <w:rFonts w:cs="Times New Roman"/>
                <w:sz w:val="21"/>
                <w:szCs w:val="21"/>
              </w:rPr>
            </w:pPr>
            <w:r>
              <w:rPr>
                <w:rFonts w:cs="Times New Roman"/>
                <w:sz w:val="21"/>
                <w:szCs w:val="21"/>
              </w:rPr>
              <w:t>全省现有基本农田32353平方公里。必须依据《基本农田保护条例》，严格控制基本农田转变用途，严禁擅自毁坏、闲置和荒芜基本农田。加强基本农田基础设施建设，开展农田整理，防止土地污染和地力衰退。国家能源、交通、水利等重点建设项目选址确实无法避开基本农田的，要节约用地，并依法依规补划数量、质量相当的基本农田。</w:t>
            </w:r>
          </w:p>
        </w:tc>
        <w:tc>
          <w:tcPr>
            <w:tcW w:w="1639" w:type="pct"/>
            <w:vAlign w:val="center"/>
          </w:tcPr>
          <w:p>
            <w:pPr>
              <w:spacing w:line="240" w:lineRule="auto"/>
              <w:ind w:firstLine="0" w:firstLineChars="0"/>
              <w:rPr>
                <w:rFonts w:cs="Times New Roman"/>
                <w:sz w:val="21"/>
                <w:szCs w:val="21"/>
              </w:rPr>
            </w:pPr>
            <w:r>
              <w:rPr>
                <w:rFonts w:cs="Times New Roman"/>
                <w:sz w:val="21"/>
                <w:szCs w:val="21"/>
              </w:rPr>
              <w:t>项目选址位于</w:t>
            </w:r>
            <w:r>
              <w:rPr>
                <w:rFonts w:cs="Times New Roman"/>
                <w:bCs/>
                <w:sz w:val="21"/>
                <w:szCs w:val="21"/>
              </w:rPr>
              <w:t>衡阳界牌陶瓷循环经济特色工业园区</w:t>
            </w:r>
            <w:r>
              <w:rPr>
                <w:rFonts w:cs="Times New Roman"/>
                <w:sz w:val="21"/>
                <w:szCs w:val="21"/>
              </w:rPr>
              <w:t>内</w:t>
            </w:r>
          </w:p>
        </w:tc>
        <w:tc>
          <w:tcPr>
            <w:tcW w:w="362" w:type="pct"/>
            <w:vAlign w:val="center"/>
          </w:tcPr>
          <w:p>
            <w:pPr>
              <w:spacing w:line="240" w:lineRule="auto"/>
              <w:ind w:firstLine="0" w:firstLineChars="0"/>
              <w:rPr>
                <w:rFonts w:cs="Times New Roman"/>
                <w:sz w:val="21"/>
                <w:szCs w:val="21"/>
              </w:rPr>
            </w:pPr>
            <w:r>
              <w:rPr>
                <w:rFonts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9" w:type="pct"/>
            <w:vAlign w:val="center"/>
          </w:tcPr>
          <w:p>
            <w:pPr>
              <w:spacing w:line="240" w:lineRule="auto"/>
              <w:ind w:firstLine="0" w:firstLineChars="0"/>
              <w:rPr>
                <w:rFonts w:cs="Times New Roman"/>
                <w:sz w:val="21"/>
                <w:szCs w:val="21"/>
              </w:rPr>
            </w:pPr>
            <w:r>
              <w:rPr>
                <w:rFonts w:cs="Times New Roman"/>
                <w:sz w:val="21"/>
                <w:szCs w:val="21"/>
              </w:rPr>
              <w:t>限制开发区域土地利用政策。对不同类型的限制开发区域确定不同的土地利用结构、生态用地保护方向。实行土地总量控制和产业限制，严格土地用途管制，严格控制农产品主产区建设用地规模，严禁重点生态功能区改变生态用途的土地供应。严格执行征占用林地审核审批制度，强化林地用途管制。鼓励社会力量进行生态建设，单位或个人利用荒山、荒地进行造林、种草等生态建设的，依法实行土地承包经营，鼓励依法探索土地出让办法。在不低于国家有关标准的基础上，根据本省实际研究制定省域最低价标准和相应的实施政策，体现区域性、产业性政策差异，遏制低价出让，鼓励有序竞争。严禁不符合主体功能定位的项目占用土地，新增建设用地主要用于发展特色产业以及基础设施、公共设施。</w:t>
            </w:r>
          </w:p>
        </w:tc>
        <w:tc>
          <w:tcPr>
            <w:tcW w:w="1639" w:type="pct"/>
            <w:vAlign w:val="center"/>
          </w:tcPr>
          <w:p>
            <w:pPr>
              <w:spacing w:line="240" w:lineRule="auto"/>
              <w:ind w:firstLine="0" w:firstLineChars="0"/>
              <w:rPr>
                <w:rFonts w:cs="Times New Roman"/>
                <w:sz w:val="21"/>
                <w:szCs w:val="21"/>
              </w:rPr>
            </w:pPr>
            <w:r>
              <w:rPr>
                <w:rFonts w:cs="Times New Roman"/>
                <w:sz w:val="21"/>
                <w:szCs w:val="21"/>
              </w:rPr>
              <w:t>本项目选址位于</w:t>
            </w:r>
            <w:r>
              <w:rPr>
                <w:rFonts w:cs="Times New Roman"/>
                <w:bCs/>
                <w:sz w:val="21"/>
                <w:szCs w:val="21"/>
              </w:rPr>
              <w:t>衡阳界牌陶瓷循环经济特色工业园区</w:t>
            </w:r>
            <w:r>
              <w:rPr>
                <w:rFonts w:cs="Times New Roman"/>
                <w:sz w:val="21"/>
                <w:szCs w:val="21"/>
              </w:rPr>
              <w:t>内，符合土地利用总体规划</w:t>
            </w:r>
          </w:p>
        </w:tc>
        <w:tc>
          <w:tcPr>
            <w:tcW w:w="362" w:type="pct"/>
            <w:vAlign w:val="center"/>
          </w:tcPr>
          <w:p>
            <w:pPr>
              <w:spacing w:line="240" w:lineRule="auto"/>
              <w:ind w:firstLine="0" w:firstLineChars="0"/>
              <w:rPr>
                <w:rFonts w:cs="Times New Roman"/>
                <w:sz w:val="21"/>
                <w:szCs w:val="21"/>
              </w:rPr>
            </w:pPr>
            <w:r>
              <w:rPr>
                <w:rFonts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9" w:type="pct"/>
            <w:vAlign w:val="center"/>
          </w:tcPr>
          <w:p>
            <w:pPr>
              <w:spacing w:line="240" w:lineRule="auto"/>
              <w:ind w:firstLine="0" w:firstLineChars="0"/>
              <w:rPr>
                <w:rFonts w:cs="Times New Roman"/>
                <w:sz w:val="21"/>
                <w:szCs w:val="21"/>
              </w:rPr>
            </w:pPr>
            <w:r>
              <w:rPr>
                <w:rFonts w:cs="Times New Roman"/>
                <w:sz w:val="21"/>
                <w:szCs w:val="21"/>
              </w:rPr>
              <w:t>限制开发区域环境政策。实施严格的环境标准和环保政策，从严控制排污许可证发放，限制不合理的开发方式，控制农业面源污染，开展石漠化和水土流失综合治理，减少环境污染和生态破坏。通过治理、限制或关闭污染物排放企业等措施，实现污染物排放总量持续下降和环境质量状况达标。进一步完善生态补偿等相关配套政策，促进区域生态修复和建设。提高资源开发行业市场准入门槛，实施原产地开发与集中冶炼、集中治理相结合。加大水资源保护力度，适度开发利用水资源，实行全面节水，满足基本的生态用水需求，加强水土保持和生态环境修复与保护。</w:t>
            </w:r>
          </w:p>
        </w:tc>
        <w:tc>
          <w:tcPr>
            <w:tcW w:w="1639" w:type="pct"/>
            <w:vAlign w:val="center"/>
          </w:tcPr>
          <w:p>
            <w:pPr>
              <w:spacing w:line="240" w:lineRule="auto"/>
              <w:ind w:firstLine="0" w:firstLineChars="0"/>
              <w:rPr>
                <w:rFonts w:cs="Times New Roman"/>
                <w:sz w:val="21"/>
                <w:szCs w:val="21"/>
              </w:rPr>
            </w:pPr>
            <w:r>
              <w:rPr>
                <w:rFonts w:cs="Times New Roman"/>
                <w:sz w:val="21"/>
                <w:szCs w:val="21"/>
              </w:rPr>
              <w:t>本项目选址位于</w:t>
            </w:r>
            <w:r>
              <w:rPr>
                <w:rFonts w:cs="Times New Roman"/>
                <w:bCs/>
                <w:sz w:val="21"/>
                <w:szCs w:val="21"/>
              </w:rPr>
              <w:t>衡阳界牌陶瓷循环经济特色工业园区</w:t>
            </w:r>
            <w:r>
              <w:rPr>
                <w:rFonts w:cs="Times New Roman"/>
                <w:sz w:val="21"/>
                <w:szCs w:val="21"/>
              </w:rPr>
              <w:t>内，通过严格的环境保护措施，各项外排污染物均能做到达标排放</w:t>
            </w:r>
          </w:p>
        </w:tc>
        <w:tc>
          <w:tcPr>
            <w:tcW w:w="362" w:type="pct"/>
            <w:vAlign w:val="center"/>
          </w:tcPr>
          <w:p>
            <w:pPr>
              <w:spacing w:line="240" w:lineRule="auto"/>
              <w:ind w:firstLine="0" w:firstLineChars="0"/>
              <w:rPr>
                <w:rFonts w:cs="Times New Roman"/>
                <w:sz w:val="21"/>
                <w:szCs w:val="21"/>
              </w:rPr>
            </w:pPr>
            <w:r>
              <w:rPr>
                <w:rFonts w:cs="Times New Roman"/>
                <w:sz w:val="21"/>
                <w:szCs w:val="21"/>
              </w:rPr>
              <w:t>符合</w:t>
            </w:r>
          </w:p>
        </w:tc>
      </w:tr>
    </w:tbl>
    <w:p>
      <w:pPr>
        <w:ind w:firstLine="480"/>
        <w:rPr>
          <w:rFonts w:cs="Times New Roman"/>
        </w:rPr>
      </w:pPr>
      <w:r>
        <w:rPr>
          <w:rFonts w:cs="Times New Roman"/>
        </w:rPr>
        <w:t>根据该规划，衡阳县为国家级农产品主产区，属于限制开发区域，但是本项目所在地衡阳县界牌镇属于重点开发区域，并且本项目位于</w:t>
      </w:r>
      <w:r>
        <w:rPr>
          <w:rFonts w:cs="Times New Roman"/>
          <w:bCs/>
        </w:rPr>
        <w:t>衡阳界牌陶瓷循环经济特色工业园区</w:t>
      </w:r>
      <w:r>
        <w:rPr>
          <w:rFonts w:cs="Times New Roman"/>
        </w:rPr>
        <w:t>内范围内，故本项目符合《湖南省主体功能区划》。</w:t>
      </w:r>
    </w:p>
    <w:p>
      <w:pPr>
        <w:ind w:firstLine="482"/>
        <w:rPr>
          <w:rFonts w:cs="Times New Roman"/>
          <w:b/>
          <w:bCs/>
          <w:kern w:val="0"/>
        </w:rPr>
      </w:pPr>
      <w:r>
        <w:rPr>
          <w:rFonts w:cs="Times New Roman"/>
          <w:b/>
          <w:bCs/>
          <w:kern w:val="0"/>
        </w:rPr>
        <w:t>2、与《湖南省湘江保护条例》的符合性分析</w:t>
      </w:r>
    </w:p>
    <w:p>
      <w:pPr>
        <w:ind w:firstLine="480"/>
        <w:rPr>
          <w:rFonts w:cs="Times New Roman"/>
          <w:bCs/>
          <w:kern w:val="0"/>
        </w:rPr>
      </w:pPr>
      <w:r>
        <w:rPr>
          <w:rFonts w:cs="Times New Roman"/>
          <w:bCs/>
          <w:kern w:val="0"/>
        </w:rPr>
        <w:t>《湖南省湘江保护条例》中第47条指出：“湘江干流两岸各二十公里范围内不得新建化学制浆、造纸和制革和外排水污染物涉及重金属的项目”。</w:t>
      </w:r>
    </w:p>
    <w:p>
      <w:pPr>
        <w:ind w:firstLine="480"/>
        <w:rPr>
          <w:rFonts w:cs="Times New Roman"/>
          <w:bCs/>
          <w:kern w:val="0"/>
        </w:rPr>
      </w:pPr>
      <w:r>
        <w:rPr>
          <w:rFonts w:cs="Times New Roman"/>
          <w:bCs/>
          <w:kern w:val="0"/>
        </w:rPr>
        <w:t>评价认为：</w:t>
      </w:r>
    </w:p>
    <w:p>
      <w:pPr>
        <w:ind w:firstLine="480"/>
        <w:rPr>
          <w:rFonts w:cs="Times New Roman"/>
          <w:bCs/>
          <w:kern w:val="0"/>
        </w:rPr>
      </w:pPr>
      <w:r>
        <w:rPr>
          <w:rFonts w:hint="eastAsia" w:ascii="宋体" w:hAnsi="宋体" w:cs="宋体"/>
          <w:bCs/>
          <w:kern w:val="0"/>
        </w:rPr>
        <w:t>①</w:t>
      </w:r>
      <w:r>
        <w:rPr>
          <w:rFonts w:cs="Times New Roman"/>
          <w:bCs/>
          <w:kern w:val="0"/>
        </w:rPr>
        <w:t>本项目生活污水</w:t>
      </w:r>
      <w:r>
        <w:rPr>
          <w:rFonts w:cs="Times New Roman"/>
        </w:rPr>
        <w:t>经生化一体污水处理设施处理达标后</w:t>
      </w:r>
      <w:r>
        <w:rPr>
          <w:rFonts w:hint="eastAsia" w:cs="Times New Roman"/>
        </w:rPr>
        <w:t>近期排入白象河，远</w:t>
      </w:r>
      <w:r>
        <w:rPr>
          <w:rFonts w:cs="Times New Roman"/>
        </w:rPr>
        <w:t>期待污水处理厂建成后，处理达到市政管网的接管要求排入市政管网进入污水处理厂进行深度处理后外排至白象河</w:t>
      </w:r>
      <w:r>
        <w:rPr>
          <w:rFonts w:cs="Times New Roman"/>
          <w:bCs/>
          <w:kern w:val="0"/>
        </w:rPr>
        <w:t>；生产废水经处理后循环使用，不外排；外排废水不涉及重金属，不属于“外排水污染物涉及重金属的项目”，符合以上47条；</w:t>
      </w:r>
    </w:p>
    <w:p>
      <w:pPr>
        <w:ind w:firstLine="480"/>
        <w:rPr>
          <w:rFonts w:cs="Times New Roman"/>
          <w:bCs/>
          <w:kern w:val="0"/>
        </w:rPr>
      </w:pPr>
      <w:r>
        <w:rPr>
          <w:rFonts w:cs="Times New Roman"/>
          <w:bCs/>
          <w:kern w:val="0"/>
        </w:rPr>
        <w:t>综上所述，本项目建设符合《湖南省湘江保护条例》。</w:t>
      </w:r>
    </w:p>
    <w:p>
      <w:pPr>
        <w:ind w:firstLine="482"/>
        <w:rPr>
          <w:rFonts w:cs="Times New Roman"/>
          <w:b/>
          <w:bCs/>
          <w:kern w:val="0"/>
        </w:rPr>
      </w:pPr>
      <w:r>
        <w:rPr>
          <w:rFonts w:cs="Times New Roman"/>
          <w:b/>
          <w:bCs/>
          <w:kern w:val="0"/>
        </w:rPr>
        <w:t>3、与《湖南省“十四五”生态环境保护规划》的符合性分析</w:t>
      </w:r>
    </w:p>
    <w:p>
      <w:pPr>
        <w:ind w:firstLine="480"/>
        <w:rPr>
          <w:rFonts w:cs="Times New Roman"/>
          <w:bCs/>
          <w:kern w:val="0"/>
        </w:rPr>
      </w:pPr>
      <w:r>
        <w:rPr>
          <w:rFonts w:cs="Times New Roman"/>
          <w:bCs/>
          <w:kern w:val="0"/>
        </w:rPr>
        <w:t>根据《湖南省“十四五”生态环境保护规划》第四条深入打好污染防治攻坚战中：“</w:t>
      </w:r>
      <w:r>
        <w:rPr>
          <w:rFonts w:cs="Times New Roman"/>
        </w:rPr>
        <w:t>实施重点行业 NO</w:t>
      </w:r>
      <w:r>
        <w:rPr>
          <w:rFonts w:cs="Times New Roman"/>
          <w:vertAlign w:val="subscript"/>
        </w:rPr>
        <w:t>x</w:t>
      </w:r>
      <w:r>
        <w:rPr>
          <w:rFonts w:cs="Times New Roman"/>
        </w:rPr>
        <w:t>等污染物深度治理</w:t>
      </w:r>
      <w:r>
        <w:rPr>
          <w:rFonts w:cs="Times New Roman"/>
          <w:b/>
          <w:bCs/>
        </w:rPr>
        <w:t>。</w:t>
      </w:r>
      <w:r>
        <w:rPr>
          <w:rFonts w:cs="Times New Roman"/>
        </w:rPr>
        <w:t>重点推进烧结砖瓦行业治理设施升级改造、水泥行业氮氧化物减排、钢铁行业超低排放改造。淘汰简陋落后的“双碱法”脱硫除尘一体化技术，推动行业向成熟先进的大气污染物治理设施升级换代，到2025年，烧结砖瓦企业完成高效脱硫除尘改造。推进水泥熟料生产企业采用分级燃烧等技术，配备高效除尘和脱硝设施，实施氮氧化物深度治理，到2023年，NOx排放浓度控制在100毫克/立方米以下。有序推进钢铁行业超低排放改造，到2023年底前，全省钢铁企业超低排放改造取得明显进展，其中湖南华菱湘潭钢铁有限公司完成超低排放改造，衡阳华菱钢管有限公司、湖南华菱涟源钢铁有限公司、冷水江钢铁有限责任公司等3家钢铁企业完成80%以上超低排放改造任务；到2025年底前，钢铁企业全面完成超低排放改造。推进玻璃、陶瓷、铸造、有色等行业污染深度治理。加强自备燃煤机组污染治理设施运行管控，确保按照超低排放运行。针对焦化、水泥、砖瓦、石灰、耐火材料、有色金属冶炼等行业，严格控制物料储存、输送及生产工艺过程无组织排放。重点涉气排放企业逐步取消烟气旁路，因安全生产无法取消的，安装在线监管系统。开展燃气锅炉的低氮改造。</w:t>
      </w:r>
      <w:r>
        <w:rPr>
          <w:rFonts w:cs="Times New Roman"/>
          <w:bCs/>
          <w:kern w:val="0"/>
        </w:rPr>
        <w:t>”</w:t>
      </w:r>
    </w:p>
    <w:p>
      <w:pPr>
        <w:ind w:firstLine="480"/>
        <w:rPr>
          <w:rFonts w:cs="Times New Roman"/>
          <w:bCs/>
          <w:kern w:val="0"/>
        </w:rPr>
      </w:pPr>
      <w:r>
        <w:rPr>
          <w:rFonts w:cs="Times New Roman"/>
          <w:bCs/>
          <w:kern w:val="0"/>
        </w:rPr>
        <w:t>本项目排放的NO</w:t>
      </w:r>
      <w:r>
        <w:rPr>
          <w:rFonts w:cs="Times New Roman"/>
          <w:bCs/>
          <w:kern w:val="0"/>
          <w:vertAlign w:val="subscript"/>
        </w:rPr>
        <w:t>x</w:t>
      </w:r>
      <w:r>
        <w:rPr>
          <w:rFonts w:cs="Times New Roman"/>
          <w:bCs/>
          <w:kern w:val="0"/>
        </w:rPr>
        <w:t>浓度均低于100mg/m</w:t>
      </w:r>
      <w:r>
        <w:rPr>
          <w:rFonts w:cs="Times New Roman"/>
          <w:bCs/>
          <w:kern w:val="0"/>
          <w:vertAlign w:val="superscript"/>
        </w:rPr>
        <w:t>3</w:t>
      </w:r>
      <w:r>
        <w:rPr>
          <w:rFonts w:cs="Times New Roman"/>
          <w:bCs/>
          <w:kern w:val="0"/>
        </w:rPr>
        <w:t>，已采取SNCR</w:t>
      </w:r>
      <w:r>
        <w:rPr>
          <w:rFonts w:hint="eastAsia" w:cs="Times New Roman"/>
          <w:bCs/>
          <w:kern w:val="0"/>
        </w:rPr>
        <w:t>+SCR</w:t>
      </w:r>
      <w:r>
        <w:rPr>
          <w:rFonts w:cs="Times New Roman"/>
          <w:bCs/>
          <w:kern w:val="0"/>
        </w:rPr>
        <w:t>脱硝设施，符合《湖南省“十四五”生态环境保护规划》相关要求。</w:t>
      </w:r>
    </w:p>
    <w:p>
      <w:pPr>
        <w:ind w:firstLine="482"/>
        <w:rPr>
          <w:rFonts w:cs="Times New Roman"/>
          <w:b/>
          <w:bCs/>
          <w:kern w:val="0"/>
        </w:rPr>
      </w:pPr>
      <w:r>
        <w:rPr>
          <w:rFonts w:cs="Times New Roman"/>
          <w:b/>
          <w:bCs/>
          <w:kern w:val="0"/>
        </w:rPr>
        <w:t>4、《衡阳县城市总体规划（2006-2020年）》（2013年修订）</w:t>
      </w:r>
    </w:p>
    <w:p>
      <w:pPr>
        <w:ind w:firstLine="480"/>
        <w:rPr>
          <w:rFonts w:cs="Times New Roman"/>
        </w:rPr>
      </w:pPr>
      <w:r>
        <w:rPr>
          <w:rFonts w:cs="Times New Roman"/>
        </w:rPr>
        <w:t>《衡阳县城市总体规划（2006-2020年）2013年修订》中“产业发展战略”部分明确提出做大做强陶瓷加工、矿产品开采及加工的要求。并在“工业布局”部分提出县城工业向工业园区（基地）集聚，县城工业以“两区两园三基地”的布局。在县城经济发展战略中要求以界牌——石市工业园区为依托，把陶瓷工业作为支柱产业，建立陶瓷循环经济特色工业园，延长产业链，增加产品附加值，带动地方就业，推动衡阳县工业强县、新型工业化和新型城镇化。</w:t>
      </w:r>
    </w:p>
    <w:p>
      <w:pPr>
        <w:ind w:firstLine="480"/>
        <w:rPr>
          <w:rFonts w:cs="Times New Roman"/>
        </w:rPr>
      </w:pPr>
      <w:r>
        <w:rPr>
          <w:rFonts w:cs="Times New Roman"/>
        </w:rPr>
        <w:t>本项目位于衡阳界牌陶瓷循环经济特色工业园，衡阳界牌陶瓷循环经济特色工业园属于衡阳县城市总体规划中“两区两园三基地”中其中一园。</w:t>
      </w:r>
    </w:p>
    <w:p>
      <w:pPr>
        <w:ind w:firstLine="480"/>
        <w:rPr>
          <w:rFonts w:cs="Times New Roman"/>
        </w:rPr>
      </w:pPr>
      <w:r>
        <w:rPr>
          <w:rFonts w:cs="Times New Roman"/>
        </w:rPr>
        <w:t>综上所述，本项目与《衡阳县城市总体规划（2006-2020年）》（2013年修订）是相符的。</w:t>
      </w:r>
    </w:p>
    <w:p>
      <w:pPr>
        <w:ind w:firstLine="482"/>
        <w:rPr>
          <w:rFonts w:cs="Times New Roman"/>
        </w:rPr>
      </w:pPr>
      <w:r>
        <w:rPr>
          <w:rFonts w:cs="Times New Roman"/>
          <w:b/>
        </w:rPr>
        <w:t>5、</w:t>
      </w:r>
      <w:r>
        <w:rPr>
          <w:rFonts w:cs="Times New Roman"/>
          <w:b/>
          <w:bCs/>
        </w:rPr>
        <w:t>与《衡阳界牌陶瓷循环经济特色工业园区总体规划》符合性分析</w:t>
      </w:r>
    </w:p>
    <w:p>
      <w:pPr>
        <w:ind w:firstLine="480"/>
        <w:rPr>
          <w:rFonts w:cs="Times New Roman"/>
          <w:bCs/>
        </w:rPr>
      </w:pPr>
      <w:r>
        <w:rPr>
          <w:rFonts w:cs="Times New Roman"/>
        </w:rPr>
        <w:t>根据《</w:t>
      </w:r>
      <w:r>
        <w:rPr>
          <w:rFonts w:cs="Times New Roman"/>
          <w:bCs/>
        </w:rPr>
        <w:t>衡阳界牌陶瓷循环经济特色工业园区总体规划</w:t>
      </w:r>
      <w:r>
        <w:rPr>
          <w:rFonts w:cs="Times New Roman"/>
        </w:rPr>
        <w:t>》，衡阳界牌镇陶瓷循环经济特色工业园位于衡阳县城的东北方，位于界牌镇城区的西南方，毗邻临岳高速公路，规划控制区包括南阳村、唐福村、众拱村、象山村、白象村、太清村、石壁村等七个行政村，面积约24.6平方公里。衡阳界牌镇陶瓷循环经济特色工业园规划功能结构为“一心、四轴、六组团”，其中六组团为综合服务组团、瓷泥加工组团、瓷泥集散组团、日用陶瓷生产组团、特种工业陶瓷生产组团和建筑陶瓷生产组团，本项目属于建筑陶瓷生产组团，符合界牌陶瓷工业园的相关规划要求。根据</w:t>
      </w:r>
      <w:r>
        <w:rPr>
          <w:rFonts w:cs="Times New Roman"/>
          <w:bCs/>
        </w:rPr>
        <w:t>衡阳界牌陶瓷循环经济特色工业园区管委会出具的入园证明，同意该项目布局于该片区。</w:t>
      </w:r>
    </w:p>
    <w:p>
      <w:pPr>
        <w:ind w:firstLine="480"/>
        <w:rPr>
          <w:rFonts w:cs="Times New Roman"/>
        </w:rPr>
      </w:pPr>
      <w:r>
        <w:rPr>
          <w:rFonts w:cs="Times New Roman"/>
        </w:rPr>
        <w:t>项目250m项目范围内无集中居民点。工艺车间有序排列，污染处理设施沿生产线布设，便于收集和处理；生产污水处理设施位于产生点和回用点之间，便于回用。项目各功能分区独立，基础配套设施完善，整体布局合理可行。</w:t>
      </w:r>
    </w:p>
    <w:p>
      <w:pPr>
        <w:ind w:firstLine="480"/>
        <w:rPr>
          <w:rFonts w:cs="Times New Roman"/>
        </w:rPr>
      </w:pPr>
      <w:r>
        <w:rPr>
          <w:rFonts w:cs="Times New Roman"/>
        </w:rPr>
        <w:t>项目位置处于工业园区二类建设用地，根据二类建设用地定义，非金属矿物制品业属于二类建设用地，本项目为陶瓷行业属于非金属矿物制品业类别，因此，项目用地性质符合规划要求。</w:t>
      </w:r>
    </w:p>
    <w:p>
      <w:pPr>
        <w:ind w:firstLine="482"/>
        <w:rPr>
          <w:rFonts w:cs="Times New Roman"/>
          <w:b/>
          <w:u w:val="single"/>
        </w:rPr>
      </w:pPr>
      <w:r>
        <w:rPr>
          <w:rFonts w:cs="Times New Roman"/>
          <w:b/>
          <w:u w:val="single"/>
        </w:rPr>
        <w:t>6、与《衡阳界牌陶瓷工业园环境影响报告书》符合性</w:t>
      </w:r>
    </w:p>
    <w:p>
      <w:pPr>
        <w:ind w:firstLine="480"/>
        <w:rPr>
          <w:rFonts w:cs="Times New Roman"/>
          <w:u w:val="single"/>
        </w:rPr>
      </w:pPr>
      <w:r>
        <w:rPr>
          <w:rFonts w:cs="Times New Roman"/>
          <w:u w:val="single"/>
        </w:rPr>
        <w:t>《衡阳界牌陶瓷工业园环境影响报告书》已获得湖南省环保厅的批复（湘环评函[2016]34号）。报告书指出：</w:t>
      </w:r>
    </w:p>
    <w:p>
      <w:pPr>
        <w:ind w:firstLine="480"/>
        <w:rPr>
          <w:rFonts w:cs="Times New Roman"/>
          <w:u w:val="single"/>
        </w:rPr>
      </w:pPr>
      <w:r>
        <w:rPr>
          <w:rFonts w:cs="Times New Roman"/>
          <w:u w:val="single"/>
        </w:rPr>
        <w:t>（1）规划布局</w:t>
      </w:r>
    </w:p>
    <w:p>
      <w:pPr>
        <w:ind w:firstLine="480"/>
        <w:rPr>
          <w:rFonts w:cs="Times New Roman"/>
          <w:u w:val="single"/>
        </w:rPr>
      </w:pPr>
      <w:r>
        <w:rPr>
          <w:rFonts w:cs="Times New Roman"/>
          <w:u w:val="single"/>
        </w:rPr>
        <w:t>根据园区规划目标、产业定位和规划布局，</w:t>
      </w:r>
      <w:r>
        <w:rPr>
          <w:rFonts w:cs="Times New Roman"/>
          <w:bCs/>
          <w:u w:val="single"/>
        </w:rPr>
        <w:t>衡阳界牌陶瓷循环经济特色工业园区</w:t>
      </w:r>
      <w:r>
        <w:rPr>
          <w:rFonts w:cs="Times New Roman"/>
          <w:u w:val="single"/>
        </w:rPr>
        <w:t>结构为“一心、四轴、六组团”，其中六组团为综合服务组团、瓷泥加工组团、瓷泥集散组团、日用陶瓷生产组团、特种工业陶瓷生产组团和建筑陶瓷生产组团，本项目属于建筑陶瓷生产组团，符合园区规划布局。</w:t>
      </w:r>
    </w:p>
    <w:p>
      <w:pPr>
        <w:ind w:firstLine="480"/>
        <w:rPr>
          <w:rFonts w:cs="Times New Roman"/>
          <w:u w:val="single"/>
        </w:rPr>
      </w:pPr>
      <w:r>
        <w:rPr>
          <w:rFonts w:cs="Times New Roman"/>
          <w:u w:val="single"/>
        </w:rPr>
        <w:t>（2）项目类型和准入条件分析：</w:t>
      </w:r>
    </w:p>
    <w:p>
      <w:pPr>
        <w:ind w:firstLine="480"/>
        <w:rPr>
          <w:rFonts w:cs="Times New Roman"/>
          <w:u w:val="single"/>
        </w:rPr>
      </w:pPr>
      <w:r>
        <w:rPr>
          <w:rFonts w:cs="Times New Roman"/>
          <w:u w:val="single"/>
        </w:rPr>
        <w:t>不符合园区规划产业布局的行业不得入园，应严格按《产业结构调整指导目录（2011年本）》（2013修正）要求进行，根据衡阳界牌陶瓷工业园提供资料，园区负面清单如下：</w:t>
      </w:r>
    </w:p>
    <w:p>
      <w:pPr>
        <w:ind w:firstLine="480"/>
        <w:rPr>
          <w:rFonts w:cs="Times New Roman"/>
          <w:u w:val="single"/>
        </w:rPr>
      </w:pPr>
      <w:r>
        <w:rPr>
          <w:rFonts w:cs="Times New Roman"/>
          <w:u w:val="single"/>
        </w:rPr>
        <w:t>禁止准入：二类工业用地禁止引入三类企业；不符合产业定位的项目；禁止《产业结构调整指导目录（2011年本）》中限制类和淘汰类企业入园；禁止铅、锌、铬等重污染冶炼行业，制革工业；电镀工业；使用含汞、砷、镉、铬、铅、氰化物等为原料的项目；日用化工、造纸、炼油、农药工业；水处理设施不完善的企业禁止开工生产；纺织印染工业；到癌、致畸、致突变产品生产项目；电力工业的小火力发电；国家产业政策明令禁止的项目，以及使用高、中硫煤等大量增加SO</w:t>
      </w:r>
      <w:r>
        <w:rPr>
          <w:rFonts w:cs="Times New Roman"/>
          <w:u w:val="single"/>
          <w:vertAlign w:val="subscript"/>
        </w:rPr>
        <w:t>2</w:t>
      </w:r>
      <w:r>
        <w:rPr>
          <w:rFonts w:cs="Times New Roman"/>
          <w:u w:val="single"/>
        </w:rPr>
        <w:t>和TSP排放污染严重的工业项目：大量增加COD排放的工业项目；禁止引进100万平方米/年以下的建筑陶瓷砖、20万件/年以下低档卫生陶瓷生产线；禁止引进建筑卫生陶瓷土密、倒焰密、多孔密、煤烧明焰隧道密、隔焰隧道窑、匣钵装卫生陶瓷隧道密；禁止引进建筑陶瓷砖成型用的摩擦压砖机。严禁使用本质安全性热工效率低、污染物排放高的简易煤气发生炉；严禁生产、使用有毒有害色釉料和原料，杜绝重金属污染和放射性超标；禁止引入酚氰污水、含重金属等化学化学恒成分毒性较大的废水不能全部进行中水回用的企业。</w:t>
      </w:r>
    </w:p>
    <w:p>
      <w:pPr>
        <w:ind w:firstLine="480"/>
        <w:rPr>
          <w:rFonts w:cs="Times New Roman"/>
          <w:u w:val="single"/>
        </w:rPr>
      </w:pPr>
      <w:r>
        <w:rPr>
          <w:rFonts w:cs="Times New Roman"/>
          <w:u w:val="single"/>
        </w:rPr>
        <w:t>限制准入：各企业工业废水应自行处理达标后全部回用不得外排；对靠近石壁村居民区、众拱桥居民区的园区设置防护距离，限制引入气型污染大的企业。</w:t>
      </w:r>
    </w:p>
    <w:p>
      <w:pPr>
        <w:ind w:firstLine="480"/>
        <w:rPr>
          <w:rFonts w:cs="Times New Roman"/>
          <w:u w:val="single"/>
        </w:rPr>
      </w:pPr>
      <w:r>
        <w:rPr>
          <w:rFonts w:cs="Times New Roman"/>
          <w:u w:val="single"/>
        </w:rPr>
        <w:t>限制引入150万平方米/年以下的建筑陶瓷生产线和60万件/年以下的隧道窑卫生陶瓷生产线。</w:t>
      </w:r>
    </w:p>
    <w:p>
      <w:pPr>
        <w:ind w:firstLine="480"/>
        <w:rPr>
          <w:rFonts w:cs="Times New Roman"/>
        </w:rPr>
      </w:pPr>
      <w:r>
        <w:rPr>
          <w:rFonts w:cs="Times New Roman"/>
          <w:u w:val="single"/>
        </w:rPr>
        <w:t>项目为年产12804万平方米建筑陶瓷生产线，使用的是辊道窑，压砖机为液压式，项目不属于高耗水产水企业，产生的废水全部回用，不外排，符合要求；</w:t>
      </w:r>
      <w:r>
        <w:rPr>
          <w:rFonts w:hint="eastAsia" w:cs="Times New Roman"/>
          <w:u w:val="single"/>
        </w:rPr>
        <w:t>园区禁止</w:t>
      </w:r>
      <w:r>
        <w:rPr>
          <w:rFonts w:cs="Times New Roman"/>
          <w:u w:val="single"/>
        </w:rPr>
        <w:t>使用高、中硫煤等大量增加SO</w:t>
      </w:r>
      <w:r>
        <w:rPr>
          <w:rFonts w:cs="Times New Roman"/>
          <w:u w:val="single"/>
          <w:vertAlign w:val="subscript"/>
        </w:rPr>
        <w:t>2</w:t>
      </w:r>
      <w:r>
        <w:rPr>
          <w:rFonts w:cs="Times New Roman"/>
          <w:u w:val="single"/>
        </w:rPr>
        <w:t>和TSP排放污染严重的工业</w:t>
      </w:r>
      <w:r>
        <w:rPr>
          <w:rFonts w:hint="eastAsia" w:cs="Times New Roman"/>
          <w:u w:val="single"/>
        </w:rPr>
        <w:t>，本</w:t>
      </w:r>
      <w:r>
        <w:rPr>
          <w:rFonts w:cs="Times New Roman"/>
          <w:u w:val="single"/>
        </w:rPr>
        <w:t>项目项目</w:t>
      </w:r>
      <w:r>
        <w:rPr>
          <w:rFonts w:hint="eastAsia" w:cs="Times New Roman"/>
          <w:u w:val="single"/>
        </w:rPr>
        <w:t>主要使用天然气，由于喷雾干燥工序的工艺需求，只能使用微煤粉，因此项目为满足规划环评要求，采用低硫煤（含硫量低于0</w:t>
      </w:r>
      <w:r>
        <w:rPr>
          <w:rFonts w:cs="Times New Roman"/>
          <w:u w:val="single"/>
        </w:rPr>
        <w:t>.35</w:t>
      </w:r>
      <w:r>
        <w:rPr>
          <w:rFonts w:hint="eastAsia" w:cs="Times New Roman"/>
          <w:u w:val="single"/>
        </w:rPr>
        <w:t>%）</w:t>
      </w:r>
      <w:r>
        <w:rPr>
          <w:rFonts w:cs="Times New Roman"/>
          <w:u w:val="single"/>
        </w:rPr>
        <w:t>，且项目已采取脱硫、除尘设施，大幅度降低SO</w:t>
      </w:r>
      <w:r>
        <w:rPr>
          <w:rFonts w:cs="Times New Roman"/>
          <w:u w:val="single"/>
          <w:vertAlign w:val="subscript"/>
        </w:rPr>
        <w:t>2</w:t>
      </w:r>
      <w:r>
        <w:rPr>
          <w:rFonts w:cs="Times New Roman"/>
          <w:u w:val="single"/>
        </w:rPr>
        <w:t>和TSP的排放量，经预测，评价范围内SO</w:t>
      </w:r>
      <w:r>
        <w:rPr>
          <w:rFonts w:cs="Times New Roman"/>
          <w:u w:val="single"/>
          <w:vertAlign w:val="subscript"/>
        </w:rPr>
        <w:t>2</w:t>
      </w:r>
      <w:r>
        <w:rPr>
          <w:rFonts w:cs="Times New Roman"/>
          <w:u w:val="single"/>
        </w:rPr>
        <w:t>和TSP就能达标，因此，项目符合相关要求。</w:t>
      </w:r>
      <w:r>
        <w:rPr>
          <w:rFonts w:cs="Times New Roman"/>
        </w:rPr>
        <w:t>因此，项目不属于负面清单中的禁止准入、限制准入和其他范围。项目建设符合工业园区规划环评的要求。</w:t>
      </w:r>
    </w:p>
    <w:p>
      <w:pPr>
        <w:autoSpaceDE w:val="0"/>
        <w:autoSpaceDN w:val="0"/>
        <w:adjustRightInd w:val="0"/>
        <w:ind w:firstLine="480"/>
        <w:rPr>
          <w:rFonts w:cs="Times New Roman"/>
          <w:kern w:val="0"/>
          <w:szCs w:val="20"/>
        </w:rPr>
      </w:pPr>
      <w:r>
        <w:rPr>
          <w:rFonts w:cs="Times New Roman"/>
          <w:kern w:val="0"/>
          <w:szCs w:val="20"/>
        </w:rPr>
        <w:t>（3）清洁生产要求</w:t>
      </w:r>
    </w:p>
    <w:p>
      <w:pPr>
        <w:autoSpaceDE w:val="0"/>
        <w:autoSpaceDN w:val="0"/>
        <w:adjustRightInd w:val="0"/>
        <w:ind w:firstLine="480"/>
        <w:rPr>
          <w:rFonts w:cs="Times New Roman"/>
          <w:kern w:val="0"/>
          <w:szCs w:val="20"/>
        </w:rPr>
      </w:pPr>
      <w:r>
        <w:rPr>
          <w:rFonts w:cs="Times New Roman"/>
          <w:kern w:val="0"/>
          <w:szCs w:val="20"/>
        </w:rPr>
        <w:t>工程设计中尽可能考虑生产用水的循环利用，以提高水的循环利用率；区域内使用清洁能源；加强资源的综合利用、提高资源综合利用效率的潜在价值。</w:t>
      </w:r>
    </w:p>
    <w:p>
      <w:pPr>
        <w:autoSpaceDE w:val="0"/>
        <w:autoSpaceDN w:val="0"/>
        <w:adjustRightInd w:val="0"/>
        <w:ind w:firstLine="480"/>
        <w:rPr>
          <w:rFonts w:cs="Times New Roman"/>
          <w:kern w:val="0"/>
        </w:rPr>
      </w:pPr>
      <w:r>
        <w:rPr>
          <w:rFonts w:cs="Times New Roman"/>
          <w:kern w:val="0"/>
          <w:szCs w:val="20"/>
        </w:rPr>
        <w:t>本项目生产废水经处理后循环使用，不外排。本项目能源采用</w:t>
      </w:r>
      <w:r>
        <w:rPr>
          <w:rFonts w:hint="eastAsia" w:cs="Times New Roman"/>
          <w:kern w:val="0"/>
          <w:szCs w:val="20"/>
        </w:rPr>
        <w:t>天然气</w:t>
      </w:r>
      <w:r>
        <w:rPr>
          <w:rFonts w:cs="Times New Roman"/>
          <w:kern w:val="0"/>
          <w:szCs w:val="20"/>
        </w:rPr>
        <w:t>，属于清洁能源。本项目各物料</w:t>
      </w:r>
      <w:r>
        <w:rPr>
          <w:rFonts w:cs="Times New Roman"/>
          <w:kern w:val="0"/>
        </w:rPr>
        <w:t>内部转运，消纳。因此，本项目符合清洁生产要求。</w:t>
      </w:r>
    </w:p>
    <w:p>
      <w:pPr>
        <w:autoSpaceDE w:val="0"/>
        <w:autoSpaceDN w:val="0"/>
        <w:adjustRightInd w:val="0"/>
        <w:ind w:firstLine="480"/>
        <w:rPr>
          <w:u w:val="single"/>
        </w:rPr>
      </w:pPr>
      <w:r>
        <w:rPr>
          <w:rFonts w:hint="eastAsia" w:cs="Times New Roman"/>
          <w:kern w:val="0"/>
          <w:u w:val="single"/>
        </w:rPr>
        <w:t>7、与</w:t>
      </w:r>
      <w:r>
        <w:rPr>
          <w:rFonts w:hint="eastAsia"/>
          <w:u w:val="single"/>
        </w:rPr>
        <w:t>《环境标志产品技术要求—陶瓷砖（板）》符合性分析</w:t>
      </w:r>
    </w:p>
    <w:p>
      <w:pPr>
        <w:autoSpaceDE w:val="0"/>
        <w:autoSpaceDN w:val="0"/>
        <w:adjustRightInd w:val="0"/>
        <w:ind w:firstLine="0" w:firstLineChars="0"/>
        <w:jc w:val="center"/>
        <w:rPr>
          <w:b/>
          <w:bCs/>
          <w:u w:val="single"/>
        </w:rPr>
      </w:pPr>
      <w:r>
        <w:rPr>
          <w:rFonts w:hint="eastAsia" w:cs="Times New Roman"/>
          <w:b/>
          <w:bCs/>
          <w:kern w:val="0"/>
          <w:u w:val="single"/>
        </w:rPr>
        <w:t>表</w:t>
      </w:r>
      <w:r>
        <w:rPr>
          <w:rFonts w:cs="Times New Roman"/>
          <w:b/>
          <w:bCs/>
          <w:kern w:val="0"/>
          <w:u w:val="single"/>
        </w:rPr>
        <w:t>1.4</w:t>
      </w:r>
      <w:r>
        <w:rPr>
          <w:rFonts w:hint="eastAsia" w:cs="Times New Roman"/>
          <w:b/>
          <w:bCs/>
          <w:kern w:val="0"/>
          <w:u w:val="single"/>
        </w:rPr>
        <w:t>-</w:t>
      </w:r>
      <w:r>
        <w:rPr>
          <w:rFonts w:cs="Times New Roman"/>
          <w:b/>
          <w:bCs/>
          <w:kern w:val="0"/>
          <w:u w:val="single"/>
        </w:rPr>
        <w:t xml:space="preserve">3  </w:t>
      </w:r>
      <w:r>
        <w:rPr>
          <w:rFonts w:hint="eastAsia" w:cs="Times New Roman"/>
          <w:b/>
          <w:bCs/>
          <w:kern w:val="0"/>
          <w:u w:val="single"/>
        </w:rPr>
        <w:t>与</w:t>
      </w:r>
      <w:r>
        <w:rPr>
          <w:rFonts w:hint="eastAsia"/>
          <w:b/>
          <w:bCs/>
          <w:u w:val="single"/>
        </w:rPr>
        <w:t>《环境标志产品技术要求—陶瓷砖（板）》符合性分析表</w:t>
      </w: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3444"/>
        <w:gridCol w:w="2793"/>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序号</w:t>
            </w:r>
          </w:p>
        </w:tc>
        <w:tc>
          <w:tcPr>
            <w:tcW w:w="3444"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文件要求</w:t>
            </w:r>
          </w:p>
        </w:tc>
        <w:tc>
          <w:tcPr>
            <w:tcW w:w="2793"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项目情况</w:t>
            </w:r>
          </w:p>
        </w:tc>
        <w:tc>
          <w:tcPr>
            <w:tcW w:w="1355"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1</w:t>
            </w:r>
          </w:p>
        </w:tc>
        <w:tc>
          <w:tcPr>
            <w:tcW w:w="3444"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生产过程中产生的工业废渣回收利用率应不小于90%，其中本企业工业废渣回收利用率应不小于60%。</w:t>
            </w:r>
          </w:p>
        </w:tc>
        <w:tc>
          <w:tcPr>
            <w:tcW w:w="2793"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本项目工业废渣回收利用率为1</w:t>
            </w:r>
            <w:r>
              <w:rPr>
                <w:sz w:val="21"/>
                <w:szCs w:val="16"/>
                <w:u w:val="single"/>
              </w:rPr>
              <w:t>00</w:t>
            </w:r>
            <w:r>
              <w:rPr>
                <w:rFonts w:hint="eastAsia"/>
                <w:sz w:val="21"/>
                <w:szCs w:val="16"/>
                <w:u w:val="single"/>
              </w:rPr>
              <w:t>%；其中本企业工业废渣回收利用率为6</w:t>
            </w:r>
            <w:r>
              <w:rPr>
                <w:sz w:val="21"/>
                <w:szCs w:val="16"/>
                <w:u w:val="single"/>
              </w:rPr>
              <w:t>2.35</w:t>
            </w:r>
            <w:r>
              <w:rPr>
                <w:rFonts w:hint="eastAsia"/>
                <w:sz w:val="21"/>
                <w:szCs w:val="16"/>
                <w:u w:val="single"/>
              </w:rPr>
              <w:t>%</w:t>
            </w:r>
          </w:p>
        </w:tc>
        <w:tc>
          <w:tcPr>
            <w:tcW w:w="1355"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2</w:t>
            </w:r>
          </w:p>
        </w:tc>
        <w:tc>
          <w:tcPr>
            <w:tcW w:w="3444"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生产工艺废水回用率为100%</w:t>
            </w:r>
          </w:p>
        </w:tc>
        <w:tc>
          <w:tcPr>
            <w:tcW w:w="2793"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项目生产工艺废水不外排，回用率1</w:t>
            </w:r>
            <w:r>
              <w:rPr>
                <w:sz w:val="21"/>
                <w:szCs w:val="16"/>
                <w:u w:val="single"/>
              </w:rPr>
              <w:t>00</w:t>
            </w:r>
            <w:r>
              <w:rPr>
                <w:rFonts w:hint="eastAsia"/>
                <w:sz w:val="21"/>
                <w:szCs w:val="16"/>
                <w:u w:val="single"/>
              </w:rPr>
              <w:t>%</w:t>
            </w:r>
          </w:p>
        </w:tc>
        <w:tc>
          <w:tcPr>
            <w:tcW w:w="1355"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3</w:t>
            </w:r>
          </w:p>
        </w:tc>
        <w:tc>
          <w:tcPr>
            <w:tcW w:w="3444"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产品中可溶性铅含量应不超过15mg/kg，可溶性镉含量应不超过2mg/kg。</w:t>
            </w:r>
          </w:p>
        </w:tc>
        <w:tc>
          <w:tcPr>
            <w:tcW w:w="2793"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项目产品符合质量要求</w:t>
            </w:r>
          </w:p>
        </w:tc>
        <w:tc>
          <w:tcPr>
            <w:tcW w:w="1355"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4</w:t>
            </w:r>
          </w:p>
        </w:tc>
        <w:tc>
          <w:tcPr>
            <w:tcW w:w="3444"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宜使用可再生利用的包装材料</w:t>
            </w:r>
          </w:p>
        </w:tc>
        <w:tc>
          <w:tcPr>
            <w:tcW w:w="2793"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项目使用纸箱包装</w:t>
            </w:r>
          </w:p>
        </w:tc>
        <w:tc>
          <w:tcPr>
            <w:tcW w:w="1355" w:type="dxa"/>
          </w:tcPr>
          <w:p>
            <w:pPr>
              <w:autoSpaceDE w:val="0"/>
              <w:autoSpaceDN w:val="0"/>
              <w:adjustRightInd w:val="0"/>
              <w:spacing w:line="240" w:lineRule="auto"/>
              <w:ind w:firstLine="0" w:firstLineChars="0"/>
              <w:jc w:val="center"/>
              <w:rPr>
                <w:sz w:val="21"/>
                <w:szCs w:val="16"/>
                <w:u w:val="single"/>
              </w:rPr>
            </w:pPr>
            <w:r>
              <w:rPr>
                <w:rFonts w:hint="eastAsia"/>
                <w:sz w:val="21"/>
                <w:szCs w:val="16"/>
                <w:u w:val="single"/>
              </w:rPr>
              <w:t>符合</w:t>
            </w:r>
          </w:p>
        </w:tc>
      </w:tr>
    </w:tbl>
    <w:p>
      <w:pPr>
        <w:pStyle w:val="4"/>
        <w:adjustRightInd w:val="0"/>
        <w:snapToGrid w:val="0"/>
        <w:jc w:val="left"/>
        <w:rPr>
          <w:rFonts w:cs="Times New Roman"/>
          <w:szCs w:val="24"/>
        </w:rPr>
      </w:pPr>
      <w:bookmarkStart w:id="10" w:name="_Toc86611220"/>
      <w:r>
        <w:rPr>
          <w:rFonts w:cs="Times New Roman"/>
          <w:szCs w:val="24"/>
        </w:rPr>
        <w:t>1.4.4 “三线一单”相符性</w:t>
      </w:r>
      <w:bookmarkEnd w:id="10"/>
    </w:p>
    <w:p>
      <w:pPr>
        <w:ind w:firstLine="480"/>
      </w:pPr>
      <w:r>
        <w:rPr>
          <w:rFonts w:hint="eastAsia" w:ascii="宋体" w:hAnsi="宋体"/>
        </w:rPr>
        <w:t>根据《衡阳市人民政府关于实施“三线一单”生态环境分区管控的意见》拟建项目</w:t>
      </w:r>
      <w:r>
        <w:rPr>
          <w:rFonts w:ascii="宋体" w:hAnsi="宋体"/>
        </w:rPr>
        <w:t>建设地属于一般</w:t>
      </w:r>
      <w:r>
        <w:rPr>
          <w:rFonts w:hint="eastAsia" w:ascii="宋体" w:hAnsi="宋体"/>
        </w:rPr>
        <w:t>管控</w:t>
      </w:r>
      <w:r>
        <w:rPr>
          <w:rFonts w:ascii="宋体" w:hAnsi="宋体"/>
        </w:rPr>
        <w:t>区，</w:t>
      </w:r>
      <w:r>
        <w:rPr>
          <w:rFonts w:hint="eastAsia" w:ascii="宋体" w:hAnsi="宋体"/>
        </w:rPr>
        <w:t>根据《衡阳市人民政府关于实施“三线一单”生态环境分区管控的意见》对一般</w:t>
      </w:r>
      <w:r>
        <w:rPr>
          <w:rFonts w:ascii="宋体" w:hAnsi="宋体"/>
        </w:rPr>
        <w:t>管控区要求如下：</w:t>
      </w:r>
      <w:r>
        <w:rPr>
          <w:rFonts w:hint="eastAsia" w:ascii="宋体" w:hAnsi="宋体"/>
        </w:rPr>
        <w:t>需落实生态环境保护基本要求。严格落实大气污染物达标排放、环境影响评价、总量控制、环保设施“三同时”、在线监测、排污许可等环保制度，确保区域环境空气质量达标。</w:t>
      </w:r>
    </w:p>
    <w:p>
      <w:pPr>
        <w:ind w:firstLine="482"/>
        <w:rPr>
          <w:rFonts w:cs="Times New Roman"/>
          <w:b/>
        </w:rPr>
      </w:pPr>
      <w:r>
        <w:rPr>
          <w:rFonts w:cs="Times New Roman"/>
          <w:b/>
        </w:rPr>
        <w:t>1、生态红线</w:t>
      </w:r>
    </w:p>
    <w:p>
      <w:pPr>
        <w:ind w:firstLine="480"/>
        <w:rPr>
          <w:rFonts w:cs="Times New Roman"/>
        </w:rPr>
      </w:pPr>
      <w:r>
        <w:rPr>
          <w:rFonts w:cs="Times New Roman"/>
        </w:rPr>
        <w:t>项目位于衡阳县界牌镇</w:t>
      </w:r>
      <w:r>
        <w:rPr>
          <w:rFonts w:cs="Times New Roman"/>
          <w:bCs/>
        </w:rPr>
        <w:t>陶瓷循环经济特色工业园区内</w:t>
      </w:r>
      <w:r>
        <w:rPr>
          <w:rFonts w:cs="Times New Roman"/>
        </w:rPr>
        <w:t>，不属于自然保护区、风景名胜区、饮用水源保护地和其他需要特别保护等法律法规禁止开发建设的区域，且远离城镇、医院、居民区和交通要道。</w:t>
      </w:r>
      <w:r>
        <w:rPr>
          <w:rFonts w:hint="eastAsia" w:cs="Times New Roman"/>
        </w:rPr>
        <w:t>经对比衡阳县生态保护红线图，</w:t>
      </w:r>
      <w:r>
        <w:rPr>
          <w:rFonts w:cs="Times New Roman"/>
        </w:rPr>
        <w:t>项目不在</w:t>
      </w:r>
      <w:r>
        <w:rPr>
          <w:rFonts w:hint="eastAsia" w:cs="Times New Roman"/>
        </w:rPr>
        <w:t>衡阳县生态保护红线范围</w:t>
      </w:r>
      <w:r>
        <w:rPr>
          <w:rFonts w:cs="Times New Roman"/>
        </w:rPr>
        <w:t>内。因此，项目建设符合生态红线控制要求。</w:t>
      </w:r>
    </w:p>
    <w:p>
      <w:pPr>
        <w:ind w:firstLine="0" w:firstLineChars="0"/>
        <w:rPr>
          <w:rFonts w:cs="Times New Roman"/>
        </w:rPr>
      </w:pPr>
      <w:r>
        <w:drawing>
          <wp:inline distT="0" distB="0" distL="0" distR="0">
            <wp:extent cx="5296535" cy="2336800"/>
            <wp:effectExtent l="19050" t="19050" r="18415" b="2540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5">
                      <a:extLst>
                        <a:ext uri="{28A0092B-C50C-407E-A947-70E740481C1C}">
                          <a14:useLocalDpi xmlns:a14="http://schemas.microsoft.com/office/drawing/2010/main" val="0"/>
                        </a:ext>
                      </a:extLst>
                    </a:blip>
                    <a:srcRect l="1204" t="2233" r="3202"/>
                    <a:stretch>
                      <a:fillRect/>
                    </a:stretch>
                  </pic:blipFill>
                  <pic:spPr>
                    <a:xfrm>
                      <a:off x="0" y="0"/>
                      <a:ext cx="5299818" cy="2338195"/>
                    </a:xfrm>
                    <a:prstGeom prst="rect">
                      <a:avLst/>
                    </a:prstGeom>
                    <a:noFill/>
                    <a:ln w="9525" cap="flat" cmpd="sng" algn="ctr">
                      <a:solidFill>
                        <a:sysClr val="windowText" lastClr="000000"/>
                      </a:solidFill>
                      <a:prstDash val="solid"/>
                      <a:round/>
                      <a:headEnd type="none" w="med" len="med"/>
                      <a:tailEnd type="none" w="med" len="med"/>
                    </a:ln>
                  </pic:spPr>
                </pic:pic>
              </a:graphicData>
            </a:graphic>
          </wp:inline>
        </w:drawing>
      </w:r>
    </w:p>
    <w:p>
      <w:pPr>
        <w:ind w:firstLine="0" w:firstLineChars="0"/>
        <w:jc w:val="center"/>
        <w:rPr>
          <w:rFonts w:cs="Times New Roman"/>
        </w:rPr>
      </w:pPr>
      <w:r>
        <w:rPr>
          <w:rFonts w:hint="eastAsia" w:cs="Times New Roman"/>
        </w:rPr>
        <w:t>图1</w:t>
      </w:r>
      <w:r>
        <w:rPr>
          <w:rFonts w:cs="Times New Roman"/>
        </w:rPr>
        <w:t>.4</w:t>
      </w:r>
      <w:r>
        <w:rPr>
          <w:rFonts w:hint="eastAsia" w:cs="Times New Roman"/>
        </w:rPr>
        <w:t>-</w:t>
      </w:r>
      <w:r>
        <w:rPr>
          <w:rFonts w:cs="Times New Roman"/>
        </w:rPr>
        <w:t xml:space="preserve">1  </w:t>
      </w:r>
      <w:r>
        <w:rPr>
          <w:rFonts w:hint="eastAsia" w:cs="Times New Roman"/>
        </w:rPr>
        <w:t>生态保护红线图</w:t>
      </w:r>
    </w:p>
    <w:p>
      <w:pPr>
        <w:autoSpaceDE w:val="0"/>
        <w:autoSpaceDN w:val="0"/>
        <w:adjustRightInd w:val="0"/>
        <w:ind w:firstLine="482"/>
        <w:rPr>
          <w:rFonts w:cs="Times New Roman"/>
          <w:b/>
          <w:kern w:val="0"/>
          <w:szCs w:val="20"/>
        </w:rPr>
      </w:pPr>
      <w:r>
        <w:rPr>
          <w:rFonts w:cs="Times New Roman"/>
          <w:b/>
          <w:kern w:val="0"/>
          <w:szCs w:val="20"/>
        </w:rPr>
        <w:t>2、环境质量底线</w:t>
      </w:r>
    </w:p>
    <w:p>
      <w:pPr>
        <w:autoSpaceDE w:val="0"/>
        <w:autoSpaceDN w:val="0"/>
        <w:adjustRightInd w:val="0"/>
        <w:ind w:firstLine="480"/>
        <w:rPr>
          <w:rFonts w:cs="Times New Roman"/>
          <w:kern w:val="0"/>
          <w:szCs w:val="20"/>
        </w:rPr>
      </w:pPr>
      <w:r>
        <w:rPr>
          <w:rFonts w:cs="Times New Roman"/>
          <w:kern w:val="0"/>
          <w:szCs w:val="20"/>
        </w:rPr>
        <w:t>（1）水环境</w:t>
      </w:r>
    </w:p>
    <w:p>
      <w:pPr>
        <w:autoSpaceDE w:val="0"/>
        <w:autoSpaceDN w:val="0"/>
        <w:adjustRightInd w:val="0"/>
        <w:ind w:firstLine="480"/>
        <w:rPr>
          <w:rFonts w:cs="Times New Roman"/>
          <w:kern w:val="0"/>
          <w:szCs w:val="20"/>
        </w:rPr>
      </w:pPr>
      <w:r>
        <w:rPr>
          <w:rFonts w:cs="Times New Roman"/>
          <w:kern w:val="0"/>
          <w:szCs w:val="20"/>
        </w:rPr>
        <w:t>根据现状监测数据可知，项目所处区域地表水及地下水均符合相应标准。本项目</w:t>
      </w:r>
      <w:r>
        <w:rPr>
          <w:rFonts w:cs="Times New Roman"/>
          <w:bCs/>
          <w:kern w:val="0"/>
        </w:rPr>
        <w:t>生活污水经生化一体污水处理设施处理达到</w:t>
      </w:r>
      <w:r>
        <w:rPr>
          <w:rFonts w:hint="eastAsia" w:cs="Times New Roman"/>
          <w:bCs/>
          <w:kern w:val="0"/>
        </w:rPr>
        <w:t>《污水综合排放标准》（GB</w:t>
      </w:r>
      <w:r>
        <w:rPr>
          <w:rFonts w:cs="Times New Roman"/>
          <w:bCs/>
          <w:kern w:val="0"/>
        </w:rPr>
        <w:t>8978</w:t>
      </w:r>
      <w:r>
        <w:rPr>
          <w:rFonts w:hint="eastAsia" w:cs="Times New Roman"/>
          <w:bCs/>
          <w:kern w:val="0"/>
        </w:rPr>
        <w:t>-</w:t>
      </w:r>
      <w:r>
        <w:rPr>
          <w:rFonts w:cs="Times New Roman"/>
          <w:bCs/>
          <w:kern w:val="0"/>
        </w:rPr>
        <w:t>1996</w:t>
      </w:r>
      <w:r>
        <w:rPr>
          <w:rFonts w:hint="eastAsia" w:cs="Times New Roman"/>
          <w:bCs/>
          <w:kern w:val="0"/>
        </w:rPr>
        <w:t>）一级标准后排入白象河</w:t>
      </w:r>
      <w:r>
        <w:rPr>
          <w:rFonts w:cs="Times New Roman"/>
          <w:bCs/>
          <w:kern w:val="0"/>
        </w:rPr>
        <w:t>，远期待污水处理厂建成后，处理达到《陶瓷工业污染物排放标准》（GB25464-2010）中表2间接排放限值后排入市政管网进入污水处理厂进行深度处理后排入白象河；生产废水经处理后循环使用，不外排</w:t>
      </w:r>
      <w:r>
        <w:rPr>
          <w:rFonts w:cs="Times New Roman"/>
          <w:kern w:val="0"/>
          <w:szCs w:val="20"/>
        </w:rPr>
        <w:t>；厂区设置相应防渗措施。采取相应的措施后，从水环境角度分析，项目建设符合水环境功能区划要求，对区域水环境质量影响较小。</w:t>
      </w:r>
    </w:p>
    <w:p>
      <w:pPr>
        <w:autoSpaceDE w:val="0"/>
        <w:autoSpaceDN w:val="0"/>
        <w:adjustRightInd w:val="0"/>
        <w:ind w:firstLine="480"/>
        <w:rPr>
          <w:rFonts w:cs="Times New Roman"/>
          <w:kern w:val="0"/>
          <w:szCs w:val="20"/>
        </w:rPr>
      </w:pPr>
      <w:r>
        <w:rPr>
          <w:rFonts w:cs="Times New Roman"/>
          <w:kern w:val="0"/>
          <w:szCs w:val="20"/>
        </w:rPr>
        <w:t>（2）大气环境</w:t>
      </w:r>
    </w:p>
    <w:p>
      <w:pPr>
        <w:autoSpaceDE w:val="0"/>
        <w:autoSpaceDN w:val="0"/>
        <w:adjustRightInd w:val="0"/>
        <w:ind w:firstLine="480"/>
        <w:rPr>
          <w:rFonts w:cs="Times New Roman"/>
          <w:kern w:val="0"/>
          <w:szCs w:val="20"/>
        </w:rPr>
      </w:pPr>
      <w:r>
        <w:rPr>
          <w:rFonts w:cs="Times New Roman"/>
          <w:kern w:val="0"/>
          <w:szCs w:val="20"/>
        </w:rPr>
        <w:t>根据现状监测数据可知，各测点常规指标SO</w:t>
      </w:r>
      <w:r>
        <w:rPr>
          <w:rFonts w:cs="Times New Roman"/>
          <w:kern w:val="0"/>
          <w:szCs w:val="20"/>
          <w:vertAlign w:val="subscript"/>
        </w:rPr>
        <w:t>2</w:t>
      </w:r>
      <w:r>
        <w:rPr>
          <w:rFonts w:cs="Times New Roman"/>
          <w:kern w:val="0"/>
          <w:szCs w:val="20"/>
        </w:rPr>
        <w:t>、NO</w:t>
      </w:r>
      <w:r>
        <w:rPr>
          <w:rFonts w:cs="Times New Roman"/>
          <w:kern w:val="0"/>
          <w:szCs w:val="20"/>
          <w:vertAlign w:val="subscript"/>
        </w:rPr>
        <w:t>2</w:t>
      </w:r>
      <w:r>
        <w:rPr>
          <w:rFonts w:cs="Times New Roman"/>
          <w:kern w:val="0"/>
          <w:szCs w:val="20"/>
        </w:rPr>
        <w:t>、PM</w:t>
      </w:r>
      <w:r>
        <w:rPr>
          <w:rFonts w:cs="Times New Roman"/>
          <w:kern w:val="0"/>
          <w:szCs w:val="20"/>
          <w:vertAlign w:val="subscript"/>
        </w:rPr>
        <w:t>10</w:t>
      </w:r>
      <w:r>
        <w:rPr>
          <w:rFonts w:cs="Times New Roman"/>
          <w:kern w:val="0"/>
          <w:szCs w:val="20"/>
        </w:rPr>
        <w:t>、PM</w:t>
      </w:r>
      <w:r>
        <w:rPr>
          <w:rFonts w:cs="Times New Roman"/>
          <w:kern w:val="0"/>
          <w:szCs w:val="20"/>
          <w:vertAlign w:val="subscript"/>
        </w:rPr>
        <w:t>2.5</w:t>
      </w:r>
      <w:r>
        <w:rPr>
          <w:rFonts w:cs="Times New Roman"/>
          <w:kern w:val="0"/>
          <w:szCs w:val="20"/>
        </w:rPr>
        <w:t>、CO和O</w:t>
      </w:r>
      <w:r>
        <w:rPr>
          <w:rFonts w:cs="Times New Roman"/>
          <w:kern w:val="0"/>
          <w:szCs w:val="20"/>
          <w:vertAlign w:val="subscript"/>
        </w:rPr>
        <w:t>3</w:t>
      </w:r>
      <w:r>
        <w:rPr>
          <w:rFonts w:cs="Times New Roman"/>
          <w:kern w:val="0"/>
          <w:szCs w:val="20"/>
        </w:rPr>
        <w:t>符合《环境空气质量标准》（GB3095-2012）二级标准，特征污染物指标氟化物符合相应标准，具有一定的容量。根据预测结果可知，本项目运营期在正常排放工况下，</w:t>
      </w:r>
      <w:r>
        <w:rPr>
          <w:rFonts w:hint="eastAsia" w:cs="Times New Roman"/>
          <w:kern w:val="0"/>
          <w:szCs w:val="20"/>
        </w:rPr>
        <w:t>各污染物叠加现状值后能够满足</w:t>
      </w:r>
      <w:r>
        <w:rPr>
          <w:rFonts w:cs="Times New Roman"/>
          <w:kern w:val="0"/>
          <w:szCs w:val="20"/>
        </w:rPr>
        <w:t>《环境空气质量标准》（GB3095-2012）二级标准，且项目250m范围内无集中居民区、医院和学校等，对周围环境及敏感点的影响较小。</w:t>
      </w:r>
    </w:p>
    <w:p>
      <w:pPr>
        <w:autoSpaceDE w:val="0"/>
        <w:autoSpaceDN w:val="0"/>
        <w:adjustRightInd w:val="0"/>
        <w:ind w:firstLine="480"/>
        <w:rPr>
          <w:rFonts w:cs="Times New Roman"/>
          <w:kern w:val="0"/>
          <w:szCs w:val="20"/>
        </w:rPr>
      </w:pPr>
      <w:r>
        <w:rPr>
          <w:rFonts w:cs="Times New Roman"/>
          <w:kern w:val="0"/>
          <w:szCs w:val="20"/>
        </w:rPr>
        <w:t>（3）声环境</w:t>
      </w:r>
    </w:p>
    <w:p>
      <w:pPr>
        <w:autoSpaceDE w:val="0"/>
        <w:autoSpaceDN w:val="0"/>
        <w:adjustRightInd w:val="0"/>
        <w:ind w:firstLine="480"/>
        <w:rPr>
          <w:rFonts w:cs="Times New Roman"/>
          <w:kern w:val="0"/>
          <w:szCs w:val="20"/>
        </w:rPr>
      </w:pPr>
      <w:r>
        <w:rPr>
          <w:rFonts w:cs="Times New Roman"/>
          <w:kern w:val="0"/>
          <w:szCs w:val="20"/>
        </w:rPr>
        <w:t>根据现状监测数据可知，区域声环境质量现状良好，符合《声环境质量标准》（GB3096-2008）3类标准。根据预测结果，采取相应的减振、隔声措施后，项目对周边声环境贡献值较小，对周边声环境影响较小。</w:t>
      </w:r>
    </w:p>
    <w:p>
      <w:pPr>
        <w:ind w:firstLine="480"/>
        <w:rPr>
          <w:rFonts w:cs="Times New Roman"/>
        </w:rPr>
      </w:pPr>
      <w:r>
        <w:rPr>
          <w:rFonts w:cs="Times New Roman"/>
        </w:rPr>
        <w:t>根据工程及环境影响分析，项目实施后通过采取相关污染防治措施，可确保污染物达标排放，预测值能满足区域环境质量目标的要求。</w:t>
      </w:r>
    </w:p>
    <w:p>
      <w:pPr>
        <w:ind w:firstLine="480"/>
        <w:rPr>
          <w:rFonts w:cs="Times New Roman"/>
        </w:rPr>
      </w:pPr>
      <w:r>
        <w:rPr>
          <w:rFonts w:cs="Times New Roman"/>
        </w:rPr>
        <w:t>综上，项目用地环境质量现状较好，符合环境质量底线的要求。</w:t>
      </w:r>
    </w:p>
    <w:p>
      <w:pPr>
        <w:ind w:firstLine="482"/>
        <w:rPr>
          <w:rFonts w:cs="Times New Roman"/>
          <w:b/>
        </w:rPr>
      </w:pPr>
      <w:r>
        <w:rPr>
          <w:rFonts w:cs="Times New Roman"/>
          <w:b/>
        </w:rPr>
        <w:t>3、资源利用上线</w:t>
      </w:r>
    </w:p>
    <w:p>
      <w:pPr>
        <w:pStyle w:val="69"/>
        <w:snapToGrid w:val="0"/>
      </w:pPr>
      <w:r>
        <w:t>本项目施工期及营运期用电用水量不会超过区域水、电负荷，使用原料主要为瓷砂、坭等矿物原料，而湘南地区瓷砂、坭等矿物资源丰富，项目原料用量不会超过区域黏土资源上线；用地性质为工业用地，不占用农用地及未利用地，因此项目建设符合资源利用上线管理要求。</w:t>
      </w:r>
    </w:p>
    <w:p>
      <w:pPr>
        <w:pStyle w:val="69"/>
        <w:snapToGrid w:val="0"/>
        <w:ind w:firstLine="482"/>
        <w:rPr>
          <w:b/>
        </w:rPr>
      </w:pPr>
      <w:r>
        <w:rPr>
          <w:b/>
        </w:rPr>
        <w:t>4、环境准入负面清单</w:t>
      </w:r>
    </w:p>
    <w:p>
      <w:pPr>
        <w:ind w:firstLine="480"/>
        <w:rPr>
          <w:rFonts w:ascii="宋体" w:hAnsi="宋体"/>
        </w:rPr>
      </w:pPr>
      <w:r>
        <w:rPr>
          <w:rFonts w:hint="eastAsia" w:ascii="宋体" w:hAnsi="宋体"/>
        </w:rPr>
        <w:t>根据《衡阳市人民政府关于实施“三线一单”生态环境分区管控的意见》，项目所处地的渣江镇属于一般管控区，一般管控区的管控要求如下：</w:t>
      </w:r>
    </w:p>
    <w:p>
      <w:pPr>
        <w:ind w:firstLine="0" w:firstLineChars="0"/>
        <w:jc w:val="center"/>
        <w:rPr>
          <w:rFonts w:ascii="宋体" w:hAnsi="宋体"/>
        </w:rPr>
      </w:pPr>
      <w:r>
        <w:rPr>
          <w:rFonts w:hint="eastAsia" w:ascii="宋体" w:hAnsi="宋体"/>
        </w:rPr>
        <w:t>表1</w:t>
      </w:r>
      <w:r>
        <w:rPr>
          <w:rFonts w:ascii="宋体" w:hAnsi="宋体"/>
        </w:rPr>
        <w:t>.4</w:t>
      </w:r>
      <w:r>
        <w:rPr>
          <w:rFonts w:hint="eastAsia" w:ascii="宋体" w:hAnsi="宋体"/>
        </w:rPr>
        <w:t>-</w:t>
      </w:r>
      <w:r>
        <w:rPr>
          <w:rFonts w:ascii="宋体" w:hAnsi="宋体"/>
        </w:rPr>
        <w:t xml:space="preserve">3  </w:t>
      </w:r>
      <w:r>
        <w:rPr>
          <w:rFonts w:hint="eastAsia" w:ascii="宋体" w:hAnsi="宋体"/>
        </w:rPr>
        <w:t>项目与一般管控区管控要求符合性分析表</w:t>
      </w: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253"/>
        <w:gridCol w:w="2551"/>
        <w:gridCol w:w="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spacing w:line="240" w:lineRule="auto"/>
              <w:ind w:firstLine="0" w:firstLineChars="0"/>
              <w:jc w:val="center"/>
              <w:rPr>
                <w:sz w:val="21"/>
                <w:szCs w:val="16"/>
              </w:rPr>
            </w:pPr>
            <w:r>
              <w:rPr>
                <w:rFonts w:hint="eastAsia"/>
                <w:sz w:val="21"/>
                <w:szCs w:val="16"/>
              </w:rPr>
              <w:t>管控维度</w:t>
            </w:r>
          </w:p>
        </w:tc>
        <w:tc>
          <w:tcPr>
            <w:tcW w:w="4253" w:type="dxa"/>
            <w:vAlign w:val="center"/>
          </w:tcPr>
          <w:p>
            <w:pPr>
              <w:spacing w:line="240" w:lineRule="auto"/>
              <w:ind w:firstLine="0" w:firstLineChars="0"/>
              <w:jc w:val="center"/>
              <w:rPr>
                <w:sz w:val="21"/>
                <w:szCs w:val="16"/>
              </w:rPr>
            </w:pPr>
            <w:r>
              <w:rPr>
                <w:rFonts w:hint="eastAsia"/>
                <w:sz w:val="21"/>
                <w:szCs w:val="16"/>
              </w:rPr>
              <w:t>管控要求</w:t>
            </w:r>
          </w:p>
        </w:tc>
        <w:tc>
          <w:tcPr>
            <w:tcW w:w="2551" w:type="dxa"/>
            <w:vAlign w:val="center"/>
          </w:tcPr>
          <w:p>
            <w:pPr>
              <w:spacing w:line="240" w:lineRule="auto"/>
              <w:ind w:firstLine="0" w:firstLineChars="0"/>
              <w:jc w:val="center"/>
              <w:rPr>
                <w:sz w:val="21"/>
                <w:szCs w:val="16"/>
              </w:rPr>
            </w:pPr>
            <w:r>
              <w:rPr>
                <w:rFonts w:hint="eastAsia"/>
                <w:sz w:val="21"/>
                <w:szCs w:val="16"/>
              </w:rPr>
              <w:t>项目情况</w:t>
            </w:r>
          </w:p>
        </w:tc>
        <w:tc>
          <w:tcPr>
            <w:tcW w:w="788" w:type="dxa"/>
            <w:vAlign w:val="center"/>
          </w:tcPr>
          <w:p>
            <w:pPr>
              <w:spacing w:line="240" w:lineRule="auto"/>
              <w:ind w:firstLine="0" w:firstLineChars="0"/>
              <w:jc w:val="center"/>
              <w:rPr>
                <w:sz w:val="21"/>
                <w:szCs w:val="16"/>
              </w:rPr>
            </w:pPr>
            <w:r>
              <w:rPr>
                <w:rFonts w:hint="eastAsia"/>
                <w:sz w:val="21"/>
                <w:szCs w:val="16"/>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Merge w:val="restart"/>
            <w:vAlign w:val="center"/>
          </w:tcPr>
          <w:p>
            <w:pPr>
              <w:spacing w:line="240" w:lineRule="auto"/>
              <w:ind w:firstLine="0" w:firstLineChars="0"/>
              <w:jc w:val="center"/>
              <w:rPr>
                <w:sz w:val="21"/>
                <w:szCs w:val="16"/>
              </w:rPr>
            </w:pPr>
            <w:r>
              <w:rPr>
                <w:rFonts w:hint="eastAsia"/>
                <w:sz w:val="21"/>
                <w:szCs w:val="16"/>
              </w:rPr>
              <w:t>空间布局约束</w:t>
            </w:r>
          </w:p>
        </w:tc>
        <w:tc>
          <w:tcPr>
            <w:tcW w:w="4253" w:type="dxa"/>
            <w:vAlign w:val="center"/>
          </w:tcPr>
          <w:p>
            <w:pPr>
              <w:spacing w:line="240" w:lineRule="auto"/>
              <w:ind w:firstLine="0" w:firstLineChars="0"/>
              <w:jc w:val="center"/>
              <w:rPr>
                <w:sz w:val="21"/>
                <w:szCs w:val="16"/>
              </w:rPr>
            </w:pPr>
            <w:r>
              <w:rPr>
                <w:rFonts w:hint="eastAsia"/>
                <w:sz w:val="21"/>
                <w:szCs w:val="16"/>
              </w:rPr>
              <w:t>新建涉VOCs 排放的工业企业要入园区</w:t>
            </w:r>
          </w:p>
        </w:tc>
        <w:tc>
          <w:tcPr>
            <w:tcW w:w="2551" w:type="dxa"/>
            <w:vAlign w:val="center"/>
          </w:tcPr>
          <w:p>
            <w:pPr>
              <w:spacing w:line="240" w:lineRule="auto"/>
              <w:ind w:firstLine="0" w:firstLineChars="0"/>
              <w:jc w:val="center"/>
              <w:rPr>
                <w:sz w:val="21"/>
                <w:szCs w:val="16"/>
              </w:rPr>
            </w:pPr>
            <w:r>
              <w:rPr>
                <w:rFonts w:hint="eastAsia"/>
                <w:sz w:val="21"/>
                <w:szCs w:val="16"/>
              </w:rPr>
              <w:t>本项目位于</w:t>
            </w:r>
            <w:r>
              <w:rPr>
                <w:sz w:val="21"/>
                <w:szCs w:val="16"/>
              </w:rPr>
              <w:t>界牌镇</w:t>
            </w:r>
            <w:r>
              <w:rPr>
                <w:bCs/>
                <w:sz w:val="21"/>
                <w:szCs w:val="16"/>
              </w:rPr>
              <w:t>陶瓷循环经济特色工业园区</w:t>
            </w:r>
            <w:r>
              <w:rPr>
                <w:rFonts w:hint="eastAsia"/>
                <w:bCs/>
                <w:sz w:val="21"/>
                <w:szCs w:val="16"/>
              </w:rPr>
              <w:t>内</w:t>
            </w:r>
          </w:p>
        </w:tc>
        <w:tc>
          <w:tcPr>
            <w:tcW w:w="788" w:type="dxa"/>
            <w:vAlign w:val="center"/>
          </w:tcPr>
          <w:p>
            <w:pPr>
              <w:spacing w:line="240" w:lineRule="auto"/>
              <w:ind w:firstLine="0" w:firstLineChars="0"/>
              <w:jc w:val="center"/>
              <w:rPr>
                <w:sz w:val="21"/>
                <w:szCs w:val="16"/>
              </w:rPr>
            </w:pPr>
            <w:r>
              <w:rPr>
                <w:rFonts w:hint="eastAsia"/>
                <w:sz w:val="21"/>
                <w:szCs w:val="16"/>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Merge w:val="continue"/>
            <w:vAlign w:val="center"/>
          </w:tcPr>
          <w:p>
            <w:pPr>
              <w:spacing w:line="240" w:lineRule="auto"/>
              <w:ind w:firstLine="0" w:firstLineChars="0"/>
              <w:jc w:val="center"/>
              <w:rPr>
                <w:sz w:val="21"/>
                <w:szCs w:val="16"/>
              </w:rPr>
            </w:pPr>
          </w:p>
        </w:tc>
        <w:tc>
          <w:tcPr>
            <w:tcW w:w="4253" w:type="dxa"/>
            <w:vAlign w:val="center"/>
          </w:tcPr>
          <w:p>
            <w:pPr>
              <w:spacing w:line="240" w:lineRule="auto"/>
              <w:ind w:firstLine="0" w:firstLineChars="0"/>
              <w:jc w:val="center"/>
              <w:rPr>
                <w:sz w:val="21"/>
                <w:szCs w:val="16"/>
              </w:rPr>
            </w:pPr>
            <w:r>
              <w:rPr>
                <w:rFonts w:hint="eastAsia"/>
                <w:sz w:val="21"/>
                <w:szCs w:val="16"/>
              </w:rPr>
              <w:t>养殖业按划定的禁养区、限养区、适养区实施分类管理。</w:t>
            </w:r>
          </w:p>
        </w:tc>
        <w:tc>
          <w:tcPr>
            <w:tcW w:w="2551" w:type="dxa"/>
            <w:vAlign w:val="center"/>
          </w:tcPr>
          <w:p>
            <w:pPr>
              <w:spacing w:line="240" w:lineRule="auto"/>
              <w:ind w:firstLine="0" w:firstLineChars="0"/>
              <w:jc w:val="center"/>
              <w:rPr>
                <w:sz w:val="21"/>
                <w:szCs w:val="16"/>
              </w:rPr>
            </w:pPr>
            <w:r>
              <w:rPr>
                <w:rFonts w:hint="eastAsia"/>
                <w:sz w:val="21"/>
                <w:szCs w:val="16"/>
              </w:rPr>
              <w:t>不涉及</w:t>
            </w:r>
          </w:p>
        </w:tc>
        <w:tc>
          <w:tcPr>
            <w:tcW w:w="788" w:type="dxa"/>
            <w:vAlign w:val="center"/>
          </w:tcPr>
          <w:p>
            <w:pPr>
              <w:spacing w:line="240" w:lineRule="auto"/>
              <w:ind w:firstLine="0" w:firstLineChars="0"/>
              <w:jc w:val="center"/>
              <w:rPr>
                <w:sz w:val="21"/>
                <w:szCs w:val="16"/>
              </w:rPr>
            </w:pPr>
            <w:r>
              <w:rPr>
                <w:rFonts w:hint="eastAsia"/>
                <w:sz w:val="21"/>
                <w:szCs w:val="16"/>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Merge w:val="restart"/>
            <w:vAlign w:val="center"/>
          </w:tcPr>
          <w:p>
            <w:pPr>
              <w:spacing w:line="240" w:lineRule="auto"/>
              <w:ind w:firstLine="0" w:firstLineChars="0"/>
              <w:jc w:val="center"/>
              <w:rPr>
                <w:sz w:val="21"/>
                <w:szCs w:val="16"/>
              </w:rPr>
            </w:pPr>
            <w:r>
              <w:rPr>
                <w:rFonts w:hint="eastAsia"/>
                <w:sz w:val="21"/>
                <w:szCs w:val="16"/>
              </w:rPr>
              <w:t>污染物排</w:t>
            </w:r>
          </w:p>
          <w:p>
            <w:pPr>
              <w:spacing w:line="240" w:lineRule="auto"/>
              <w:ind w:firstLine="0" w:firstLineChars="0"/>
              <w:jc w:val="center"/>
              <w:rPr>
                <w:sz w:val="21"/>
                <w:szCs w:val="16"/>
              </w:rPr>
            </w:pPr>
            <w:r>
              <w:rPr>
                <w:rFonts w:hint="eastAsia"/>
                <w:sz w:val="21"/>
                <w:szCs w:val="16"/>
              </w:rPr>
              <w:t>放管控</w:t>
            </w:r>
          </w:p>
        </w:tc>
        <w:tc>
          <w:tcPr>
            <w:tcW w:w="4253" w:type="dxa"/>
            <w:vAlign w:val="center"/>
          </w:tcPr>
          <w:p>
            <w:pPr>
              <w:spacing w:line="240" w:lineRule="auto"/>
              <w:ind w:firstLine="0" w:firstLineChars="0"/>
              <w:jc w:val="center"/>
              <w:rPr>
                <w:sz w:val="21"/>
                <w:szCs w:val="16"/>
              </w:rPr>
            </w:pPr>
            <w:r>
              <w:rPr>
                <w:rFonts w:hint="eastAsia"/>
                <w:sz w:val="21"/>
                <w:szCs w:val="16"/>
              </w:rPr>
              <w:t>完善污水收集配套管网，工业集聚区要建立水环境管理档案，实现“一园一档”。新建、升级园区应同步规划和建设污水、垃圾集中处理等污染治理设施。加强城镇污水管网建设，提高城镇污水处理率。启动乡镇污水处理设施及配套管网</w:t>
            </w:r>
          </w:p>
          <w:p>
            <w:pPr>
              <w:spacing w:line="240" w:lineRule="auto"/>
              <w:ind w:firstLine="0" w:firstLineChars="0"/>
              <w:jc w:val="center"/>
              <w:rPr>
                <w:sz w:val="21"/>
                <w:szCs w:val="16"/>
              </w:rPr>
            </w:pPr>
            <w:r>
              <w:rPr>
                <w:rFonts w:hint="eastAsia"/>
                <w:sz w:val="21"/>
                <w:szCs w:val="16"/>
              </w:rPr>
              <w:t>建设，建制镇污水处理率达到55%，污水处理设施产生的污泥应进行稳定化、无害化和资源化处理处置。</w:t>
            </w:r>
          </w:p>
        </w:tc>
        <w:tc>
          <w:tcPr>
            <w:tcW w:w="2551" w:type="dxa"/>
            <w:vAlign w:val="center"/>
          </w:tcPr>
          <w:p>
            <w:pPr>
              <w:spacing w:line="240" w:lineRule="auto"/>
              <w:ind w:firstLine="0" w:firstLineChars="0"/>
              <w:jc w:val="center"/>
              <w:rPr>
                <w:sz w:val="21"/>
                <w:szCs w:val="16"/>
              </w:rPr>
            </w:pPr>
            <w:r>
              <w:rPr>
                <w:rFonts w:hint="eastAsia"/>
                <w:sz w:val="21"/>
                <w:szCs w:val="16"/>
              </w:rPr>
              <w:t>不涉及</w:t>
            </w:r>
          </w:p>
        </w:tc>
        <w:tc>
          <w:tcPr>
            <w:tcW w:w="788" w:type="dxa"/>
            <w:vAlign w:val="center"/>
          </w:tcPr>
          <w:p>
            <w:pPr>
              <w:spacing w:line="240" w:lineRule="auto"/>
              <w:ind w:firstLine="0" w:firstLineChars="0"/>
              <w:jc w:val="center"/>
              <w:rPr>
                <w:sz w:val="21"/>
                <w:szCs w:val="16"/>
              </w:rPr>
            </w:pPr>
            <w:r>
              <w:rPr>
                <w:rFonts w:hint="eastAsia"/>
                <w:sz w:val="21"/>
                <w:szCs w:val="16"/>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Merge w:val="continue"/>
            <w:vAlign w:val="center"/>
          </w:tcPr>
          <w:p>
            <w:pPr>
              <w:spacing w:line="240" w:lineRule="auto"/>
              <w:ind w:firstLine="0" w:firstLineChars="0"/>
              <w:jc w:val="center"/>
              <w:rPr>
                <w:sz w:val="21"/>
                <w:szCs w:val="16"/>
              </w:rPr>
            </w:pPr>
          </w:p>
        </w:tc>
        <w:tc>
          <w:tcPr>
            <w:tcW w:w="4253" w:type="dxa"/>
            <w:vAlign w:val="center"/>
          </w:tcPr>
          <w:p>
            <w:pPr>
              <w:spacing w:line="240" w:lineRule="auto"/>
              <w:ind w:firstLine="0" w:firstLineChars="0"/>
              <w:jc w:val="center"/>
              <w:rPr>
                <w:sz w:val="21"/>
                <w:szCs w:val="16"/>
              </w:rPr>
            </w:pPr>
            <w:r>
              <w:rPr>
                <w:rFonts w:hint="eastAsia"/>
                <w:sz w:val="21"/>
                <w:szCs w:val="16"/>
              </w:rPr>
              <w:t>完成“散乱污”涉气企业整治工作，重点工业企业完成无组织排放治理改造，强制推进清洁生产审核；实行区域内VOCs 排放等量或倍量削减替代，交通运输设备制造、工程机械制造和家具制造行业全面推行油性漆改水性漆。加快推进园区内淘汰取缔燃煤小锅炉、实施集中供热、清洁能源替代。禁止露天烧烤直排，禁止垃圾、秸秆和落叶露天焚烧。</w:t>
            </w:r>
          </w:p>
        </w:tc>
        <w:tc>
          <w:tcPr>
            <w:tcW w:w="2551" w:type="dxa"/>
            <w:vAlign w:val="center"/>
          </w:tcPr>
          <w:p>
            <w:pPr>
              <w:spacing w:line="240" w:lineRule="auto"/>
              <w:ind w:firstLine="0" w:firstLineChars="0"/>
              <w:jc w:val="center"/>
              <w:rPr>
                <w:sz w:val="21"/>
                <w:szCs w:val="16"/>
              </w:rPr>
            </w:pPr>
            <w:r>
              <w:rPr>
                <w:rFonts w:hint="eastAsia"/>
                <w:sz w:val="21"/>
                <w:szCs w:val="16"/>
              </w:rPr>
              <w:t>项目排放少量VOCs，要求建设单位在环评通过后，投入生产前落实VOCs总量问题</w:t>
            </w:r>
          </w:p>
        </w:tc>
        <w:tc>
          <w:tcPr>
            <w:tcW w:w="788" w:type="dxa"/>
            <w:vAlign w:val="center"/>
          </w:tcPr>
          <w:p>
            <w:pPr>
              <w:spacing w:line="240" w:lineRule="auto"/>
              <w:ind w:firstLine="0" w:firstLineChars="0"/>
              <w:jc w:val="center"/>
              <w:rPr>
                <w:sz w:val="21"/>
                <w:szCs w:val="16"/>
              </w:rPr>
            </w:pPr>
            <w:r>
              <w:rPr>
                <w:rFonts w:hint="eastAsia"/>
                <w:sz w:val="21"/>
                <w:szCs w:val="16"/>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Merge w:val="continue"/>
            <w:vAlign w:val="center"/>
          </w:tcPr>
          <w:p>
            <w:pPr>
              <w:spacing w:line="240" w:lineRule="auto"/>
              <w:ind w:firstLine="0" w:firstLineChars="0"/>
              <w:jc w:val="center"/>
              <w:rPr>
                <w:sz w:val="21"/>
                <w:szCs w:val="16"/>
              </w:rPr>
            </w:pPr>
          </w:p>
        </w:tc>
        <w:tc>
          <w:tcPr>
            <w:tcW w:w="4253" w:type="dxa"/>
            <w:vAlign w:val="center"/>
          </w:tcPr>
          <w:p>
            <w:pPr>
              <w:spacing w:line="240" w:lineRule="auto"/>
              <w:ind w:firstLine="0" w:firstLineChars="0"/>
              <w:jc w:val="center"/>
              <w:rPr>
                <w:sz w:val="21"/>
                <w:szCs w:val="16"/>
              </w:rPr>
            </w:pPr>
            <w:r>
              <w:rPr>
                <w:rFonts w:hint="eastAsia"/>
                <w:sz w:val="21"/>
                <w:szCs w:val="16"/>
              </w:rPr>
              <w:t>积极推进垃圾收运体系建设，建设覆盖城乡的垃圾收运系统；严格监督分类垃圾分类收集、分类处理。推进农村环境综合整治全县域覆盖；畜禽规模养殖场（小区）配套建设废弃物处理设施的比例达到85%以上。</w:t>
            </w:r>
          </w:p>
        </w:tc>
        <w:tc>
          <w:tcPr>
            <w:tcW w:w="2551" w:type="dxa"/>
            <w:vAlign w:val="center"/>
          </w:tcPr>
          <w:p>
            <w:pPr>
              <w:spacing w:line="240" w:lineRule="auto"/>
              <w:ind w:firstLine="0" w:firstLineChars="0"/>
              <w:jc w:val="center"/>
              <w:rPr>
                <w:sz w:val="21"/>
                <w:szCs w:val="16"/>
              </w:rPr>
            </w:pPr>
            <w:r>
              <w:rPr>
                <w:rFonts w:hint="eastAsia"/>
                <w:sz w:val="21"/>
                <w:szCs w:val="16"/>
              </w:rPr>
              <w:t>项目生活垃圾分类收集后由环卫部门处理</w:t>
            </w:r>
          </w:p>
        </w:tc>
        <w:tc>
          <w:tcPr>
            <w:tcW w:w="788" w:type="dxa"/>
            <w:vAlign w:val="center"/>
          </w:tcPr>
          <w:p>
            <w:pPr>
              <w:spacing w:line="240" w:lineRule="auto"/>
              <w:ind w:firstLine="0" w:firstLineChars="0"/>
              <w:jc w:val="center"/>
              <w:rPr>
                <w:sz w:val="21"/>
                <w:szCs w:val="16"/>
              </w:rPr>
            </w:pPr>
            <w:r>
              <w:rPr>
                <w:rFonts w:hint="eastAsia"/>
                <w:sz w:val="21"/>
                <w:szCs w:val="16"/>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Merge w:val="restart"/>
            <w:vAlign w:val="center"/>
          </w:tcPr>
          <w:p>
            <w:pPr>
              <w:spacing w:line="240" w:lineRule="auto"/>
              <w:ind w:firstLine="0" w:firstLineChars="0"/>
              <w:jc w:val="center"/>
              <w:rPr>
                <w:sz w:val="21"/>
                <w:szCs w:val="16"/>
              </w:rPr>
            </w:pPr>
            <w:r>
              <w:rPr>
                <w:rFonts w:hint="eastAsia"/>
                <w:sz w:val="21"/>
                <w:szCs w:val="16"/>
              </w:rPr>
              <w:t>环境风险</w:t>
            </w:r>
          </w:p>
          <w:p>
            <w:pPr>
              <w:spacing w:line="240" w:lineRule="auto"/>
              <w:ind w:firstLine="0" w:firstLineChars="0"/>
              <w:jc w:val="center"/>
              <w:rPr>
                <w:sz w:val="21"/>
                <w:szCs w:val="16"/>
              </w:rPr>
            </w:pPr>
            <w:r>
              <w:rPr>
                <w:rFonts w:hint="eastAsia"/>
                <w:sz w:val="21"/>
                <w:szCs w:val="16"/>
              </w:rPr>
              <w:t>防控</w:t>
            </w:r>
          </w:p>
        </w:tc>
        <w:tc>
          <w:tcPr>
            <w:tcW w:w="4253" w:type="dxa"/>
            <w:vAlign w:val="center"/>
          </w:tcPr>
          <w:p>
            <w:pPr>
              <w:spacing w:line="240" w:lineRule="auto"/>
              <w:ind w:firstLine="0" w:firstLineChars="0"/>
              <w:jc w:val="center"/>
              <w:rPr>
                <w:sz w:val="21"/>
                <w:szCs w:val="16"/>
              </w:rPr>
            </w:pPr>
            <w:r>
              <w:rPr>
                <w:rFonts w:hint="eastAsia"/>
                <w:sz w:val="21"/>
                <w:szCs w:val="16"/>
              </w:rPr>
              <w:t>加强环境风险防控和应急管理，制定和完善突发环境事件和饮用水水源地突发环境事件应急预案，加强风险防控和突发环境事件应急处理处置能力。</w:t>
            </w:r>
          </w:p>
        </w:tc>
        <w:tc>
          <w:tcPr>
            <w:tcW w:w="2551" w:type="dxa"/>
            <w:vAlign w:val="center"/>
          </w:tcPr>
          <w:p>
            <w:pPr>
              <w:spacing w:line="240" w:lineRule="auto"/>
              <w:ind w:firstLine="0" w:firstLineChars="0"/>
              <w:jc w:val="center"/>
              <w:rPr>
                <w:sz w:val="21"/>
                <w:szCs w:val="16"/>
              </w:rPr>
            </w:pPr>
            <w:r>
              <w:rPr>
                <w:rFonts w:hint="eastAsia"/>
                <w:sz w:val="21"/>
                <w:szCs w:val="16"/>
              </w:rPr>
              <w:t>本报告已提出企业制定突发环境事件应急预案的要求</w:t>
            </w:r>
          </w:p>
        </w:tc>
        <w:tc>
          <w:tcPr>
            <w:tcW w:w="788" w:type="dxa"/>
            <w:vAlign w:val="center"/>
          </w:tcPr>
          <w:p>
            <w:pPr>
              <w:spacing w:line="240" w:lineRule="auto"/>
              <w:ind w:firstLine="0" w:firstLineChars="0"/>
              <w:jc w:val="center"/>
              <w:rPr>
                <w:sz w:val="21"/>
                <w:szCs w:val="16"/>
              </w:rPr>
            </w:pPr>
            <w:r>
              <w:rPr>
                <w:rFonts w:hint="eastAsia"/>
                <w:sz w:val="21"/>
                <w:szCs w:val="16"/>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Merge w:val="continue"/>
            <w:vAlign w:val="center"/>
          </w:tcPr>
          <w:p>
            <w:pPr>
              <w:spacing w:line="240" w:lineRule="auto"/>
              <w:ind w:firstLine="0" w:firstLineChars="0"/>
              <w:jc w:val="center"/>
              <w:rPr>
                <w:sz w:val="21"/>
                <w:szCs w:val="16"/>
              </w:rPr>
            </w:pPr>
          </w:p>
        </w:tc>
        <w:tc>
          <w:tcPr>
            <w:tcW w:w="4253" w:type="dxa"/>
            <w:vAlign w:val="center"/>
          </w:tcPr>
          <w:p>
            <w:pPr>
              <w:spacing w:line="240" w:lineRule="auto"/>
              <w:ind w:firstLine="0" w:firstLineChars="0"/>
              <w:jc w:val="center"/>
              <w:rPr>
                <w:sz w:val="21"/>
                <w:szCs w:val="16"/>
              </w:rPr>
            </w:pPr>
            <w:r>
              <w:rPr>
                <w:rFonts w:hint="eastAsia"/>
                <w:sz w:val="21"/>
                <w:szCs w:val="16"/>
              </w:rPr>
              <w:t>根据建设用地土壤环境调查评估及现有重金属污染场地调查结果，逐步建立污染地块名录及其开发利用的负面清单，合理确定土地用途。土地开发利用必须符合土壤环境质量要求。</w:t>
            </w:r>
          </w:p>
        </w:tc>
        <w:tc>
          <w:tcPr>
            <w:tcW w:w="2551" w:type="dxa"/>
            <w:vAlign w:val="center"/>
          </w:tcPr>
          <w:p>
            <w:pPr>
              <w:spacing w:line="240" w:lineRule="auto"/>
              <w:ind w:firstLine="0" w:firstLineChars="0"/>
              <w:jc w:val="center"/>
              <w:rPr>
                <w:sz w:val="21"/>
                <w:szCs w:val="16"/>
              </w:rPr>
            </w:pPr>
            <w:r>
              <w:rPr>
                <w:rFonts w:hint="eastAsia"/>
                <w:sz w:val="21"/>
                <w:szCs w:val="16"/>
              </w:rPr>
              <w:t>根据现状监测结果，项目用地范围内土壤环境质量能够达标，且未被列入衡阳县污染地块名录及开发利用的负面清单</w:t>
            </w:r>
          </w:p>
        </w:tc>
        <w:tc>
          <w:tcPr>
            <w:tcW w:w="788" w:type="dxa"/>
            <w:vAlign w:val="center"/>
          </w:tcPr>
          <w:p>
            <w:pPr>
              <w:spacing w:line="240" w:lineRule="auto"/>
              <w:ind w:firstLine="0" w:firstLineChars="0"/>
              <w:jc w:val="center"/>
              <w:rPr>
                <w:sz w:val="21"/>
                <w:szCs w:val="16"/>
              </w:rPr>
            </w:pPr>
            <w:r>
              <w:rPr>
                <w:rFonts w:hint="eastAsia"/>
                <w:sz w:val="21"/>
                <w:szCs w:val="16"/>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Merge w:val="restart"/>
            <w:vAlign w:val="center"/>
          </w:tcPr>
          <w:p>
            <w:pPr>
              <w:spacing w:line="240" w:lineRule="auto"/>
              <w:ind w:firstLine="0" w:firstLineChars="0"/>
              <w:jc w:val="center"/>
              <w:rPr>
                <w:sz w:val="21"/>
                <w:szCs w:val="16"/>
              </w:rPr>
            </w:pPr>
            <w:r>
              <w:rPr>
                <w:rFonts w:hint="eastAsia"/>
                <w:sz w:val="21"/>
                <w:szCs w:val="16"/>
              </w:rPr>
              <w:t>资源开发</w:t>
            </w:r>
          </w:p>
          <w:p>
            <w:pPr>
              <w:spacing w:line="240" w:lineRule="auto"/>
              <w:ind w:firstLine="0" w:firstLineChars="0"/>
              <w:jc w:val="center"/>
              <w:rPr>
                <w:sz w:val="21"/>
                <w:szCs w:val="16"/>
              </w:rPr>
            </w:pPr>
            <w:r>
              <w:rPr>
                <w:rFonts w:hint="eastAsia"/>
                <w:sz w:val="21"/>
                <w:szCs w:val="16"/>
              </w:rPr>
              <w:t>效率要求</w:t>
            </w:r>
          </w:p>
        </w:tc>
        <w:tc>
          <w:tcPr>
            <w:tcW w:w="4253" w:type="dxa"/>
            <w:vAlign w:val="center"/>
          </w:tcPr>
          <w:p>
            <w:pPr>
              <w:spacing w:line="240" w:lineRule="auto"/>
              <w:ind w:firstLine="0" w:firstLineChars="0"/>
              <w:jc w:val="center"/>
              <w:rPr>
                <w:sz w:val="21"/>
                <w:szCs w:val="16"/>
              </w:rPr>
            </w:pPr>
            <w:r>
              <w:rPr>
                <w:rFonts w:hint="eastAsia"/>
                <w:sz w:val="21"/>
                <w:szCs w:val="16"/>
              </w:rPr>
              <w:t>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w:t>
            </w:r>
          </w:p>
        </w:tc>
        <w:tc>
          <w:tcPr>
            <w:tcW w:w="2551" w:type="dxa"/>
            <w:vAlign w:val="center"/>
          </w:tcPr>
          <w:p>
            <w:pPr>
              <w:spacing w:line="240" w:lineRule="auto"/>
              <w:ind w:firstLine="0" w:firstLineChars="0"/>
              <w:jc w:val="center"/>
              <w:rPr>
                <w:sz w:val="21"/>
                <w:szCs w:val="16"/>
              </w:rPr>
            </w:pPr>
            <w:r>
              <w:rPr>
                <w:rFonts w:hint="eastAsia"/>
                <w:sz w:val="21"/>
                <w:szCs w:val="16"/>
              </w:rPr>
              <w:t>项目产品、原料不属于淘汰类产品，本项目炉窑使用天然气，目前自备储气站，待园区集中供气后取消储气站；由于工艺原因，热风炉干燥塔需要使用微煤粉，项目使用低硫煤。</w:t>
            </w:r>
          </w:p>
        </w:tc>
        <w:tc>
          <w:tcPr>
            <w:tcW w:w="788" w:type="dxa"/>
            <w:vAlign w:val="center"/>
          </w:tcPr>
          <w:p>
            <w:pPr>
              <w:spacing w:line="240" w:lineRule="auto"/>
              <w:ind w:firstLine="0" w:firstLineChars="0"/>
              <w:jc w:val="center"/>
              <w:rPr>
                <w:sz w:val="21"/>
                <w:szCs w:val="16"/>
              </w:rPr>
            </w:pPr>
            <w:r>
              <w:rPr>
                <w:rFonts w:hint="eastAsia"/>
                <w:sz w:val="21"/>
                <w:szCs w:val="16"/>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Merge w:val="continue"/>
            <w:vAlign w:val="center"/>
          </w:tcPr>
          <w:p>
            <w:pPr>
              <w:spacing w:line="240" w:lineRule="auto"/>
              <w:ind w:firstLine="0" w:firstLineChars="0"/>
              <w:jc w:val="center"/>
              <w:rPr>
                <w:sz w:val="21"/>
                <w:szCs w:val="16"/>
              </w:rPr>
            </w:pPr>
          </w:p>
        </w:tc>
        <w:tc>
          <w:tcPr>
            <w:tcW w:w="4253" w:type="dxa"/>
            <w:vAlign w:val="center"/>
          </w:tcPr>
          <w:p>
            <w:pPr>
              <w:spacing w:line="240" w:lineRule="auto"/>
              <w:ind w:firstLine="0" w:firstLineChars="0"/>
              <w:jc w:val="center"/>
              <w:rPr>
                <w:sz w:val="21"/>
                <w:szCs w:val="16"/>
              </w:rPr>
            </w:pPr>
            <w:r>
              <w:rPr>
                <w:rFonts w:hint="eastAsia"/>
                <w:sz w:val="21"/>
                <w:szCs w:val="16"/>
              </w:rPr>
              <w:t>水资源：大力推进农业、工业、城镇节水，全面推进节水型社会建设。</w:t>
            </w:r>
          </w:p>
        </w:tc>
        <w:tc>
          <w:tcPr>
            <w:tcW w:w="2551" w:type="dxa"/>
            <w:vAlign w:val="center"/>
          </w:tcPr>
          <w:p>
            <w:pPr>
              <w:spacing w:line="240" w:lineRule="auto"/>
              <w:ind w:firstLine="0" w:firstLineChars="0"/>
              <w:jc w:val="center"/>
              <w:rPr>
                <w:sz w:val="21"/>
                <w:szCs w:val="16"/>
              </w:rPr>
            </w:pPr>
            <w:r>
              <w:rPr>
                <w:rFonts w:hint="eastAsia"/>
                <w:sz w:val="21"/>
                <w:szCs w:val="16"/>
              </w:rPr>
              <w:t>项目生产用水全部循环使用，符合节水要求</w:t>
            </w:r>
          </w:p>
        </w:tc>
        <w:tc>
          <w:tcPr>
            <w:tcW w:w="788" w:type="dxa"/>
            <w:vAlign w:val="center"/>
          </w:tcPr>
          <w:p>
            <w:pPr>
              <w:spacing w:line="240" w:lineRule="auto"/>
              <w:ind w:firstLine="0" w:firstLineChars="0"/>
              <w:jc w:val="center"/>
              <w:rPr>
                <w:sz w:val="21"/>
                <w:szCs w:val="16"/>
              </w:rPr>
            </w:pPr>
            <w:r>
              <w:rPr>
                <w:rFonts w:hint="eastAsia"/>
                <w:sz w:val="21"/>
                <w:szCs w:val="16"/>
              </w:rPr>
              <w:t>符合</w:t>
            </w:r>
          </w:p>
        </w:tc>
      </w:tr>
    </w:tbl>
    <w:p>
      <w:pPr>
        <w:ind w:firstLine="480"/>
        <w:rPr>
          <w:rFonts w:cs="Times New Roman"/>
        </w:rPr>
      </w:pPr>
      <w:r>
        <w:rPr>
          <w:rFonts w:cs="Times New Roman"/>
          <w:szCs w:val="24"/>
        </w:rPr>
        <w:t>综上，本项目不属于区域禁止准入产业，符合环境准入负面清单管理要求</w:t>
      </w:r>
      <w:r>
        <w:rPr>
          <w:rFonts w:cs="Times New Roman"/>
        </w:rPr>
        <w:t>。</w:t>
      </w:r>
    </w:p>
    <w:p>
      <w:pPr>
        <w:ind w:firstLine="482"/>
        <w:rPr>
          <w:rFonts w:cs="Times New Roman"/>
          <w:b/>
        </w:rPr>
      </w:pPr>
      <w:r>
        <w:rPr>
          <w:rFonts w:cs="Times New Roman"/>
          <w:b/>
        </w:rPr>
        <w:t>综上所述，项目符合“三线一单”相关要求。</w:t>
      </w:r>
    </w:p>
    <w:p>
      <w:pPr>
        <w:pStyle w:val="4"/>
        <w:rPr>
          <w:u w:val="single"/>
        </w:rPr>
      </w:pPr>
      <w:bookmarkStart w:id="11" w:name="_Toc86611221"/>
      <w:r>
        <w:rPr>
          <w:rFonts w:hint="eastAsia"/>
          <w:u w:val="single"/>
        </w:rPr>
        <w:t>1</w:t>
      </w:r>
      <w:r>
        <w:rPr>
          <w:u w:val="single"/>
        </w:rPr>
        <w:t>.4.5</w:t>
      </w:r>
      <w:r>
        <w:rPr>
          <w:rFonts w:hint="eastAsia"/>
          <w:u w:val="single"/>
        </w:rPr>
        <w:t>环境制约因素</w:t>
      </w:r>
      <w:bookmarkEnd w:id="11"/>
    </w:p>
    <w:p>
      <w:pPr>
        <w:ind w:firstLine="480"/>
        <w:rPr>
          <w:rFonts w:cs="Times New Roman"/>
          <w:u w:val="single"/>
        </w:rPr>
      </w:pPr>
      <w:r>
        <w:rPr>
          <w:rFonts w:hint="eastAsia" w:cs="Times New Roman"/>
          <w:u w:val="single"/>
        </w:rPr>
        <w:t>1、根据《湖南省“蓝天保卫战”实施方案》的相关要求，补充项目SO2、NOx污染物两倍削减替代方案</w:t>
      </w:r>
    </w:p>
    <w:p>
      <w:pPr>
        <w:ind w:firstLine="480"/>
        <w:rPr>
          <w:rFonts w:cs="Times New Roman"/>
          <w:u w:val="single"/>
        </w:rPr>
      </w:pPr>
      <w:r>
        <w:rPr>
          <w:rFonts w:hint="eastAsia" w:cs="Times New Roman"/>
          <w:u w:val="single"/>
        </w:rPr>
        <w:t>解决办法：根据衡阳市生态环境局提供资料，项目SO</w:t>
      </w:r>
      <w:r>
        <w:rPr>
          <w:rFonts w:cs="Times New Roman"/>
          <w:u w:val="single"/>
          <w:vertAlign w:val="subscript"/>
        </w:rPr>
        <w:t>2</w:t>
      </w:r>
      <w:r>
        <w:rPr>
          <w:rFonts w:hint="eastAsia" w:cs="Times New Roman"/>
          <w:u w:val="single"/>
        </w:rPr>
        <w:t>和NO</w:t>
      </w:r>
      <w:r>
        <w:rPr>
          <w:rFonts w:hint="eastAsia" w:cs="Times New Roman"/>
          <w:u w:val="single"/>
          <w:vertAlign w:val="subscript"/>
        </w:rPr>
        <w:t>x</w:t>
      </w:r>
      <w:r>
        <w:rPr>
          <w:rFonts w:hint="eastAsia" w:cs="Times New Roman"/>
          <w:u w:val="single"/>
        </w:rPr>
        <w:t>削减源可从衡阳县淘汰的板市乡子园砖厂、西渡镇宏伟砖厂、西渡镇咸育砖厂、演陂镇正源砖厂、渣江镇油库砖厂、渣江镇河西砖厂、大安乡上升砖厂等7家砖厂及衡阳县1</w:t>
      </w:r>
      <w:r>
        <w:rPr>
          <w:rFonts w:cs="Times New Roman"/>
          <w:u w:val="single"/>
        </w:rPr>
        <w:t>4</w:t>
      </w:r>
      <w:r>
        <w:rPr>
          <w:rFonts w:hint="eastAsia" w:cs="Times New Roman"/>
          <w:u w:val="single"/>
        </w:rPr>
        <w:t>家砖厂通过采取措施后削减SO</w:t>
      </w:r>
      <w:r>
        <w:rPr>
          <w:rFonts w:cs="Times New Roman"/>
          <w:u w:val="single"/>
          <w:vertAlign w:val="subscript"/>
        </w:rPr>
        <w:t>2</w:t>
      </w:r>
      <w:r>
        <w:rPr>
          <w:rFonts w:hint="eastAsia" w:cs="Times New Roman"/>
          <w:u w:val="single"/>
        </w:rPr>
        <w:t>及NO</w:t>
      </w:r>
      <w:r>
        <w:rPr>
          <w:rFonts w:hint="eastAsia" w:cs="Times New Roman"/>
          <w:u w:val="single"/>
          <w:vertAlign w:val="subscript"/>
        </w:rPr>
        <w:t>x</w:t>
      </w:r>
      <w:r>
        <w:rPr>
          <w:rFonts w:hint="eastAsia" w:cs="Times New Roman"/>
          <w:u w:val="single"/>
        </w:rPr>
        <w:t>获得，并异地削减NO</w:t>
      </w:r>
      <w:r>
        <w:rPr>
          <w:rFonts w:hint="eastAsia" w:cs="Times New Roman"/>
          <w:u w:val="single"/>
          <w:vertAlign w:val="subscript"/>
        </w:rPr>
        <w:t>x</w:t>
      </w:r>
      <w:r>
        <w:rPr>
          <w:rFonts w:cs="Times New Roman"/>
          <w:u w:val="single"/>
        </w:rPr>
        <w:t>756.13</w:t>
      </w:r>
      <w:r>
        <w:rPr>
          <w:rFonts w:hint="eastAsia" w:cs="Times New Roman"/>
          <w:u w:val="single"/>
        </w:rPr>
        <w:t>t</w:t>
      </w:r>
      <w:r>
        <w:rPr>
          <w:rFonts w:cs="Times New Roman"/>
          <w:u w:val="single"/>
        </w:rPr>
        <w:t>/a</w:t>
      </w:r>
      <w:r>
        <w:rPr>
          <w:rFonts w:hint="eastAsia" w:cs="Times New Roman"/>
          <w:u w:val="single"/>
        </w:rPr>
        <w:t>（湖南柳化桂成化工有限公司），可满足本项目倍量削减需求：SO</w:t>
      </w:r>
      <w:r>
        <w:rPr>
          <w:rFonts w:cs="Times New Roman"/>
          <w:u w:val="single"/>
          <w:vertAlign w:val="subscript"/>
        </w:rPr>
        <w:t>2</w:t>
      </w:r>
      <w:r>
        <w:rPr>
          <w:rFonts w:hint="eastAsia" w:cs="Times New Roman"/>
          <w:u w:val="single"/>
        </w:rPr>
        <w:t>：</w:t>
      </w:r>
      <w:r>
        <w:rPr>
          <w:rFonts w:cs="Times New Roman"/>
          <w:u w:val="single"/>
        </w:rPr>
        <w:t>310.32</w:t>
      </w:r>
      <w:r>
        <w:rPr>
          <w:rFonts w:hint="eastAsia" w:cs="Times New Roman"/>
          <w:u w:val="single"/>
        </w:rPr>
        <w:t>t</w:t>
      </w:r>
      <w:r>
        <w:rPr>
          <w:rFonts w:cs="Times New Roman"/>
          <w:u w:val="single"/>
        </w:rPr>
        <w:t>/a</w:t>
      </w:r>
      <w:r>
        <w:rPr>
          <w:rFonts w:hint="eastAsia" w:cs="Times New Roman"/>
          <w:u w:val="single"/>
        </w:rPr>
        <w:t>（项目2倍排放量）、NO</w:t>
      </w:r>
      <w:r>
        <w:rPr>
          <w:rFonts w:hint="eastAsia" w:cs="Times New Roman"/>
          <w:u w:val="single"/>
          <w:vertAlign w:val="subscript"/>
        </w:rPr>
        <w:t>x</w:t>
      </w:r>
      <w:r>
        <w:rPr>
          <w:rFonts w:hint="eastAsia" w:cs="Times New Roman"/>
          <w:u w:val="single"/>
        </w:rPr>
        <w:t>：</w:t>
      </w:r>
      <w:r>
        <w:rPr>
          <w:rFonts w:cs="Times New Roman"/>
          <w:u w:val="single"/>
        </w:rPr>
        <w:t>814.38</w:t>
      </w:r>
      <w:r>
        <w:rPr>
          <w:rFonts w:hint="eastAsia" w:cs="Times New Roman"/>
          <w:u w:val="single"/>
        </w:rPr>
        <w:t>t</w:t>
      </w:r>
      <w:r>
        <w:rPr>
          <w:rFonts w:cs="Times New Roman"/>
          <w:u w:val="single"/>
        </w:rPr>
        <w:t>/a</w:t>
      </w:r>
      <w:r>
        <w:rPr>
          <w:rFonts w:hint="eastAsia" w:cs="Times New Roman"/>
          <w:u w:val="single"/>
        </w:rPr>
        <w:t>（项目2倍排放量）。因此，项目满足倍量削减的要求。</w:t>
      </w:r>
    </w:p>
    <w:p>
      <w:pPr>
        <w:ind w:firstLine="480"/>
        <w:rPr>
          <w:rFonts w:cs="Times New Roman"/>
          <w:u w:val="single"/>
        </w:rPr>
      </w:pPr>
      <w:r>
        <w:rPr>
          <w:rFonts w:cs="Times New Roman"/>
          <w:u w:val="single"/>
        </w:rPr>
        <w:t>2</w:t>
      </w:r>
      <w:r>
        <w:rPr>
          <w:rFonts w:hint="eastAsia" w:cs="Times New Roman"/>
          <w:u w:val="single"/>
        </w:rPr>
        <w:t>、根据《衡阳界牌陶瓷工业园环境影响报告书》：国家产业政策明令禁止的项目，以及使用高、中硫煤等大量增加SO2和TSP排放污染严重的工业项目禁止引入</w:t>
      </w:r>
    </w:p>
    <w:p>
      <w:pPr>
        <w:ind w:firstLine="480"/>
        <w:rPr>
          <w:rFonts w:cs="Times New Roman"/>
          <w:u w:val="single"/>
        </w:rPr>
      </w:pPr>
      <w:r>
        <w:rPr>
          <w:rFonts w:hint="eastAsia" w:cs="Times New Roman"/>
          <w:u w:val="single"/>
        </w:rPr>
        <w:t>解决办法：本项目烧成窑由原来设计的采用煤改为燃烧天然气，由于园区目前尚未实现集中供气，项目建设一座储气站，共项目烧成窑燃气储备；由于热风炉喷雾干燥工序无法使用天然气进行，项目选用国内比较先进的低硫煤，硫含量低于0</w:t>
      </w:r>
      <w:r>
        <w:rPr>
          <w:rFonts w:cs="Times New Roman"/>
          <w:u w:val="single"/>
        </w:rPr>
        <w:t>.</w:t>
      </w:r>
      <w:r>
        <w:rPr>
          <w:rFonts w:hint="eastAsia" w:cs="Times New Roman"/>
          <w:u w:val="single"/>
        </w:rPr>
        <w:t>3</w:t>
      </w:r>
      <w:r>
        <w:rPr>
          <w:rFonts w:cs="Times New Roman"/>
          <w:u w:val="single"/>
        </w:rPr>
        <w:t>5</w:t>
      </w:r>
      <w:r>
        <w:rPr>
          <w:rFonts w:hint="eastAsia" w:cs="Times New Roman"/>
          <w:u w:val="single"/>
        </w:rPr>
        <w:t>%，不属于高、中硫煤。</w:t>
      </w:r>
    </w:p>
    <w:p>
      <w:pPr>
        <w:ind w:firstLine="480"/>
        <w:rPr>
          <w:rFonts w:cs="Times New Roman"/>
          <w:u w:val="single"/>
        </w:rPr>
      </w:pPr>
      <w:r>
        <w:rPr>
          <w:rFonts w:cs="Times New Roman"/>
          <w:u w:val="single"/>
        </w:rPr>
        <w:t>3</w:t>
      </w:r>
      <w:r>
        <w:rPr>
          <w:rFonts w:hint="eastAsia" w:cs="Times New Roman"/>
          <w:u w:val="single"/>
        </w:rPr>
        <w:t>、根据《衡阳界牌陶瓷工业园环境影响报告书》：衡阳界牌陶瓷工业园的设计规模为1</w:t>
      </w:r>
      <w:r>
        <w:rPr>
          <w:rFonts w:cs="Times New Roman"/>
          <w:u w:val="single"/>
        </w:rPr>
        <w:t>0</w:t>
      </w:r>
      <w:r>
        <w:rPr>
          <w:rFonts w:hint="eastAsia" w:cs="Times New Roman"/>
          <w:u w:val="single"/>
        </w:rPr>
        <w:t>条建筑陶瓷生产线，且目前园区内已批复一家陶瓷企业，规模为4条建筑陶瓷生产线，本项目设计规模为1</w:t>
      </w:r>
      <w:r>
        <w:rPr>
          <w:rFonts w:cs="Times New Roman"/>
          <w:u w:val="single"/>
        </w:rPr>
        <w:t>2</w:t>
      </w:r>
      <w:r>
        <w:rPr>
          <w:rFonts w:hint="eastAsia" w:cs="Times New Roman"/>
          <w:u w:val="single"/>
        </w:rPr>
        <w:t>条建筑陶瓷生产线，超过了园区设计规模。</w:t>
      </w:r>
    </w:p>
    <w:p>
      <w:pPr>
        <w:ind w:firstLine="480"/>
        <w:rPr>
          <w:rFonts w:cs="Times New Roman"/>
        </w:rPr>
      </w:pPr>
      <w:r>
        <w:rPr>
          <w:rFonts w:hint="eastAsia" w:cs="Times New Roman"/>
          <w:u w:val="single"/>
        </w:rPr>
        <w:t>解决办法：目前衡阳县界牌陶瓷工业园管委会正在推动园区调扩区规划工作，已委托技术单位正在编制环境影响报告书，目前尚未完成。衡阳县界牌陶瓷工业园管委会承诺将本项目纳入调扩区规划内，调扩区后规模能够容纳本项目。因此，建设单位拟将项目分两期建设：一期建设6条建筑陶瓷烧成窑及所有配套设施、土建工程，二期工程建设</w:t>
      </w:r>
      <w:r>
        <w:rPr>
          <w:rFonts w:cs="Times New Roman"/>
          <w:u w:val="single"/>
        </w:rPr>
        <w:t>6</w:t>
      </w:r>
      <w:r>
        <w:rPr>
          <w:rFonts w:hint="eastAsia" w:cs="Times New Roman"/>
          <w:u w:val="single"/>
        </w:rPr>
        <w:t>条建筑陶瓷烧成窑。一期工程目前已经完成三通一平，待环境影响报告书批复后开启其他建设，二期工程待衡阳县界牌陶瓷工业园调扩区工作完成后建设。</w:t>
      </w:r>
    </w:p>
    <w:p>
      <w:pPr>
        <w:pStyle w:val="3"/>
        <w:rPr>
          <w:rFonts w:cs="Times New Roman"/>
        </w:rPr>
      </w:pPr>
      <w:bookmarkStart w:id="12" w:name="_Toc86611222"/>
      <w:r>
        <w:rPr>
          <w:rFonts w:cs="Times New Roman"/>
        </w:rPr>
        <w:t>1.5关注的主要环境问题及环境影响</w:t>
      </w:r>
      <w:bookmarkEnd w:id="12"/>
    </w:p>
    <w:p>
      <w:pPr>
        <w:ind w:firstLine="480"/>
        <w:rPr>
          <w:rFonts w:cs="Times New Roman"/>
        </w:rPr>
      </w:pPr>
      <w:r>
        <w:rPr>
          <w:rFonts w:cs="Times New Roman"/>
        </w:rPr>
        <w:t>根据</w:t>
      </w:r>
      <w:r>
        <w:rPr>
          <w:rFonts w:cs="Times New Roman"/>
          <w:kern w:val="0"/>
        </w:rPr>
        <w:t>本环评工程分析和现场调查的结果</w:t>
      </w:r>
      <w:r>
        <w:rPr>
          <w:rFonts w:cs="Times New Roman"/>
        </w:rPr>
        <w:t>，本项目应关注的主要环境问题有：</w:t>
      </w:r>
    </w:p>
    <w:p>
      <w:pPr>
        <w:ind w:firstLine="480"/>
        <w:rPr>
          <w:rFonts w:cs="Times New Roman"/>
        </w:rPr>
      </w:pPr>
      <w:r>
        <w:rPr>
          <w:rFonts w:hint="eastAsia" w:ascii="宋体" w:hAnsi="宋体" w:cs="宋体"/>
        </w:rPr>
        <w:t>①</w:t>
      </w:r>
      <w:r>
        <w:rPr>
          <w:rFonts w:cs="Times New Roman"/>
        </w:rPr>
        <w:t>项目原辅料装卸料、储存及制备过程中粉尘问题；</w:t>
      </w:r>
    </w:p>
    <w:p>
      <w:pPr>
        <w:ind w:firstLine="480"/>
        <w:rPr>
          <w:rFonts w:cs="Times New Roman"/>
        </w:rPr>
      </w:pPr>
      <w:r>
        <w:rPr>
          <w:rFonts w:hint="eastAsia" w:ascii="宋体" w:hAnsi="宋体" w:cs="宋体"/>
        </w:rPr>
        <w:t>②</w:t>
      </w:r>
      <w:r>
        <w:rPr>
          <w:rFonts w:cs="Times New Roman"/>
        </w:rPr>
        <w:t>脱硫塔尾气排放对环境的影响；</w:t>
      </w:r>
    </w:p>
    <w:p>
      <w:pPr>
        <w:ind w:firstLine="480"/>
        <w:rPr>
          <w:rFonts w:cs="Times New Roman"/>
        </w:rPr>
      </w:pPr>
      <w:r>
        <w:rPr>
          <w:rFonts w:hint="eastAsia" w:ascii="宋体" w:hAnsi="宋体" w:cs="宋体"/>
        </w:rPr>
        <w:t>③</w:t>
      </w:r>
      <w:r>
        <w:rPr>
          <w:rFonts w:cs="Times New Roman"/>
        </w:rPr>
        <w:t>磨边、压机等工段无组织粉尘及无组织、有组织粉尘排放对环境的影响；</w:t>
      </w:r>
    </w:p>
    <w:p>
      <w:pPr>
        <w:ind w:firstLine="480"/>
        <w:rPr>
          <w:rFonts w:cs="Times New Roman"/>
        </w:rPr>
      </w:pPr>
      <w:r>
        <w:rPr>
          <w:rFonts w:hint="eastAsia" w:ascii="宋体" w:hAnsi="宋体" w:cs="宋体"/>
        </w:rPr>
        <w:t>④</w:t>
      </w:r>
      <w:r>
        <w:rPr>
          <w:rFonts w:cs="Times New Roman"/>
        </w:rPr>
        <w:t>项目生产废水全部回用的可行性；</w:t>
      </w:r>
    </w:p>
    <w:p>
      <w:pPr>
        <w:pStyle w:val="3"/>
        <w:rPr>
          <w:rFonts w:cs="Times New Roman"/>
        </w:rPr>
      </w:pPr>
      <w:bookmarkStart w:id="13" w:name="_Toc86611223"/>
      <w:r>
        <w:rPr>
          <w:rFonts w:cs="Times New Roman"/>
        </w:rPr>
        <w:t>1.6主要结论</w:t>
      </w:r>
      <w:bookmarkEnd w:id="13"/>
    </w:p>
    <w:p>
      <w:pPr>
        <w:ind w:firstLine="480"/>
        <w:rPr>
          <w:rFonts w:cs="Times New Roman"/>
        </w:rPr>
      </w:pPr>
      <w:r>
        <w:rPr>
          <w:rFonts w:cs="Times New Roman"/>
        </w:rPr>
        <w:t>本报告对建设项目拟建址及其周围地区进行了环境质量现状监测、调查与评价；对项目的排污负荷进行了估算，利用模式模拟预测了该项目外排污染物对周围环境可能产生的影响，并提出了相应的污染防治措施及对策，提出须设置环境防护距离的要求；对本项目的风险影响进行了定性分析，提出了风险事故防范与应急措施。</w:t>
      </w:r>
    </w:p>
    <w:p>
      <w:pPr>
        <w:ind w:firstLine="480"/>
        <w:rPr>
          <w:rFonts w:cs="Times New Roman"/>
        </w:rPr>
        <w:sectPr>
          <w:pgSz w:w="11906" w:h="16838"/>
          <w:pgMar w:top="1440" w:right="1800" w:bottom="1440" w:left="1800" w:header="851" w:footer="992" w:gutter="0"/>
          <w:cols w:space="425" w:num="1"/>
          <w:docGrid w:type="lines" w:linePitch="312" w:charSpace="0"/>
        </w:sectPr>
      </w:pPr>
      <w:r>
        <w:rPr>
          <w:rFonts w:cs="Times New Roman"/>
        </w:rPr>
        <w:t>本报告通过分析评价，认为：在严格遵守“三同时”的管理规定，完成各项报建手续，认真落实本评价报告中所提出的环保措施和建议，确保环保处理设施正常使用和运行，同时加强废气污染物和噪声排放监控管理，做到达标排放的前提下，从环境保护角度而言，该项目的建设运营是可行的。</w:t>
      </w:r>
    </w:p>
    <w:p>
      <w:pPr>
        <w:pStyle w:val="2"/>
        <w:rPr>
          <w:rFonts w:cs="Times New Roman"/>
        </w:rPr>
      </w:pPr>
      <w:bookmarkStart w:id="14" w:name="_Toc86611224"/>
      <w:r>
        <w:rPr>
          <w:rFonts w:cs="Times New Roman"/>
        </w:rPr>
        <w:t>2总则</w:t>
      </w:r>
      <w:bookmarkEnd w:id="14"/>
    </w:p>
    <w:p>
      <w:pPr>
        <w:pStyle w:val="3"/>
        <w:rPr>
          <w:rFonts w:cs="Times New Roman"/>
        </w:rPr>
      </w:pPr>
      <w:bookmarkStart w:id="15" w:name="_Toc86611225"/>
      <w:r>
        <w:rPr>
          <w:rFonts w:cs="Times New Roman"/>
        </w:rPr>
        <w:t>2.1编制依据</w:t>
      </w:r>
      <w:bookmarkEnd w:id="15"/>
    </w:p>
    <w:p>
      <w:pPr>
        <w:pStyle w:val="4"/>
        <w:rPr>
          <w:rFonts w:cs="Times New Roman"/>
        </w:rPr>
      </w:pPr>
      <w:bookmarkStart w:id="16" w:name="_Toc27559"/>
      <w:bookmarkStart w:id="17" w:name="_Toc86611226"/>
      <w:bookmarkStart w:id="18" w:name="_Toc10115"/>
      <w:bookmarkStart w:id="19" w:name="_Toc73888693"/>
      <w:bookmarkStart w:id="20" w:name="_Toc73888899"/>
      <w:r>
        <w:rPr>
          <w:rFonts w:cs="Times New Roman"/>
        </w:rPr>
        <w:t>2.1.1环境保护相关法律</w:t>
      </w:r>
      <w:bookmarkEnd w:id="16"/>
      <w:bookmarkEnd w:id="17"/>
      <w:bookmarkEnd w:id="18"/>
      <w:bookmarkEnd w:id="19"/>
      <w:bookmarkEnd w:id="20"/>
    </w:p>
    <w:p>
      <w:pPr>
        <w:ind w:firstLine="480"/>
        <w:rPr>
          <w:rFonts w:cs="Times New Roman"/>
        </w:rPr>
      </w:pPr>
      <w:r>
        <w:rPr>
          <w:rFonts w:cs="Times New Roman"/>
        </w:rPr>
        <w:t>（1）《中华人民共和国环境保护法》（中华人民共和国主席令第九号修订，2015年1月1日起施行）；</w:t>
      </w:r>
    </w:p>
    <w:p>
      <w:pPr>
        <w:ind w:firstLine="480"/>
        <w:rPr>
          <w:rFonts w:cs="Times New Roman"/>
        </w:rPr>
      </w:pPr>
      <w:r>
        <w:rPr>
          <w:rFonts w:cs="Times New Roman"/>
        </w:rPr>
        <w:t>（2）《中华人民共和国环境影响评价法》（中华人民共和国主席令第二十四号第二次修正，2018年12月29日起施行）；</w:t>
      </w:r>
    </w:p>
    <w:p>
      <w:pPr>
        <w:ind w:firstLine="480"/>
        <w:rPr>
          <w:rFonts w:cs="Times New Roman"/>
        </w:rPr>
      </w:pPr>
      <w:r>
        <w:rPr>
          <w:rFonts w:cs="Times New Roman"/>
        </w:rPr>
        <w:t>（3）《中华人民共和国大气污染防治法》（中华人民共和国主席令第十六号第二次修正，2018年10月26日起施行）；</w:t>
      </w:r>
    </w:p>
    <w:p>
      <w:pPr>
        <w:ind w:firstLine="480"/>
        <w:rPr>
          <w:rFonts w:cs="Times New Roman"/>
        </w:rPr>
      </w:pPr>
      <w:r>
        <w:rPr>
          <w:rFonts w:cs="Times New Roman"/>
        </w:rPr>
        <w:t>（4）《中华人民共和国水污染防治法》（中华人民共和国主席令第七十号第二次修正，2018年1月1日起施行）；</w:t>
      </w:r>
    </w:p>
    <w:p>
      <w:pPr>
        <w:ind w:firstLine="480"/>
        <w:rPr>
          <w:rFonts w:cs="Times New Roman"/>
        </w:rPr>
      </w:pPr>
      <w:r>
        <w:rPr>
          <w:rFonts w:cs="Times New Roman"/>
        </w:rPr>
        <w:t>（5）《中华人民共和国环境噪声污染防治法》（中华人民共和国主席令第二十四号修正，2018年12月29日起施行）；</w:t>
      </w:r>
    </w:p>
    <w:p>
      <w:pPr>
        <w:ind w:firstLine="480"/>
        <w:rPr>
          <w:rFonts w:cs="Times New Roman"/>
        </w:rPr>
      </w:pPr>
      <w:r>
        <w:rPr>
          <w:rFonts w:cs="Times New Roman"/>
        </w:rPr>
        <w:t>（6）《中华人民共和国固体废物污染环境防治法》（中华人民共和国主席令第四十三号第二次修订，2020年9月1日起施行）；</w:t>
      </w:r>
    </w:p>
    <w:p>
      <w:pPr>
        <w:ind w:firstLine="480"/>
        <w:rPr>
          <w:rFonts w:cs="Times New Roman"/>
        </w:rPr>
      </w:pPr>
      <w:r>
        <w:rPr>
          <w:rFonts w:cs="Times New Roman"/>
        </w:rPr>
        <w:t>（7）《中华人民共和国土壤污染防治法》（中华人民共和国主席令第八号通过，2019年1月1日起施行）；</w:t>
      </w:r>
    </w:p>
    <w:p>
      <w:pPr>
        <w:ind w:firstLine="480"/>
        <w:rPr>
          <w:rFonts w:cs="Times New Roman"/>
        </w:rPr>
      </w:pPr>
      <w:r>
        <w:rPr>
          <w:rFonts w:cs="Times New Roman"/>
        </w:rPr>
        <w:t>（8）《中华人民共和国清洁生产促进法》（中华人民共和国主席令第五十四号通过，2012年7月1日起施行）；</w:t>
      </w:r>
    </w:p>
    <w:p>
      <w:pPr>
        <w:ind w:firstLine="480"/>
        <w:rPr>
          <w:rFonts w:cs="Times New Roman"/>
        </w:rPr>
      </w:pPr>
      <w:r>
        <w:rPr>
          <w:rFonts w:cs="Times New Roman"/>
        </w:rPr>
        <w:t>（9）《中华人民共和国循环经济促进法》（中华人民共和国主席令第十六号修正，2018年10月26日起施行）；</w:t>
      </w:r>
    </w:p>
    <w:p>
      <w:pPr>
        <w:ind w:firstLine="480"/>
        <w:rPr>
          <w:rFonts w:cs="Times New Roman"/>
        </w:rPr>
      </w:pPr>
      <w:r>
        <w:rPr>
          <w:rFonts w:cs="Times New Roman"/>
        </w:rPr>
        <w:t>（10）《中华人民共和国节约能源法》（中华人民共和国主席令第十六号第二次修正，2018年10月26日起施行）；</w:t>
      </w:r>
    </w:p>
    <w:p>
      <w:pPr>
        <w:ind w:firstLine="480"/>
        <w:rPr>
          <w:rFonts w:cs="Times New Roman"/>
        </w:rPr>
      </w:pPr>
      <w:r>
        <w:rPr>
          <w:rFonts w:cs="Times New Roman"/>
        </w:rPr>
        <w:t>（11）《中华人民共和国水法》（中华人民共和国主席令第四十八号修正，2016年7月2日起施行）；</w:t>
      </w:r>
    </w:p>
    <w:p>
      <w:pPr>
        <w:ind w:firstLine="480"/>
        <w:rPr>
          <w:rFonts w:cs="Times New Roman"/>
        </w:rPr>
      </w:pPr>
      <w:r>
        <w:rPr>
          <w:rFonts w:cs="Times New Roman"/>
        </w:rPr>
        <w:t>（12）《中华人民共和国土地管理法》（中华人民共和国主席令第二十八号第三次修正，2020年1月1日起施行）。</w:t>
      </w:r>
    </w:p>
    <w:p>
      <w:pPr>
        <w:pStyle w:val="4"/>
        <w:rPr>
          <w:rFonts w:cs="Times New Roman"/>
        </w:rPr>
      </w:pPr>
      <w:bookmarkStart w:id="21" w:name="_Toc23579"/>
      <w:bookmarkStart w:id="22" w:name="_Toc3956"/>
      <w:bookmarkStart w:id="23" w:name="_Toc73888900"/>
      <w:bookmarkStart w:id="24" w:name="_Toc86611227"/>
      <w:bookmarkStart w:id="25" w:name="_Toc73888694"/>
      <w:r>
        <w:rPr>
          <w:rFonts w:cs="Times New Roman"/>
        </w:rPr>
        <w:t>2.1.2</w:t>
      </w:r>
      <w:bookmarkEnd w:id="21"/>
      <w:r>
        <w:rPr>
          <w:rFonts w:cs="Times New Roman"/>
        </w:rPr>
        <w:t>环境保护行政法规及文件</w:t>
      </w:r>
      <w:bookmarkEnd w:id="22"/>
      <w:bookmarkEnd w:id="23"/>
      <w:bookmarkEnd w:id="24"/>
      <w:bookmarkEnd w:id="25"/>
    </w:p>
    <w:p>
      <w:pPr>
        <w:ind w:firstLine="480"/>
        <w:rPr>
          <w:rFonts w:cs="Times New Roman"/>
        </w:rPr>
      </w:pPr>
      <w:r>
        <w:rPr>
          <w:rFonts w:cs="Times New Roman"/>
        </w:rPr>
        <w:t>（1）《建设项目环境影响评价分类管理名录》（生态环境部令第16号修正，2021年1月1日起施行；</w:t>
      </w:r>
    </w:p>
    <w:p>
      <w:pPr>
        <w:ind w:firstLine="480"/>
        <w:rPr>
          <w:rFonts w:cs="Times New Roman"/>
        </w:rPr>
      </w:pPr>
      <w:r>
        <w:rPr>
          <w:rFonts w:cs="Times New Roman"/>
        </w:rPr>
        <w:t>（2）《产业结构调整指导目录》（2019年本，国家发改委令第29号2019年8月27日，2020年1月1日起施行）；</w:t>
      </w:r>
    </w:p>
    <w:p>
      <w:pPr>
        <w:ind w:firstLine="480"/>
        <w:rPr>
          <w:rFonts w:cs="Times New Roman"/>
        </w:rPr>
      </w:pPr>
      <w:r>
        <w:rPr>
          <w:rFonts w:cs="Times New Roman"/>
        </w:rPr>
        <w:t>（3）《环境影响评价公众参与办法》（生态环境部令[2018]第4号，2019年1月1日起施行）；</w:t>
      </w:r>
    </w:p>
    <w:p>
      <w:pPr>
        <w:ind w:firstLine="480"/>
        <w:rPr>
          <w:rFonts w:cs="Times New Roman"/>
        </w:rPr>
      </w:pPr>
      <w:r>
        <w:rPr>
          <w:rFonts w:cs="Times New Roman"/>
        </w:rPr>
        <w:t>（4）《国家危险废物名录》（环境保护部令第15号，2021年1月1日起施行）；</w:t>
      </w:r>
    </w:p>
    <w:p>
      <w:pPr>
        <w:ind w:firstLine="480"/>
        <w:rPr>
          <w:rFonts w:cs="Times New Roman"/>
        </w:rPr>
      </w:pPr>
      <w:r>
        <w:rPr>
          <w:rFonts w:cs="Times New Roman"/>
        </w:rPr>
        <w:t>（5）《建设项目危险废物环境影响评价指南》（2017年10月1日起施行）；</w:t>
      </w:r>
    </w:p>
    <w:p>
      <w:pPr>
        <w:ind w:firstLine="480"/>
        <w:rPr>
          <w:rFonts w:cs="Times New Roman"/>
        </w:rPr>
      </w:pPr>
      <w:r>
        <w:rPr>
          <w:rFonts w:cs="Times New Roman"/>
        </w:rPr>
        <w:t>（6）《危险化学品安全管理条例》（国务院令第591号）2011年12月1日起施行）；</w:t>
      </w:r>
    </w:p>
    <w:p>
      <w:pPr>
        <w:ind w:firstLine="480"/>
        <w:rPr>
          <w:rFonts w:cs="Times New Roman"/>
        </w:rPr>
      </w:pPr>
      <w:r>
        <w:rPr>
          <w:rFonts w:cs="Times New Roman"/>
        </w:rPr>
        <w:t>（7）《关于进一步加强环境影响评价管理防范环境风险的通知》（环发[2012]77号，2012年7月3日起施行）；</w:t>
      </w:r>
    </w:p>
    <w:p>
      <w:pPr>
        <w:ind w:firstLine="480"/>
        <w:rPr>
          <w:rFonts w:cs="Times New Roman"/>
        </w:rPr>
      </w:pPr>
      <w:r>
        <w:rPr>
          <w:rFonts w:cs="Times New Roman"/>
        </w:rPr>
        <w:t>（8）《关于切实加强风险防范严格环境影响评价管理的通知》（环发[2012]98号，2012年8月7日）；</w:t>
      </w:r>
    </w:p>
    <w:p>
      <w:pPr>
        <w:ind w:firstLine="480"/>
        <w:rPr>
          <w:rFonts w:cs="Times New Roman"/>
        </w:rPr>
      </w:pPr>
      <w:r>
        <w:rPr>
          <w:rFonts w:cs="Times New Roman"/>
        </w:rPr>
        <w:t>（9）《国家突发环境事件应急预案》（国务院办公厅，2014年12月24日）；</w:t>
      </w:r>
    </w:p>
    <w:p>
      <w:pPr>
        <w:ind w:firstLine="480"/>
        <w:rPr>
          <w:rFonts w:cs="Times New Roman"/>
        </w:rPr>
      </w:pPr>
      <w:r>
        <w:rPr>
          <w:rFonts w:cs="Times New Roman"/>
        </w:rPr>
        <w:t>（10）《关于印发&lt;环境应急资源调查指南（试行）&gt;的通知》（生态环境部办公厅，2019年3月1日）</w:t>
      </w:r>
    </w:p>
    <w:p>
      <w:pPr>
        <w:ind w:firstLine="480"/>
        <w:rPr>
          <w:rFonts w:cs="Times New Roman"/>
        </w:rPr>
      </w:pPr>
      <w:r>
        <w:rPr>
          <w:rFonts w:cs="Times New Roman"/>
        </w:rPr>
        <w:t>（11）《国务院关于印发大气污染防治行动计划的通知》（国发[2013]37号）；</w:t>
      </w:r>
    </w:p>
    <w:p>
      <w:pPr>
        <w:ind w:firstLine="480"/>
        <w:rPr>
          <w:rFonts w:cs="Times New Roman"/>
        </w:rPr>
      </w:pPr>
      <w:r>
        <w:rPr>
          <w:rFonts w:cs="Times New Roman"/>
        </w:rPr>
        <w:t>（12）《国务院关于印发水污染防治行动计划的通知》（国发[2015]17号）；</w:t>
      </w:r>
    </w:p>
    <w:p>
      <w:pPr>
        <w:ind w:firstLine="480"/>
        <w:rPr>
          <w:rFonts w:cs="Times New Roman"/>
        </w:rPr>
      </w:pPr>
      <w:r>
        <w:rPr>
          <w:rFonts w:cs="Times New Roman"/>
        </w:rPr>
        <w:t>（13）《国务院关于印发土壤污染防治行动计划的通知》（国发[2016]31号）；</w:t>
      </w:r>
    </w:p>
    <w:p>
      <w:pPr>
        <w:ind w:firstLine="480"/>
        <w:rPr>
          <w:rFonts w:cs="Times New Roman"/>
        </w:rPr>
      </w:pPr>
      <w:r>
        <w:rPr>
          <w:rFonts w:cs="Times New Roman"/>
        </w:rPr>
        <w:t>（14）国务院关于印发《“十三五”生态环境保护规划》的通知（国发[2016]65号）；</w:t>
      </w:r>
    </w:p>
    <w:p>
      <w:pPr>
        <w:ind w:firstLine="480"/>
        <w:rPr>
          <w:rFonts w:cs="Times New Roman"/>
        </w:rPr>
      </w:pPr>
      <w:r>
        <w:rPr>
          <w:rFonts w:cs="Times New Roman"/>
        </w:rPr>
        <w:t>（15）《首批重点监管的危险化工工艺目录》（安监总管三[2009]116号）；</w:t>
      </w:r>
    </w:p>
    <w:p>
      <w:pPr>
        <w:ind w:firstLine="480"/>
        <w:rPr>
          <w:rFonts w:cs="Times New Roman"/>
        </w:rPr>
      </w:pPr>
      <w:r>
        <w:rPr>
          <w:rFonts w:cs="Times New Roman"/>
        </w:rPr>
        <w:t>（16）《关于公布第二批重点监管危险化工工艺目录和调整首批重点监管危险化工工艺中部分典型工艺的通知》（安监总管三[2013]3号）；</w:t>
      </w:r>
    </w:p>
    <w:p>
      <w:pPr>
        <w:ind w:firstLine="480"/>
        <w:rPr>
          <w:rFonts w:cs="Times New Roman"/>
        </w:rPr>
      </w:pPr>
      <w:r>
        <w:rPr>
          <w:rFonts w:cs="Times New Roman"/>
        </w:rPr>
        <w:t>（17）《部分工业行业淘汰落后生产工艺装备和产品指导目录（2010年本）》（中华人民共和国工业和信息化部，2010年12月1日）；</w:t>
      </w:r>
    </w:p>
    <w:p>
      <w:pPr>
        <w:ind w:firstLine="480"/>
        <w:rPr>
          <w:rFonts w:cs="Times New Roman"/>
        </w:rPr>
      </w:pPr>
      <w:r>
        <w:rPr>
          <w:rFonts w:cs="Times New Roman"/>
        </w:rPr>
        <w:t>（18）《关于提供环境保护综合名录（2017年版）的函》（环办政法函[2018]67号，2018年1月12日）；</w:t>
      </w:r>
    </w:p>
    <w:p>
      <w:pPr>
        <w:ind w:firstLine="480"/>
        <w:rPr>
          <w:rFonts w:cs="Times New Roman"/>
        </w:rPr>
      </w:pPr>
      <w:r>
        <w:rPr>
          <w:rFonts w:cs="Times New Roman"/>
        </w:rPr>
        <w:t>（19）《关于切实加强风险防范严格环境影响评价管理的通知》（环发[2012]98号，2012年8月7日）；</w:t>
      </w:r>
    </w:p>
    <w:p>
      <w:pPr>
        <w:ind w:firstLine="480"/>
        <w:rPr>
          <w:rFonts w:cs="Times New Roman"/>
        </w:rPr>
      </w:pPr>
      <w:r>
        <w:rPr>
          <w:rFonts w:cs="Times New Roman"/>
        </w:rPr>
        <w:t>（20）《危险废物转移联单管理办法》（国家环保总局令第5号，1999年6月22日）；</w:t>
      </w:r>
    </w:p>
    <w:p>
      <w:pPr>
        <w:ind w:firstLine="480"/>
        <w:rPr>
          <w:rFonts w:cs="Times New Roman"/>
        </w:rPr>
      </w:pPr>
      <w:r>
        <w:rPr>
          <w:rFonts w:cs="Times New Roman"/>
        </w:rPr>
        <w:t>（21）《关于加强化学危险物品管理的通知》（环发[1999]296号，1999年12月29日）；</w:t>
      </w:r>
    </w:p>
    <w:p>
      <w:pPr>
        <w:ind w:firstLine="480"/>
        <w:rPr>
          <w:rFonts w:cs="Times New Roman"/>
        </w:rPr>
      </w:pPr>
      <w:r>
        <w:rPr>
          <w:rFonts w:cs="Times New Roman"/>
        </w:rPr>
        <w:t>（22）《危险废物污染防治技术政策》（2001年12月17日，环发[2001]199号）；</w:t>
      </w:r>
    </w:p>
    <w:p>
      <w:pPr>
        <w:ind w:firstLine="480"/>
        <w:rPr>
          <w:rFonts w:cs="Times New Roman"/>
        </w:rPr>
      </w:pPr>
      <w:r>
        <w:rPr>
          <w:rFonts w:cs="Times New Roman"/>
        </w:rPr>
        <w:t>（23）《“十三五”挥发性有机物防治工作方案》（环大气[2017]121号）</w:t>
      </w:r>
    </w:p>
    <w:p>
      <w:pPr>
        <w:ind w:firstLine="480"/>
        <w:rPr>
          <w:rFonts w:cs="Times New Roman"/>
        </w:rPr>
      </w:pPr>
      <w:r>
        <w:rPr>
          <w:rFonts w:cs="Times New Roman"/>
        </w:rPr>
        <w:t>（24）《关于切实加强环境影响评价监督管理工作的通知》（环办[2013]104号，2013年11月15日）；</w:t>
      </w:r>
    </w:p>
    <w:p>
      <w:pPr>
        <w:ind w:firstLine="480"/>
        <w:rPr>
          <w:rFonts w:cs="Times New Roman"/>
        </w:rPr>
      </w:pPr>
      <w:r>
        <w:rPr>
          <w:rFonts w:cs="Times New Roman"/>
        </w:rPr>
        <w:t>（25）《中共中央国务院关于全面加强生态环境保护坚决打好污染防治攻坚战的意见》，2018年6月16；</w:t>
      </w:r>
    </w:p>
    <w:p>
      <w:pPr>
        <w:ind w:firstLine="480"/>
        <w:rPr>
          <w:rFonts w:cs="Times New Roman"/>
        </w:rPr>
      </w:pPr>
      <w:r>
        <w:rPr>
          <w:rFonts w:cs="Times New Roman"/>
        </w:rPr>
        <w:t>（26）《国务院打赢蓝天保卫战三年行动计划》（国发[2018]22号）；</w:t>
      </w:r>
    </w:p>
    <w:p>
      <w:pPr>
        <w:ind w:firstLine="480"/>
        <w:rPr>
          <w:rFonts w:cs="Times New Roman"/>
        </w:rPr>
      </w:pPr>
      <w:r>
        <w:rPr>
          <w:rFonts w:cs="Times New Roman"/>
        </w:rPr>
        <w:t>（27）《湖南省环境保护条例》（湖南省第十二届人民代表大会常务委员会，2013年5月27日修订）；</w:t>
      </w:r>
    </w:p>
    <w:p>
      <w:pPr>
        <w:ind w:firstLine="480"/>
        <w:rPr>
          <w:rFonts w:cs="Times New Roman"/>
        </w:rPr>
      </w:pPr>
      <w:r>
        <w:rPr>
          <w:rFonts w:cs="Times New Roman"/>
        </w:rPr>
        <w:t>（28）《湖南省湘江流域水污染防治条例》（湖南省第九届人大常委会第28次会议修正，2002年3月29日）；</w:t>
      </w:r>
    </w:p>
    <w:p>
      <w:pPr>
        <w:ind w:firstLine="480"/>
        <w:rPr>
          <w:rFonts w:cs="Times New Roman"/>
        </w:rPr>
      </w:pPr>
      <w:r>
        <w:rPr>
          <w:rFonts w:cs="Times New Roman"/>
        </w:rPr>
        <w:t>（29）《湖南省湘江保护条例》（2012年9月27日通过，2013年4月1日起执行）；</w:t>
      </w:r>
    </w:p>
    <w:p>
      <w:pPr>
        <w:ind w:firstLine="480"/>
        <w:rPr>
          <w:rFonts w:cs="Times New Roman"/>
        </w:rPr>
      </w:pPr>
      <w:r>
        <w:rPr>
          <w:rFonts w:cs="Times New Roman"/>
        </w:rPr>
        <w:t>（30）《湖南省主要水系地表水环境功能区划》（DB43/023-2005），湖南省环保局，湖南省质量技术监督局，2005年7月1日起施行）；</w:t>
      </w:r>
    </w:p>
    <w:p>
      <w:pPr>
        <w:ind w:firstLine="480"/>
        <w:rPr>
          <w:rFonts w:cs="Times New Roman"/>
        </w:rPr>
      </w:pPr>
      <w:r>
        <w:rPr>
          <w:rFonts w:cs="Times New Roman"/>
        </w:rPr>
        <w:t>（31）《湖南省“十四五”生态环境保护规划（征求意见稿）》；</w:t>
      </w:r>
    </w:p>
    <w:p>
      <w:pPr>
        <w:ind w:firstLine="480"/>
        <w:rPr>
          <w:rFonts w:cs="Times New Roman"/>
        </w:rPr>
      </w:pPr>
      <w:r>
        <w:rPr>
          <w:rFonts w:cs="Times New Roman"/>
        </w:rPr>
        <w:t>（32）《湖南省主体功能区规划》（2012年12月27日，湖南省人民政府）；</w:t>
      </w:r>
    </w:p>
    <w:p>
      <w:pPr>
        <w:ind w:firstLine="480"/>
        <w:rPr>
          <w:rFonts w:cs="Times New Roman"/>
        </w:rPr>
      </w:pPr>
      <w:r>
        <w:rPr>
          <w:rFonts w:cs="Times New Roman"/>
        </w:rPr>
        <w:t>（33）湖南省人民政府关于印发《湖南省贯彻落实&lt;水污染防治行动计划&gt;实施方案（2016-2020年）》的通知（湘政发[2015]53号，2015年12月31日）；</w:t>
      </w:r>
    </w:p>
    <w:p>
      <w:pPr>
        <w:ind w:firstLine="480"/>
        <w:rPr>
          <w:rFonts w:cs="Times New Roman"/>
        </w:rPr>
      </w:pPr>
      <w:r>
        <w:rPr>
          <w:rFonts w:cs="Times New Roman"/>
        </w:rPr>
        <w:t>（34）湖南省人民政府印发《关于公布湖南省县级以上地表水集中式饮用水水源保护区划定方案的通知》（湘政函[2016]176号）；</w:t>
      </w:r>
    </w:p>
    <w:p>
      <w:pPr>
        <w:ind w:firstLine="480"/>
        <w:rPr>
          <w:rFonts w:cs="Times New Roman"/>
        </w:rPr>
      </w:pPr>
      <w:r>
        <w:rPr>
          <w:rFonts w:cs="Times New Roman"/>
        </w:rPr>
        <w:t>（35）湖南省实施《中华人民共和国固体废物污染环境防治法》办法（2018年5月1日试行）；</w:t>
      </w:r>
    </w:p>
    <w:p>
      <w:pPr>
        <w:ind w:firstLine="480"/>
        <w:rPr>
          <w:rFonts w:cs="Times New Roman"/>
        </w:rPr>
      </w:pPr>
      <w:r>
        <w:rPr>
          <w:rFonts w:cs="Times New Roman"/>
        </w:rPr>
        <w:t>（36）湖南省人民政府印发《湖南省污染防治攻坚战三年行动计划（2018-2020年）》的通知（湘政发[2018]17号）；</w:t>
      </w:r>
    </w:p>
    <w:p>
      <w:pPr>
        <w:ind w:firstLine="480"/>
        <w:rPr>
          <w:rFonts w:cs="Times New Roman"/>
        </w:rPr>
      </w:pPr>
      <w:r>
        <w:rPr>
          <w:rFonts w:cs="Times New Roman"/>
        </w:rPr>
        <w:t>（37）湖南省人民政府关于印发《湖南省贯彻落实&lt;大气污染防治行动计划&gt;实施细则》的通知（湘政办发[2013]77号，2013年12月23日）；</w:t>
      </w:r>
    </w:p>
    <w:p>
      <w:pPr>
        <w:ind w:firstLine="480"/>
        <w:rPr>
          <w:rFonts w:cs="Times New Roman"/>
        </w:rPr>
      </w:pPr>
      <w:r>
        <w:rPr>
          <w:rFonts w:cs="Times New Roman"/>
        </w:rPr>
        <w:t>（38）《湖南省大气污染防治专项行动方案（2016-2017年）》（湘政办发[2016]33号）；</w:t>
      </w:r>
    </w:p>
    <w:p>
      <w:pPr>
        <w:ind w:firstLine="480"/>
        <w:rPr>
          <w:rFonts w:cs="Times New Roman"/>
        </w:rPr>
      </w:pPr>
      <w:r>
        <w:rPr>
          <w:rFonts w:cs="Times New Roman"/>
        </w:rPr>
        <w:t>（39）《湖南省大气污染防治条例》（2017年6月1日施行）；</w:t>
      </w:r>
    </w:p>
    <w:p>
      <w:pPr>
        <w:ind w:firstLine="480"/>
        <w:rPr>
          <w:rFonts w:cs="Times New Roman"/>
        </w:rPr>
      </w:pPr>
      <w:r>
        <w:rPr>
          <w:rFonts w:cs="Times New Roman"/>
        </w:rPr>
        <w:t>（40）《湖南省用水定额》（DB43/T388-2014，2014年9月1日实施）；</w:t>
      </w:r>
    </w:p>
    <w:p>
      <w:pPr>
        <w:ind w:firstLine="480"/>
        <w:rPr>
          <w:rFonts w:cs="Times New Roman"/>
        </w:rPr>
      </w:pPr>
      <w:r>
        <w:rPr>
          <w:rFonts w:cs="Times New Roman"/>
        </w:rPr>
        <w:t>（41）《关于进一步规范我省固体（危险）废物转移管理的通知》（湘环发[2014]22号）；</w:t>
      </w:r>
    </w:p>
    <w:p>
      <w:pPr>
        <w:ind w:firstLine="480"/>
        <w:rPr>
          <w:rFonts w:cs="Times New Roman"/>
        </w:rPr>
      </w:pPr>
      <w:r>
        <w:rPr>
          <w:rFonts w:cs="Times New Roman"/>
        </w:rPr>
        <w:t>（42）湖南省人民政府关于印发《湖南省土壤污染防治工作方案》的通知（湘政发[2017]4号，2017年1月23日）；</w:t>
      </w:r>
    </w:p>
    <w:p>
      <w:pPr>
        <w:ind w:firstLine="480"/>
        <w:rPr>
          <w:rFonts w:cs="Times New Roman"/>
        </w:rPr>
      </w:pPr>
      <w:r>
        <w:rPr>
          <w:rFonts w:cs="Times New Roman"/>
        </w:rPr>
        <w:t>（43）《湖南省人民政府关于印发&lt;湖南省生态保护红线&gt;的通知》（湘政发[2018]20号，2018年7月26日）；</w:t>
      </w:r>
    </w:p>
    <w:p>
      <w:pPr>
        <w:ind w:firstLine="480"/>
        <w:rPr>
          <w:rFonts w:cs="Times New Roman"/>
        </w:rPr>
      </w:pPr>
      <w:r>
        <w:rPr>
          <w:rFonts w:cs="Times New Roman"/>
        </w:rPr>
        <w:t>（44）《建设项目环境保护管理条例》(国务院令[2017]第682号)，2017年7月16日修订并施行；</w:t>
      </w:r>
      <w:bookmarkStart w:id="26" w:name="_Hlt123359101"/>
      <w:bookmarkEnd w:id="26"/>
    </w:p>
    <w:p>
      <w:pPr>
        <w:ind w:left="2" w:leftChars="1" w:firstLine="480"/>
        <w:rPr>
          <w:rFonts w:cs="Times New Roman"/>
          <w:bCs/>
          <w:kern w:val="0"/>
        </w:rPr>
      </w:pPr>
      <w:r>
        <w:rPr>
          <w:rFonts w:cs="Times New Roman"/>
          <w:bCs/>
          <w:kern w:val="0"/>
        </w:rPr>
        <w:t>（45）《湖南省环境保护厅关于有色金属冶炼（再生）、陶瓷制品制造、精炼石油制品企业申领新版排污许可证的公告》。</w:t>
      </w:r>
    </w:p>
    <w:p>
      <w:pPr>
        <w:ind w:left="2" w:leftChars="1" w:firstLine="480"/>
        <w:rPr>
          <w:rFonts w:cs="Times New Roman"/>
          <w:bCs/>
          <w:kern w:val="0"/>
        </w:rPr>
      </w:pPr>
      <w:r>
        <w:rPr>
          <w:rFonts w:cs="Times New Roman"/>
          <w:bCs/>
          <w:kern w:val="0"/>
        </w:rPr>
        <w:t>（46）衡阳市人民政府办公室关于印发《衡阳市大气污染防治专项行动方案（2016-2017年）》的通知，（衡政办发）[2016]26号；</w:t>
      </w:r>
    </w:p>
    <w:p>
      <w:pPr>
        <w:ind w:left="2" w:leftChars="1" w:firstLine="480"/>
        <w:rPr>
          <w:rFonts w:cs="Times New Roman"/>
          <w:bCs/>
          <w:kern w:val="0"/>
        </w:rPr>
      </w:pPr>
      <w:r>
        <w:rPr>
          <w:rFonts w:cs="Times New Roman"/>
          <w:bCs/>
          <w:kern w:val="0"/>
        </w:rPr>
        <w:t>（47）衡阳市人民政府办公室关于印发《衡阳市湘江保护和治理第二个“三年行动计划”（2016-2018年）实施方案》的通知，（衡政办发）[2016]35号。</w:t>
      </w:r>
    </w:p>
    <w:p>
      <w:pPr>
        <w:pStyle w:val="4"/>
        <w:rPr>
          <w:rFonts w:cs="Times New Roman"/>
        </w:rPr>
      </w:pPr>
      <w:bookmarkStart w:id="27" w:name="_Toc25167"/>
      <w:bookmarkStart w:id="28" w:name="_Toc73888695"/>
      <w:bookmarkStart w:id="29" w:name="_Toc21514"/>
      <w:bookmarkStart w:id="30" w:name="_Toc86611228"/>
      <w:bookmarkStart w:id="31" w:name="_Toc73888901"/>
      <w:r>
        <w:rPr>
          <w:rFonts w:cs="Times New Roman"/>
        </w:rPr>
        <w:t>2.1.3技术导则、规范</w:t>
      </w:r>
      <w:bookmarkEnd w:id="27"/>
      <w:bookmarkEnd w:id="28"/>
      <w:bookmarkEnd w:id="29"/>
      <w:bookmarkEnd w:id="30"/>
      <w:bookmarkEnd w:id="31"/>
    </w:p>
    <w:p>
      <w:pPr>
        <w:ind w:firstLine="480"/>
        <w:rPr>
          <w:rFonts w:cs="Times New Roman"/>
        </w:rPr>
      </w:pPr>
      <w:r>
        <w:rPr>
          <w:rFonts w:cs="Times New Roman"/>
        </w:rPr>
        <w:t>（1）《建设项目环境影响评价技术导则总纲》（HJ2.1-2016）；</w:t>
      </w:r>
    </w:p>
    <w:p>
      <w:pPr>
        <w:ind w:firstLine="480"/>
        <w:rPr>
          <w:rFonts w:cs="Times New Roman"/>
        </w:rPr>
      </w:pPr>
      <w:r>
        <w:rPr>
          <w:rFonts w:cs="Times New Roman"/>
        </w:rPr>
        <w:t>（2）《环境影响评价技术导则大气环境》（HJ2.2-2018）；</w:t>
      </w:r>
    </w:p>
    <w:p>
      <w:pPr>
        <w:ind w:firstLine="480"/>
        <w:rPr>
          <w:rFonts w:cs="Times New Roman"/>
        </w:rPr>
      </w:pPr>
      <w:r>
        <w:rPr>
          <w:rFonts w:cs="Times New Roman"/>
        </w:rPr>
        <w:t>（3）《环境影响评价技术导则地表水环境》（HJ/T2.3-2018）；</w:t>
      </w:r>
    </w:p>
    <w:p>
      <w:pPr>
        <w:ind w:firstLine="480"/>
        <w:rPr>
          <w:rFonts w:cs="Times New Roman"/>
        </w:rPr>
      </w:pPr>
      <w:r>
        <w:rPr>
          <w:rFonts w:cs="Times New Roman"/>
        </w:rPr>
        <w:t>（4）《环境影响评价技术导则地下水环境》（HJ610-2016）；</w:t>
      </w:r>
    </w:p>
    <w:p>
      <w:pPr>
        <w:ind w:firstLine="480"/>
        <w:rPr>
          <w:rFonts w:cs="Times New Roman"/>
        </w:rPr>
      </w:pPr>
      <w:r>
        <w:rPr>
          <w:rFonts w:cs="Times New Roman"/>
        </w:rPr>
        <w:t>（5）《环境影响评价技术导则声环境》（HJ2.4-2009）；</w:t>
      </w:r>
    </w:p>
    <w:p>
      <w:pPr>
        <w:ind w:firstLine="480"/>
        <w:rPr>
          <w:rFonts w:cs="Times New Roman"/>
        </w:rPr>
      </w:pPr>
      <w:r>
        <w:rPr>
          <w:rFonts w:cs="Times New Roman"/>
        </w:rPr>
        <w:t>（6）《建设项目环境风险评价技术导则》（HJ169-2018）；</w:t>
      </w:r>
    </w:p>
    <w:p>
      <w:pPr>
        <w:ind w:firstLine="480"/>
        <w:rPr>
          <w:rFonts w:cs="Times New Roman"/>
        </w:rPr>
      </w:pPr>
      <w:r>
        <w:rPr>
          <w:rFonts w:cs="Times New Roman"/>
        </w:rPr>
        <w:t>（7）《环境影响评价技术导则生态影响》（HJ19-2011）；</w:t>
      </w:r>
    </w:p>
    <w:p>
      <w:pPr>
        <w:ind w:firstLine="480"/>
        <w:rPr>
          <w:rFonts w:cs="Times New Roman"/>
        </w:rPr>
      </w:pPr>
      <w:r>
        <w:rPr>
          <w:rFonts w:cs="Times New Roman"/>
        </w:rPr>
        <w:t>（8）《环境影响评价技术导则土壤环境(试行)》(HJ964-2018)；</w:t>
      </w:r>
    </w:p>
    <w:p>
      <w:pPr>
        <w:ind w:firstLine="480"/>
        <w:rPr>
          <w:rFonts w:cs="Times New Roman"/>
        </w:rPr>
      </w:pPr>
      <w:r>
        <w:rPr>
          <w:rFonts w:cs="Times New Roman"/>
        </w:rPr>
        <w:t>（9）国务院关于印发大气污染防治行动计划的通知（国发〔2013〕37号）；</w:t>
      </w:r>
    </w:p>
    <w:p>
      <w:pPr>
        <w:ind w:firstLine="480"/>
        <w:rPr>
          <w:rFonts w:cs="Times New Roman"/>
        </w:rPr>
      </w:pPr>
      <w:r>
        <w:rPr>
          <w:rFonts w:cs="Times New Roman"/>
        </w:rPr>
        <w:t>（10）国务院关于印发水污染防治行动计划的通知（国发〔2015〕17号）；</w:t>
      </w:r>
    </w:p>
    <w:p>
      <w:pPr>
        <w:ind w:firstLine="480"/>
        <w:rPr>
          <w:rFonts w:cs="Times New Roman"/>
        </w:rPr>
      </w:pPr>
      <w:r>
        <w:rPr>
          <w:rFonts w:cs="Times New Roman"/>
        </w:rPr>
        <w:t>（11）《危险化学品重大危险源辨识》(GB18218-2018)，2019年3月1日实施；</w:t>
      </w:r>
    </w:p>
    <w:p>
      <w:pPr>
        <w:ind w:firstLine="480"/>
        <w:rPr>
          <w:rFonts w:cs="Times New Roman"/>
        </w:rPr>
      </w:pPr>
      <w:r>
        <w:rPr>
          <w:rFonts w:cs="Times New Roman"/>
        </w:rPr>
        <w:t>（12）《建设项目危险废物环境影响评价指南》(环境保护部公告2017年第43号)，2017年10月1日施行；</w:t>
      </w:r>
    </w:p>
    <w:p>
      <w:pPr>
        <w:ind w:firstLine="480"/>
        <w:rPr>
          <w:rFonts w:cs="Times New Roman"/>
        </w:rPr>
      </w:pPr>
      <w:r>
        <w:rPr>
          <w:rFonts w:cs="Times New Roman"/>
        </w:rPr>
        <w:t>（13）《危险废物贮存污染控制标准》(GB18597-2001)，2013年6月8日修订并施行；</w:t>
      </w:r>
    </w:p>
    <w:p>
      <w:pPr>
        <w:ind w:firstLine="480"/>
        <w:rPr>
          <w:rFonts w:cs="Times New Roman"/>
        </w:rPr>
      </w:pPr>
      <w:r>
        <w:rPr>
          <w:rFonts w:cs="Times New Roman"/>
        </w:rPr>
        <w:t>（14）《常用化学危险品贮存通则》(GB15603-1995)，1996年2月1日实施；</w:t>
      </w:r>
    </w:p>
    <w:p>
      <w:pPr>
        <w:ind w:firstLine="480"/>
        <w:rPr>
          <w:rFonts w:cs="Times New Roman"/>
        </w:rPr>
      </w:pPr>
      <w:r>
        <w:rPr>
          <w:rFonts w:cs="Times New Roman"/>
        </w:rPr>
        <w:t>（15）《污染源源强核算技术指南准则》(HJ884-2018)；</w:t>
      </w:r>
    </w:p>
    <w:p>
      <w:pPr>
        <w:ind w:firstLine="480"/>
        <w:rPr>
          <w:rFonts w:cs="Times New Roman"/>
        </w:rPr>
      </w:pPr>
      <w:r>
        <w:rPr>
          <w:rFonts w:cs="Times New Roman"/>
        </w:rPr>
        <w:t>（16）《排污单位自行监测技术指南总则》(HJ819-2017)；</w:t>
      </w:r>
    </w:p>
    <w:p>
      <w:pPr>
        <w:ind w:firstLine="480"/>
        <w:rPr>
          <w:rFonts w:cs="Times New Roman"/>
        </w:rPr>
      </w:pPr>
      <w:r>
        <w:rPr>
          <w:rFonts w:cs="Times New Roman"/>
        </w:rPr>
        <w:t>（17）《危险废物收集贮存运输技术规范》（HJ2025-2012）；</w:t>
      </w:r>
    </w:p>
    <w:p>
      <w:pPr>
        <w:pStyle w:val="4"/>
        <w:rPr>
          <w:rFonts w:cs="Times New Roman"/>
        </w:rPr>
      </w:pPr>
      <w:bookmarkStart w:id="32" w:name="_Toc4166"/>
      <w:bookmarkStart w:id="33" w:name="_Toc30120"/>
      <w:bookmarkStart w:id="34" w:name="_Toc73888696"/>
      <w:bookmarkStart w:id="35" w:name="_Toc86611229"/>
      <w:bookmarkStart w:id="36" w:name="_Toc73888902"/>
      <w:r>
        <w:rPr>
          <w:rFonts w:cs="Times New Roman"/>
        </w:rPr>
        <w:t>2.1.4相关文件、资料</w:t>
      </w:r>
      <w:bookmarkEnd w:id="32"/>
      <w:bookmarkEnd w:id="33"/>
      <w:bookmarkEnd w:id="34"/>
      <w:bookmarkEnd w:id="35"/>
      <w:bookmarkEnd w:id="36"/>
    </w:p>
    <w:p>
      <w:pPr>
        <w:ind w:firstLine="480"/>
        <w:rPr>
          <w:rFonts w:cs="Times New Roman"/>
        </w:rPr>
      </w:pPr>
      <w:r>
        <w:rPr>
          <w:rFonts w:cs="Times New Roman"/>
        </w:rPr>
        <w:t>（1）《环境影响评价委托书》；</w:t>
      </w:r>
    </w:p>
    <w:p>
      <w:pPr>
        <w:ind w:firstLine="480"/>
        <w:rPr>
          <w:rFonts w:cs="Times New Roman"/>
        </w:rPr>
      </w:pPr>
      <w:r>
        <w:rPr>
          <w:rFonts w:cs="Times New Roman"/>
        </w:rPr>
        <w:t>（2）建设单位提供的项目材料。</w:t>
      </w:r>
    </w:p>
    <w:p>
      <w:pPr>
        <w:pStyle w:val="3"/>
        <w:rPr>
          <w:rFonts w:cs="Times New Roman"/>
        </w:rPr>
      </w:pPr>
      <w:bookmarkStart w:id="37" w:name="_Toc86611230"/>
      <w:r>
        <w:rPr>
          <w:rFonts w:cs="Times New Roman"/>
        </w:rPr>
        <w:t>2.2评价因子与评价标准</w:t>
      </w:r>
      <w:bookmarkEnd w:id="37"/>
    </w:p>
    <w:p>
      <w:pPr>
        <w:pStyle w:val="4"/>
        <w:rPr>
          <w:rFonts w:cs="Times New Roman"/>
        </w:rPr>
      </w:pPr>
      <w:bookmarkStart w:id="38" w:name="_Toc86611231"/>
      <w:r>
        <w:rPr>
          <w:rFonts w:cs="Times New Roman"/>
        </w:rPr>
        <w:t>2.2.1评价因子</w:t>
      </w:r>
      <w:bookmarkEnd w:id="38"/>
    </w:p>
    <w:p>
      <w:pPr>
        <w:autoSpaceDE w:val="0"/>
        <w:autoSpaceDN w:val="0"/>
        <w:adjustRightInd w:val="0"/>
        <w:ind w:firstLine="480"/>
        <w:rPr>
          <w:rFonts w:cs="Times New Roman"/>
        </w:rPr>
      </w:pPr>
      <w:r>
        <w:rPr>
          <w:rFonts w:cs="Times New Roman"/>
        </w:rPr>
        <w:t>为使本项目环境影响报告书能较客观反映工程建设对环境带来的有利影响和不利影响，提出可靠的污染治理措施及生态保护措施，本评价从项目区环境质量状况、区域环境敏感目标入手，结合工程建设特征，工程建设可能对环境带来的影响，识别出工程建设影响的主要环境要素和影响因子，筛选出主要的评价因子，以确定评价级别、评价范围和评价重点。</w:t>
      </w:r>
    </w:p>
    <w:p>
      <w:pPr>
        <w:ind w:firstLine="480"/>
        <w:rPr>
          <w:rFonts w:cs="Times New Roman"/>
        </w:rPr>
      </w:pPr>
      <w:r>
        <w:rPr>
          <w:rFonts w:cs="Times New Roman"/>
        </w:rPr>
        <w:t>1、环境影响因素识别</w:t>
      </w:r>
    </w:p>
    <w:p>
      <w:pPr>
        <w:ind w:firstLine="480"/>
        <w:rPr>
          <w:rFonts w:cs="Times New Roman"/>
        </w:rPr>
      </w:pPr>
      <w:r>
        <w:rPr>
          <w:rFonts w:cs="Times New Roman"/>
        </w:rPr>
        <w:t>根据工程特点、环境特征以及工程对环境影响的性质与程度，对该工程的环境影响要素进行识别。识别过程见表2.2-1。</w:t>
      </w:r>
    </w:p>
    <w:p>
      <w:pPr>
        <w:ind w:firstLine="480"/>
        <w:rPr>
          <w:rFonts w:cs="Times New Roman"/>
        </w:rPr>
      </w:pPr>
    </w:p>
    <w:p>
      <w:pPr>
        <w:ind w:firstLine="480"/>
        <w:jc w:val="center"/>
        <w:rPr>
          <w:rFonts w:cs="Times New Roman"/>
        </w:rPr>
      </w:pPr>
      <w:bookmarkStart w:id="39" w:name="_Ref354493128"/>
      <w:r>
        <w:rPr>
          <w:rFonts w:cs="Times New Roman"/>
        </w:rPr>
        <w:t>表</w:t>
      </w:r>
      <w:bookmarkEnd w:id="39"/>
      <w:r>
        <w:rPr>
          <w:rFonts w:cs="Times New Roman"/>
        </w:rPr>
        <w:t>2.2-1  工程环境影响要素识别</w:t>
      </w:r>
    </w:p>
    <w:tbl>
      <w:tblPr>
        <w:tblStyle w:val="45"/>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2"/>
        <w:gridCol w:w="1118"/>
        <w:gridCol w:w="698"/>
        <w:gridCol w:w="962"/>
        <w:gridCol w:w="774"/>
        <w:gridCol w:w="708"/>
        <w:gridCol w:w="710"/>
        <w:gridCol w:w="710"/>
        <w:gridCol w:w="710"/>
        <w:gridCol w:w="710"/>
        <w:gridCol w:w="7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840" w:type="dxa"/>
            <w:gridSpan w:val="2"/>
            <w:vMerge w:val="restart"/>
            <w:vAlign w:val="center"/>
          </w:tcPr>
          <w:p>
            <w:pPr>
              <w:pStyle w:val="14"/>
              <w:rPr>
                <w:b/>
                <w:lang w:val="zh-CN"/>
              </w:rPr>
            </w:pPr>
            <w:r>
              <w:rPr>
                <w:lang w:val="zh-CN"/>
              </w:rPr>
              <w:t>阶段</w:t>
            </w:r>
          </w:p>
          <w:p>
            <w:pPr>
              <w:pStyle w:val="14"/>
              <w:rPr>
                <w:b/>
              </w:rPr>
            </w:pPr>
            <w:r>
              <w:rPr>
                <w:lang w:val="zh-CN"/>
              </w:rPr>
              <w:t>环境要素</w:t>
            </w:r>
          </w:p>
        </w:tc>
        <w:tc>
          <w:tcPr>
            <w:tcW w:w="2434" w:type="dxa"/>
            <w:gridSpan w:val="3"/>
            <w:vAlign w:val="center"/>
          </w:tcPr>
          <w:p>
            <w:pPr>
              <w:pStyle w:val="14"/>
              <w:rPr>
                <w:b/>
              </w:rPr>
            </w:pPr>
            <w:r>
              <w:t>施工期</w:t>
            </w:r>
          </w:p>
        </w:tc>
        <w:tc>
          <w:tcPr>
            <w:tcW w:w="4254" w:type="dxa"/>
            <w:gridSpan w:val="6"/>
            <w:vAlign w:val="center"/>
          </w:tcPr>
          <w:p>
            <w:pPr>
              <w:pStyle w:val="14"/>
              <w:rPr>
                <w:b/>
              </w:rPr>
            </w:pPr>
            <w:r>
              <w:rPr>
                <w:lang w:val="zh-CN"/>
              </w:rPr>
              <w:t>营运期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840" w:type="dxa"/>
            <w:gridSpan w:val="2"/>
            <w:vMerge w:val="continue"/>
            <w:vAlign w:val="center"/>
          </w:tcPr>
          <w:p>
            <w:pPr>
              <w:pStyle w:val="14"/>
            </w:pPr>
          </w:p>
        </w:tc>
        <w:tc>
          <w:tcPr>
            <w:tcW w:w="698" w:type="dxa"/>
            <w:vAlign w:val="center"/>
          </w:tcPr>
          <w:p>
            <w:pPr>
              <w:pStyle w:val="14"/>
              <w:rPr>
                <w:b/>
              </w:rPr>
            </w:pPr>
            <w:r>
              <w:rPr>
                <w:lang w:val="zh-CN"/>
              </w:rPr>
              <w:t>占地</w:t>
            </w:r>
          </w:p>
        </w:tc>
        <w:tc>
          <w:tcPr>
            <w:tcW w:w="962" w:type="dxa"/>
            <w:vAlign w:val="center"/>
          </w:tcPr>
          <w:p>
            <w:pPr>
              <w:pStyle w:val="14"/>
              <w:rPr>
                <w:b/>
              </w:rPr>
            </w:pPr>
            <w:r>
              <w:rPr>
                <w:lang w:val="zh-CN"/>
              </w:rPr>
              <w:t>基础/主体工程</w:t>
            </w:r>
          </w:p>
        </w:tc>
        <w:tc>
          <w:tcPr>
            <w:tcW w:w="774" w:type="dxa"/>
            <w:vAlign w:val="center"/>
          </w:tcPr>
          <w:p>
            <w:pPr>
              <w:pStyle w:val="14"/>
              <w:rPr>
                <w:b/>
              </w:rPr>
            </w:pPr>
            <w:r>
              <w:t>物料</w:t>
            </w:r>
          </w:p>
          <w:p>
            <w:pPr>
              <w:pStyle w:val="14"/>
              <w:rPr>
                <w:b/>
              </w:rPr>
            </w:pPr>
            <w:r>
              <w:t>运输</w:t>
            </w:r>
          </w:p>
        </w:tc>
        <w:tc>
          <w:tcPr>
            <w:tcW w:w="708" w:type="dxa"/>
            <w:vAlign w:val="center"/>
          </w:tcPr>
          <w:p>
            <w:pPr>
              <w:pStyle w:val="14"/>
              <w:rPr>
                <w:b/>
              </w:rPr>
            </w:pPr>
            <w:r>
              <w:rPr>
                <w:lang w:val="zh-CN"/>
              </w:rPr>
              <w:t>废水</w:t>
            </w:r>
          </w:p>
          <w:p>
            <w:pPr>
              <w:pStyle w:val="14"/>
              <w:rPr>
                <w:b/>
              </w:rPr>
            </w:pPr>
            <w:r>
              <w:rPr>
                <w:lang w:val="zh-CN"/>
              </w:rPr>
              <w:t>排放</w:t>
            </w:r>
          </w:p>
        </w:tc>
        <w:tc>
          <w:tcPr>
            <w:tcW w:w="710" w:type="dxa"/>
            <w:vAlign w:val="center"/>
          </w:tcPr>
          <w:p>
            <w:pPr>
              <w:pStyle w:val="14"/>
              <w:rPr>
                <w:b/>
              </w:rPr>
            </w:pPr>
            <w:r>
              <w:rPr>
                <w:lang w:val="zh-CN"/>
              </w:rPr>
              <w:t>废气</w:t>
            </w:r>
          </w:p>
          <w:p>
            <w:pPr>
              <w:pStyle w:val="14"/>
              <w:rPr>
                <w:b/>
              </w:rPr>
            </w:pPr>
            <w:r>
              <w:rPr>
                <w:lang w:val="zh-CN"/>
              </w:rPr>
              <w:t>排放</w:t>
            </w:r>
          </w:p>
        </w:tc>
        <w:tc>
          <w:tcPr>
            <w:tcW w:w="710" w:type="dxa"/>
            <w:vAlign w:val="center"/>
          </w:tcPr>
          <w:p>
            <w:pPr>
              <w:pStyle w:val="14"/>
              <w:rPr>
                <w:b/>
              </w:rPr>
            </w:pPr>
            <w:r>
              <w:rPr>
                <w:lang w:val="zh-CN"/>
              </w:rPr>
              <w:t>固废</w:t>
            </w:r>
          </w:p>
          <w:p>
            <w:pPr>
              <w:pStyle w:val="14"/>
              <w:rPr>
                <w:b/>
              </w:rPr>
            </w:pPr>
            <w:r>
              <w:rPr>
                <w:lang w:val="zh-CN"/>
              </w:rPr>
              <w:t>堆存</w:t>
            </w:r>
          </w:p>
        </w:tc>
        <w:tc>
          <w:tcPr>
            <w:tcW w:w="710" w:type="dxa"/>
            <w:vAlign w:val="center"/>
          </w:tcPr>
          <w:p>
            <w:pPr>
              <w:pStyle w:val="14"/>
              <w:rPr>
                <w:b/>
              </w:rPr>
            </w:pPr>
            <w:r>
              <w:t>噪声</w:t>
            </w:r>
          </w:p>
        </w:tc>
        <w:tc>
          <w:tcPr>
            <w:tcW w:w="710" w:type="dxa"/>
            <w:vAlign w:val="center"/>
          </w:tcPr>
          <w:p>
            <w:pPr>
              <w:pStyle w:val="14"/>
              <w:rPr>
                <w:b/>
              </w:rPr>
            </w:pPr>
            <w:r>
              <w:rPr>
                <w:lang w:val="zh-CN"/>
              </w:rPr>
              <w:t>事故</w:t>
            </w:r>
          </w:p>
          <w:p>
            <w:pPr>
              <w:pStyle w:val="14"/>
              <w:rPr>
                <w:b/>
              </w:rPr>
            </w:pPr>
            <w:r>
              <w:rPr>
                <w:lang w:val="zh-CN"/>
              </w:rPr>
              <w:t>排放</w:t>
            </w:r>
          </w:p>
        </w:tc>
        <w:tc>
          <w:tcPr>
            <w:tcW w:w="706" w:type="dxa"/>
            <w:vAlign w:val="center"/>
          </w:tcPr>
          <w:p>
            <w:pPr>
              <w:pStyle w:val="14"/>
              <w:rPr>
                <w:b/>
              </w:rPr>
            </w:pPr>
            <w:r>
              <w:rPr>
                <w:lang w:val="zh-CN"/>
              </w:rPr>
              <w:t>补偿</w:t>
            </w:r>
          </w:p>
          <w:p>
            <w:pPr>
              <w:pStyle w:val="14"/>
              <w:rPr>
                <w:b/>
              </w:rPr>
            </w:pPr>
            <w:r>
              <w:rPr>
                <w:lang w:val="zh-CN"/>
              </w:rPr>
              <w:t>绿化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2" w:type="dxa"/>
            <w:vMerge w:val="restart"/>
            <w:vAlign w:val="center"/>
          </w:tcPr>
          <w:p>
            <w:pPr>
              <w:pStyle w:val="14"/>
              <w:rPr>
                <w:lang w:val="zh-CN"/>
              </w:rPr>
            </w:pPr>
            <w:r>
              <w:rPr>
                <w:lang w:val="zh-CN"/>
              </w:rPr>
              <w:t>社会</w:t>
            </w:r>
          </w:p>
          <w:p>
            <w:pPr>
              <w:pStyle w:val="14"/>
            </w:pPr>
            <w:r>
              <w:rPr>
                <w:lang w:val="zh-CN"/>
              </w:rPr>
              <w:t>发展</w:t>
            </w:r>
          </w:p>
        </w:tc>
        <w:tc>
          <w:tcPr>
            <w:tcW w:w="1118" w:type="dxa"/>
            <w:vAlign w:val="center"/>
          </w:tcPr>
          <w:p>
            <w:pPr>
              <w:pStyle w:val="14"/>
            </w:pPr>
            <w:r>
              <w:rPr>
                <w:lang w:val="zh-CN"/>
              </w:rPr>
              <w:t>劳动就业</w:t>
            </w:r>
          </w:p>
        </w:tc>
        <w:tc>
          <w:tcPr>
            <w:tcW w:w="698" w:type="dxa"/>
            <w:vAlign w:val="center"/>
          </w:tcPr>
          <w:p>
            <w:pPr>
              <w:pStyle w:val="14"/>
            </w:pPr>
          </w:p>
        </w:tc>
        <w:tc>
          <w:tcPr>
            <w:tcW w:w="962" w:type="dxa"/>
            <w:vAlign w:val="center"/>
          </w:tcPr>
          <w:p>
            <w:pPr>
              <w:pStyle w:val="14"/>
            </w:pPr>
            <w:r>
              <w:rPr>
                <w:rFonts w:hint="eastAsia" w:ascii="宋体" w:hAnsi="宋体" w:cs="宋体"/>
                <w:lang w:val="zh-CN"/>
              </w:rPr>
              <w:t>△</w:t>
            </w:r>
          </w:p>
        </w:tc>
        <w:tc>
          <w:tcPr>
            <w:tcW w:w="774" w:type="dxa"/>
            <w:vAlign w:val="center"/>
          </w:tcPr>
          <w:p>
            <w:pPr>
              <w:pStyle w:val="14"/>
            </w:pPr>
            <w:r>
              <w:rPr>
                <w:rFonts w:hint="eastAsia" w:ascii="宋体" w:hAnsi="宋体" w:cs="宋体"/>
                <w:lang w:val="zh-CN"/>
              </w:rPr>
              <w:t>△</w:t>
            </w:r>
          </w:p>
        </w:tc>
        <w:tc>
          <w:tcPr>
            <w:tcW w:w="708"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p>
        </w:tc>
        <w:tc>
          <w:tcPr>
            <w:tcW w:w="706" w:type="dxa"/>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2" w:type="dxa"/>
            <w:vMerge w:val="continue"/>
            <w:vAlign w:val="center"/>
          </w:tcPr>
          <w:p>
            <w:pPr>
              <w:pStyle w:val="14"/>
            </w:pPr>
          </w:p>
        </w:tc>
        <w:tc>
          <w:tcPr>
            <w:tcW w:w="1118" w:type="dxa"/>
            <w:vAlign w:val="center"/>
          </w:tcPr>
          <w:p>
            <w:pPr>
              <w:pStyle w:val="14"/>
            </w:pPr>
            <w:r>
              <w:rPr>
                <w:lang w:val="zh-CN"/>
              </w:rPr>
              <w:t>经济发展</w:t>
            </w:r>
          </w:p>
        </w:tc>
        <w:tc>
          <w:tcPr>
            <w:tcW w:w="698" w:type="dxa"/>
            <w:vAlign w:val="center"/>
          </w:tcPr>
          <w:p>
            <w:pPr>
              <w:pStyle w:val="14"/>
            </w:pPr>
          </w:p>
        </w:tc>
        <w:tc>
          <w:tcPr>
            <w:tcW w:w="962" w:type="dxa"/>
            <w:vAlign w:val="center"/>
          </w:tcPr>
          <w:p>
            <w:pPr>
              <w:pStyle w:val="14"/>
            </w:pPr>
            <w:r>
              <w:rPr>
                <w:rFonts w:hint="eastAsia" w:ascii="宋体" w:hAnsi="宋体" w:cs="宋体"/>
                <w:lang w:val="zh-CN"/>
              </w:rPr>
              <w:t>△</w:t>
            </w:r>
          </w:p>
        </w:tc>
        <w:tc>
          <w:tcPr>
            <w:tcW w:w="774" w:type="dxa"/>
            <w:vAlign w:val="center"/>
          </w:tcPr>
          <w:p>
            <w:pPr>
              <w:pStyle w:val="14"/>
            </w:pPr>
            <w:r>
              <w:rPr>
                <w:rFonts w:hint="eastAsia" w:ascii="宋体" w:hAnsi="宋体" w:cs="宋体"/>
                <w:lang w:val="zh-CN"/>
              </w:rPr>
              <w:t>△</w:t>
            </w:r>
          </w:p>
        </w:tc>
        <w:tc>
          <w:tcPr>
            <w:tcW w:w="708"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p>
        </w:tc>
        <w:tc>
          <w:tcPr>
            <w:tcW w:w="706" w:type="dxa"/>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2" w:type="dxa"/>
            <w:vMerge w:val="continue"/>
            <w:vAlign w:val="center"/>
          </w:tcPr>
          <w:p>
            <w:pPr>
              <w:pStyle w:val="14"/>
            </w:pPr>
          </w:p>
        </w:tc>
        <w:tc>
          <w:tcPr>
            <w:tcW w:w="1118" w:type="dxa"/>
            <w:vAlign w:val="center"/>
          </w:tcPr>
          <w:p>
            <w:pPr>
              <w:pStyle w:val="14"/>
            </w:pPr>
            <w:r>
              <w:rPr>
                <w:lang w:val="zh-CN"/>
              </w:rPr>
              <w:t>土地利用</w:t>
            </w:r>
          </w:p>
        </w:tc>
        <w:tc>
          <w:tcPr>
            <w:tcW w:w="698" w:type="dxa"/>
            <w:vAlign w:val="center"/>
          </w:tcPr>
          <w:p>
            <w:pPr>
              <w:pStyle w:val="14"/>
            </w:pPr>
            <w:r>
              <w:rPr>
                <w:rFonts w:ascii="Segoe UI Symbol" w:hAnsi="Segoe UI Symbol" w:cs="Segoe UI Symbol"/>
                <w:lang w:val="zh-CN"/>
              </w:rPr>
              <w:t>★</w:t>
            </w:r>
          </w:p>
        </w:tc>
        <w:tc>
          <w:tcPr>
            <w:tcW w:w="962" w:type="dxa"/>
            <w:vAlign w:val="center"/>
          </w:tcPr>
          <w:p>
            <w:pPr>
              <w:pStyle w:val="14"/>
            </w:pPr>
          </w:p>
        </w:tc>
        <w:tc>
          <w:tcPr>
            <w:tcW w:w="774" w:type="dxa"/>
            <w:vAlign w:val="center"/>
          </w:tcPr>
          <w:p>
            <w:pPr>
              <w:pStyle w:val="14"/>
            </w:pPr>
          </w:p>
        </w:tc>
        <w:tc>
          <w:tcPr>
            <w:tcW w:w="708" w:type="dxa"/>
            <w:vAlign w:val="center"/>
          </w:tcPr>
          <w:p>
            <w:pPr>
              <w:pStyle w:val="14"/>
            </w:pPr>
          </w:p>
        </w:tc>
        <w:tc>
          <w:tcPr>
            <w:tcW w:w="710" w:type="dxa"/>
            <w:vAlign w:val="center"/>
          </w:tcPr>
          <w:p>
            <w:pPr>
              <w:pStyle w:val="14"/>
            </w:pPr>
          </w:p>
        </w:tc>
        <w:tc>
          <w:tcPr>
            <w:tcW w:w="710" w:type="dxa"/>
            <w:vAlign w:val="center"/>
          </w:tcPr>
          <w:p>
            <w:pPr>
              <w:pStyle w:val="14"/>
            </w:pPr>
            <w:r>
              <w:rPr>
                <w:rFonts w:ascii="Segoe UI Symbol" w:hAnsi="Segoe UI Symbol" w:cs="Segoe UI Symbol"/>
                <w:lang w:val="zh-CN"/>
              </w:rPr>
              <w:t>★</w:t>
            </w:r>
          </w:p>
        </w:tc>
        <w:tc>
          <w:tcPr>
            <w:tcW w:w="710" w:type="dxa"/>
            <w:vAlign w:val="center"/>
          </w:tcPr>
          <w:p>
            <w:pPr>
              <w:pStyle w:val="14"/>
            </w:pPr>
          </w:p>
        </w:tc>
        <w:tc>
          <w:tcPr>
            <w:tcW w:w="710" w:type="dxa"/>
            <w:vAlign w:val="center"/>
          </w:tcPr>
          <w:p>
            <w:pPr>
              <w:pStyle w:val="14"/>
            </w:pPr>
          </w:p>
        </w:tc>
        <w:tc>
          <w:tcPr>
            <w:tcW w:w="706" w:type="dxa"/>
            <w:vAlign w:val="center"/>
          </w:tcPr>
          <w:p>
            <w:pPr>
              <w:pStyle w:val="14"/>
            </w:pPr>
            <w:r>
              <w:rPr>
                <w:rFonts w:ascii="Segoe UI Symbol" w:hAnsi="Segoe UI Symbol" w:cs="Segoe UI Symbol"/>
                <w:lang w:val="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2" w:type="dxa"/>
            <w:vMerge w:val="restart"/>
            <w:vAlign w:val="center"/>
          </w:tcPr>
          <w:p>
            <w:pPr>
              <w:pStyle w:val="14"/>
              <w:rPr>
                <w:lang w:val="zh-CN"/>
              </w:rPr>
            </w:pPr>
            <w:r>
              <w:rPr>
                <w:lang w:val="zh-CN"/>
              </w:rPr>
              <w:t>自然</w:t>
            </w:r>
          </w:p>
          <w:p>
            <w:pPr>
              <w:pStyle w:val="14"/>
            </w:pPr>
            <w:r>
              <w:rPr>
                <w:lang w:val="zh-CN"/>
              </w:rPr>
              <w:t>资源</w:t>
            </w:r>
          </w:p>
        </w:tc>
        <w:tc>
          <w:tcPr>
            <w:tcW w:w="1118" w:type="dxa"/>
            <w:vAlign w:val="center"/>
          </w:tcPr>
          <w:p>
            <w:pPr>
              <w:pStyle w:val="14"/>
            </w:pPr>
            <w:r>
              <w:rPr>
                <w:lang w:val="zh-CN"/>
              </w:rPr>
              <w:t>植被生态</w:t>
            </w:r>
          </w:p>
        </w:tc>
        <w:tc>
          <w:tcPr>
            <w:tcW w:w="698" w:type="dxa"/>
            <w:vAlign w:val="center"/>
          </w:tcPr>
          <w:p>
            <w:pPr>
              <w:pStyle w:val="14"/>
            </w:pPr>
            <w:r>
              <w:rPr>
                <w:rFonts w:ascii="Segoe UI Symbol" w:hAnsi="Segoe UI Symbol" w:cs="Segoe UI Symbol"/>
                <w:lang w:val="zh-CN"/>
              </w:rPr>
              <w:t>★</w:t>
            </w:r>
          </w:p>
        </w:tc>
        <w:tc>
          <w:tcPr>
            <w:tcW w:w="962" w:type="dxa"/>
            <w:vAlign w:val="center"/>
          </w:tcPr>
          <w:p>
            <w:pPr>
              <w:pStyle w:val="14"/>
            </w:pPr>
          </w:p>
        </w:tc>
        <w:tc>
          <w:tcPr>
            <w:tcW w:w="774" w:type="dxa"/>
            <w:vAlign w:val="center"/>
          </w:tcPr>
          <w:p>
            <w:pPr>
              <w:pStyle w:val="14"/>
            </w:pPr>
          </w:p>
        </w:tc>
        <w:tc>
          <w:tcPr>
            <w:tcW w:w="708"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r>
              <w:rPr>
                <w:lang w:val="zh-CN"/>
              </w:rPr>
              <w:t>▲</w:t>
            </w:r>
          </w:p>
        </w:tc>
        <w:tc>
          <w:tcPr>
            <w:tcW w:w="706" w:type="dxa"/>
            <w:vAlign w:val="center"/>
          </w:tcPr>
          <w:p>
            <w:pPr>
              <w:pStyle w:val="14"/>
            </w:pPr>
            <w:r>
              <w:rPr>
                <w:rFonts w:ascii="Segoe UI Symbol" w:hAnsi="Segoe UI Symbol" w:cs="Segoe UI Symbol"/>
                <w:lang w:val="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2" w:type="dxa"/>
            <w:vMerge w:val="continue"/>
            <w:vAlign w:val="center"/>
          </w:tcPr>
          <w:p>
            <w:pPr>
              <w:pStyle w:val="14"/>
            </w:pPr>
          </w:p>
        </w:tc>
        <w:tc>
          <w:tcPr>
            <w:tcW w:w="1118" w:type="dxa"/>
            <w:vAlign w:val="center"/>
          </w:tcPr>
          <w:p>
            <w:pPr>
              <w:pStyle w:val="14"/>
            </w:pPr>
            <w:r>
              <w:rPr>
                <w:lang w:val="zh-CN"/>
              </w:rPr>
              <w:t>自然景观</w:t>
            </w:r>
          </w:p>
        </w:tc>
        <w:tc>
          <w:tcPr>
            <w:tcW w:w="698" w:type="dxa"/>
            <w:vAlign w:val="center"/>
          </w:tcPr>
          <w:p>
            <w:pPr>
              <w:pStyle w:val="14"/>
            </w:pPr>
            <w:r>
              <w:rPr>
                <w:lang w:val="zh-CN"/>
              </w:rPr>
              <w:t>▲</w:t>
            </w:r>
          </w:p>
        </w:tc>
        <w:tc>
          <w:tcPr>
            <w:tcW w:w="962" w:type="dxa"/>
            <w:vAlign w:val="center"/>
          </w:tcPr>
          <w:p>
            <w:pPr>
              <w:pStyle w:val="14"/>
            </w:pPr>
            <w:r>
              <w:rPr>
                <w:lang w:val="zh-CN"/>
              </w:rPr>
              <w:t>▲</w:t>
            </w:r>
          </w:p>
        </w:tc>
        <w:tc>
          <w:tcPr>
            <w:tcW w:w="774" w:type="dxa"/>
            <w:vAlign w:val="center"/>
          </w:tcPr>
          <w:p>
            <w:pPr>
              <w:pStyle w:val="14"/>
            </w:pPr>
          </w:p>
        </w:tc>
        <w:tc>
          <w:tcPr>
            <w:tcW w:w="708"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p>
        </w:tc>
        <w:tc>
          <w:tcPr>
            <w:tcW w:w="706" w:type="dxa"/>
            <w:vAlign w:val="center"/>
          </w:tcPr>
          <w:p>
            <w:pPr>
              <w:pStyle w:val="14"/>
            </w:pPr>
            <w:r>
              <w:rPr>
                <w:rFonts w:ascii="Segoe UI Symbol" w:hAnsi="Segoe UI Symbol" w:cs="Segoe UI Symbol"/>
                <w:lang w:val="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2" w:type="dxa"/>
            <w:vMerge w:val="continue"/>
            <w:vAlign w:val="center"/>
          </w:tcPr>
          <w:p>
            <w:pPr>
              <w:pStyle w:val="14"/>
            </w:pPr>
          </w:p>
        </w:tc>
        <w:tc>
          <w:tcPr>
            <w:tcW w:w="1118" w:type="dxa"/>
            <w:vAlign w:val="center"/>
          </w:tcPr>
          <w:p>
            <w:pPr>
              <w:pStyle w:val="14"/>
            </w:pPr>
            <w:r>
              <w:rPr>
                <w:lang w:val="zh-CN"/>
              </w:rPr>
              <w:t>地表水体</w:t>
            </w:r>
          </w:p>
        </w:tc>
        <w:tc>
          <w:tcPr>
            <w:tcW w:w="698" w:type="dxa"/>
            <w:vAlign w:val="center"/>
          </w:tcPr>
          <w:p>
            <w:pPr>
              <w:pStyle w:val="14"/>
            </w:pPr>
          </w:p>
        </w:tc>
        <w:tc>
          <w:tcPr>
            <w:tcW w:w="962" w:type="dxa"/>
            <w:vAlign w:val="center"/>
          </w:tcPr>
          <w:p>
            <w:pPr>
              <w:pStyle w:val="14"/>
            </w:pPr>
            <w:r>
              <w:rPr>
                <w:lang w:val="zh-CN"/>
              </w:rPr>
              <w:t>▲</w:t>
            </w:r>
          </w:p>
        </w:tc>
        <w:tc>
          <w:tcPr>
            <w:tcW w:w="774" w:type="dxa"/>
            <w:vAlign w:val="center"/>
          </w:tcPr>
          <w:p>
            <w:pPr>
              <w:pStyle w:val="14"/>
            </w:pPr>
          </w:p>
        </w:tc>
        <w:tc>
          <w:tcPr>
            <w:tcW w:w="708"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r>
              <w:rPr>
                <w:lang w:val="zh-CN"/>
              </w:rPr>
              <w:t>▲</w:t>
            </w:r>
          </w:p>
        </w:tc>
        <w:tc>
          <w:tcPr>
            <w:tcW w:w="706" w:type="dxa"/>
            <w:vAlign w:val="center"/>
          </w:tcPr>
          <w:p>
            <w:pPr>
              <w:pStyle w:val="14"/>
            </w:pPr>
            <w:r>
              <w:rPr>
                <w:rFonts w:ascii="Segoe UI Symbol" w:hAnsi="Segoe UI Symbol" w:cs="Segoe UI Symbol"/>
                <w:lang w:val="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2" w:type="dxa"/>
            <w:vMerge w:val="restart"/>
            <w:vAlign w:val="center"/>
          </w:tcPr>
          <w:p>
            <w:pPr>
              <w:pStyle w:val="14"/>
              <w:rPr>
                <w:lang w:val="zh-CN"/>
              </w:rPr>
            </w:pPr>
            <w:r>
              <w:rPr>
                <w:lang w:val="zh-CN"/>
              </w:rPr>
              <w:t>居民</w:t>
            </w:r>
          </w:p>
          <w:p>
            <w:pPr>
              <w:pStyle w:val="14"/>
              <w:rPr>
                <w:lang w:val="zh-CN"/>
              </w:rPr>
            </w:pPr>
            <w:r>
              <w:rPr>
                <w:lang w:val="zh-CN"/>
              </w:rPr>
              <w:t>生活</w:t>
            </w:r>
          </w:p>
          <w:p>
            <w:pPr>
              <w:pStyle w:val="14"/>
            </w:pPr>
            <w:r>
              <w:rPr>
                <w:lang w:val="zh-CN"/>
              </w:rPr>
              <w:t>质量</w:t>
            </w:r>
          </w:p>
        </w:tc>
        <w:tc>
          <w:tcPr>
            <w:tcW w:w="1118" w:type="dxa"/>
            <w:vAlign w:val="center"/>
          </w:tcPr>
          <w:p>
            <w:pPr>
              <w:pStyle w:val="14"/>
            </w:pPr>
            <w:r>
              <w:rPr>
                <w:lang w:val="zh-CN"/>
              </w:rPr>
              <w:t>空气质量</w:t>
            </w:r>
          </w:p>
        </w:tc>
        <w:tc>
          <w:tcPr>
            <w:tcW w:w="698" w:type="dxa"/>
            <w:vAlign w:val="center"/>
          </w:tcPr>
          <w:p>
            <w:pPr>
              <w:pStyle w:val="14"/>
            </w:pPr>
          </w:p>
        </w:tc>
        <w:tc>
          <w:tcPr>
            <w:tcW w:w="962" w:type="dxa"/>
            <w:vAlign w:val="center"/>
          </w:tcPr>
          <w:p>
            <w:pPr>
              <w:pStyle w:val="14"/>
            </w:pPr>
            <w:r>
              <w:rPr>
                <w:lang w:val="zh-CN"/>
              </w:rPr>
              <w:t>▲</w:t>
            </w:r>
          </w:p>
        </w:tc>
        <w:tc>
          <w:tcPr>
            <w:tcW w:w="774" w:type="dxa"/>
            <w:vAlign w:val="center"/>
          </w:tcPr>
          <w:p>
            <w:pPr>
              <w:pStyle w:val="14"/>
            </w:pPr>
            <w:r>
              <w:rPr>
                <w:lang w:val="zh-CN"/>
              </w:rPr>
              <w:t>▲</w:t>
            </w:r>
          </w:p>
        </w:tc>
        <w:tc>
          <w:tcPr>
            <w:tcW w:w="708" w:type="dxa"/>
            <w:vAlign w:val="center"/>
          </w:tcPr>
          <w:p>
            <w:pPr>
              <w:pStyle w:val="14"/>
            </w:pPr>
          </w:p>
        </w:tc>
        <w:tc>
          <w:tcPr>
            <w:tcW w:w="710" w:type="dxa"/>
            <w:vAlign w:val="center"/>
          </w:tcPr>
          <w:p>
            <w:pPr>
              <w:pStyle w:val="14"/>
            </w:pPr>
            <w:r>
              <w:rPr>
                <w:rFonts w:ascii="Segoe UI Symbol" w:hAnsi="Segoe UI Symbol" w:cs="Segoe UI Symbol"/>
                <w:lang w:val="zh-CN"/>
              </w:rPr>
              <w:t>★</w:t>
            </w:r>
          </w:p>
        </w:tc>
        <w:tc>
          <w:tcPr>
            <w:tcW w:w="710" w:type="dxa"/>
            <w:vAlign w:val="center"/>
          </w:tcPr>
          <w:p>
            <w:pPr>
              <w:pStyle w:val="14"/>
            </w:pPr>
            <w:r>
              <w:rPr>
                <w:rFonts w:ascii="Segoe UI Symbol" w:hAnsi="Segoe UI Symbol" w:cs="Segoe UI Symbol"/>
                <w:lang w:val="zh-CN"/>
              </w:rPr>
              <w:t>★</w:t>
            </w:r>
          </w:p>
        </w:tc>
        <w:tc>
          <w:tcPr>
            <w:tcW w:w="710" w:type="dxa"/>
            <w:vAlign w:val="center"/>
          </w:tcPr>
          <w:p>
            <w:pPr>
              <w:pStyle w:val="14"/>
            </w:pPr>
          </w:p>
        </w:tc>
        <w:tc>
          <w:tcPr>
            <w:tcW w:w="710" w:type="dxa"/>
            <w:vAlign w:val="center"/>
          </w:tcPr>
          <w:p>
            <w:pPr>
              <w:pStyle w:val="14"/>
            </w:pPr>
            <w:r>
              <w:rPr>
                <w:lang w:val="zh-CN"/>
              </w:rPr>
              <w:t>▲</w:t>
            </w:r>
          </w:p>
        </w:tc>
        <w:tc>
          <w:tcPr>
            <w:tcW w:w="706" w:type="dxa"/>
            <w:vAlign w:val="center"/>
          </w:tcPr>
          <w:p>
            <w:pPr>
              <w:pStyle w:val="14"/>
            </w:pPr>
            <w:r>
              <w:rPr>
                <w:rFonts w:ascii="Segoe UI Symbol" w:hAnsi="Segoe UI Symbol" w:cs="Segoe UI Symbol"/>
                <w:lang w:val="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2" w:type="dxa"/>
            <w:vMerge w:val="continue"/>
            <w:vAlign w:val="center"/>
          </w:tcPr>
          <w:p>
            <w:pPr>
              <w:pStyle w:val="14"/>
            </w:pPr>
          </w:p>
        </w:tc>
        <w:tc>
          <w:tcPr>
            <w:tcW w:w="1118" w:type="dxa"/>
            <w:vAlign w:val="center"/>
          </w:tcPr>
          <w:p>
            <w:pPr>
              <w:pStyle w:val="14"/>
            </w:pPr>
            <w:r>
              <w:rPr>
                <w:lang w:val="zh-CN"/>
              </w:rPr>
              <w:t>地表水质</w:t>
            </w:r>
          </w:p>
        </w:tc>
        <w:tc>
          <w:tcPr>
            <w:tcW w:w="698" w:type="dxa"/>
            <w:vAlign w:val="center"/>
          </w:tcPr>
          <w:p>
            <w:pPr>
              <w:pStyle w:val="14"/>
            </w:pPr>
          </w:p>
        </w:tc>
        <w:tc>
          <w:tcPr>
            <w:tcW w:w="962" w:type="dxa"/>
            <w:vAlign w:val="center"/>
          </w:tcPr>
          <w:p>
            <w:pPr>
              <w:pStyle w:val="14"/>
            </w:pPr>
            <w:r>
              <w:rPr>
                <w:lang w:val="zh-CN"/>
              </w:rPr>
              <w:t>▲</w:t>
            </w:r>
          </w:p>
        </w:tc>
        <w:tc>
          <w:tcPr>
            <w:tcW w:w="774" w:type="dxa"/>
            <w:vAlign w:val="center"/>
          </w:tcPr>
          <w:p>
            <w:pPr>
              <w:pStyle w:val="14"/>
            </w:pPr>
          </w:p>
        </w:tc>
        <w:tc>
          <w:tcPr>
            <w:tcW w:w="708"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r>
              <w:rPr>
                <w:lang w:val="zh-CN"/>
              </w:rPr>
              <w:t>▲</w:t>
            </w:r>
          </w:p>
        </w:tc>
        <w:tc>
          <w:tcPr>
            <w:tcW w:w="706" w:type="dxa"/>
            <w:vAlign w:val="center"/>
          </w:tcPr>
          <w:p>
            <w:pPr>
              <w:pStyle w:val="14"/>
            </w:pPr>
            <w:r>
              <w:rPr>
                <w:rFonts w:ascii="Segoe UI Symbol" w:hAnsi="Segoe UI Symbol" w:cs="Segoe UI Symbol"/>
                <w:lang w:val="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2" w:type="dxa"/>
            <w:vMerge w:val="continue"/>
            <w:vAlign w:val="center"/>
          </w:tcPr>
          <w:p>
            <w:pPr>
              <w:pStyle w:val="14"/>
            </w:pPr>
          </w:p>
        </w:tc>
        <w:tc>
          <w:tcPr>
            <w:tcW w:w="1118" w:type="dxa"/>
            <w:vAlign w:val="center"/>
          </w:tcPr>
          <w:p>
            <w:pPr>
              <w:pStyle w:val="14"/>
            </w:pPr>
            <w:r>
              <w:rPr>
                <w:lang w:val="zh-CN"/>
              </w:rPr>
              <w:t>声学环境</w:t>
            </w:r>
          </w:p>
        </w:tc>
        <w:tc>
          <w:tcPr>
            <w:tcW w:w="698" w:type="dxa"/>
            <w:vAlign w:val="center"/>
          </w:tcPr>
          <w:p>
            <w:pPr>
              <w:pStyle w:val="14"/>
            </w:pPr>
          </w:p>
        </w:tc>
        <w:tc>
          <w:tcPr>
            <w:tcW w:w="962" w:type="dxa"/>
            <w:vAlign w:val="center"/>
          </w:tcPr>
          <w:p>
            <w:pPr>
              <w:pStyle w:val="14"/>
            </w:pPr>
            <w:r>
              <w:rPr>
                <w:lang w:val="zh-CN"/>
              </w:rPr>
              <w:t>▲</w:t>
            </w:r>
          </w:p>
        </w:tc>
        <w:tc>
          <w:tcPr>
            <w:tcW w:w="774" w:type="dxa"/>
            <w:vAlign w:val="center"/>
          </w:tcPr>
          <w:p>
            <w:pPr>
              <w:pStyle w:val="14"/>
            </w:pPr>
            <w:r>
              <w:rPr>
                <w:lang w:val="zh-CN"/>
              </w:rPr>
              <w:t>▲</w:t>
            </w:r>
          </w:p>
        </w:tc>
        <w:tc>
          <w:tcPr>
            <w:tcW w:w="708"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r>
              <w:rPr>
                <w:rFonts w:ascii="Segoe UI Symbol" w:hAnsi="Segoe UI Symbol" w:cs="Segoe UI Symbol"/>
                <w:lang w:val="zh-CN"/>
              </w:rPr>
              <w:t>★</w:t>
            </w:r>
          </w:p>
        </w:tc>
        <w:tc>
          <w:tcPr>
            <w:tcW w:w="710" w:type="dxa"/>
            <w:vAlign w:val="center"/>
          </w:tcPr>
          <w:p>
            <w:pPr>
              <w:pStyle w:val="14"/>
            </w:pPr>
          </w:p>
        </w:tc>
        <w:tc>
          <w:tcPr>
            <w:tcW w:w="706" w:type="dxa"/>
            <w:vAlign w:val="center"/>
          </w:tcPr>
          <w:p>
            <w:pPr>
              <w:pStyle w:val="14"/>
            </w:pPr>
            <w:r>
              <w:rPr>
                <w:rFonts w:ascii="Segoe UI Symbol" w:hAnsi="Segoe UI Symbol" w:cs="Segoe UI Symbol"/>
                <w:lang w:val="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2" w:type="dxa"/>
            <w:vMerge w:val="continue"/>
            <w:vAlign w:val="center"/>
          </w:tcPr>
          <w:p>
            <w:pPr>
              <w:pStyle w:val="14"/>
            </w:pPr>
          </w:p>
        </w:tc>
        <w:tc>
          <w:tcPr>
            <w:tcW w:w="1118" w:type="dxa"/>
            <w:vAlign w:val="center"/>
          </w:tcPr>
          <w:p>
            <w:pPr>
              <w:pStyle w:val="14"/>
            </w:pPr>
            <w:r>
              <w:rPr>
                <w:lang w:val="zh-CN"/>
              </w:rPr>
              <w:t>居住条件</w:t>
            </w:r>
          </w:p>
        </w:tc>
        <w:tc>
          <w:tcPr>
            <w:tcW w:w="698" w:type="dxa"/>
            <w:vAlign w:val="center"/>
          </w:tcPr>
          <w:p>
            <w:pPr>
              <w:pStyle w:val="14"/>
            </w:pPr>
          </w:p>
        </w:tc>
        <w:tc>
          <w:tcPr>
            <w:tcW w:w="962" w:type="dxa"/>
            <w:vAlign w:val="center"/>
          </w:tcPr>
          <w:p>
            <w:pPr>
              <w:pStyle w:val="14"/>
            </w:pPr>
            <w:r>
              <w:rPr>
                <w:lang w:val="zh-CN"/>
              </w:rPr>
              <w:t>▲</w:t>
            </w:r>
          </w:p>
        </w:tc>
        <w:tc>
          <w:tcPr>
            <w:tcW w:w="774" w:type="dxa"/>
            <w:vAlign w:val="center"/>
          </w:tcPr>
          <w:p>
            <w:pPr>
              <w:pStyle w:val="14"/>
            </w:pPr>
          </w:p>
        </w:tc>
        <w:tc>
          <w:tcPr>
            <w:tcW w:w="708" w:type="dxa"/>
            <w:vAlign w:val="center"/>
          </w:tcPr>
          <w:p>
            <w:pPr>
              <w:pStyle w:val="14"/>
            </w:pPr>
          </w:p>
        </w:tc>
        <w:tc>
          <w:tcPr>
            <w:tcW w:w="710" w:type="dxa"/>
            <w:vAlign w:val="center"/>
          </w:tcPr>
          <w:p>
            <w:pPr>
              <w:pStyle w:val="14"/>
            </w:pPr>
            <w:r>
              <w:rPr>
                <w:rFonts w:ascii="Segoe UI Symbol" w:hAnsi="Segoe UI Symbol" w:cs="Segoe UI Symbol"/>
                <w:lang w:val="zh-CN"/>
              </w:rPr>
              <w:t>★</w:t>
            </w:r>
          </w:p>
        </w:tc>
        <w:tc>
          <w:tcPr>
            <w:tcW w:w="710" w:type="dxa"/>
            <w:vAlign w:val="center"/>
          </w:tcPr>
          <w:p>
            <w:pPr>
              <w:pStyle w:val="14"/>
            </w:pPr>
            <w:r>
              <w:rPr>
                <w:rFonts w:ascii="Segoe UI Symbol" w:hAnsi="Segoe UI Symbol" w:cs="Segoe UI Symbol"/>
                <w:lang w:val="zh-CN"/>
              </w:rPr>
              <w:t>★</w:t>
            </w:r>
          </w:p>
        </w:tc>
        <w:tc>
          <w:tcPr>
            <w:tcW w:w="710" w:type="dxa"/>
            <w:vAlign w:val="center"/>
          </w:tcPr>
          <w:p>
            <w:pPr>
              <w:pStyle w:val="14"/>
            </w:pPr>
            <w:r>
              <w:rPr>
                <w:rFonts w:ascii="Segoe UI Symbol" w:hAnsi="Segoe UI Symbol" w:cs="Segoe UI Symbol"/>
                <w:lang w:val="zh-CN"/>
              </w:rPr>
              <w:t>★</w:t>
            </w:r>
          </w:p>
        </w:tc>
        <w:tc>
          <w:tcPr>
            <w:tcW w:w="710" w:type="dxa"/>
            <w:vAlign w:val="center"/>
          </w:tcPr>
          <w:p>
            <w:pPr>
              <w:pStyle w:val="14"/>
            </w:pPr>
            <w:r>
              <w:rPr>
                <w:lang w:val="zh-CN"/>
              </w:rPr>
              <w:t>▲</w:t>
            </w:r>
          </w:p>
        </w:tc>
        <w:tc>
          <w:tcPr>
            <w:tcW w:w="706" w:type="dxa"/>
            <w:vAlign w:val="center"/>
          </w:tcPr>
          <w:p>
            <w:pPr>
              <w:pStyle w:val="14"/>
            </w:pPr>
            <w:r>
              <w:rPr>
                <w:rFonts w:ascii="Segoe UI Symbol" w:hAnsi="Segoe UI Symbol" w:cs="Segoe UI Symbol"/>
                <w:lang w:val="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2" w:type="dxa"/>
            <w:vMerge w:val="continue"/>
            <w:vAlign w:val="center"/>
          </w:tcPr>
          <w:p>
            <w:pPr>
              <w:pStyle w:val="14"/>
            </w:pPr>
          </w:p>
        </w:tc>
        <w:tc>
          <w:tcPr>
            <w:tcW w:w="1118" w:type="dxa"/>
            <w:vAlign w:val="center"/>
          </w:tcPr>
          <w:p>
            <w:pPr>
              <w:pStyle w:val="14"/>
            </w:pPr>
            <w:r>
              <w:rPr>
                <w:lang w:val="zh-CN"/>
              </w:rPr>
              <w:t>经济收入</w:t>
            </w:r>
          </w:p>
        </w:tc>
        <w:tc>
          <w:tcPr>
            <w:tcW w:w="698" w:type="dxa"/>
            <w:vAlign w:val="center"/>
          </w:tcPr>
          <w:p>
            <w:pPr>
              <w:pStyle w:val="14"/>
            </w:pPr>
          </w:p>
        </w:tc>
        <w:tc>
          <w:tcPr>
            <w:tcW w:w="962" w:type="dxa"/>
            <w:vAlign w:val="center"/>
          </w:tcPr>
          <w:p>
            <w:pPr>
              <w:pStyle w:val="14"/>
            </w:pPr>
            <w:r>
              <w:rPr>
                <w:rFonts w:ascii="Segoe UI Symbol" w:hAnsi="Segoe UI Symbol" w:cs="Segoe UI Symbol"/>
                <w:lang w:val="zh-CN"/>
              </w:rPr>
              <w:t>☆</w:t>
            </w:r>
          </w:p>
        </w:tc>
        <w:tc>
          <w:tcPr>
            <w:tcW w:w="774" w:type="dxa"/>
            <w:vAlign w:val="center"/>
          </w:tcPr>
          <w:p>
            <w:pPr>
              <w:pStyle w:val="14"/>
            </w:pPr>
            <w:r>
              <w:rPr>
                <w:rFonts w:ascii="Segoe UI Symbol" w:hAnsi="Segoe UI Symbol" w:cs="Segoe UI Symbol"/>
                <w:lang w:val="zh-CN"/>
              </w:rPr>
              <w:t>☆</w:t>
            </w:r>
          </w:p>
        </w:tc>
        <w:tc>
          <w:tcPr>
            <w:tcW w:w="708"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p>
        </w:tc>
        <w:tc>
          <w:tcPr>
            <w:tcW w:w="710" w:type="dxa"/>
            <w:vAlign w:val="center"/>
          </w:tcPr>
          <w:p>
            <w:pPr>
              <w:pStyle w:val="14"/>
            </w:pPr>
          </w:p>
        </w:tc>
        <w:tc>
          <w:tcPr>
            <w:tcW w:w="706" w:type="dxa"/>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8" w:type="dxa"/>
            <w:gridSpan w:val="11"/>
            <w:vAlign w:val="center"/>
          </w:tcPr>
          <w:p>
            <w:pPr>
              <w:pStyle w:val="14"/>
              <w:rPr>
                <w:lang w:val="zh-CN"/>
              </w:rPr>
            </w:pPr>
            <w:r>
              <w:rPr>
                <w:lang w:val="zh-CN"/>
              </w:rPr>
              <w:t>▲</w:t>
            </w:r>
            <w:r>
              <w:t>/</w:t>
            </w:r>
            <w:r>
              <w:rPr>
                <w:rFonts w:hint="eastAsia" w:ascii="宋体" w:hAnsi="宋体" w:cs="宋体"/>
                <w:lang w:val="zh-CN"/>
              </w:rPr>
              <w:t>△</w:t>
            </w:r>
            <w:r>
              <w:rPr>
                <w:lang w:val="zh-CN"/>
              </w:rPr>
              <w:t>表示短期不利影响</w:t>
            </w:r>
            <w:r>
              <w:t>/</w:t>
            </w:r>
            <w:r>
              <w:rPr>
                <w:lang w:val="zh-CN"/>
              </w:rPr>
              <w:t>有利影响</w:t>
            </w:r>
            <w:r>
              <w:rPr>
                <w:rFonts w:ascii="Segoe UI Symbol" w:hAnsi="Segoe UI Symbol" w:cs="Segoe UI Symbol"/>
                <w:lang w:val="zh-CN"/>
              </w:rPr>
              <w:t>★</w:t>
            </w:r>
            <w:r>
              <w:t>/</w:t>
            </w:r>
            <w:r>
              <w:rPr>
                <w:rFonts w:ascii="Segoe UI Symbol" w:hAnsi="Segoe UI Symbol" w:cs="Segoe UI Symbol"/>
                <w:lang w:val="zh-CN"/>
              </w:rPr>
              <w:t>☆</w:t>
            </w:r>
            <w:r>
              <w:rPr>
                <w:lang w:val="zh-CN"/>
              </w:rPr>
              <w:t>表示长期不利影响</w:t>
            </w:r>
            <w:r>
              <w:t>/</w:t>
            </w:r>
            <w:r>
              <w:rPr>
                <w:lang w:val="zh-CN"/>
              </w:rPr>
              <w:t>有利影响</w:t>
            </w:r>
          </w:p>
          <w:p>
            <w:pPr>
              <w:pStyle w:val="14"/>
            </w:pPr>
            <w:r>
              <w:rPr>
                <w:lang w:val="zh-CN"/>
              </w:rPr>
              <w:t>空格表示不明显影响或没有影响</w:t>
            </w:r>
          </w:p>
        </w:tc>
      </w:tr>
    </w:tbl>
    <w:p>
      <w:pPr>
        <w:ind w:firstLine="480"/>
        <w:rPr>
          <w:rFonts w:cs="Times New Roman"/>
        </w:rPr>
      </w:pPr>
      <w:r>
        <w:rPr>
          <w:rFonts w:cs="Times New Roman"/>
        </w:rPr>
        <w:t>2、评价因子筛选</w:t>
      </w:r>
    </w:p>
    <w:p>
      <w:pPr>
        <w:ind w:firstLine="480"/>
        <w:rPr>
          <w:rFonts w:cs="Times New Roman"/>
        </w:rPr>
      </w:pPr>
      <w:r>
        <w:rPr>
          <w:rFonts w:cs="Times New Roman"/>
        </w:rPr>
        <w:t>根据项目生产工艺及其污染物污染物排放的特点，结合项目所在区域的环境特征和规划要求，确定本次评价因子如表2.3-2所示。</w:t>
      </w:r>
    </w:p>
    <w:p>
      <w:pPr>
        <w:pStyle w:val="43"/>
        <w:spacing w:before="156" w:beforeLines="50"/>
        <w:ind w:firstLine="240"/>
        <w:rPr>
          <w:rFonts w:ascii="Times New Roman" w:hAnsi="Times New Roman"/>
          <w:sz w:val="24"/>
        </w:rPr>
      </w:pPr>
      <w:bookmarkStart w:id="40" w:name="_Ref299656329"/>
      <w:r>
        <w:rPr>
          <w:rFonts w:ascii="Times New Roman" w:hAnsi="Times New Roman"/>
          <w:sz w:val="24"/>
        </w:rPr>
        <w:t>表</w:t>
      </w:r>
      <w:bookmarkEnd w:id="40"/>
      <w:r>
        <w:rPr>
          <w:rFonts w:ascii="Times New Roman" w:hAnsi="Times New Roman"/>
          <w:sz w:val="24"/>
        </w:rPr>
        <w:t>2.3-2  主要评价因子确定表</w:t>
      </w:r>
    </w:p>
    <w:tbl>
      <w:tblPr>
        <w:tblStyle w:val="45"/>
        <w:tblW w:w="8528"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527"/>
        <w:gridCol w:w="3826"/>
        <w:gridCol w:w="317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27" w:type="dxa"/>
            <w:vMerge w:val="restart"/>
            <w:vAlign w:val="center"/>
          </w:tcPr>
          <w:p>
            <w:pPr>
              <w:pStyle w:val="14"/>
              <w:rPr>
                <w:b/>
                <w:bCs/>
              </w:rPr>
            </w:pPr>
            <w:r>
              <w:rPr>
                <w:bCs/>
              </w:rPr>
              <w:t>评价要素</w:t>
            </w:r>
          </w:p>
        </w:tc>
        <w:tc>
          <w:tcPr>
            <w:tcW w:w="7001" w:type="dxa"/>
            <w:gridSpan w:val="2"/>
            <w:vAlign w:val="center"/>
          </w:tcPr>
          <w:p>
            <w:pPr>
              <w:pStyle w:val="14"/>
              <w:rPr>
                <w:b/>
                <w:bCs/>
              </w:rPr>
            </w:pPr>
            <w:r>
              <w:rPr>
                <w:bCs/>
              </w:rPr>
              <w:t>评价因子</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27" w:type="dxa"/>
            <w:vMerge w:val="continue"/>
            <w:vAlign w:val="center"/>
          </w:tcPr>
          <w:p>
            <w:pPr>
              <w:pStyle w:val="14"/>
              <w:rPr>
                <w:b/>
                <w:bCs/>
              </w:rPr>
            </w:pPr>
          </w:p>
        </w:tc>
        <w:tc>
          <w:tcPr>
            <w:tcW w:w="3826" w:type="dxa"/>
            <w:vAlign w:val="center"/>
          </w:tcPr>
          <w:p>
            <w:pPr>
              <w:pStyle w:val="14"/>
              <w:rPr>
                <w:b/>
                <w:bCs/>
              </w:rPr>
            </w:pPr>
            <w:r>
              <w:rPr>
                <w:bCs/>
                <w:lang w:val="pt-BR"/>
              </w:rPr>
              <w:t>环境质量现状评价因子</w:t>
            </w:r>
          </w:p>
        </w:tc>
        <w:tc>
          <w:tcPr>
            <w:tcW w:w="3175" w:type="dxa"/>
            <w:vAlign w:val="center"/>
          </w:tcPr>
          <w:p>
            <w:pPr>
              <w:pStyle w:val="14"/>
              <w:rPr>
                <w:b/>
                <w:bCs/>
              </w:rPr>
            </w:pPr>
            <w:r>
              <w:rPr>
                <w:bCs/>
              </w:rPr>
              <w:t>环境影响预测评价因子</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27" w:type="dxa"/>
            <w:vAlign w:val="center"/>
          </w:tcPr>
          <w:p>
            <w:pPr>
              <w:pStyle w:val="14"/>
              <w:rPr>
                <w:b/>
                <w:bCs/>
              </w:rPr>
            </w:pPr>
            <w:r>
              <w:rPr>
                <w:bCs/>
              </w:rPr>
              <w:t>大气环境</w:t>
            </w:r>
          </w:p>
        </w:tc>
        <w:tc>
          <w:tcPr>
            <w:tcW w:w="3826" w:type="dxa"/>
            <w:vAlign w:val="center"/>
          </w:tcPr>
          <w:p>
            <w:pPr>
              <w:pStyle w:val="14"/>
              <w:rPr>
                <w:b/>
                <w:bCs/>
              </w:rPr>
            </w:pPr>
            <w:r>
              <w:rPr>
                <w:bCs/>
              </w:rPr>
              <w:t>SO</w:t>
            </w:r>
            <w:r>
              <w:rPr>
                <w:bCs/>
                <w:vertAlign w:val="subscript"/>
              </w:rPr>
              <w:t>2</w:t>
            </w:r>
            <w:r>
              <w:rPr>
                <w:bCs/>
              </w:rPr>
              <w:t>、NO</w:t>
            </w:r>
            <w:r>
              <w:rPr>
                <w:bCs/>
                <w:vertAlign w:val="subscript"/>
              </w:rPr>
              <w:t>2</w:t>
            </w:r>
            <w:r>
              <w:rPr>
                <w:bCs/>
              </w:rPr>
              <w:t>、PM</w:t>
            </w:r>
            <w:r>
              <w:rPr>
                <w:bCs/>
                <w:vertAlign w:val="subscript"/>
              </w:rPr>
              <w:t>10</w:t>
            </w:r>
            <w:r>
              <w:rPr>
                <w:bCs/>
              </w:rPr>
              <w:t>、PM</w:t>
            </w:r>
            <w:r>
              <w:rPr>
                <w:bCs/>
                <w:vertAlign w:val="subscript"/>
              </w:rPr>
              <w:t>2.5</w:t>
            </w:r>
            <w:r>
              <w:rPr>
                <w:bCs/>
              </w:rPr>
              <w:t>、CO、O</w:t>
            </w:r>
            <w:r>
              <w:rPr>
                <w:bCs/>
                <w:vertAlign w:val="subscript"/>
              </w:rPr>
              <w:t>3</w:t>
            </w:r>
            <w:r>
              <w:rPr>
                <w:bCs/>
              </w:rPr>
              <w:t>、TSP、氟化物、氯化物、氨、TVOC、铅及其化合物、镉及其化合物、镍及其化合物、汞及化合物</w:t>
            </w:r>
          </w:p>
        </w:tc>
        <w:tc>
          <w:tcPr>
            <w:tcW w:w="3175" w:type="dxa"/>
            <w:vAlign w:val="center"/>
          </w:tcPr>
          <w:p>
            <w:pPr>
              <w:pStyle w:val="14"/>
              <w:rPr>
                <w:b/>
                <w:bCs/>
                <w:lang w:val="pt-BR"/>
              </w:rPr>
            </w:pPr>
            <w:r>
              <w:rPr>
                <w:bCs/>
              </w:rPr>
              <w:t>NO</w:t>
            </w:r>
            <w:r>
              <w:rPr>
                <w:bCs/>
                <w:vertAlign w:val="subscript"/>
              </w:rPr>
              <w:t>2</w:t>
            </w:r>
            <w:r>
              <w:rPr>
                <w:bCs/>
              </w:rPr>
              <w:t>、TSP、SO</w:t>
            </w:r>
            <w:r>
              <w:rPr>
                <w:bCs/>
                <w:vertAlign w:val="subscript"/>
              </w:rPr>
              <w:t>2</w:t>
            </w:r>
            <w:r>
              <w:rPr>
                <w:bCs/>
              </w:rPr>
              <w:t>、氟化物和PM</w:t>
            </w:r>
            <w:r>
              <w:rPr>
                <w:bCs/>
                <w:vertAlign w:val="subscript"/>
              </w:rPr>
              <w:t>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27" w:type="dxa"/>
            <w:vAlign w:val="center"/>
          </w:tcPr>
          <w:p>
            <w:pPr>
              <w:pStyle w:val="14"/>
              <w:rPr>
                <w:b/>
                <w:bCs/>
              </w:rPr>
            </w:pPr>
            <w:r>
              <w:rPr>
                <w:bCs/>
              </w:rPr>
              <w:t>地表水环境</w:t>
            </w:r>
          </w:p>
        </w:tc>
        <w:tc>
          <w:tcPr>
            <w:tcW w:w="3826" w:type="dxa"/>
            <w:vAlign w:val="center"/>
          </w:tcPr>
          <w:p>
            <w:pPr>
              <w:pStyle w:val="14"/>
              <w:rPr>
                <w:b/>
                <w:bCs/>
              </w:rPr>
            </w:pPr>
            <w:r>
              <w:rPr>
                <w:bCs/>
              </w:rPr>
              <w:t>pH、化学需氧量、悬浮物、石油类、五日生化需氧量、氨氮、总磷、硫化物、氟化物、总铜、总锌、总钡、动植物油、挥发酚</w:t>
            </w:r>
          </w:p>
        </w:tc>
        <w:tc>
          <w:tcPr>
            <w:tcW w:w="3175" w:type="dxa"/>
            <w:vAlign w:val="center"/>
          </w:tcPr>
          <w:p>
            <w:pPr>
              <w:pStyle w:val="14"/>
              <w:rPr>
                <w:b/>
                <w:bCs/>
              </w:rPr>
            </w:pPr>
            <w:r>
              <w:rPr>
                <w:bCs/>
              </w:rPr>
              <w:t>CODcr、氨氮、SS、挥发酚、石油类</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27" w:type="dxa"/>
            <w:vAlign w:val="center"/>
          </w:tcPr>
          <w:p>
            <w:pPr>
              <w:pStyle w:val="14"/>
              <w:rPr>
                <w:b/>
                <w:bCs/>
              </w:rPr>
            </w:pPr>
            <w:r>
              <w:rPr>
                <w:bCs/>
              </w:rPr>
              <w:t>地下水环境</w:t>
            </w:r>
          </w:p>
        </w:tc>
        <w:tc>
          <w:tcPr>
            <w:tcW w:w="3826" w:type="dxa"/>
            <w:vAlign w:val="center"/>
          </w:tcPr>
          <w:p>
            <w:pPr>
              <w:pStyle w:val="14"/>
              <w:rPr>
                <w:b/>
                <w:bCs/>
                <w:lang w:val="pt-BR"/>
              </w:rPr>
            </w:pPr>
            <w:r>
              <w:rPr>
                <w:bCs/>
              </w:rPr>
              <w:t>pH、氟化物、溶解性总固体、氨氮、砷、镉、铬（六价）、铅、镍、挥发性酚类、K</w:t>
            </w:r>
            <w:r>
              <w:rPr>
                <w:bCs/>
                <w:vertAlign w:val="superscript"/>
              </w:rPr>
              <w:t>+</w:t>
            </w:r>
            <w:r>
              <w:rPr>
                <w:bCs/>
              </w:rPr>
              <w:t>、Na</w:t>
            </w:r>
            <w:r>
              <w:rPr>
                <w:bCs/>
                <w:vertAlign w:val="superscript"/>
              </w:rPr>
              <w:t>+</w:t>
            </w:r>
            <w:r>
              <w:rPr>
                <w:bCs/>
              </w:rPr>
              <w:t>、Ca</w:t>
            </w:r>
            <w:r>
              <w:rPr>
                <w:bCs/>
                <w:vertAlign w:val="superscript"/>
              </w:rPr>
              <w:t>2+</w:t>
            </w:r>
            <w:r>
              <w:rPr>
                <w:bCs/>
              </w:rPr>
              <w:t>、Mg</w:t>
            </w:r>
            <w:r>
              <w:rPr>
                <w:bCs/>
                <w:vertAlign w:val="superscript"/>
              </w:rPr>
              <w:t>2+</w:t>
            </w:r>
            <w:r>
              <w:rPr>
                <w:bCs/>
              </w:rPr>
              <w:t>、CO</w:t>
            </w:r>
            <w:r>
              <w:rPr>
                <w:bCs/>
                <w:vertAlign w:val="subscript"/>
              </w:rPr>
              <w:t>3</w:t>
            </w:r>
            <w:r>
              <w:rPr>
                <w:bCs/>
                <w:vertAlign w:val="superscript"/>
              </w:rPr>
              <w:t>2-</w:t>
            </w:r>
            <w:r>
              <w:rPr>
                <w:bCs/>
              </w:rPr>
              <w:t>、HCO</w:t>
            </w:r>
            <w:r>
              <w:rPr>
                <w:bCs/>
                <w:vertAlign w:val="subscript"/>
              </w:rPr>
              <w:t>3</w:t>
            </w:r>
            <w:r>
              <w:rPr>
                <w:bCs/>
                <w:vertAlign w:val="superscript"/>
              </w:rPr>
              <w:t>-</w:t>
            </w:r>
            <w:r>
              <w:rPr>
                <w:bCs/>
              </w:rPr>
              <w:t>、Cl</w:t>
            </w:r>
            <w:r>
              <w:rPr>
                <w:bCs/>
                <w:vertAlign w:val="superscript"/>
              </w:rPr>
              <w:t>-</w:t>
            </w:r>
            <w:r>
              <w:rPr>
                <w:bCs/>
              </w:rPr>
              <w:t>、SO</w:t>
            </w:r>
            <w:r>
              <w:rPr>
                <w:bCs/>
                <w:vertAlign w:val="subscript"/>
              </w:rPr>
              <w:t>4</w:t>
            </w:r>
            <w:r>
              <w:rPr>
                <w:bCs/>
                <w:vertAlign w:val="superscript"/>
              </w:rPr>
              <w:t>2-</w:t>
            </w:r>
          </w:p>
        </w:tc>
        <w:tc>
          <w:tcPr>
            <w:tcW w:w="3175" w:type="dxa"/>
            <w:vAlign w:val="center"/>
          </w:tcPr>
          <w:p>
            <w:pPr>
              <w:pStyle w:val="14"/>
              <w:rPr>
                <w:b/>
                <w:bCs/>
                <w:lang w:val="pt-BR"/>
              </w:rPr>
            </w:pPr>
            <w:r>
              <w:rPr>
                <w:bCs/>
              </w:rPr>
              <w:t>挥发酚、COD、氨氮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27" w:type="dxa"/>
            <w:vAlign w:val="center"/>
          </w:tcPr>
          <w:p>
            <w:pPr>
              <w:pStyle w:val="14"/>
              <w:rPr>
                <w:b/>
                <w:bCs/>
              </w:rPr>
            </w:pPr>
            <w:r>
              <w:rPr>
                <w:bCs/>
              </w:rPr>
              <w:t>声环境</w:t>
            </w:r>
          </w:p>
        </w:tc>
        <w:tc>
          <w:tcPr>
            <w:tcW w:w="3826" w:type="dxa"/>
            <w:vAlign w:val="center"/>
          </w:tcPr>
          <w:p>
            <w:pPr>
              <w:pStyle w:val="14"/>
              <w:rPr>
                <w:b/>
                <w:bCs/>
              </w:rPr>
            </w:pPr>
            <w:r>
              <w:rPr>
                <w:bCs/>
              </w:rPr>
              <w:t>LeqdB（A）</w:t>
            </w:r>
          </w:p>
        </w:tc>
        <w:tc>
          <w:tcPr>
            <w:tcW w:w="3175" w:type="dxa"/>
            <w:vAlign w:val="center"/>
          </w:tcPr>
          <w:p>
            <w:pPr>
              <w:pStyle w:val="14"/>
              <w:rPr>
                <w:b/>
                <w:bCs/>
                <w:lang w:val="pt-BR"/>
              </w:rPr>
            </w:pPr>
            <w:r>
              <w:rPr>
                <w:bCs/>
              </w:rPr>
              <w:t>LeqdB（A）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27" w:type="dxa"/>
            <w:vAlign w:val="center"/>
          </w:tcPr>
          <w:p>
            <w:pPr>
              <w:pStyle w:val="14"/>
              <w:rPr>
                <w:b/>
                <w:bCs/>
              </w:rPr>
            </w:pPr>
            <w:r>
              <w:rPr>
                <w:bCs/>
              </w:rPr>
              <w:t>固体废物</w:t>
            </w:r>
          </w:p>
        </w:tc>
        <w:tc>
          <w:tcPr>
            <w:tcW w:w="3826" w:type="dxa"/>
            <w:vAlign w:val="center"/>
          </w:tcPr>
          <w:p>
            <w:pPr>
              <w:pStyle w:val="14"/>
              <w:rPr>
                <w:b/>
                <w:bCs/>
                <w:lang w:val="pt-BR"/>
              </w:rPr>
            </w:pPr>
            <w:r>
              <w:rPr>
                <w:bCs/>
                <w:lang w:val="pt-BR"/>
              </w:rPr>
              <w:t>——</w:t>
            </w:r>
          </w:p>
        </w:tc>
        <w:tc>
          <w:tcPr>
            <w:tcW w:w="3175" w:type="dxa"/>
            <w:vAlign w:val="center"/>
          </w:tcPr>
          <w:p>
            <w:pPr>
              <w:pStyle w:val="14"/>
              <w:rPr>
                <w:b/>
                <w:bCs/>
                <w:lang w:val="pt-BR"/>
              </w:rPr>
            </w:pPr>
            <w:r>
              <w:rPr>
                <w:bCs/>
                <w:lang w:val="pt-BR"/>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27" w:type="dxa"/>
            <w:vAlign w:val="center"/>
          </w:tcPr>
          <w:p>
            <w:pPr>
              <w:pStyle w:val="14"/>
              <w:rPr>
                <w:b/>
                <w:bCs/>
              </w:rPr>
            </w:pPr>
            <w:r>
              <w:rPr>
                <w:bCs/>
              </w:rPr>
              <w:t>土壤环境</w:t>
            </w:r>
          </w:p>
        </w:tc>
        <w:tc>
          <w:tcPr>
            <w:tcW w:w="3826" w:type="dxa"/>
            <w:vAlign w:val="center"/>
          </w:tcPr>
          <w:p>
            <w:pPr>
              <w:pStyle w:val="14"/>
              <w:rPr>
                <w:b/>
                <w:bCs/>
                <w:lang w:val="pt-BR"/>
              </w:rPr>
            </w:pPr>
            <w:r>
              <w:rPr>
                <w:bCs/>
              </w:rPr>
              <w:t>砷、镉、铬（六价）、铜、铅、汞、镍、四氯化碳、氯仿、氯甲烷、1，1-二氯乙烷、1，2-二氯乙烷、1，1-二氯乙烯、顺-1，2-二氯乙烯、反-1，2-二氯乙烯、二氯甲烷、1，2-二氯丙烷、1，1，1，2-四氯乙烷、1，1，2，2-四氯乙烯、四氯乙烷、1，1，1-三氯乙烷、1，1，2-三氯乙烷、三氯乙烯1，2，3-三氯丙烷、氯乙烯、苯、氯苯、1，2-二氯苯、1，4-二氯苯、乙苯、苯乙烯、甲苯、间二甲苯+对二甲苯、邻二甲苯、硝基苯、苯胺、2-氯酚、苯并[a]蒽、苯并[a]芘、苯并[b]荧蒽、苯并[k]荧蒽、䓛、二苯并[a，h]蒽、茚并[1，2，3-cd]芘、萘</w:t>
            </w:r>
          </w:p>
        </w:tc>
        <w:tc>
          <w:tcPr>
            <w:tcW w:w="3175" w:type="dxa"/>
            <w:vAlign w:val="center"/>
          </w:tcPr>
          <w:p>
            <w:pPr>
              <w:pStyle w:val="14"/>
              <w:rPr>
                <w:b/>
                <w:bCs/>
                <w:lang w:val="pt-BR"/>
              </w:rPr>
            </w:pPr>
            <w:r>
              <w:rPr>
                <w:bCs/>
                <w:lang w:val="pt-BR"/>
              </w:rPr>
              <w:t>——</w:t>
            </w:r>
          </w:p>
        </w:tc>
      </w:tr>
    </w:tbl>
    <w:p>
      <w:pPr>
        <w:pStyle w:val="4"/>
        <w:rPr>
          <w:rFonts w:cs="Times New Roman"/>
        </w:rPr>
      </w:pPr>
      <w:bookmarkStart w:id="41" w:name="_Toc86611232"/>
      <w:r>
        <w:rPr>
          <w:rFonts w:cs="Times New Roman"/>
        </w:rPr>
        <w:t>2.2.2评价标准</w:t>
      </w:r>
      <w:bookmarkEnd w:id="41"/>
    </w:p>
    <w:p>
      <w:pPr>
        <w:pStyle w:val="69"/>
        <w:adjustRightInd w:val="0"/>
        <w:snapToGrid w:val="0"/>
        <w:ind w:firstLine="0" w:firstLineChars="0"/>
        <w:outlineLvl w:val="3"/>
        <w:rPr>
          <w:b/>
        </w:rPr>
      </w:pPr>
      <w:bookmarkStart w:id="42" w:name="_Toc16745"/>
      <w:bookmarkStart w:id="43" w:name="_Toc15377"/>
      <w:bookmarkStart w:id="44" w:name="_Toc11634"/>
      <w:bookmarkStart w:id="45" w:name="_Toc22775"/>
      <w:bookmarkStart w:id="46" w:name="_Toc27096"/>
      <w:r>
        <w:rPr>
          <w:b/>
        </w:rPr>
        <w:t>2.3.2.1 环境质量标准</w:t>
      </w:r>
    </w:p>
    <w:bookmarkEnd w:id="42"/>
    <w:bookmarkEnd w:id="43"/>
    <w:bookmarkEnd w:id="44"/>
    <w:bookmarkEnd w:id="45"/>
    <w:bookmarkEnd w:id="46"/>
    <w:p>
      <w:pPr>
        <w:ind w:firstLine="482"/>
        <w:rPr>
          <w:rFonts w:cs="Times New Roman"/>
          <w:b/>
        </w:rPr>
      </w:pPr>
      <w:r>
        <w:rPr>
          <w:rFonts w:cs="Times New Roman"/>
          <w:b/>
        </w:rPr>
        <w:t>1、大气环境</w:t>
      </w:r>
    </w:p>
    <w:p>
      <w:pPr>
        <w:ind w:firstLine="480"/>
        <w:rPr>
          <w:rFonts w:cs="Times New Roman"/>
        </w:rPr>
      </w:pPr>
      <w:r>
        <w:rPr>
          <w:rFonts w:cs="Times New Roman"/>
        </w:rPr>
        <w:t>项目区位于衡阳界牌陶瓷循环经济特色工业园，环境空气执行《环境空气质量标准》（GB3095-2012）二级标准及生态环境部公告2018年29号《环境空气质量标准》（GB3095-2012）修改单；氯化氢、铅及其无机化合物的日均值浓度参照执行《工业企业设计卫生标准》（TJ36-79）中居住区大气中有害物质的最高容许浓度；NH</w:t>
      </w:r>
      <w:r>
        <w:rPr>
          <w:rFonts w:cs="Times New Roman"/>
          <w:vertAlign w:val="subscript"/>
        </w:rPr>
        <w:t>3</w:t>
      </w:r>
      <w:r>
        <w:rPr>
          <w:rFonts w:cs="Times New Roman"/>
        </w:rPr>
        <w:t>、TVOC参照执行《环境影响评价技术导则大气环境》（HJ2.2-2018）附录D的参考限值。</w:t>
      </w:r>
    </w:p>
    <w:p>
      <w:pPr>
        <w:ind w:firstLine="480"/>
        <w:rPr>
          <w:rFonts w:cs="Times New Roman"/>
        </w:rPr>
      </w:pPr>
      <w:r>
        <w:rPr>
          <w:rFonts w:cs="Times New Roman"/>
        </w:rPr>
        <w:t>镍及其化合物：根据国标GB/T3840-91的有关规定，对于镍及其化合物，应取居住大气中的一次最高允许浓度，而TJ36-79 中无居住区大气中的一次最高允许浓度限值和车间空气中最高允许浓度限值，考虑到我国的大气卫生标准与原苏联的基本一致，故引用原苏联的有关标准。原苏联也无镍的居住区一次最高允许浓度限值，其车间空气中最高允许浓度限值为0.5mg/m</w:t>
      </w:r>
      <w:r>
        <w:rPr>
          <w:rFonts w:cs="Times New Roman"/>
          <w:vertAlign w:val="superscript"/>
        </w:rPr>
        <w:t>3</w:t>
      </w:r>
      <w:r>
        <w:rPr>
          <w:rFonts w:cs="Times New Roman"/>
        </w:rPr>
        <w:t>，根据《大气污染物综合排放标准详解》中第二章第七部分提供的公式计算得出：ln</w:t>
      </w:r>
      <w:r>
        <w:rPr>
          <w:rFonts w:cs="Times New Roman"/>
          <w:iCs/>
        </w:rPr>
        <w:t>C</w:t>
      </w:r>
      <w:r>
        <w:rPr>
          <w:rFonts w:cs="Times New Roman"/>
        </w:rPr>
        <w:t>m=0.607ln</w:t>
      </w:r>
      <w:r>
        <w:rPr>
          <w:rFonts w:cs="Times New Roman"/>
          <w:iCs/>
        </w:rPr>
        <w:t>C</w:t>
      </w:r>
      <w:r>
        <w:rPr>
          <w:rFonts w:cs="Times New Roman"/>
          <w:iCs/>
          <w:vertAlign w:val="subscript"/>
        </w:rPr>
        <w:t>生</w:t>
      </w:r>
      <w:r>
        <w:rPr>
          <w:rFonts w:cs="Times New Roman"/>
          <w:iCs/>
        </w:rPr>
        <w:t>-</w:t>
      </w:r>
      <w:r>
        <w:rPr>
          <w:rFonts w:cs="Times New Roman"/>
        </w:rPr>
        <w:t>3.166（无机化合物），为0.03mg/m</w:t>
      </w:r>
      <w:r>
        <w:rPr>
          <w:rFonts w:cs="Times New Roman"/>
          <w:vertAlign w:val="superscript"/>
        </w:rPr>
        <w:t>3</w:t>
      </w:r>
      <w:r>
        <w:rPr>
          <w:rFonts w:cs="Times New Roman"/>
        </w:rPr>
        <w:t>。</w:t>
      </w:r>
    </w:p>
    <w:p>
      <w:pPr>
        <w:ind w:firstLine="480"/>
        <w:rPr>
          <w:rFonts w:cs="Times New Roman"/>
        </w:rPr>
      </w:pPr>
      <w:r>
        <w:rPr>
          <w:rFonts w:cs="Times New Roman"/>
        </w:rPr>
        <w:t>镉及其化合物：根据国标GB/T3840-91 的有关规定，对于镉及其化合物，应取居住大气中的一次最高允许浓度，而TJ36-79 中无居住区大气中的一次最高允许浓度限值，根据其车间中最高允许浓度值0.1mg/m</w:t>
      </w:r>
      <w:r>
        <w:rPr>
          <w:rFonts w:cs="Times New Roman"/>
          <w:vertAlign w:val="superscript"/>
        </w:rPr>
        <w:t>3</w:t>
      </w:r>
      <w:r>
        <w:rPr>
          <w:rFonts w:cs="Times New Roman"/>
        </w:rPr>
        <w:t>，按《大气污染物综合排放标准详解》中第二章（2-2）式计算得出：ln</w:t>
      </w:r>
      <w:r>
        <w:rPr>
          <w:rFonts w:cs="Times New Roman"/>
          <w:iCs/>
        </w:rPr>
        <w:t>C</w:t>
      </w:r>
      <w:r>
        <w:rPr>
          <w:rFonts w:cs="Times New Roman"/>
        </w:rPr>
        <w:t>m=0.607ln</w:t>
      </w:r>
      <w:r>
        <w:rPr>
          <w:rFonts w:cs="Times New Roman"/>
          <w:iCs/>
        </w:rPr>
        <w:t>C</w:t>
      </w:r>
      <w:r>
        <w:rPr>
          <w:rFonts w:cs="Times New Roman"/>
          <w:iCs/>
          <w:vertAlign w:val="subscript"/>
        </w:rPr>
        <w:t>生</w:t>
      </w:r>
      <w:r>
        <w:rPr>
          <w:rFonts w:cs="Times New Roman"/>
          <w:iCs/>
        </w:rPr>
        <w:t>-</w:t>
      </w:r>
      <w:r>
        <w:rPr>
          <w:rFonts w:cs="Times New Roman"/>
        </w:rPr>
        <w:t>3.166（无机化合物），为0.01mg/m</w:t>
      </w:r>
      <w:r>
        <w:rPr>
          <w:rFonts w:cs="Times New Roman"/>
          <w:vertAlign w:val="superscript"/>
        </w:rPr>
        <w:t>3</w:t>
      </w:r>
      <w:r>
        <w:rPr>
          <w:rFonts w:cs="Times New Roman"/>
        </w:rPr>
        <w:t>。</w:t>
      </w:r>
    </w:p>
    <w:p>
      <w:pPr>
        <w:pStyle w:val="43"/>
        <w:spacing w:before="156" w:beforeLines="50"/>
        <w:ind w:firstLine="210"/>
        <w:jc w:val="center"/>
        <w:rPr>
          <w:rFonts w:ascii="Times New Roman" w:hAnsi="Times New Roman"/>
          <w:sz w:val="21"/>
        </w:rPr>
      </w:pPr>
      <w:r>
        <w:rPr>
          <w:rFonts w:ascii="Times New Roman" w:hAnsi="Times New Roman"/>
          <w:sz w:val="21"/>
        </w:rPr>
        <w:t>表2.3-3  环境空气质量标准限值  单位：μg/m</w:t>
      </w:r>
      <w:r>
        <w:rPr>
          <w:rFonts w:ascii="Times New Roman" w:hAnsi="Times New Roman"/>
          <w:sz w:val="21"/>
          <w:vertAlign w:val="superscript"/>
        </w:rPr>
        <w:t>3</w:t>
      </w:r>
    </w:p>
    <w:tbl>
      <w:tblPr>
        <w:tblStyle w:val="4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2139"/>
        <w:gridCol w:w="2124"/>
        <w:gridCol w:w="1843"/>
        <w:gridCol w:w="223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Align w:val="center"/>
          </w:tcPr>
          <w:p>
            <w:pPr>
              <w:adjustRightInd w:val="0"/>
              <w:snapToGrid w:val="0"/>
              <w:spacing w:line="240" w:lineRule="auto"/>
              <w:ind w:firstLine="0" w:firstLineChars="0"/>
              <w:jc w:val="center"/>
              <w:rPr>
                <w:rFonts w:cs="Times New Roman"/>
                <w:b/>
                <w:kern w:val="0"/>
                <w:sz w:val="21"/>
                <w:szCs w:val="18"/>
              </w:rPr>
            </w:pPr>
            <w:r>
              <w:rPr>
                <w:rFonts w:cs="Times New Roman"/>
                <w:b/>
                <w:kern w:val="0"/>
                <w:sz w:val="21"/>
                <w:szCs w:val="18"/>
              </w:rPr>
              <w:t>染物物项目</w:t>
            </w:r>
          </w:p>
        </w:tc>
        <w:tc>
          <w:tcPr>
            <w:tcW w:w="1274" w:type="pct"/>
            <w:vAlign w:val="center"/>
          </w:tcPr>
          <w:p>
            <w:pPr>
              <w:adjustRightInd w:val="0"/>
              <w:snapToGrid w:val="0"/>
              <w:spacing w:line="240" w:lineRule="auto"/>
              <w:ind w:firstLine="0" w:firstLineChars="0"/>
              <w:jc w:val="center"/>
              <w:rPr>
                <w:rFonts w:cs="Times New Roman"/>
                <w:b/>
                <w:kern w:val="0"/>
                <w:sz w:val="21"/>
                <w:szCs w:val="18"/>
              </w:rPr>
            </w:pPr>
            <w:r>
              <w:rPr>
                <w:rFonts w:cs="Times New Roman"/>
                <w:b/>
                <w:kern w:val="0"/>
                <w:sz w:val="21"/>
                <w:szCs w:val="18"/>
              </w:rPr>
              <w:t>取样时间</w:t>
            </w:r>
          </w:p>
        </w:tc>
        <w:tc>
          <w:tcPr>
            <w:tcW w:w="1105" w:type="pct"/>
            <w:vAlign w:val="center"/>
          </w:tcPr>
          <w:p>
            <w:pPr>
              <w:adjustRightInd w:val="0"/>
              <w:snapToGrid w:val="0"/>
              <w:spacing w:line="240" w:lineRule="auto"/>
              <w:ind w:firstLine="0" w:firstLineChars="0"/>
              <w:jc w:val="center"/>
              <w:rPr>
                <w:rFonts w:cs="Times New Roman"/>
                <w:b/>
                <w:kern w:val="0"/>
                <w:sz w:val="21"/>
                <w:szCs w:val="18"/>
              </w:rPr>
            </w:pPr>
            <w:r>
              <w:rPr>
                <w:rFonts w:cs="Times New Roman"/>
                <w:b/>
                <w:kern w:val="0"/>
                <w:sz w:val="21"/>
                <w:szCs w:val="18"/>
              </w:rPr>
              <w:t>浓度限值</w:t>
            </w:r>
          </w:p>
        </w:tc>
        <w:tc>
          <w:tcPr>
            <w:tcW w:w="1337" w:type="pct"/>
            <w:vAlign w:val="center"/>
          </w:tcPr>
          <w:p>
            <w:pPr>
              <w:adjustRightInd w:val="0"/>
              <w:snapToGrid w:val="0"/>
              <w:spacing w:line="240" w:lineRule="auto"/>
              <w:ind w:firstLine="0" w:firstLineChars="0"/>
              <w:jc w:val="center"/>
              <w:rPr>
                <w:rFonts w:cs="Times New Roman"/>
                <w:b/>
                <w:kern w:val="0"/>
                <w:sz w:val="21"/>
                <w:szCs w:val="18"/>
              </w:rPr>
            </w:pPr>
            <w:r>
              <w:rPr>
                <w:rFonts w:cs="Times New Roman"/>
                <w:b/>
                <w:kern w:val="0"/>
                <w:sz w:val="21"/>
                <w:szCs w:val="18"/>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restar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SO</w:t>
            </w:r>
            <w:r>
              <w:rPr>
                <w:rFonts w:cs="Times New Roman"/>
                <w:kern w:val="0"/>
                <w:sz w:val="21"/>
                <w:szCs w:val="18"/>
                <w:vertAlign w:val="subscript"/>
              </w:rPr>
              <w:t>2</w:t>
            </w: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年平均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60</w:t>
            </w:r>
          </w:p>
        </w:tc>
        <w:tc>
          <w:tcPr>
            <w:tcW w:w="1337" w:type="pct"/>
            <w:vMerge w:val="restar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《环境空气质量标准》（GB3095-2012）及其修改单二级标准（*小时浓度按日均浓度的3倍考虑）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adjustRightInd w:val="0"/>
              <w:snapToGrid w:val="0"/>
              <w:spacing w:line="240" w:lineRule="auto"/>
              <w:ind w:firstLine="0" w:firstLineChars="0"/>
              <w:jc w:val="center"/>
              <w:rPr>
                <w:rFonts w:cs="Times New Roman"/>
                <w:kern w:val="0"/>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24小时平均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150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adjustRightInd w:val="0"/>
              <w:snapToGrid w:val="0"/>
              <w:spacing w:line="240" w:lineRule="auto"/>
              <w:ind w:firstLine="0" w:firstLineChars="0"/>
              <w:jc w:val="center"/>
              <w:rPr>
                <w:rFonts w:cs="Times New Roman"/>
                <w:kern w:val="0"/>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500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restar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NO</w:t>
            </w:r>
            <w:r>
              <w:rPr>
                <w:rFonts w:cs="Times New Roman"/>
                <w:kern w:val="0"/>
                <w:sz w:val="21"/>
                <w:szCs w:val="18"/>
                <w:vertAlign w:val="subscript"/>
              </w:rPr>
              <w:t>2</w:t>
            </w: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年平均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40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adjustRightInd w:val="0"/>
              <w:snapToGrid w:val="0"/>
              <w:spacing w:line="240" w:lineRule="auto"/>
              <w:ind w:firstLine="0" w:firstLineChars="0"/>
              <w:jc w:val="center"/>
              <w:rPr>
                <w:rFonts w:cs="Times New Roman"/>
                <w:kern w:val="0"/>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24小时平均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80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adjustRightInd w:val="0"/>
              <w:snapToGrid w:val="0"/>
              <w:spacing w:line="240" w:lineRule="auto"/>
              <w:ind w:firstLine="0" w:firstLineChars="0"/>
              <w:jc w:val="center"/>
              <w:rPr>
                <w:rFonts w:cs="Times New Roman"/>
                <w:kern w:val="0"/>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200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restart"/>
            <w:vAlign w:val="center"/>
          </w:tcPr>
          <w:p>
            <w:pPr>
              <w:adjustRightInd w:val="0"/>
              <w:snapToGrid w:val="0"/>
              <w:spacing w:line="240" w:lineRule="auto"/>
              <w:ind w:firstLine="0" w:firstLineChars="0"/>
              <w:jc w:val="center"/>
              <w:rPr>
                <w:rFonts w:cs="Times New Roman"/>
                <w:kern w:val="0"/>
                <w:sz w:val="21"/>
                <w:szCs w:val="18"/>
                <w:vertAlign w:val="subscript"/>
              </w:rPr>
            </w:pPr>
            <w:r>
              <w:rPr>
                <w:rFonts w:cs="Times New Roman"/>
                <w:kern w:val="0"/>
                <w:sz w:val="21"/>
                <w:szCs w:val="18"/>
              </w:rPr>
              <w:t>PM</w:t>
            </w:r>
            <w:r>
              <w:rPr>
                <w:rFonts w:cs="Times New Roman"/>
                <w:kern w:val="0"/>
                <w:sz w:val="21"/>
                <w:szCs w:val="18"/>
                <w:vertAlign w:val="subscript"/>
              </w:rPr>
              <w:t>10</w:t>
            </w: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年平均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70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adjustRightInd w:val="0"/>
              <w:snapToGrid w:val="0"/>
              <w:spacing w:line="240" w:lineRule="auto"/>
              <w:ind w:firstLine="0" w:firstLineChars="0"/>
              <w:jc w:val="center"/>
              <w:rPr>
                <w:rFonts w:cs="Times New Roman"/>
                <w:kern w:val="0"/>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24小时平均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150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adjustRightInd w:val="0"/>
              <w:snapToGrid w:val="0"/>
              <w:spacing w:line="240" w:lineRule="auto"/>
              <w:ind w:firstLine="0" w:firstLineChars="0"/>
              <w:jc w:val="center"/>
              <w:rPr>
                <w:rFonts w:cs="Times New Roman"/>
                <w:kern w:val="0"/>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*450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restart"/>
            <w:vAlign w:val="center"/>
          </w:tcPr>
          <w:p>
            <w:pPr>
              <w:spacing w:line="240" w:lineRule="auto"/>
              <w:ind w:firstLine="0" w:firstLineChars="0"/>
              <w:jc w:val="center"/>
              <w:rPr>
                <w:rFonts w:cs="Times New Roman"/>
                <w:sz w:val="21"/>
                <w:szCs w:val="18"/>
              </w:rPr>
            </w:pPr>
            <w:r>
              <w:rPr>
                <w:rFonts w:cs="Times New Roman"/>
                <w:sz w:val="21"/>
                <w:szCs w:val="18"/>
              </w:rPr>
              <w:t>PM</w:t>
            </w:r>
            <w:r>
              <w:rPr>
                <w:rFonts w:cs="Times New Roman"/>
                <w:sz w:val="21"/>
                <w:szCs w:val="18"/>
                <w:vertAlign w:val="subscript"/>
              </w:rPr>
              <w:t>2.5</w:t>
            </w:r>
          </w:p>
        </w:tc>
        <w:tc>
          <w:tcPr>
            <w:tcW w:w="1274" w:type="pct"/>
            <w:vAlign w:val="center"/>
          </w:tcPr>
          <w:p>
            <w:pPr>
              <w:spacing w:line="240" w:lineRule="auto"/>
              <w:ind w:firstLine="0" w:firstLineChars="0"/>
              <w:jc w:val="center"/>
              <w:rPr>
                <w:rFonts w:cs="Times New Roman"/>
                <w:sz w:val="21"/>
                <w:szCs w:val="18"/>
              </w:rPr>
            </w:pPr>
            <w:r>
              <w:rPr>
                <w:rFonts w:cs="Times New Roman"/>
                <w:sz w:val="21"/>
                <w:szCs w:val="18"/>
              </w:rPr>
              <w:t>年平均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35</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adjustRightInd w:val="0"/>
              <w:snapToGrid w:val="0"/>
              <w:spacing w:line="240" w:lineRule="auto"/>
              <w:ind w:firstLine="0" w:firstLineChars="0"/>
              <w:jc w:val="center"/>
              <w:rPr>
                <w:rFonts w:cs="Times New Roman"/>
                <w:kern w:val="0"/>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sz w:val="21"/>
                <w:szCs w:val="18"/>
              </w:rPr>
              <w:t>24小时平均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75</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adjustRightInd w:val="0"/>
              <w:snapToGrid w:val="0"/>
              <w:spacing w:line="240" w:lineRule="auto"/>
              <w:ind w:firstLine="0" w:firstLineChars="0"/>
              <w:jc w:val="center"/>
              <w:rPr>
                <w:rFonts w:cs="Times New Roman"/>
                <w:kern w:val="0"/>
                <w:sz w:val="21"/>
                <w:szCs w:val="18"/>
              </w:rPr>
            </w:pPr>
          </w:p>
        </w:tc>
        <w:tc>
          <w:tcPr>
            <w:tcW w:w="1274" w:type="pct"/>
            <w:vAlign w:val="center"/>
          </w:tcPr>
          <w:p>
            <w:pPr>
              <w:adjustRightInd w:val="0"/>
              <w:snapToGrid w:val="0"/>
              <w:spacing w:line="240" w:lineRule="auto"/>
              <w:ind w:firstLine="0" w:firstLineChars="0"/>
              <w:jc w:val="center"/>
              <w:rPr>
                <w:rFonts w:cs="Times New Roman"/>
                <w:sz w:val="21"/>
                <w:szCs w:val="18"/>
              </w:rPr>
            </w:pPr>
            <w:r>
              <w:rPr>
                <w:rFonts w:cs="Times New Roman"/>
                <w:kern w:val="0"/>
                <w:sz w:val="21"/>
                <w:szCs w:val="18"/>
              </w:rPr>
              <w:t>1小时平均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*225</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restart"/>
            <w:vAlign w:val="center"/>
          </w:tcPr>
          <w:p>
            <w:pPr>
              <w:spacing w:line="240" w:lineRule="auto"/>
              <w:ind w:firstLine="0" w:firstLineChars="0"/>
              <w:jc w:val="center"/>
              <w:rPr>
                <w:rFonts w:cs="Times New Roman"/>
                <w:sz w:val="21"/>
                <w:szCs w:val="18"/>
              </w:rPr>
            </w:pPr>
            <w:r>
              <w:rPr>
                <w:rFonts w:cs="Times New Roman"/>
                <w:sz w:val="21"/>
                <w:szCs w:val="18"/>
              </w:rPr>
              <w:t>CO</w:t>
            </w:r>
          </w:p>
        </w:tc>
        <w:tc>
          <w:tcPr>
            <w:tcW w:w="1274" w:type="pct"/>
            <w:vAlign w:val="center"/>
          </w:tcPr>
          <w:p>
            <w:pPr>
              <w:spacing w:line="240" w:lineRule="auto"/>
              <w:ind w:firstLine="0" w:firstLineChars="0"/>
              <w:jc w:val="center"/>
              <w:rPr>
                <w:rFonts w:cs="Times New Roman"/>
                <w:sz w:val="21"/>
                <w:szCs w:val="18"/>
              </w:rPr>
            </w:pPr>
            <w:r>
              <w:rPr>
                <w:rFonts w:cs="Times New Roman"/>
                <w:sz w:val="21"/>
                <w:szCs w:val="18"/>
              </w:rPr>
              <w:t>24小时平均</w:t>
            </w:r>
          </w:p>
        </w:tc>
        <w:tc>
          <w:tcPr>
            <w:tcW w:w="1105" w:type="pct"/>
            <w:vAlign w:val="center"/>
          </w:tcPr>
          <w:p>
            <w:pPr>
              <w:spacing w:line="240" w:lineRule="auto"/>
              <w:ind w:firstLine="0" w:firstLineChars="0"/>
              <w:jc w:val="center"/>
              <w:rPr>
                <w:rFonts w:cs="Times New Roman"/>
                <w:sz w:val="21"/>
                <w:szCs w:val="18"/>
              </w:rPr>
            </w:pPr>
            <w:r>
              <w:rPr>
                <w:rFonts w:cs="Times New Roman"/>
                <w:sz w:val="21"/>
                <w:szCs w:val="18"/>
              </w:rPr>
              <w:t>4000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spacing w:line="240" w:lineRule="auto"/>
              <w:ind w:firstLine="0" w:firstLineChars="0"/>
              <w:jc w:val="center"/>
              <w:rPr>
                <w:rFonts w:cs="Times New Roman"/>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10000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restart"/>
            <w:vAlign w:val="center"/>
          </w:tcPr>
          <w:p>
            <w:pPr>
              <w:spacing w:line="240" w:lineRule="auto"/>
              <w:ind w:firstLine="0" w:firstLineChars="0"/>
              <w:jc w:val="center"/>
              <w:rPr>
                <w:rFonts w:cs="Times New Roman"/>
                <w:sz w:val="21"/>
                <w:szCs w:val="18"/>
                <w:vertAlign w:val="subscript"/>
              </w:rPr>
            </w:pPr>
            <w:r>
              <w:rPr>
                <w:rFonts w:cs="Times New Roman"/>
                <w:sz w:val="21"/>
                <w:szCs w:val="18"/>
              </w:rPr>
              <w:t>O</w:t>
            </w:r>
            <w:r>
              <w:rPr>
                <w:rFonts w:cs="Times New Roman"/>
                <w:sz w:val="21"/>
                <w:szCs w:val="18"/>
                <w:vertAlign w:val="subscript"/>
              </w:rPr>
              <w:t>3</w:t>
            </w:r>
          </w:p>
        </w:tc>
        <w:tc>
          <w:tcPr>
            <w:tcW w:w="1274" w:type="pct"/>
            <w:vAlign w:val="center"/>
          </w:tcPr>
          <w:p>
            <w:pPr>
              <w:spacing w:line="240" w:lineRule="auto"/>
              <w:ind w:firstLine="0" w:firstLineChars="0"/>
              <w:jc w:val="center"/>
              <w:rPr>
                <w:rFonts w:cs="Times New Roman"/>
                <w:sz w:val="21"/>
                <w:szCs w:val="18"/>
              </w:rPr>
            </w:pPr>
            <w:r>
              <w:rPr>
                <w:rFonts w:cs="Times New Roman"/>
                <w:sz w:val="21"/>
                <w:szCs w:val="18"/>
              </w:rPr>
              <w:t>日最大8小时平均</w:t>
            </w:r>
          </w:p>
        </w:tc>
        <w:tc>
          <w:tcPr>
            <w:tcW w:w="1105" w:type="pct"/>
            <w:vAlign w:val="center"/>
          </w:tcPr>
          <w:p>
            <w:pPr>
              <w:spacing w:line="240" w:lineRule="auto"/>
              <w:ind w:firstLine="0" w:firstLineChars="0"/>
              <w:jc w:val="center"/>
              <w:rPr>
                <w:rFonts w:cs="Times New Roman"/>
                <w:sz w:val="21"/>
                <w:szCs w:val="18"/>
              </w:rPr>
            </w:pPr>
            <w:r>
              <w:rPr>
                <w:rFonts w:cs="Times New Roman"/>
                <w:sz w:val="21"/>
                <w:szCs w:val="18"/>
              </w:rPr>
              <w:t>160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spacing w:line="240" w:lineRule="auto"/>
              <w:ind w:firstLine="0" w:firstLineChars="0"/>
              <w:jc w:val="center"/>
              <w:rPr>
                <w:rFonts w:cs="Times New Roman"/>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200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restart"/>
            <w:vAlign w:val="center"/>
          </w:tcPr>
          <w:p>
            <w:pPr>
              <w:spacing w:line="240" w:lineRule="auto"/>
              <w:ind w:firstLine="0" w:firstLineChars="0"/>
              <w:jc w:val="center"/>
              <w:rPr>
                <w:rFonts w:cs="Times New Roman"/>
                <w:sz w:val="21"/>
                <w:szCs w:val="18"/>
              </w:rPr>
            </w:pPr>
            <w:r>
              <w:rPr>
                <w:rFonts w:cs="Times New Roman"/>
                <w:sz w:val="21"/>
                <w:szCs w:val="18"/>
              </w:rPr>
              <w:t>TSP</w:t>
            </w: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年平均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200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spacing w:line="240" w:lineRule="auto"/>
              <w:ind w:firstLine="0" w:firstLineChars="0"/>
              <w:jc w:val="center"/>
              <w:rPr>
                <w:rFonts w:cs="Times New Roman"/>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24小时平均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300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spacing w:line="240" w:lineRule="auto"/>
              <w:ind w:firstLine="0" w:firstLineChars="0"/>
              <w:jc w:val="center"/>
              <w:rPr>
                <w:rFonts w:cs="Times New Roman"/>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*900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restart"/>
            <w:vAlign w:val="center"/>
          </w:tcPr>
          <w:p>
            <w:pPr>
              <w:spacing w:line="240" w:lineRule="auto"/>
              <w:ind w:firstLine="0" w:firstLineChars="0"/>
              <w:jc w:val="center"/>
              <w:rPr>
                <w:rFonts w:cs="Times New Roman"/>
                <w:sz w:val="21"/>
                <w:szCs w:val="18"/>
              </w:rPr>
            </w:pPr>
            <w:r>
              <w:rPr>
                <w:rFonts w:cs="Times New Roman"/>
                <w:sz w:val="21"/>
                <w:szCs w:val="18"/>
              </w:rPr>
              <w:t>氟化物（换算成F）</w:t>
            </w: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24小时平均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7</w:t>
            </w:r>
          </w:p>
        </w:tc>
        <w:tc>
          <w:tcPr>
            <w:tcW w:w="1337" w:type="pct"/>
            <w:vMerge w:val="restar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《环境空气质量标准》（GB3095-2012）及其修改单附录A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spacing w:line="240" w:lineRule="auto"/>
              <w:ind w:firstLine="0" w:firstLineChars="0"/>
              <w:jc w:val="center"/>
              <w:rPr>
                <w:rFonts w:cs="Times New Roman"/>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一次浓度</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restart"/>
            <w:vAlign w:val="center"/>
          </w:tcPr>
          <w:p>
            <w:pPr>
              <w:spacing w:line="240" w:lineRule="auto"/>
              <w:ind w:firstLine="0" w:firstLineChars="0"/>
              <w:jc w:val="center"/>
              <w:rPr>
                <w:rFonts w:cs="Times New Roman"/>
                <w:sz w:val="21"/>
                <w:szCs w:val="18"/>
              </w:rPr>
            </w:pPr>
            <w:r>
              <w:rPr>
                <w:rFonts w:cs="Times New Roman"/>
                <w:sz w:val="21"/>
                <w:szCs w:val="18"/>
              </w:rPr>
              <w:t>HCl</w:t>
            </w: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24小时平均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15</w:t>
            </w:r>
          </w:p>
        </w:tc>
        <w:tc>
          <w:tcPr>
            <w:tcW w:w="1337" w:type="pct"/>
            <w:vMerge w:val="restar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《工业企业设计卫生标准》（TJ36-79）中居住区大气中有害物质的最高容许浓度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Merge w:val="continue"/>
            <w:vAlign w:val="center"/>
          </w:tcPr>
          <w:p>
            <w:pPr>
              <w:spacing w:line="240" w:lineRule="auto"/>
              <w:ind w:firstLine="0" w:firstLineChars="0"/>
              <w:jc w:val="center"/>
              <w:rPr>
                <w:rFonts w:cs="Times New Roman"/>
                <w:sz w:val="21"/>
                <w:szCs w:val="18"/>
              </w:rPr>
            </w:pP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一次浓度</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50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Align w:val="center"/>
          </w:tcPr>
          <w:p>
            <w:pPr>
              <w:spacing w:line="240" w:lineRule="auto"/>
              <w:ind w:firstLine="0" w:firstLineChars="0"/>
              <w:jc w:val="center"/>
              <w:rPr>
                <w:rFonts w:cs="Times New Roman"/>
                <w:sz w:val="21"/>
                <w:szCs w:val="18"/>
              </w:rPr>
            </w:pPr>
            <w:r>
              <w:rPr>
                <w:rFonts w:cs="Times New Roman"/>
                <w:sz w:val="21"/>
                <w:szCs w:val="18"/>
              </w:rPr>
              <w:t>铅及其无机化合物（换算成Pb）</w:t>
            </w: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sz w:val="21"/>
                <w:szCs w:val="18"/>
              </w:rPr>
              <w:t>24小时平均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0.7</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Align w:val="center"/>
          </w:tcPr>
          <w:p>
            <w:pPr>
              <w:spacing w:line="240" w:lineRule="auto"/>
              <w:ind w:firstLine="0" w:firstLineChars="0"/>
              <w:jc w:val="center"/>
              <w:rPr>
                <w:rFonts w:cs="Times New Roman"/>
                <w:sz w:val="21"/>
                <w:szCs w:val="18"/>
              </w:rPr>
            </w:pPr>
            <w:r>
              <w:rPr>
                <w:rFonts w:cs="Times New Roman"/>
                <w:sz w:val="21"/>
                <w:szCs w:val="18"/>
              </w:rPr>
              <w:t>镉及其化合物</w:t>
            </w: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一次浓度</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10</w:t>
            </w:r>
          </w:p>
        </w:tc>
        <w:tc>
          <w:tcPr>
            <w:tcW w:w="1337" w:type="pct"/>
            <w:vMerge w:val="restar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按车间空气中最高允许浓度计算得环境空气质量标准浓度限值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Align w:val="center"/>
          </w:tcPr>
          <w:p>
            <w:pPr>
              <w:spacing w:line="240" w:lineRule="auto"/>
              <w:ind w:firstLine="0" w:firstLineChars="0"/>
              <w:jc w:val="center"/>
              <w:rPr>
                <w:rFonts w:cs="Times New Roman"/>
                <w:sz w:val="21"/>
                <w:szCs w:val="18"/>
              </w:rPr>
            </w:pPr>
            <w:r>
              <w:rPr>
                <w:rFonts w:cs="Times New Roman"/>
                <w:sz w:val="21"/>
                <w:szCs w:val="18"/>
              </w:rPr>
              <w:t>镍及其化合物</w:t>
            </w: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一次浓度</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30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Align w:val="center"/>
          </w:tcPr>
          <w:p>
            <w:pPr>
              <w:spacing w:line="240" w:lineRule="auto"/>
              <w:ind w:firstLine="0" w:firstLineChars="0"/>
              <w:jc w:val="center"/>
              <w:rPr>
                <w:rFonts w:cs="Times New Roman"/>
                <w:sz w:val="21"/>
                <w:szCs w:val="18"/>
              </w:rPr>
            </w:pPr>
            <w:r>
              <w:rPr>
                <w:rFonts w:cs="Times New Roman"/>
                <w:sz w:val="21"/>
                <w:szCs w:val="18"/>
              </w:rPr>
              <w:t>氨</w:t>
            </w: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1小时平均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200</w:t>
            </w:r>
          </w:p>
        </w:tc>
        <w:tc>
          <w:tcPr>
            <w:tcW w:w="1337" w:type="pct"/>
            <w:vMerge w:val="restar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《环境影响评价技术导则大气环境》（HJ2.2-2018）附录D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1283" w:type="pct"/>
            <w:vAlign w:val="center"/>
          </w:tcPr>
          <w:p>
            <w:pPr>
              <w:spacing w:line="240" w:lineRule="auto"/>
              <w:ind w:firstLine="0" w:firstLineChars="0"/>
              <w:jc w:val="center"/>
              <w:rPr>
                <w:rFonts w:cs="Times New Roman"/>
                <w:sz w:val="21"/>
                <w:szCs w:val="18"/>
              </w:rPr>
            </w:pPr>
            <w:r>
              <w:rPr>
                <w:rFonts w:cs="Times New Roman"/>
                <w:sz w:val="21"/>
                <w:szCs w:val="18"/>
              </w:rPr>
              <w:t>TVOC</w:t>
            </w:r>
          </w:p>
        </w:tc>
        <w:tc>
          <w:tcPr>
            <w:tcW w:w="1274"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8小时平均</w:t>
            </w:r>
          </w:p>
        </w:tc>
        <w:tc>
          <w:tcPr>
            <w:tcW w:w="1105" w:type="pct"/>
            <w:vAlign w:val="center"/>
          </w:tcPr>
          <w:p>
            <w:pPr>
              <w:adjustRightInd w:val="0"/>
              <w:snapToGrid w:val="0"/>
              <w:spacing w:line="240" w:lineRule="auto"/>
              <w:ind w:firstLine="0" w:firstLineChars="0"/>
              <w:jc w:val="center"/>
              <w:rPr>
                <w:rFonts w:cs="Times New Roman"/>
                <w:kern w:val="0"/>
                <w:sz w:val="21"/>
                <w:szCs w:val="18"/>
              </w:rPr>
            </w:pPr>
            <w:r>
              <w:rPr>
                <w:rFonts w:cs="Times New Roman"/>
                <w:kern w:val="0"/>
                <w:sz w:val="21"/>
                <w:szCs w:val="18"/>
              </w:rPr>
              <w:t>600</w:t>
            </w:r>
          </w:p>
        </w:tc>
        <w:tc>
          <w:tcPr>
            <w:tcW w:w="1337" w:type="pct"/>
            <w:vMerge w:val="continue"/>
            <w:vAlign w:val="center"/>
          </w:tcPr>
          <w:p>
            <w:pPr>
              <w:adjustRightInd w:val="0"/>
              <w:snapToGrid w:val="0"/>
              <w:spacing w:line="240" w:lineRule="auto"/>
              <w:ind w:firstLine="0" w:firstLineChars="0"/>
              <w:jc w:val="center"/>
              <w:rPr>
                <w:rFonts w:cs="Times New Roman"/>
                <w:kern w:val="0"/>
                <w:sz w:val="21"/>
                <w:szCs w:val="18"/>
              </w:rPr>
            </w:pPr>
          </w:p>
        </w:tc>
      </w:tr>
    </w:tbl>
    <w:p>
      <w:pPr>
        <w:ind w:firstLine="482"/>
        <w:rPr>
          <w:rFonts w:cs="Times New Roman"/>
          <w:b/>
        </w:rPr>
      </w:pPr>
      <w:r>
        <w:rPr>
          <w:rFonts w:cs="Times New Roman"/>
          <w:b/>
        </w:rPr>
        <w:t>2、地表水环境</w:t>
      </w:r>
    </w:p>
    <w:p>
      <w:pPr>
        <w:pStyle w:val="167"/>
        <w:ind w:firstLine="420"/>
        <w:rPr>
          <w:rFonts w:ascii="Times New Roman" w:hAnsi="Times New Roman"/>
        </w:rPr>
      </w:pPr>
      <w:r>
        <w:rPr>
          <w:rFonts w:ascii="Times New Roman" w:hAnsi="Times New Roman"/>
        </w:rPr>
        <w:t>本项目区域周边地表水体主要为斜陂堰水库、白象河，斜陂堰水库、白象河执行《地表水环境质量标准》（GB3838-2002）表1中Ⅲ类标准，SS执行《地表水资源质量标准》（SL63-94）中3级标准，具体标准值详见表2.3-4。</w:t>
      </w:r>
    </w:p>
    <w:p>
      <w:pPr>
        <w:pStyle w:val="43"/>
        <w:spacing w:before="156" w:beforeLines="50"/>
        <w:ind w:firstLine="210"/>
        <w:jc w:val="center"/>
        <w:rPr>
          <w:rFonts w:ascii="Times New Roman" w:hAnsi="Times New Roman"/>
          <w:sz w:val="21"/>
        </w:rPr>
      </w:pPr>
      <w:r>
        <w:rPr>
          <w:rFonts w:ascii="Times New Roman" w:hAnsi="Times New Roman"/>
          <w:sz w:val="21"/>
        </w:rPr>
        <w:t>表2.3-4  水环境质量标准  单位mg/L</w:t>
      </w:r>
    </w:p>
    <w:tbl>
      <w:tblPr>
        <w:tblStyle w:val="4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2762"/>
        <w:gridCol w:w="2446"/>
        <w:gridCol w:w="24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b/>
                <w:sz w:val="21"/>
                <w:szCs w:val="21"/>
              </w:rPr>
            </w:pPr>
            <w:r>
              <w:rPr>
                <w:rFonts w:cs="Times New Roman"/>
                <w:b/>
                <w:sz w:val="21"/>
                <w:szCs w:val="21"/>
              </w:rPr>
              <w:t>序号</w:t>
            </w:r>
          </w:p>
        </w:tc>
        <w:tc>
          <w:tcPr>
            <w:tcW w:w="1620" w:type="pct"/>
            <w:vAlign w:val="center"/>
          </w:tcPr>
          <w:p>
            <w:pPr>
              <w:spacing w:line="240" w:lineRule="auto"/>
              <w:ind w:firstLine="0" w:firstLineChars="0"/>
              <w:jc w:val="center"/>
              <w:rPr>
                <w:rFonts w:cs="Times New Roman"/>
                <w:b/>
                <w:sz w:val="21"/>
                <w:szCs w:val="21"/>
              </w:rPr>
            </w:pPr>
            <w:r>
              <w:rPr>
                <w:rFonts w:cs="Times New Roman"/>
                <w:b/>
                <w:sz w:val="21"/>
                <w:szCs w:val="21"/>
              </w:rPr>
              <w:t>项目</w:t>
            </w:r>
          </w:p>
        </w:tc>
        <w:tc>
          <w:tcPr>
            <w:tcW w:w="1435" w:type="pct"/>
            <w:vAlign w:val="center"/>
          </w:tcPr>
          <w:p>
            <w:pPr>
              <w:spacing w:line="240" w:lineRule="auto"/>
              <w:ind w:firstLine="0" w:firstLineChars="0"/>
              <w:jc w:val="center"/>
              <w:rPr>
                <w:rFonts w:cs="Times New Roman"/>
                <w:b/>
                <w:sz w:val="21"/>
                <w:szCs w:val="21"/>
              </w:rPr>
            </w:pPr>
            <w:r>
              <w:rPr>
                <w:rFonts w:cs="Times New Roman"/>
                <w:b/>
                <w:sz w:val="21"/>
                <w:szCs w:val="21"/>
              </w:rPr>
              <w:t>Ⅲ类标准</w:t>
            </w:r>
          </w:p>
        </w:tc>
        <w:tc>
          <w:tcPr>
            <w:tcW w:w="1435" w:type="pct"/>
            <w:vAlign w:val="center"/>
          </w:tcPr>
          <w:p>
            <w:pPr>
              <w:spacing w:line="240" w:lineRule="auto"/>
              <w:ind w:firstLine="0" w:firstLineChars="0"/>
              <w:jc w:val="center"/>
              <w:rPr>
                <w:rFonts w:cs="Times New Roman"/>
                <w:b/>
                <w:sz w:val="21"/>
                <w:szCs w:val="21"/>
              </w:rPr>
            </w:pPr>
            <w:r>
              <w:rPr>
                <w:rFonts w:cs="Times New Roman"/>
                <w:b/>
                <w:sz w:val="21"/>
                <w:szCs w:val="21"/>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1</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pH</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6</w:t>
            </w:r>
            <w:r>
              <w:rPr>
                <w:rFonts w:cs="Times New Roman"/>
                <w:sz w:val="21"/>
                <w:szCs w:val="21"/>
                <w:lang w:val="en-GB"/>
              </w:rPr>
              <w:t>-</w:t>
            </w:r>
            <w:r>
              <w:rPr>
                <w:rFonts w:cs="Times New Roman"/>
                <w:sz w:val="21"/>
                <w:szCs w:val="21"/>
              </w:rPr>
              <w:t>9</w:t>
            </w:r>
          </w:p>
        </w:tc>
        <w:tc>
          <w:tcPr>
            <w:tcW w:w="1435" w:type="pct"/>
            <w:vMerge w:val="restart"/>
            <w:vAlign w:val="center"/>
          </w:tcPr>
          <w:p>
            <w:pPr>
              <w:spacing w:line="240" w:lineRule="auto"/>
              <w:ind w:firstLine="0" w:firstLineChars="0"/>
              <w:jc w:val="center"/>
              <w:rPr>
                <w:rFonts w:cs="Times New Roman"/>
                <w:sz w:val="21"/>
                <w:szCs w:val="21"/>
              </w:rPr>
            </w:pPr>
            <w:r>
              <w:rPr>
                <w:rFonts w:cs="Times New Roman"/>
                <w:sz w:val="21"/>
                <w:szCs w:val="21"/>
              </w:rPr>
              <w:t>《地表水环境质量标准》（GB3838－2002）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2</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COD</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≤20</w:t>
            </w:r>
          </w:p>
        </w:tc>
        <w:tc>
          <w:tcPr>
            <w:tcW w:w="1435"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3</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BOD</w:t>
            </w:r>
            <w:r>
              <w:rPr>
                <w:rFonts w:cs="Times New Roman"/>
                <w:sz w:val="21"/>
                <w:szCs w:val="21"/>
                <w:vertAlign w:val="subscript"/>
              </w:rPr>
              <w:t>5</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≤4</w:t>
            </w:r>
          </w:p>
        </w:tc>
        <w:tc>
          <w:tcPr>
            <w:tcW w:w="1435"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4</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总磷</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≤0.2（湖、库0.05）</w:t>
            </w:r>
          </w:p>
        </w:tc>
        <w:tc>
          <w:tcPr>
            <w:tcW w:w="1435"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5</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NH</w:t>
            </w:r>
            <w:r>
              <w:rPr>
                <w:rFonts w:cs="Times New Roman"/>
                <w:sz w:val="21"/>
                <w:szCs w:val="21"/>
                <w:vertAlign w:val="subscript"/>
              </w:rPr>
              <w:t>3</w:t>
            </w:r>
            <w:r>
              <w:rPr>
                <w:rFonts w:cs="Times New Roman"/>
                <w:sz w:val="21"/>
                <w:szCs w:val="21"/>
              </w:rPr>
              <w:t>-N</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435"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6</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石油类</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≤0.05</w:t>
            </w:r>
          </w:p>
        </w:tc>
        <w:tc>
          <w:tcPr>
            <w:tcW w:w="1435"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7</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氟化物（以F</w:t>
            </w:r>
            <w:r>
              <w:rPr>
                <w:rFonts w:cs="Times New Roman"/>
                <w:sz w:val="21"/>
                <w:szCs w:val="21"/>
                <w:vertAlign w:val="superscript"/>
              </w:rPr>
              <w:t>-</w:t>
            </w:r>
            <w:r>
              <w:rPr>
                <w:rFonts w:cs="Times New Roman"/>
                <w:sz w:val="21"/>
                <w:szCs w:val="21"/>
              </w:rPr>
              <w:t>计）</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435"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8</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硫化物</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≤0.2</w:t>
            </w:r>
          </w:p>
        </w:tc>
        <w:tc>
          <w:tcPr>
            <w:tcW w:w="1435"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9</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挥发酚</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≤0.005</w:t>
            </w:r>
          </w:p>
        </w:tc>
        <w:tc>
          <w:tcPr>
            <w:tcW w:w="1435"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铜</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435"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11</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锌</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435"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12</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钡</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≤0.7</w:t>
            </w:r>
          </w:p>
        </w:tc>
        <w:tc>
          <w:tcPr>
            <w:tcW w:w="1435"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9" w:type="pct"/>
            <w:vAlign w:val="center"/>
          </w:tcPr>
          <w:p>
            <w:pPr>
              <w:spacing w:line="240" w:lineRule="auto"/>
              <w:ind w:firstLine="0" w:firstLineChars="0"/>
              <w:jc w:val="center"/>
              <w:rPr>
                <w:rFonts w:cs="Times New Roman"/>
                <w:sz w:val="21"/>
                <w:szCs w:val="21"/>
              </w:rPr>
            </w:pPr>
            <w:r>
              <w:rPr>
                <w:rFonts w:cs="Times New Roman"/>
                <w:sz w:val="21"/>
                <w:szCs w:val="21"/>
              </w:rPr>
              <w:t>13</w:t>
            </w:r>
          </w:p>
        </w:tc>
        <w:tc>
          <w:tcPr>
            <w:tcW w:w="1620" w:type="pct"/>
            <w:vAlign w:val="center"/>
          </w:tcPr>
          <w:p>
            <w:pPr>
              <w:spacing w:line="240" w:lineRule="auto"/>
              <w:ind w:firstLine="0" w:firstLineChars="0"/>
              <w:jc w:val="center"/>
              <w:rPr>
                <w:rFonts w:cs="Times New Roman"/>
                <w:sz w:val="21"/>
                <w:szCs w:val="21"/>
              </w:rPr>
            </w:pPr>
            <w:r>
              <w:rPr>
                <w:rFonts w:cs="Times New Roman"/>
                <w:sz w:val="21"/>
                <w:szCs w:val="21"/>
              </w:rPr>
              <w:t>SS</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≤30</w:t>
            </w:r>
          </w:p>
        </w:tc>
        <w:tc>
          <w:tcPr>
            <w:tcW w:w="1435" w:type="pct"/>
            <w:vAlign w:val="center"/>
          </w:tcPr>
          <w:p>
            <w:pPr>
              <w:spacing w:line="240" w:lineRule="auto"/>
              <w:ind w:firstLine="0" w:firstLineChars="0"/>
              <w:jc w:val="center"/>
              <w:rPr>
                <w:rFonts w:cs="Times New Roman"/>
                <w:sz w:val="21"/>
                <w:szCs w:val="21"/>
              </w:rPr>
            </w:pPr>
            <w:r>
              <w:rPr>
                <w:rFonts w:cs="Times New Roman"/>
                <w:sz w:val="21"/>
                <w:szCs w:val="21"/>
              </w:rPr>
              <w:t>《地表水资源质量标准》（SL63-94）</w:t>
            </w:r>
          </w:p>
        </w:tc>
      </w:tr>
    </w:tbl>
    <w:p>
      <w:pPr>
        <w:ind w:firstLine="482"/>
        <w:rPr>
          <w:rFonts w:cs="Times New Roman"/>
          <w:b/>
        </w:rPr>
      </w:pPr>
      <w:r>
        <w:rPr>
          <w:rFonts w:cs="Times New Roman"/>
          <w:b/>
        </w:rPr>
        <w:t>3、地下水环境</w:t>
      </w:r>
    </w:p>
    <w:p>
      <w:pPr>
        <w:pStyle w:val="69"/>
      </w:pPr>
      <w:r>
        <w:t>建设项目所在区域地下水水质执行《地下水质量标准》（GB/T14848-2017）中Ⅲ类标准，具体标准值详见表2.3-5。</w:t>
      </w:r>
    </w:p>
    <w:p>
      <w:pPr>
        <w:pStyle w:val="43"/>
        <w:spacing w:before="156" w:beforeLines="50"/>
        <w:ind w:firstLine="210"/>
        <w:jc w:val="center"/>
        <w:rPr>
          <w:rFonts w:ascii="Times New Roman" w:hAnsi="Times New Roman"/>
          <w:sz w:val="21"/>
        </w:rPr>
      </w:pPr>
      <w:r>
        <w:rPr>
          <w:rFonts w:ascii="Times New Roman" w:hAnsi="Times New Roman"/>
          <w:sz w:val="21"/>
        </w:rPr>
        <w:t>表2.3-5  《地下水质量标准》（GB/T14848-2017）  单位mg/L，pH值除外</w:t>
      </w:r>
    </w:p>
    <w:tbl>
      <w:tblPr>
        <w:tblStyle w:val="4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4251"/>
        <w:gridCol w:w="31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6" w:type="pct"/>
            <w:vAlign w:val="center"/>
          </w:tcPr>
          <w:p>
            <w:pPr>
              <w:spacing w:line="240" w:lineRule="auto"/>
              <w:ind w:firstLine="0" w:firstLineChars="0"/>
              <w:jc w:val="center"/>
              <w:rPr>
                <w:rFonts w:cs="Times New Roman"/>
                <w:b/>
                <w:sz w:val="21"/>
                <w:szCs w:val="21"/>
              </w:rPr>
            </w:pPr>
            <w:r>
              <w:rPr>
                <w:rFonts w:cs="Times New Roman"/>
                <w:b/>
                <w:sz w:val="21"/>
                <w:szCs w:val="21"/>
              </w:rPr>
              <w:t>序号</w:t>
            </w:r>
          </w:p>
        </w:tc>
        <w:tc>
          <w:tcPr>
            <w:tcW w:w="2494" w:type="pct"/>
            <w:vAlign w:val="center"/>
          </w:tcPr>
          <w:p>
            <w:pPr>
              <w:spacing w:line="240" w:lineRule="auto"/>
              <w:ind w:firstLine="0" w:firstLineChars="0"/>
              <w:jc w:val="center"/>
              <w:rPr>
                <w:rFonts w:cs="Times New Roman"/>
                <w:b/>
                <w:sz w:val="21"/>
                <w:szCs w:val="21"/>
              </w:rPr>
            </w:pPr>
            <w:r>
              <w:rPr>
                <w:rFonts w:cs="Times New Roman"/>
                <w:b/>
                <w:sz w:val="21"/>
                <w:szCs w:val="21"/>
              </w:rPr>
              <w:t>污染物</w:t>
            </w:r>
          </w:p>
        </w:tc>
        <w:tc>
          <w:tcPr>
            <w:tcW w:w="1860" w:type="pct"/>
            <w:vAlign w:val="center"/>
          </w:tcPr>
          <w:p>
            <w:pPr>
              <w:spacing w:line="240" w:lineRule="auto"/>
              <w:ind w:firstLine="0" w:firstLineChars="0"/>
              <w:jc w:val="center"/>
              <w:rPr>
                <w:rFonts w:cs="Times New Roman"/>
                <w:b/>
                <w:sz w:val="21"/>
                <w:szCs w:val="21"/>
              </w:rPr>
            </w:pPr>
            <w:r>
              <w:rPr>
                <w:rFonts w:cs="Times New Roman"/>
                <w:b/>
                <w:sz w:val="21"/>
                <w:szCs w:val="21"/>
              </w:rPr>
              <w:t>（</w:t>
            </w:r>
            <w:r>
              <w:rPr>
                <w:rFonts w:cs="Times New Roman"/>
                <w:b/>
                <w:bCs/>
                <w:sz w:val="21"/>
                <w:szCs w:val="21"/>
              </w:rPr>
              <w:t>GB/T 14848-2017</w:t>
            </w:r>
            <w:r>
              <w:rPr>
                <w:rFonts w:cs="Times New Roman"/>
                <w:b/>
                <w:sz w:val="21"/>
                <w:szCs w:val="21"/>
              </w:rPr>
              <w:t>）中Ⅲ类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6" w:type="pct"/>
            <w:vAlign w:val="center"/>
          </w:tcPr>
          <w:p>
            <w:pPr>
              <w:spacing w:line="240" w:lineRule="auto"/>
              <w:ind w:firstLine="0" w:firstLineChars="0"/>
              <w:jc w:val="center"/>
              <w:rPr>
                <w:rFonts w:cs="Times New Roman"/>
                <w:sz w:val="21"/>
                <w:szCs w:val="21"/>
              </w:rPr>
            </w:pPr>
            <w:r>
              <w:rPr>
                <w:rFonts w:cs="Times New Roman"/>
                <w:sz w:val="21"/>
                <w:szCs w:val="21"/>
              </w:rPr>
              <w:t>1</w:t>
            </w:r>
          </w:p>
        </w:tc>
        <w:tc>
          <w:tcPr>
            <w:tcW w:w="2494" w:type="pc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pH</w:t>
            </w:r>
          </w:p>
        </w:tc>
        <w:tc>
          <w:tcPr>
            <w:tcW w:w="1860" w:type="pct"/>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6.5~8.5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6" w:type="pct"/>
            <w:vAlign w:val="center"/>
          </w:tcPr>
          <w:p>
            <w:pPr>
              <w:spacing w:line="240" w:lineRule="auto"/>
              <w:ind w:firstLine="0" w:firstLineChars="0"/>
              <w:jc w:val="center"/>
              <w:rPr>
                <w:rFonts w:cs="Times New Roman"/>
                <w:sz w:val="21"/>
                <w:szCs w:val="21"/>
              </w:rPr>
            </w:pPr>
            <w:r>
              <w:rPr>
                <w:rFonts w:cs="Times New Roman"/>
                <w:sz w:val="21"/>
                <w:szCs w:val="21"/>
              </w:rPr>
              <w:t>2</w:t>
            </w:r>
          </w:p>
        </w:tc>
        <w:tc>
          <w:tcPr>
            <w:tcW w:w="2494" w:type="pc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氨氮（以N计）</w:t>
            </w:r>
          </w:p>
        </w:tc>
        <w:tc>
          <w:tcPr>
            <w:tcW w:w="1860" w:type="pct"/>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6" w:type="pct"/>
            <w:vAlign w:val="center"/>
          </w:tcPr>
          <w:p>
            <w:pPr>
              <w:spacing w:line="240" w:lineRule="auto"/>
              <w:ind w:firstLine="0" w:firstLineChars="0"/>
              <w:jc w:val="center"/>
              <w:rPr>
                <w:rFonts w:cs="Times New Roman"/>
                <w:sz w:val="21"/>
                <w:szCs w:val="21"/>
              </w:rPr>
            </w:pPr>
            <w:r>
              <w:rPr>
                <w:rFonts w:cs="Times New Roman"/>
                <w:sz w:val="21"/>
                <w:szCs w:val="21"/>
              </w:rPr>
              <w:t>3</w:t>
            </w:r>
          </w:p>
        </w:tc>
        <w:tc>
          <w:tcPr>
            <w:tcW w:w="2494" w:type="pc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氟化物</w:t>
            </w:r>
          </w:p>
        </w:tc>
        <w:tc>
          <w:tcPr>
            <w:tcW w:w="1860" w:type="pct"/>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6" w:type="pct"/>
            <w:vAlign w:val="center"/>
          </w:tcPr>
          <w:p>
            <w:pPr>
              <w:spacing w:line="240" w:lineRule="auto"/>
              <w:ind w:firstLine="0" w:firstLineChars="0"/>
              <w:jc w:val="center"/>
              <w:rPr>
                <w:rFonts w:cs="Times New Roman"/>
                <w:sz w:val="21"/>
                <w:szCs w:val="21"/>
              </w:rPr>
            </w:pPr>
            <w:r>
              <w:rPr>
                <w:rFonts w:cs="Times New Roman"/>
                <w:sz w:val="21"/>
                <w:szCs w:val="21"/>
              </w:rPr>
              <w:t>4</w:t>
            </w:r>
          </w:p>
        </w:tc>
        <w:tc>
          <w:tcPr>
            <w:tcW w:w="2494" w:type="pc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溶解性总固体</w:t>
            </w:r>
          </w:p>
        </w:tc>
        <w:tc>
          <w:tcPr>
            <w:tcW w:w="1860" w:type="pct"/>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6" w:type="pct"/>
            <w:vAlign w:val="center"/>
          </w:tcPr>
          <w:p>
            <w:pPr>
              <w:spacing w:line="240" w:lineRule="auto"/>
              <w:ind w:firstLine="0" w:firstLineChars="0"/>
              <w:jc w:val="center"/>
              <w:rPr>
                <w:rFonts w:cs="Times New Roman"/>
                <w:sz w:val="21"/>
                <w:szCs w:val="21"/>
              </w:rPr>
            </w:pPr>
            <w:r>
              <w:rPr>
                <w:rFonts w:cs="Times New Roman"/>
                <w:sz w:val="21"/>
                <w:szCs w:val="21"/>
              </w:rPr>
              <w:t>5</w:t>
            </w:r>
          </w:p>
        </w:tc>
        <w:tc>
          <w:tcPr>
            <w:tcW w:w="2494" w:type="pct"/>
            <w:vAlign w:val="center"/>
          </w:tcPr>
          <w:p>
            <w:pPr>
              <w:widowControl/>
              <w:spacing w:line="240" w:lineRule="auto"/>
              <w:ind w:firstLine="0" w:firstLineChars="0"/>
              <w:jc w:val="center"/>
              <w:textAlignment w:val="center"/>
              <w:rPr>
                <w:rFonts w:cs="Times New Roman"/>
                <w:kern w:val="0"/>
                <w:sz w:val="21"/>
                <w:szCs w:val="21"/>
              </w:rPr>
            </w:pPr>
            <w:r>
              <w:rPr>
                <w:rFonts w:cs="Times New Roman"/>
                <w:kern w:val="0"/>
                <w:sz w:val="21"/>
                <w:szCs w:val="21"/>
              </w:rPr>
              <w:t>挥发性酚类（以苯酚计）</w:t>
            </w:r>
          </w:p>
        </w:tc>
        <w:tc>
          <w:tcPr>
            <w:tcW w:w="1860" w:type="pct"/>
            <w:vAlign w:val="center"/>
          </w:tcPr>
          <w:p>
            <w:pPr>
              <w:overflowPunct w:val="0"/>
              <w:autoSpaceDE w:val="0"/>
              <w:autoSpaceDN w:val="0"/>
              <w:adjustRightInd w:val="0"/>
              <w:spacing w:line="240" w:lineRule="auto"/>
              <w:ind w:firstLine="0" w:firstLineChars="0"/>
              <w:jc w:val="center"/>
              <w:textAlignment w:val="baseline"/>
              <w:rPr>
                <w:rFonts w:cs="Times New Roman"/>
                <w:kern w:val="0"/>
                <w:sz w:val="21"/>
                <w:szCs w:val="21"/>
              </w:rPr>
            </w:pPr>
            <w:r>
              <w:rPr>
                <w:rFonts w:cs="Times New Roman"/>
                <w:sz w:val="21"/>
                <w:szCs w:val="21"/>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6" w:type="pct"/>
            <w:vAlign w:val="center"/>
          </w:tcPr>
          <w:p>
            <w:pPr>
              <w:spacing w:line="240" w:lineRule="auto"/>
              <w:ind w:firstLine="0" w:firstLineChars="0"/>
              <w:jc w:val="center"/>
              <w:rPr>
                <w:rFonts w:cs="Times New Roman"/>
                <w:sz w:val="21"/>
                <w:szCs w:val="21"/>
              </w:rPr>
            </w:pPr>
            <w:r>
              <w:rPr>
                <w:rFonts w:cs="Times New Roman"/>
                <w:sz w:val="21"/>
                <w:szCs w:val="21"/>
              </w:rPr>
              <w:t>6</w:t>
            </w:r>
          </w:p>
        </w:tc>
        <w:tc>
          <w:tcPr>
            <w:tcW w:w="2494" w:type="pc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镍</w:t>
            </w:r>
          </w:p>
        </w:tc>
        <w:tc>
          <w:tcPr>
            <w:tcW w:w="1860" w:type="pct"/>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6" w:type="pct"/>
            <w:vAlign w:val="center"/>
          </w:tcPr>
          <w:p>
            <w:pPr>
              <w:spacing w:line="240" w:lineRule="auto"/>
              <w:ind w:firstLine="0" w:firstLineChars="0"/>
              <w:jc w:val="center"/>
              <w:rPr>
                <w:rFonts w:cs="Times New Roman"/>
                <w:sz w:val="21"/>
                <w:szCs w:val="21"/>
              </w:rPr>
            </w:pPr>
            <w:r>
              <w:rPr>
                <w:rFonts w:cs="Times New Roman"/>
                <w:sz w:val="21"/>
                <w:szCs w:val="21"/>
              </w:rPr>
              <w:t>7</w:t>
            </w:r>
          </w:p>
        </w:tc>
        <w:tc>
          <w:tcPr>
            <w:tcW w:w="2494" w:type="pc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砷</w:t>
            </w:r>
          </w:p>
        </w:tc>
        <w:tc>
          <w:tcPr>
            <w:tcW w:w="1860" w:type="pct"/>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6" w:type="pct"/>
            <w:vAlign w:val="center"/>
          </w:tcPr>
          <w:p>
            <w:pPr>
              <w:spacing w:line="240" w:lineRule="auto"/>
              <w:ind w:firstLine="0" w:firstLineChars="0"/>
              <w:jc w:val="center"/>
              <w:rPr>
                <w:rFonts w:cs="Times New Roman"/>
                <w:sz w:val="21"/>
                <w:szCs w:val="21"/>
              </w:rPr>
            </w:pPr>
            <w:r>
              <w:rPr>
                <w:rFonts w:cs="Times New Roman"/>
                <w:sz w:val="21"/>
                <w:szCs w:val="21"/>
              </w:rPr>
              <w:t>8</w:t>
            </w:r>
          </w:p>
        </w:tc>
        <w:tc>
          <w:tcPr>
            <w:tcW w:w="2494" w:type="pc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镉</w:t>
            </w:r>
          </w:p>
        </w:tc>
        <w:tc>
          <w:tcPr>
            <w:tcW w:w="1860" w:type="pct"/>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6" w:type="pct"/>
            <w:vAlign w:val="center"/>
          </w:tcPr>
          <w:p>
            <w:pPr>
              <w:spacing w:line="240" w:lineRule="auto"/>
              <w:ind w:firstLine="0" w:firstLineChars="0"/>
              <w:jc w:val="center"/>
              <w:rPr>
                <w:rFonts w:cs="Times New Roman"/>
                <w:sz w:val="21"/>
                <w:szCs w:val="21"/>
              </w:rPr>
            </w:pPr>
            <w:r>
              <w:rPr>
                <w:rFonts w:cs="Times New Roman"/>
                <w:sz w:val="21"/>
                <w:szCs w:val="21"/>
              </w:rPr>
              <w:t>9</w:t>
            </w:r>
          </w:p>
        </w:tc>
        <w:tc>
          <w:tcPr>
            <w:tcW w:w="2494" w:type="pc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铅</w:t>
            </w:r>
          </w:p>
        </w:tc>
        <w:tc>
          <w:tcPr>
            <w:tcW w:w="1860" w:type="pct"/>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6" w:type="pct"/>
            <w:vAlign w:val="center"/>
          </w:tcPr>
          <w:p>
            <w:pPr>
              <w:spacing w:line="240" w:lineRule="auto"/>
              <w:ind w:firstLine="0" w:firstLineChars="0"/>
              <w:jc w:val="center"/>
              <w:rPr>
                <w:rFonts w:cs="Times New Roman"/>
                <w:sz w:val="21"/>
                <w:szCs w:val="21"/>
              </w:rPr>
            </w:pPr>
            <w:r>
              <w:rPr>
                <w:rFonts w:cs="Times New Roman"/>
                <w:sz w:val="21"/>
                <w:szCs w:val="21"/>
              </w:rPr>
              <w:t>10</w:t>
            </w:r>
          </w:p>
        </w:tc>
        <w:tc>
          <w:tcPr>
            <w:tcW w:w="2494" w:type="pc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六价铬</w:t>
            </w:r>
          </w:p>
        </w:tc>
        <w:tc>
          <w:tcPr>
            <w:tcW w:w="1860" w:type="pct"/>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≤0.05</w:t>
            </w:r>
          </w:p>
        </w:tc>
      </w:tr>
    </w:tbl>
    <w:p>
      <w:pPr>
        <w:ind w:firstLine="482"/>
        <w:rPr>
          <w:rFonts w:cs="Times New Roman"/>
          <w:b/>
        </w:rPr>
      </w:pPr>
      <w:r>
        <w:rPr>
          <w:rFonts w:cs="Times New Roman"/>
          <w:b/>
        </w:rPr>
        <w:t>4、声环境</w:t>
      </w:r>
    </w:p>
    <w:p>
      <w:pPr>
        <w:pStyle w:val="69"/>
        <w:adjustRightInd w:val="0"/>
        <w:snapToGrid w:val="0"/>
      </w:pPr>
      <w:r>
        <w:t>项目区域声环境质量执行《声环境质量标准》（GB3096-2008）中3类标准，其具体限值详见表2.3-6。</w:t>
      </w:r>
    </w:p>
    <w:p>
      <w:pPr>
        <w:pStyle w:val="43"/>
        <w:spacing w:before="156" w:beforeLines="50"/>
        <w:ind w:firstLine="210"/>
        <w:jc w:val="center"/>
        <w:rPr>
          <w:rFonts w:ascii="Times New Roman" w:hAnsi="Times New Roman"/>
          <w:sz w:val="21"/>
        </w:rPr>
      </w:pPr>
      <w:r>
        <w:rPr>
          <w:rFonts w:ascii="Times New Roman" w:hAnsi="Times New Roman"/>
          <w:sz w:val="21"/>
        </w:rPr>
        <w:t>表2.3-6  声环境质量标准单位：dB（A）</w:t>
      </w:r>
    </w:p>
    <w:tbl>
      <w:tblPr>
        <w:tblStyle w:val="4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653"/>
        <w:gridCol w:w="1955"/>
        <w:gridCol w:w="1957"/>
        <w:gridCol w:w="19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57" w:type="pct"/>
            <w:vAlign w:val="center"/>
          </w:tcPr>
          <w:p>
            <w:pPr>
              <w:tabs>
                <w:tab w:val="left" w:pos="360"/>
              </w:tabs>
              <w:spacing w:line="240" w:lineRule="auto"/>
              <w:ind w:firstLine="0" w:firstLineChars="0"/>
              <w:jc w:val="center"/>
              <w:rPr>
                <w:rFonts w:cs="Times New Roman"/>
                <w:b/>
                <w:sz w:val="21"/>
                <w:szCs w:val="18"/>
              </w:rPr>
            </w:pPr>
            <w:r>
              <w:rPr>
                <w:rFonts w:cs="Times New Roman"/>
                <w:b/>
                <w:sz w:val="21"/>
                <w:szCs w:val="18"/>
              </w:rPr>
              <w:t>标准名称</w:t>
            </w:r>
          </w:p>
        </w:tc>
        <w:tc>
          <w:tcPr>
            <w:tcW w:w="1147" w:type="pct"/>
            <w:vAlign w:val="center"/>
          </w:tcPr>
          <w:p>
            <w:pPr>
              <w:tabs>
                <w:tab w:val="left" w:pos="360"/>
              </w:tabs>
              <w:spacing w:line="240" w:lineRule="auto"/>
              <w:ind w:firstLine="0" w:firstLineChars="0"/>
              <w:jc w:val="center"/>
              <w:rPr>
                <w:rFonts w:cs="Times New Roman"/>
                <w:b/>
                <w:sz w:val="21"/>
                <w:szCs w:val="18"/>
              </w:rPr>
            </w:pPr>
            <w:r>
              <w:rPr>
                <w:rFonts w:cs="Times New Roman"/>
                <w:b/>
                <w:sz w:val="21"/>
                <w:szCs w:val="18"/>
              </w:rPr>
              <w:t>类别</w:t>
            </w:r>
          </w:p>
        </w:tc>
        <w:tc>
          <w:tcPr>
            <w:tcW w:w="1148" w:type="pct"/>
            <w:vAlign w:val="center"/>
          </w:tcPr>
          <w:p>
            <w:pPr>
              <w:tabs>
                <w:tab w:val="left" w:pos="360"/>
              </w:tabs>
              <w:spacing w:line="240" w:lineRule="auto"/>
              <w:ind w:firstLine="0" w:firstLineChars="0"/>
              <w:jc w:val="center"/>
              <w:rPr>
                <w:rFonts w:cs="Times New Roman"/>
                <w:b/>
                <w:sz w:val="21"/>
                <w:szCs w:val="18"/>
              </w:rPr>
            </w:pPr>
            <w:r>
              <w:rPr>
                <w:rFonts w:cs="Times New Roman"/>
                <w:b/>
                <w:sz w:val="21"/>
                <w:szCs w:val="18"/>
              </w:rPr>
              <w:t>昼间</w:t>
            </w:r>
          </w:p>
        </w:tc>
        <w:tc>
          <w:tcPr>
            <w:tcW w:w="1148" w:type="pct"/>
            <w:vAlign w:val="center"/>
          </w:tcPr>
          <w:p>
            <w:pPr>
              <w:tabs>
                <w:tab w:val="left" w:pos="360"/>
              </w:tabs>
              <w:spacing w:line="240" w:lineRule="auto"/>
              <w:ind w:firstLine="0" w:firstLineChars="0"/>
              <w:jc w:val="center"/>
              <w:rPr>
                <w:rFonts w:cs="Times New Roman"/>
                <w:b/>
                <w:sz w:val="21"/>
                <w:szCs w:val="18"/>
              </w:rPr>
            </w:pPr>
            <w:r>
              <w:rPr>
                <w:rFonts w:cs="Times New Roman"/>
                <w:b/>
                <w:sz w:val="21"/>
                <w:szCs w:val="18"/>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57" w:type="pct"/>
            <w:vAlign w:val="center"/>
          </w:tcPr>
          <w:p>
            <w:pPr>
              <w:tabs>
                <w:tab w:val="left" w:pos="360"/>
              </w:tabs>
              <w:spacing w:line="240" w:lineRule="auto"/>
              <w:ind w:firstLine="0" w:firstLineChars="0"/>
              <w:jc w:val="center"/>
              <w:rPr>
                <w:rFonts w:cs="Times New Roman"/>
                <w:sz w:val="21"/>
                <w:szCs w:val="18"/>
              </w:rPr>
            </w:pPr>
            <w:r>
              <w:rPr>
                <w:rFonts w:cs="Times New Roman"/>
                <w:sz w:val="21"/>
                <w:szCs w:val="18"/>
              </w:rPr>
              <w:t>《声环境质量标准》（GB3096-2008）</w:t>
            </w:r>
          </w:p>
        </w:tc>
        <w:tc>
          <w:tcPr>
            <w:tcW w:w="1147" w:type="pct"/>
            <w:vAlign w:val="center"/>
          </w:tcPr>
          <w:p>
            <w:pPr>
              <w:tabs>
                <w:tab w:val="left" w:pos="360"/>
              </w:tabs>
              <w:spacing w:line="240" w:lineRule="auto"/>
              <w:ind w:firstLine="0" w:firstLineChars="0"/>
              <w:jc w:val="center"/>
              <w:rPr>
                <w:rFonts w:cs="Times New Roman"/>
                <w:sz w:val="21"/>
                <w:szCs w:val="18"/>
              </w:rPr>
            </w:pPr>
            <w:r>
              <w:rPr>
                <w:rFonts w:cs="Times New Roman"/>
                <w:sz w:val="21"/>
                <w:szCs w:val="18"/>
              </w:rPr>
              <w:t>3类</w:t>
            </w:r>
          </w:p>
        </w:tc>
        <w:tc>
          <w:tcPr>
            <w:tcW w:w="1148" w:type="pct"/>
            <w:vAlign w:val="center"/>
          </w:tcPr>
          <w:p>
            <w:pPr>
              <w:tabs>
                <w:tab w:val="left" w:pos="360"/>
              </w:tabs>
              <w:spacing w:line="240" w:lineRule="auto"/>
              <w:ind w:firstLine="0" w:firstLineChars="0"/>
              <w:jc w:val="center"/>
              <w:rPr>
                <w:rFonts w:cs="Times New Roman"/>
                <w:sz w:val="21"/>
                <w:szCs w:val="18"/>
              </w:rPr>
            </w:pPr>
            <w:r>
              <w:rPr>
                <w:rFonts w:cs="Times New Roman"/>
                <w:sz w:val="21"/>
                <w:szCs w:val="18"/>
              </w:rPr>
              <w:t>65</w:t>
            </w:r>
          </w:p>
        </w:tc>
        <w:tc>
          <w:tcPr>
            <w:tcW w:w="1148" w:type="pct"/>
            <w:vAlign w:val="center"/>
          </w:tcPr>
          <w:p>
            <w:pPr>
              <w:tabs>
                <w:tab w:val="left" w:pos="360"/>
              </w:tabs>
              <w:spacing w:line="240" w:lineRule="auto"/>
              <w:ind w:firstLine="0" w:firstLineChars="0"/>
              <w:jc w:val="center"/>
              <w:rPr>
                <w:rFonts w:cs="Times New Roman"/>
                <w:sz w:val="21"/>
                <w:szCs w:val="18"/>
              </w:rPr>
            </w:pPr>
            <w:r>
              <w:rPr>
                <w:rFonts w:cs="Times New Roman"/>
                <w:sz w:val="21"/>
                <w:szCs w:val="18"/>
              </w:rPr>
              <w:t>55</w:t>
            </w:r>
          </w:p>
        </w:tc>
      </w:tr>
    </w:tbl>
    <w:p>
      <w:pPr>
        <w:ind w:firstLine="482"/>
        <w:rPr>
          <w:rFonts w:cs="Times New Roman"/>
          <w:b/>
        </w:rPr>
      </w:pPr>
      <w:bookmarkStart w:id="47" w:name="_Toc26630"/>
      <w:bookmarkStart w:id="48" w:name="_Toc8063"/>
      <w:bookmarkStart w:id="49" w:name="_Toc23283"/>
      <w:bookmarkStart w:id="50" w:name="_Toc3039"/>
      <w:bookmarkStart w:id="51" w:name="_Toc4433"/>
      <w:r>
        <w:rPr>
          <w:rFonts w:cs="Times New Roman"/>
          <w:b/>
        </w:rPr>
        <w:t>5、土壤</w:t>
      </w:r>
    </w:p>
    <w:p>
      <w:pPr>
        <w:ind w:firstLine="480"/>
        <w:rPr>
          <w:rFonts w:cs="Times New Roman"/>
        </w:rPr>
      </w:pPr>
      <w:r>
        <w:rPr>
          <w:rFonts w:cs="Times New Roman"/>
        </w:rPr>
        <w:t>项目建设地土壤环境质量满足《土壤环境质量 建设用地土壤污染风险管控标准》（GB36600-2018）中的第二类用地筛选值，标准限值见表2.3-7。项目农用地土壤环境质量满足《土壤环境质量 农用地土壤污染风险管控标准》（GB15618-2018）风险筛选值，标准限值见表2.3-8。</w:t>
      </w:r>
    </w:p>
    <w:p>
      <w:pPr>
        <w:pStyle w:val="43"/>
        <w:spacing w:before="156" w:beforeLines="50"/>
        <w:ind w:firstLine="210"/>
        <w:jc w:val="center"/>
        <w:rPr>
          <w:rFonts w:ascii="Times New Roman" w:hAnsi="Times New Roman"/>
          <w:sz w:val="21"/>
        </w:rPr>
      </w:pPr>
      <w:r>
        <w:rPr>
          <w:rFonts w:ascii="Times New Roman" w:hAnsi="Times New Roman"/>
          <w:sz w:val="21"/>
        </w:rPr>
        <w:t>表2.3-7  建设用地土壤风险筛选值和管控管控制值（基本项目）</w:t>
      </w:r>
    </w:p>
    <w:tbl>
      <w:tblPr>
        <w:tblStyle w:val="45"/>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17"/>
        <w:gridCol w:w="2268"/>
        <w:gridCol w:w="1134"/>
        <w:gridCol w:w="142"/>
        <w:gridCol w:w="1134"/>
        <w:gridCol w:w="992"/>
        <w:gridCol w:w="1134"/>
        <w:gridCol w:w="90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Merge w:val="restart"/>
            <w:vAlign w:val="center"/>
          </w:tcPr>
          <w:p>
            <w:pPr>
              <w:spacing w:line="240" w:lineRule="auto"/>
              <w:ind w:left="-120" w:firstLine="0" w:firstLineChars="0"/>
              <w:jc w:val="center"/>
              <w:rPr>
                <w:b/>
                <w:sz w:val="21"/>
                <w:szCs w:val="21"/>
              </w:rPr>
            </w:pPr>
            <w:r>
              <w:rPr>
                <w:b/>
                <w:sz w:val="21"/>
                <w:szCs w:val="21"/>
              </w:rPr>
              <w:t>序号</w:t>
            </w:r>
          </w:p>
        </w:tc>
        <w:tc>
          <w:tcPr>
            <w:tcW w:w="2268" w:type="dxa"/>
            <w:vMerge w:val="restart"/>
            <w:vAlign w:val="center"/>
          </w:tcPr>
          <w:p>
            <w:pPr>
              <w:spacing w:line="240" w:lineRule="auto"/>
              <w:ind w:left="-120" w:firstLine="0" w:firstLineChars="0"/>
              <w:jc w:val="center"/>
              <w:rPr>
                <w:b/>
                <w:sz w:val="21"/>
                <w:szCs w:val="21"/>
              </w:rPr>
            </w:pPr>
            <w:r>
              <w:rPr>
                <w:b/>
                <w:sz w:val="21"/>
                <w:szCs w:val="21"/>
              </w:rPr>
              <w:t>污染物项目</w:t>
            </w:r>
          </w:p>
        </w:tc>
        <w:tc>
          <w:tcPr>
            <w:tcW w:w="1276" w:type="dxa"/>
            <w:gridSpan w:val="2"/>
            <w:vMerge w:val="restart"/>
            <w:vAlign w:val="center"/>
          </w:tcPr>
          <w:p>
            <w:pPr>
              <w:spacing w:line="240" w:lineRule="auto"/>
              <w:ind w:left="-120" w:firstLine="0" w:firstLineChars="0"/>
              <w:jc w:val="center"/>
              <w:rPr>
                <w:b/>
                <w:sz w:val="21"/>
                <w:szCs w:val="21"/>
              </w:rPr>
            </w:pPr>
            <w:r>
              <w:rPr>
                <w:b/>
                <w:sz w:val="21"/>
                <w:szCs w:val="21"/>
              </w:rPr>
              <w:t>CAS编号</w:t>
            </w:r>
          </w:p>
        </w:tc>
        <w:tc>
          <w:tcPr>
            <w:tcW w:w="2126" w:type="dxa"/>
            <w:gridSpan w:val="2"/>
            <w:vAlign w:val="center"/>
          </w:tcPr>
          <w:p>
            <w:pPr>
              <w:spacing w:line="240" w:lineRule="auto"/>
              <w:ind w:left="-120" w:firstLine="0" w:firstLineChars="0"/>
              <w:jc w:val="center"/>
              <w:rPr>
                <w:b/>
                <w:sz w:val="21"/>
                <w:szCs w:val="21"/>
              </w:rPr>
            </w:pPr>
            <w:r>
              <w:rPr>
                <w:b/>
                <w:sz w:val="21"/>
                <w:szCs w:val="21"/>
              </w:rPr>
              <w:t>筛选值</w:t>
            </w:r>
          </w:p>
        </w:tc>
        <w:tc>
          <w:tcPr>
            <w:tcW w:w="2041" w:type="dxa"/>
            <w:gridSpan w:val="2"/>
            <w:vAlign w:val="center"/>
          </w:tcPr>
          <w:p>
            <w:pPr>
              <w:spacing w:line="240" w:lineRule="auto"/>
              <w:ind w:left="-120" w:firstLine="0" w:firstLineChars="0"/>
              <w:jc w:val="center"/>
              <w:rPr>
                <w:b/>
                <w:sz w:val="21"/>
                <w:szCs w:val="21"/>
              </w:rPr>
            </w:pPr>
            <w:r>
              <w:rPr>
                <w:b/>
                <w:sz w:val="21"/>
                <w:szCs w:val="21"/>
              </w:rPr>
              <w:t>管控值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Merge w:val="continue"/>
            <w:vAlign w:val="center"/>
          </w:tcPr>
          <w:p>
            <w:pPr>
              <w:spacing w:line="240" w:lineRule="auto"/>
              <w:ind w:left="-120" w:firstLine="0" w:firstLineChars="0"/>
              <w:jc w:val="center"/>
              <w:rPr>
                <w:b/>
                <w:sz w:val="21"/>
                <w:szCs w:val="21"/>
              </w:rPr>
            </w:pPr>
          </w:p>
        </w:tc>
        <w:tc>
          <w:tcPr>
            <w:tcW w:w="2268" w:type="dxa"/>
            <w:vMerge w:val="continue"/>
            <w:vAlign w:val="center"/>
          </w:tcPr>
          <w:p>
            <w:pPr>
              <w:spacing w:line="240" w:lineRule="auto"/>
              <w:ind w:left="-120" w:firstLine="0" w:firstLineChars="0"/>
              <w:jc w:val="center"/>
              <w:rPr>
                <w:b/>
                <w:sz w:val="21"/>
                <w:szCs w:val="21"/>
              </w:rPr>
            </w:pPr>
          </w:p>
        </w:tc>
        <w:tc>
          <w:tcPr>
            <w:tcW w:w="1276" w:type="dxa"/>
            <w:gridSpan w:val="2"/>
            <w:vMerge w:val="continue"/>
            <w:vAlign w:val="center"/>
          </w:tcPr>
          <w:p>
            <w:pPr>
              <w:spacing w:line="240" w:lineRule="auto"/>
              <w:ind w:left="-120" w:firstLine="0" w:firstLineChars="0"/>
              <w:jc w:val="center"/>
              <w:rPr>
                <w:b/>
                <w:sz w:val="21"/>
                <w:szCs w:val="21"/>
              </w:rPr>
            </w:pPr>
          </w:p>
        </w:tc>
        <w:tc>
          <w:tcPr>
            <w:tcW w:w="1134" w:type="dxa"/>
            <w:vAlign w:val="center"/>
          </w:tcPr>
          <w:p>
            <w:pPr>
              <w:spacing w:line="240" w:lineRule="auto"/>
              <w:ind w:left="-120" w:firstLine="0" w:firstLineChars="0"/>
              <w:jc w:val="center"/>
              <w:rPr>
                <w:b/>
                <w:sz w:val="21"/>
                <w:szCs w:val="21"/>
              </w:rPr>
            </w:pPr>
            <w:r>
              <w:rPr>
                <w:b/>
                <w:sz w:val="21"/>
                <w:szCs w:val="21"/>
              </w:rPr>
              <w:t>第一类用地</w:t>
            </w:r>
          </w:p>
        </w:tc>
        <w:tc>
          <w:tcPr>
            <w:tcW w:w="992" w:type="dxa"/>
            <w:vAlign w:val="center"/>
          </w:tcPr>
          <w:p>
            <w:pPr>
              <w:spacing w:line="240" w:lineRule="auto"/>
              <w:ind w:left="-120" w:firstLine="0" w:firstLineChars="0"/>
              <w:jc w:val="center"/>
              <w:rPr>
                <w:b/>
                <w:sz w:val="21"/>
                <w:szCs w:val="21"/>
              </w:rPr>
            </w:pPr>
            <w:r>
              <w:rPr>
                <w:b/>
                <w:sz w:val="21"/>
                <w:szCs w:val="21"/>
              </w:rPr>
              <w:t>第二类用地</w:t>
            </w:r>
          </w:p>
        </w:tc>
        <w:tc>
          <w:tcPr>
            <w:tcW w:w="1134" w:type="dxa"/>
            <w:vAlign w:val="center"/>
          </w:tcPr>
          <w:p>
            <w:pPr>
              <w:spacing w:line="240" w:lineRule="auto"/>
              <w:ind w:left="-120" w:firstLine="0" w:firstLineChars="0"/>
              <w:jc w:val="center"/>
              <w:rPr>
                <w:b/>
                <w:sz w:val="21"/>
                <w:szCs w:val="21"/>
              </w:rPr>
            </w:pPr>
            <w:r>
              <w:rPr>
                <w:b/>
                <w:sz w:val="21"/>
                <w:szCs w:val="21"/>
              </w:rPr>
              <w:t>第一类用地</w:t>
            </w:r>
          </w:p>
        </w:tc>
        <w:tc>
          <w:tcPr>
            <w:tcW w:w="907" w:type="dxa"/>
            <w:vAlign w:val="center"/>
          </w:tcPr>
          <w:p>
            <w:pPr>
              <w:spacing w:line="240" w:lineRule="auto"/>
              <w:ind w:left="-120" w:firstLine="0" w:firstLineChars="0"/>
              <w:jc w:val="center"/>
              <w:rPr>
                <w:b/>
                <w:sz w:val="21"/>
                <w:szCs w:val="21"/>
              </w:rPr>
            </w:pPr>
            <w:r>
              <w:rPr>
                <w:b/>
                <w:sz w:val="21"/>
                <w:szCs w:val="21"/>
              </w:rPr>
              <w:t>第二类用地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8" w:type="dxa"/>
            <w:gridSpan w:val="8"/>
            <w:vAlign w:val="center"/>
          </w:tcPr>
          <w:p>
            <w:pPr>
              <w:spacing w:line="240" w:lineRule="auto"/>
              <w:ind w:left="-120" w:firstLine="0" w:firstLineChars="0"/>
              <w:jc w:val="center"/>
              <w:rPr>
                <w:sz w:val="21"/>
                <w:szCs w:val="21"/>
              </w:rPr>
            </w:pPr>
            <w:r>
              <w:rPr>
                <w:sz w:val="21"/>
                <w:szCs w:val="21"/>
              </w:rPr>
              <w:t>重金属和无机物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1</w:t>
            </w:r>
          </w:p>
        </w:tc>
        <w:tc>
          <w:tcPr>
            <w:tcW w:w="2268" w:type="dxa"/>
            <w:vAlign w:val="center"/>
          </w:tcPr>
          <w:p>
            <w:pPr>
              <w:spacing w:line="240" w:lineRule="auto"/>
              <w:ind w:left="-120" w:firstLine="0" w:firstLineChars="0"/>
              <w:jc w:val="center"/>
              <w:rPr>
                <w:sz w:val="21"/>
                <w:szCs w:val="21"/>
              </w:rPr>
            </w:pPr>
            <w:r>
              <w:rPr>
                <w:sz w:val="21"/>
                <w:szCs w:val="21"/>
              </w:rPr>
              <w:t>砷</w:t>
            </w:r>
          </w:p>
        </w:tc>
        <w:tc>
          <w:tcPr>
            <w:tcW w:w="1134" w:type="dxa"/>
            <w:vAlign w:val="center"/>
          </w:tcPr>
          <w:p>
            <w:pPr>
              <w:spacing w:line="240" w:lineRule="auto"/>
              <w:ind w:left="-120" w:firstLine="0" w:firstLineChars="0"/>
              <w:jc w:val="center"/>
              <w:rPr>
                <w:sz w:val="21"/>
                <w:szCs w:val="21"/>
              </w:rPr>
            </w:pPr>
            <w:r>
              <w:rPr>
                <w:sz w:val="21"/>
                <w:szCs w:val="21"/>
              </w:rPr>
              <w:t>7440-38-2</w:t>
            </w:r>
          </w:p>
        </w:tc>
        <w:tc>
          <w:tcPr>
            <w:tcW w:w="1276" w:type="dxa"/>
            <w:gridSpan w:val="2"/>
            <w:vAlign w:val="center"/>
          </w:tcPr>
          <w:p>
            <w:pPr>
              <w:spacing w:line="240" w:lineRule="auto"/>
              <w:ind w:left="-120" w:firstLine="0" w:firstLineChars="0"/>
              <w:jc w:val="center"/>
              <w:rPr>
                <w:sz w:val="21"/>
                <w:szCs w:val="21"/>
              </w:rPr>
            </w:pPr>
            <w:r>
              <w:rPr>
                <w:rFonts w:hint="eastAsia" w:ascii="宋体" w:hAnsi="宋体" w:cs="宋体"/>
                <w:sz w:val="21"/>
                <w:szCs w:val="21"/>
                <w:vertAlign w:val="superscript"/>
              </w:rPr>
              <w:t>①</w:t>
            </w:r>
            <w:r>
              <w:rPr>
                <w:sz w:val="21"/>
                <w:szCs w:val="21"/>
              </w:rPr>
              <w:t>20</w:t>
            </w:r>
          </w:p>
        </w:tc>
        <w:tc>
          <w:tcPr>
            <w:tcW w:w="992" w:type="dxa"/>
            <w:vAlign w:val="center"/>
          </w:tcPr>
          <w:p>
            <w:pPr>
              <w:spacing w:line="240" w:lineRule="auto"/>
              <w:ind w:left="-120" w:firstLine="0" w:firstLineChars="0"/>
              <w:jc w:val="center"/>
              <w:rPr>
                <w:sz w:val="21"/>
                <w:szCs w:val="21"/>
              </w:rPr>
            </w:pPr>
            <w:r>
              <w:rPr>
                <w:sz w:val="21"/>
                <w:szCs w:val="21"/>
              </w:rPr>
              <w:t>60</w:t>
            </w:r>
          </w:p>
        </w:tc>
        <w:tc>
          <w:tcPr>
            <w:tcW w:w="1134" w:type="dxa"/>
            <w:vAlign w:val="center"/>
          </w:tcPr>
          <w:p>
            <w:pPr>
              <w:spacing w:line="240" w:lineRule="auto"/>
              <w:ind w:left="-120" w:firstLine="0" w:firstLineChars="0"/>
              <w:jc w:val="center"/>
              <w:rPr>
                <w:sz w:val="21"/>
                <w:szCs w:val="21"/>
              </w:rPr>
            </w:pPr>
            <w:r>
              <w:rPr>
                <w:sz w:val="21"/>
                <w:szCs w:val="21"/>
              </w:rPr>
              <w:t>120</w:t>
            </w:r>
          </w:p>
        </w:tc>
        <w:tc>
          <w:tcPr>
            <w:tcW w:w="907" w:type="dxa"/>
            <w:vAlign w:val="center"/>
          </w:tcPr>
          <w:p>
            <w:pPr>
              <w:spacing w:line="240" w:lineRule="auto"/>
              <w:ind w:left="-120" w:firstLine="0" w:firstLineChars="0"/>
              <w:jc w:val="center"/>
              <w:rPr>
                <w:sz w:val="21"/>
                <w:szCs w:val="21"/>
              </w:rPr>
            </w:pPr>
            <w:r>
              <w:rPr>
                <w:sz w:val="21"/>
                <w:szCs w:val="21"/>
              </w:rPr>
              <w:t>140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2</w:t>
            </w:r>
          </w:p>
        </w:tc>
        <w:tc>
          <w:tcPr>
            <w:tcW w:w="2268" w:type="dxa"/>
            <w:vAlign w:val="center"/>
          </w:tcPr>
          <w:p>
            <w:pPr>
              <w:spacing w:line="240" w:lineRule="auto"/>
              <w:ind w:left="-120" w:firstLine="0" w:firstLineChars="0"/>
              <w:jc w:val="center"/>
              <w:rPr>
                <w:sz w:val="21"/>
                <w:szCs w:val="21"/>
              </w:rPr>
            </w:pPr>
            <w:r>
              <w:rPr>
                <w:sz w:val="21"/>
                <w:szCs w:val="21"/>
              </w:rPr>
              <w:t>镉</w:t>
            </w:r>
          </w:p>
        </w:tc>
        <w:tc>
          <w:tcPr>
            <w:tcW w:w="1134" w:type="dxa"/>
            <w:vAlign w:val="center"/>
          </w:tcPr>
          <w:p>
            <w:pPr>
              <w:spacing w:line="240" w:lineRule="auto"/>
              <w:ind w:left="-120" w:firstLine="0" w:firstLineChars="0"/>
              <w:jc w:val="center"/>
              <w:rPr>
                <w:sz w:val="21"/>
                <w:szCs w:val="21"/>
              </w:rPr>
            </w:pPr>
            <w:r>
              <w:rPr>
                <w:sz w:val="21"/>
                <w:szCs w:val="21"/>
              </w:rPr>
              <w:t>7440-43-9</w:t>
            </w:r>
          </w:p>
        </w:tc>
        <w:tc>
          <w:tcPr>
            <w:tcW w:w="1276" w:type="dxa"/>
            <w:gridSpan w:val="2"/>
            <w:vAlign w:val="center"/>
          </w:tcPr>
          <w:p>
            <w:pPr>
              <w:spacing w:line="240" w:lineRule="auto"/>
              <w:ind w:left="-120" w:firstLine="0" w:firstLineChars="0"/>
              <w:jc w:val="center"/>
              <w:rPr>
                <w:sz w:val="21"/>
                <w:szCs w:val="21"/>
              </w:rPr>
            </w:pPr>
            <w:r>
              <w:rPr>
                <w:sz w:val="21"/>
                <w:szCs w:val="21"/>
              </w:rPr>
              <w:t>20</w:t>
            </w:r>
          </w:p>
        </w:tc>
        <w:tc>
          <w:tcPr>
            <w:tcW w:w="992" w:type="dxa"/>
            <w:vAlign w:val="center"/>
          </w:tcPr>
          <w:p>
            <w:pPr>
              <w:spacing w:line="240" w:lineRule="auto"/>
              <w:ind w:left="-120" w:firstLine="0" w:firstLineChars="0"/>
              <w:jc w:val="center"/>
              <w:rPr>
                <w:sz w:val="21"/>
                <w:szCs w:val="21"/>
              </w:rPr>
            </w:pPr>
            <w:r>
              <w:rPr>
                <w:sz w:val="21"/>
                <w:szCs w:val="21"/>
              </w:rPr>
              <w:t>65</w:t>
            </w:r>
          </w:p>
        </w:tc>
        <w:tc>
          <w:tcPr>
            <w:tcW w:w="1134" w:type="dxa"/>
            <w:vAlign w:val="center"/>
          </w:tcPr>
          <w:p>
            <w:pPr>
              <w:spacing w:line="240" w:lineRule="auto"/>
              <w:ind w:left="-120" w:firstLine="0" w:firstLineChars="0"/>
              <w:jc w:val="center"/>
              <w:rPr>
                <w:sz w:val="21"/>
                <w:szCs w:val="21"/>
              </w:rPr>
            </w:pPr>
            <w:r>
              <w:rPr>
                <w:sz w:val="21"/>
                <w:szCs w:val="21"/>
              </w:rPr>
              <w:t>47</w:t>
            </w:r>
          </w:p>
        </w:tc>
        <w:tc>
          <w:tcPr>
            <w:tcW w:w="907" w:type="dxa"/>
            <w:vAlign w:val="center"/>
          </w:tcPr>
          <w:p>
            <w:pPr>
              <w:spacing w:line="240" w:lineRule="auto"/>
              <w:ind w:left="-120" w:firstLine="0" w:firstLineChars="0"/>
              <w:jc w:val="center"/>
              <w:rPr>
                <w:sz w:val="21"/>
                <w:szCs w:val="21"/>
              </w:rPr>
            </w:pPr>
            <w:r>
              <w:rPr>
                <w:sz w:val="21"/>
                <w:szCs w:val="21"/>
              </w:rPr>
              <w:t>172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3</w:t>
            </w:r>
          </w:p>
        </w:tc>
        <w:tc>
          <w:tcPr>
            <w:tcW w:w="2268" w:type="dxa"/>
            <w:vAlign w:val="center"/>
          </w:tcPr>
          <w:p>
            <w:pPr>
              <w:spacing w:line="240" w:lineRule="auto"/>
              <w:ind w:left="-120" w:firstLine="0" w:firstLineChars="0"/>
              <w:jc w:val="center"/>
              <w:rPr>
                <w:sz w:val="21"/>
                <w:szCs w:val="21"/>
              </w:rPr>
            </w:pPr>
            <w:r>
              <w:rPr>
                <w:sz w:val="21"/>
                <w:szCs w:val="21"/>
              </w:rPr>
              <w:t>铬（六价）</w:t>
            </w:r>
          </w:p>
        </w:tc>
        <w:tc>
          <w:tcPr>
            <w:tcW w:w="1134" w:type="dxa"/>
            <w:vAlign w:val="center"/>
          </w:tcPr>
          <w:p>
            <w:pPr>
              <w:spacing w:line="240" w:lineRule="auto"/>
              <w:ind w:left="-120" w:firstLine="0" w:firstLineChars="0"/>
              <w:jc w:val="center"/>
              <w:rPr>
                <w:sz w:val="21"/>
                <w:szCs w:val="21"/>
              </w:rPr>
            </w:pPr>
            <w:r>
              <w:rPr>
                <w:sz w:val="21"/>
                <w:szCs w:val="21"/>
              </w:rPr>
              <w:t>18540-29-9</w:t>
            </w:r>
          </w:p>
        </w:tc>
        <w:tc>
          <w:tcPr>
            <w:tcW w:w="1276" w:type="dxa"/>
            <w:gridSpan w:val="2"/>
            <w:vAlign w:val="center"/>
          </w:tcPr>
          <w:p>
            <w:pPr>
              <w:spacing w:line="240" w:lineRule="auto"/>
              <w:ind w:left="-120" w:firstLine="0" w:firstLineChars="0"/>
              <w:jc w:val="center"/>
              <w:rPr>
                <w:sz w:val="21"/>
                <w:szCs w:val="21"/>
              </w:rPr>
            </w:pPr>
            <w:r>
              <w:rPr>
                <w:sz w:val="21"/>
                <w:szCs w:val="21"/>
              </w:rPr>
              <w:t>3.0</w:t>
            </w:r>
          </w:p>
        </w:tc>
        <w:tc>
          <w:tcPr>
            <w:tcW w:w="992" w:type="dxa"/>
            <w:vAlign w:val="center"/>
          </w:tcPr>
          <w:p>
            <w:pPr>
              <w:spacing w:line="240" w:lineRule="auto"/>
              <w:ind w:left="-120" w:firstLine="0" w:firstLineChars="0"/>
              <w:jc w:val="center"/>
              <w:rPr>
                <w:sz w:val="21"/>
                <w:szCs w:val="21"/>
              </w:rPr>
            </w:pPr>
            <w:r>
              <w:rPr>
                <w:sz w:val="21"/>
                <w:szCs w:val="21"/>
              </w:rPr>
              <w:t>5.7</w:t>
            </w:r>
          </w:p>
        </w:tc>
        <w:tc>
          <w:tcPr>
            <w:tcW w:w="1134" w:type="dxa"/>
            <w:vAlign w:val="center"/>
          </w:tcPr>
          <w:p>
            <w:pPr>
              <w:spacing w:line="240" w:lineRule="auto"/>
              <w:ind w:left="-120" w:firstLine="0" w:firstLineChars="0"/>
              <w:jc w:val="center"/>
              <w:rPr>
                <w:sz w:val="21"/>
                <w:szCs w:val="21"/>
              </w:rPr>
            </w:pPr>
            <w:r>
              <w:rPr>
                <w:sz w:val="21"/>
                <w:szCs w:val="21"/>
              </w:rPr>
              <w:t>30</w:t>
            </w:r>
          </w:p>
        </w:tc>
        <w:tc>
          <w:tcPr>
            <w:tcW w:w="907" w:type="dxa"/>
            <w:vAlign w:val="center"/>
          </w:tcPr>
          <w:p>
            <w:pPr>
              <w:spacing w:line="240" w:lineRule="auto"/>
              <w:ind w:left="-120" w:firstLine="0" w:firstLineChars="0"/>
              <w:jc w:val="center"/>
              <w:rPr>
                <w:sz w:val="21"/>
                <w:szCs w:val="21"/>
              </w:rPr>
            </w:pPr>
            <w:r>
              <w:rPr>
                <w:sz w:val="21"/>
                <w:szCs w:val="21"/>
              </w:rPr>
              <w:t>78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4</w:t>
            </w:r>
          </w:p>
        </w:tc>
        <w:tc>
          <w:tcPr>
            <w:tcW w:w="2268" w:type="dxa"/>
            <w:vAlign w:val="center"/>
          </w:tcPr>
          <w:p>
            <w:pPr>
              <w:spacing w:line="240" w:lineRule="auto"/>
              <w:ind w:left="-120" w:firstLine="0" w:firstLineChars="0"/>
              <w:jc w:val="center"/>
              <w:rPr>
                <w:sz w:val="21"/>
                <w:szCs w:val="21"/>
              </w:rPr>
            </w:pPr>
            <w:r>
              <w:rPr>
                <w:sz w:val="21"/>
                <w:szCs w:val="21"/>
              </w:rPr>
              <w:t>铜</w:t>
            </w:r>
          </w:p>
        </w:tc>
        <w:tc>
          <w:tcPr>
            <w:tcW w:w="1134" w:type="dxa"/>
            <w:vAlign w:val="center"/>
          </w:tcPr>
          <w:p>
            <w:pPr>
              <w:spacing w:line="240" w:lineRule="auto"/>
              <w:ind w:left="-120" w:firstLine="0" w:firstLineChars="0"/>
              <w:jc w:val="center"/>
              <w:rPr>
                <w:sz w:val="21"/>
                <w:szCs w:val="21"/>
              </w:rPr>
            </w:pPr>
            <w:r>
              <w:rPr>
                <w:sz w:val="21"/>
                <w:szCs w:val="21"/>
              </w:rPr>
              <w:t>7440-50-8</w:t>
            </w:r>
          </w:p>
        </w:tc>
        <w:tc>
          <w:tcPr>
            <w:tcW w:w="1276" w:type="dxa"/>
            <w:gridSpan w:val="2"/>
            <w:vAlign w:val="center"/>
          </w:tcPr>
          <w:p>
            <w:pPr>
              <w:spacing w:line="240" w:lineRule="auto"/>
              <w:ind w:left="-120" w:firstLine="0" w:firstLineChars="0"/>
              <w:jc w:val="center"/>
              <w:rPr>
                <w:sz w:val="21"/>
                <w:szCs w:val="21"/>
              </w:rPr>
            </w:pPr>
            <w:r>
              <w:rPr>
                <w:sz w:val="21"/>
                <w:szCs w:val="21"/>
              </w:rPr>
              <w:t>2000</w:t>
            </w:r>
          </w:p>
        </w:tc>
        <w:tc>
          <w:tcPr>
            <w:tcW w:w="992" w:type="dxa"/>
            <w:vAlign w:val="center"/>
          </w:tcPr>
          <w:p>
            <w:pPr>
              <w:spacing w:line="240" w:lineRule="auto"/>
              <w:ind w:left="-120" w:firstLine="0" w:firstLineChars="0"/>
              <w:jc w:val="center"/>
              <w:rPr>
                <w:sz w:val="21"/>
                <w:szCs w:val="21"/>
              </w:rPr>
            </w:pPr>
            <w:r>
              <w:rPr>
                <w:sz w:val="21"/>
                <w:szCs w:val="21"/>
              </w:rPr>
              <w:t>18000</w:t>
            </w:r>
          </w:p>
        </w:tc>
        <w:tc>
          <w:tcPr>
            <w:tcW w:w="1134" w:type="dxa"/>
            <w:vAlign w:val="center"/>
          </w:tcPr>
          <w:p>
            <w:pPr>
              <w:spacing w:line="240" w:lineRule="auto"/>
              <w:ind w:left="-120" w:firstLine="0" w:firstLineChars="0"/>
              <w:jc w:val="center"/>
              <w:rPr>
                <w:sz w:val="21"/>
                <w:szCs w:val="21"/>
              </w:rPr>
            </w:pPr>
            <w:r>
              <w:rPr>
                <w:sz w:val="21"/>
                <w:szCs w:val="21"/>
              </w:rPr>
              <w:t>8000</w:t>
            </w:r>
          </w:p>
        </w:tc>
        <w:tc>
          <w:tcPr>
            <w:tcW w:w="907" w:type="dxa"/>
            <w:vAlign w:val="center"/>
          </w:tcPr>
          <w:p>
            <w:pPr>
              <w:spacing w:line="240" w:lineRule="auto"/>
              <w:ind w:left="-120" w:firstLine="0" w:firstLineChars="0"/>
              <w:jc w:val="center"/>
              <w:rPr>
                <w:sz w:val="21"/>
                <w:szCs w:val="21"/>
              </w:rPr>
            </w:pPr>
            <w:r>
              <w:rPr>
                <w:sz w:val="21"/>
                <w:szCs w:val="21"/>
              </w:rPr>
              <w:t>36000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5</w:t>
            </w:r>
          </w:p>
        </w:tc>
        <w:tc>
          <w:tcPr>
            <w:tcW w:w="2268" w:type="dxa"/>
            <w:vAlign w:val="center"/>
          </w:tcPr>
          <w:p>
            <w:pPr>
              <w:spacing w:line="240" w:lineRule="auto"/>
              <w:ind w:left="-120" w:firstLine="0" w:firstLineChars="0"/>
              <w:jc w:val="center"/>
              <w:rPr>
                <w:sz w:val="21"/>
                <w:szCs w:val="21"/>
              </w:rPr>
            </w:pPr>
            <w:r>
              <w:rPr>
                <w:sz w:val="21"/>
                <w:szCs w:val="21"/>
              </w:rPr>
              <w:t>铅</w:t>
            </w:r>
          </w:p>
        </w:tc>
        <w:tc>
          <w:tcPr>
            <w:tcW w:w="1134" w:type="dxa"/>
            <w:vAlign w:val="center"/>
          </w:tcPr>
          <w:p>
            <w:pPr>
              <w:spacing w:line="240" w:lineRule="auto"/>
              <w:ind w:left="-120" w:firstLine="0" w:firstLineChars="0"/>
              <w:jc w:val="center"/>
              <w:rPr>
                <w:sz w:val="21"/>
                <w:szCs w:val="21"/>
              </w:rPr>
            </w:pPr>
            <w:r>
              <w:rPr>
                <w:sz w:val="21"/>
                <w:szCs w:val="21"/>
              </w:rPr>
              <w:t>7439-92-1</w:t>
            </w:r>
          </w:p>
        </w:tc>
        <w:tc>
          <w:tcPr>
            <w:tcW w:w="1276" w:type="dxa"/>
            <w:gridSpan w:val="2"/>
            <w:vAlign w:val="center"/>
          </w:tcPr>
          <w:p>
            <w:pPr>
              <w:spacing w:line="240" w:lineRule="auto"/>
              <w:ind w:left="-120" w:firstLine="0" w:firstLineChars="0"/>
              <w:jc w:val="center"/>
              <w:rPr>
                <w:sz w:val="21"/>
                <w:szCs w:val="21"/>
              </w:rPr>
            </w:pPr>
            <w:r>
              <w:rPr>
                <w:sz w:val="21"/>
                <w:szCs w:val="21"/>
              </w:rPr>
              <w:t>400</w:t>
            </w:r>
          </w:p>
        </w:tc>
        <w:tc>
          <w:tcPr>
            <w:tcW w:w="992" w:type="dxa"/>
            <w:vAlign w:val="center"/>
          </w:tcPr>
          <w:p>
            <w:pPr>
              <w:spacing w:line="240" w:lineRule="auto"/>
              <w:ind w:left="-120" w:firstLine="0" w:firstLineChars="0"/>
              <w:jc w:val="center"/>
              <w:rPr>
                <w:sz w:val="21"/>
                <w:szCs w:val="21"/>
              </w:rPr>
            </w:pPr>
            <w:r>
              <w:rPr>
                <w:sz w:val="21"/>
                <w:szCs w:val="21"/>
              </w:rPr>
              <w:t>800</w:t>
            </w:r>
          </w:p>
        </w:tc>
        <w:tc>
          <w:tcPr>
            <w:tcW w:w="1134" w:type="dxa"/>
            <w:vAlign w:val="center"/>
          </w:tcPr>
          <w:p>
            <w:pPr>
              <w:spacing w:line="240" w:lineRule="auto"/>
              <w:ind w:left="-120" w:firstLine="0" w:firstLineChars="0"/>
              <w:jc w:val="center"/>
              <w:rPr>
                <w:sz w:val="21"/>
                <w:szCs w:val="21"/>
              </w:rPr>
            </w:pPr>
            <w:r>
              <w:rPr>
                <w:sz w:val="21"/>
                <w:szCs w:val="21"/>
              </w:rPr>
              <w:t>800</w:t>
            </w:r>
          </w:p>
        </w:tc>
        <w:tc>
          <w:tcPr>
            <w:tcW w:w="907" w:type="dxa"/>
            <w:vAlign w:val="center"/>
          </w:tcPr>
          <w:p>
            <w:pPr>
              <w:spacing w:line="240" w:lineRule="auto"/>
              <w:ind w:left="-120" w:firstLine="0" w:firstLineChars="0"/>
              <w:jc w:val="center"/>
              <w:rPr>
                <w:sz w:val="21"/>
                <w:szCs w:val="21"/>
              </w:rPr>
            </w:pPr>
            <w:r>
              <w:rPr>
                <w:sz w:val="21"/>
                <w:szCs w:val="21"/>
              </w:rPr>
              <w:t>2500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6</w:t>
            </w:r>
          </w:p>
        </w:tc>
        <w:tc>
          <w:tcPr>
            <w:tcW w:w="2268" w:type="dxa"/>
            <w:vAlign w:val="center"/>
          </w:tcPr>
          <w:p>
            <w:pPr>
              <w:spacing w:line="240" w:lineRule="auto"/>
              <w:ind w:left="-120" w:firstLine="0" w:firstLineChars="0"/>
              <w:jc w:val="center"/>
              <w:rPr>
                <w:sz w:val="21"/>
                <w:szCs w:val="21"/>
              </w:rPr>
            </w:pPr>
            <w:r>
              <w:rPr>
                <w:sz w:val="21"/>
                <w:szCs w:val="21"/>
              </w:rPr>
              <w:t>汞</w:t>
            </w:r>
          </w:p>
        </w:tc>
        <w:tc>
          <w:tcPr>
            <w:tcW w:w="1134" w:type="dxa"/>
            <w:vAlign w:val="center"/>
          </w:tcPr>
          <w:p>
            <w:pPr>
              <w:spacing w:line="240" w:lineRule="auto"/>
              <w:ind w:left="-120" w:firstLine="0" w:firstLineChars="0"/>
              <w:jc w:val="center"/>
              <w:rPr>
                <w:sz w:val="21"/>
                <w:szCs w:val="21"/>
              </w:rPr>
            </w:pPr>
            <w:r>
              <w:rPr>
                <w:sz w:val="21"/>
                <w:szCs w:val="21"/>
              </w:rPr>
              <w:t>7439-97-6</w:t>
            </w:r>
          </w:p>
        </w:tc>
        <w:tc>
          <w:tcPr>
            <w:tcW w:w="1276" w:type="dxa"/>
            <w:gridSpan w:val="2"/>
            <w:vAlign w:val="center"/>
          </w:tcPr>
          <w:p>
            <w:pPr>
              <w:spacing w:line="240" w:lineRule="auto"/>
              <w:ind w:left="-120" w:firstLine="0" w:firstLineChars="0"/>
              <w:jc w:val="center"/>
              <w:rPr>
                <w:sz w:val="21"/>
                <w:szCs w:val="21"/>
              </w:rPr>
            </w:pPr>
            <w:r>
              <w:rPr>
                <w:sz w:val="21"/>
                <w:szCs w:val="21"/>
              </w:rPr>
              <w:t>8</w:t>
            </w:r>
          </w:p>
        </w:tc>
        <w:tc>
          <w:tcPr>
            <w:tcW w:w="992" w:type="dxa"/>
            <w:vAlign w:val="center"/>
          </w:tcPr>
          <w:p>
            <w:pPr>
              <w:spacing w:line="240" w:lineRule="auto"/>
              <w:ind w:left="-120" w:firstLine="0" w:firstLineChars="0"/>
              <w:jc w:val="center"/>
              <w:rPr>
                <w:sz w:val="21"/>
                <w:szCs w:val="21"/>
              </w:rPr>
            </w:pPr>
            <w:r>
              <w:rPr>
                <w:sz w:val="21"/>
                <w:szCs w:val="21"/>
              </w:rPr>
              <w:t>38</w:t>
            </w:r>
          </w:p>
        </w:tc>
        <w:tc>
          <w:tcPr>
            <w:tcW w:w="1134" w:type="dxa"/>
            <w:vAlign w:val="center"/>
          </w:tcPr>
          <w:p>
            <w:pPr>
              <w:spacing w:line="240" w:lineRule="auto"/>
              <w:ind w:left="-120" w:firstLine="0" w:firstLineChars="0"/>
              <w:jc w:val="center"/>
              <w:rPr>
                <w:sz w:val="21"/>
                <w:szCs w:val="21"/>
              </w:rPr>
            </w:pPr>
            <w:r>
              <w:rPr>
                <w:sz w:val="21"/>
                <w:szCs w:val="21"/>
              </w:rPr>
              <w:t>33</w:t>
            </w:r>
          </w:p>
        </w:tc>
        <w:tc>
          <w:tcPr>
            <w:tcW w:w="907" w:type="dxa"/>
            <w:vAlign w:val="center"/>
          </w:tcPr>
          <w:p>
            <w:pPr>
              <w:spacing w:line="240" w:lineRule="auto"/>
              <w:ind w:left="-120" w:firstLine="0" w:firstLineChars="0"/>
              <w:jc w:val="center"/>
              <w:rPr>
                <w:sz w:val="21"/>
                <w:szCs w:val="21"/>
              </w:rPr>
            </w:pPr>
            <w:r>
              <w:rPr>
                <w:sz w:val="21"/>
                <w:szCs w:val="21"/>
              </w:rPr>
              <w:t>82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7</w:t>
            </w:r>
          </w:p>
        </w:tc>
        <w:tc>
          <w:tcPr>
            <w:tcW w:w="2268" w:type="dxa"/>
            <w:vAlign w:val="center"/>
          </w:tcPr>
          <w:p>
            <w:pPr>
              <w:spacing w:line="240" w:lineRule="auto"/>
              <w:ind w:left="-120" w:firstLine="0" w:firstLineChars="0"/>
              <w:jc w:val="center"/>
              <w:rPr>
                <w:sz w:val="21"/>
                <w:szCs w:val="21"/>
              </w:rPr>
            </w:pPr>
            <w:r>
              <w:rPr>
                <w:sz w:val="21"/>
                <w:szCs w:val="21"/>
              </w:rPr>
              <w:t>镍</w:t>
            </w:r>
          </w:p>
        </w:tc>
        <w:tc>
          <w:tcPr>
            <w:tcW w:w="1134" w:type="dxa"/>
            <w:vAlign w:val="center"/>
          </w:tcPr>
          <w:p>
            <w:pPr>
              <w:spacing w:line="240" w:lineRule="auto"/>
              <w:ind w:left="-120" w:firstLine="0" w:firstLineChars="0"/>
              <w:jc w:val="center"/>
              <w:rPr>
                <w:sz w:val="21"/>
                <w:szCs w:val="21"/>
              </w:rPr>
            </w:pPr>
            <w:r>
              <w:rPr>
                <w:sz w:val="21"/>
                <w:szCs w:val="21"/>
              </w:rPr>
              <w:t>7440-02-0</w:t>
            </w:r>
          </w:p>
        </w:tc>
        <w:tc>
          <w:tcPr>
            <w:tcW w:w="1276" w:type="dxa"/>
            <w:gridSpan w:val="2"/>
            <w:vAlign w:val="center"/>
          </w:tcPr>
          <w:p>
            <w:pPr>
              <w:spacing w:line="240" w:lineRule="auto"/>
              <w:ind w:left="-120" w:firstLine="0" w:firstLineChars="0"/>
              <w:jc w:val="center"/>
              <w:rPr>
                <w:sz w:val="21"/>
                <w:szCs w:val="21"/>
              </w:rPr>
            </w:pPr>
            <w:r>
              <w:rPr>
                <w:sz w:val="21"/>
                <w:szCs w:val="21"/>
              </w:rPr>
              <w:t>150</w:t>
            </w:r>
          </w:p>
        </w:tc>
        <w:tc>
          <w:tcPr>
            <w:tcW w:w="992" w:type="dxa"/>
            <w:vAlign w:val="center"/>
          </w:tcPr>
          <w:p>
            <w:pPr>
              <w:spacing w:line="240" w:lineRule="auto"/>
              <w:ind w:left="-120" w:firstLine="0" w:firstLineChars="0"/>
              <w:jc w:val="center"/>
              <w:rPr>
                <w:sz w:val="21"/>
                <w:szCs w:val="21"/>
              </w:rPr>
            </w:pPr>
            <w:r>
              <w:rPr>
                <w:sz w:val="21"/>
                <w:szCs w:val="21"/>
              </w:rPr>
              <w:t>900</w:t>
            </w:r>
          </w:p>
        </w:tc>
        <w:tc>
          <w:tcPr>
            <w:tcW w:w="1134" w:type="dxa"/>
            <w:vAlign w:val="center"/>
          </w:tcPr>
          <w:p>
            <w:pPr>
              <w:spacing w:line="240" w:lineRule="auto"/>
              <w:ind w:left="-120" w:firstLine="0" w:firstLineChars="0"/>
              <w:jc w:val="center"/>
              <w:rPr>
                <w:sz w:val="21"/>
                <w:szCs w:val="21"/>
              </w:rPr>
            </w:pPr>
            <w:r>
              <w:rPr>
                <w:sz w:val="21"/>
                <w:szCs w:val="21"/>
              </w:rPr>
              <w:t>600</w:t>
            </w:r>
          </w:p>
        </w:tc>
        <w:tc>
          <w:tcPr>
            <w:tcW w:w="907" w:type="dxa"/>
            <w:vAlign w:val="center"/>
          </w:tcPr>
          <w:p>
            <w:pPr>
              <w:spacing w:line="240" w:lineRule="auto"/>
              <w:ind w:left="-120" w:firstLine="0" w:firstLineChars="0"/>
              <w:jc w:val="center"/>
              <w:rPr>
                <w:sz w:val="21"/>
                <w:szCs w:val="21"/>
              </w:rPr>
            </w:pPr>
            <w:r>
              <w:rPr>
                <w:sz w:val="21"/>
                <w:szCs w:val="21"/>
              </w:rPr>
              <w:t>2000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8" w:type="dxa"/>
            <w:gridSpan w:val="8"/>
            <w:vAlign w:val="center"/>
          </w:tcPr>
          <w:p>
            <w:pPr>
              <w:spacing w:line="240" w:lineRule="auto"/>
              <w:ind w:left="-120" w:firstLine="0" w:firstLineChars="0"/>
              <w:jc w:val="center"/>
              <w:rPr>
                <w:sz w:val="21"/>
                <w:szCs w:val="21"/>
              </w:rPr>
            </w:pPr>
            <w:r>
              <w:rPr>
                <w:sz w:val="21"/>
                <w:szCs w:val="21"/>
              </w:rPr>
              <w:t>挥发性有机物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8</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四氯化碳</w:t>
            </w:r>
          </w:p>
        </w:tc>
        <w:tc>
          <w:tcPr>
            <w:tcW w:w="1134" w:type="dxa"/>
            <w:vAlign w:val="center"/>
          </w:tcPr>
          <w:p>
            <w:pPr>
              <w:spacing w:line="240" w:lineRule="auto"/>
              <w:ind w:left="-120" w:firstLine="0" w:firstLineChars="0"/>
              <w:jc w:val="center"/>
              <w:rPr>
                <w:sz w:val="21"/>
                <w:szCs w:val="21"/>
              </w:rPr>
            </w:pPr>
            <w:r>
              <w:rPr>
                <w:sz w:val="21"/>
                <w:szCs w:val="21"/>
              </w:rPr>
              <w:t>56-23-5</w:t>
            </w:r>
          </w:p>
        </w:tc>
        <w:tc>
          <w:tcPr>
            <w:tcW w:w="1276" w:type="dxa"/>
            <w:gridSpan w:val="2"/>
            <w:vAlign w:val="center"/>
          </w:tcPr>
          <w:p>
            <w:pPr>
              <w:spacing w:line="240" w:lineRule="auto"/>
              <w:ind w:left="-120" w:firstLine="0" w:firstLineChars="0"/>
              <w:jc w:val="center"/>
              <w:rPr>
                <w:sz w:val="21"/>
                <w:szCs w:val="21"/>
              </w:rPr>
            </w:pPr>
            <w:r>
              <w:rPr>
                <w:sz w:val="21"/>
                <w:szCs w:val="21"/>
              </w:rPr>
              <w:t>0.9</w:t>
            </w:r>
          </w:p>
        </w:tc>
        <w:tc>
          <w:tcPr>
            <w:tcW w:w="992" w:type="dxa"/>
            <w:vAlign w:val="center"/>
          </w:tcPr>
          <w:p>
            <w:pPr>
              <w:spacing w:line="240" w:lineRule="auto"/>
              <w:ind w:left="-120" w:firstLine="0" w:firstLineChars="0"/>
              <w:jc w:val="center"/>
              <w:rPr>
                <w:sz w:val="21"/>
                <w:szCs w:val="21"/>
              </w:rPr>
            </w:pPr>
            <w:r>
              <w:rPr>
                <w:sz w:val="21"/>
                <w:szCs w:val="21"/>
              </w:rPr>
              <w:t>2.8</w:t>
            </w:r>
          </w:p>
        </w:tc>
        <w:tc>
          <w:tcPr>
            <w:tcW w:w="1134" w:type="dxa"/>
            <w:vAlign w:val="center"/>
          </w:tcPr>
          <w:p>
            <w:pPr>
              <w:spacing w:line="240" w:lineRule="auto"/>
              <w:ind w:left="-120" w:firstLine="0" w:firstLineChars="0"/>
              <w:jc w:val="center"/>
              <w:rPr>
                <w:sz w:val="21"/>
                <w:szCs w:val="21"/>
              </w:rPr>
            </w:pPr>
            <w:r>
              <w:rPr>
                <w:sz w:val="21"/>
                <w:szCs w:val="21"/>
              </w:rPr>
              <w:t>9</w:t>
            </w:r>
          </w:p>
        </w:tc>
        <w:tc>
          <w:tcPr>
            <w:tcW w:w="907" w:type="dxa"/>
            <w:vAlign w:val="center"/>
          </w:tcPr>
          <w:p>
            <w:pPr>
              <w:spacing w:line="240" w:lineRule="auto"/>
              <w:ind w:left="-120" w:firstLine="0" w:firstLineChars="0"/>
              <w:jc w:val="center"/>
              <w:rPr>
                <w:sz w:val="21"/>
                <w:szCs w:val="21"/>
              </w:rPr>
            </w:pPr>
            <w:r>
              <w:rPr>
                <w:sz w:val="21"/>
                <w:szCs w:val="21"/>
              </w:rPr>
              <w:t>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9</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氯仿</w:t>
            </w:r>
          </w:p>
        </w:tc>
        <w:tc>
          <w:tcPr>
            <w:tcW w:w="1134" w:type="dxa"/>
            <w:vAlign w:val="center"/>
          </w:tcPr>
          <w:p>
            <w:pPr>
              <w:spacing w:line="240" w:lineRule="auto"/>
              <w:ind w:left="-120" w:firstLine="0" w:firstLineChars="0"/>
              <w:jc w:val="center"/>
              <w:rPr>
                <w:sz w:val="21"/>
                <w:szCs w:val="21"/>
              </w:rPr>
            </w:pPr>
            <w:r>
              <w:rPr>
                <w:sz w:val="21"/>
                <w:szCs w:val="21"/>
              </w:rPr>
              <w:t>67-66-3</w:t>
            </w:r>
          </w:p>
        </w:tc>
        <w:tc>
          <w:tcPr>
            <w:tcW w:w="1276" w:type="dxa"/>
            <w:gridSpan w:val="2"/>
            <w:vAlign w:val="center"/>
          </w:tcPr>
          <w:p>
            <w:pPr>
              <w:spacing w:line="240" w:lineRule="auto"/>
              <w:ind w:left="-120" w:firstLine="0" w:firstLineChars="0"/>
              <w:jc w:val="center"/>
              <w:rPr>
                <w:sz w:val="21"/>
                <w:szCs w:val="21"/>
              </w:rPr>
            </w:pPr>
            <w:r>
              <w:rPr>
                <w:sz w:val="21"/>
                <w:szCs w:val="21"/>
              </w:rPr>
              <w:t>0.3</w:t>
            </w:r>
          </w:p>
        </w:tc>
        <w:tc>
          <w:tcPr>
            <w:tcW w:w="992" w:type="dxa"/>
            <w:vAlign w:val="center"/>
          </w:tcPr>
          <w:p>
            <w:pPr>
              <w:spacing w:line="240" w:lineRule="auto"/>
              <w:ind w:left="-120" w:firstLine="0" w:firstLineChars="0"/>
              <w:jc w:val="center"/>
              <w:rPr>
                <w:sz w:val="21"/>
                <w:szCs w:val="21"/>
              </w:rPr>
            </w:pPr>
            <w:r>
              <w:rPr>
                <w:sz w:val="21"/>
                <w:szCs w:val="21"/>
              </w:rPr>
              <w:t>0.9</w:t>
            </w:r>
          </w:p>
        </w:tc>
        <w:tc>
          <w:tcPr>
            <w:tcW w:w="1134" w:type="dxa"/>
            <w:vAlign w:val="center"/>
          </w:tcPr>
          <w:p>
            <w:pPr>
              <w:spacing w:line="240" w:lineRule="auto"/>
              <w:ind w:left="-120" w:firstLine="0" w:firstLineChars="0"/>
              <w:jc w:val="center"/>
              <w:rPr>
                <w:sz w:val="21"/>
                <w:szCs w:val="21"/>
              </w:rPr>
            </w:pPr>
            <w:r>
              <w:rPr>
                <w:sz w:val="21"/>
                <w:szCs w:val="21"/>
              </w:rPr>
              <w:t>5</w:t>
            </w:r>
          </w:p>
        </w:tc>
        <w:tc>
          <w:tcPr>
            <w:tcW w:w="907" w:type="dxa"/>
            <w:vAlign w:val="center"/>
          </w:tcPr>
          <w:p>
            <w:pPr>
              <w:spacing w:line="240" w:lineRule="auto"/>
              <w:ind w:left="-120" w:firstLine="0" w:firstLineChars="0"/>
              <w:jc w:val="center"/>
              <w:rPr>
                <w:sz w:val="21"/>
                <w:szCs w:val="21"/>
              </w:rPr>
            </w:pPr>
            <w:r>
              <w:rPr>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10</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氯甲烷</w:t>
            </w:r>
          </w:p>
        </w:tc>
        <w:tc>
          <w:tcPr>
            <w:tcW w:w="1134" w:type="dxa"/>
            <w:vAlign w:val="center"/>
          </w:tcPr>
          <w:p>
            <w:pPr>
              <w:spacing w:line="240" w:lineRule="auto"/>
              <w:ind w:left="-120" w:firstLine="0" w:firstLineChars="0"/>
              <w:jc w:val="center"/>
              <w:rPr>
                <w:sz w:val="21"/>
                <w:szCs w:val="21"/>
              </w:rPr>
            </w:pPr>
            <w:r>
              <w:rPr>
                <w:sz w:val="21"/>
                <w:szCs w:val="21"/>
              </w:rPr>
              <w:t>74-87-3</w:t>
            </w:r>
          </w:p>
        </w:tc>
        <w:tc>
          <w:tcPr>
            <w:tcW w:w="1276" w:type="dxa"/>
            <w:gridSpan w:val="2"/>
            <w:vAlign w:val="center"/>
          </w:tcPr>
          <w:p>
            <w:pPr>
              <w:spacing w:line="240" w:lineRule="auto"/>
              <w:ind w:left="-120" w:firstLine="0" w:firstLineChars="0"/>
              <w:jc w:val="center"/>
              <w:rPr>
                <w:sz w:val="21"/>
                <w:szCs w:val="21"/>
              </w:rPr>
            </w:pPr>
            <w:r>
              <w:rPr>
                <w:sz w:val="21"/>
                <w:szCs w:val="21"/>
              </w:rPr>
              <w:t>12</w:t>
            </w:r>
          </w:p>
        </w:tc>
        <w:tc>
          <w:tcPr>
            <w:tcW w:w="992" w:type="dxa"/>
            <w:vAlign w:val="center"/>
          </w:tcPr>
          <w:p>
            <w:pPr>
              <w:spacing w:line="240" w:lineRule="auto"/>
              <w:ind w:left="-120" w:firstLine="0" w:firstLineChars="0"/>
              <w:jc w:val="center"/>
              <w:rPr>
                <w:sz w:val="21"/>
                <w:szCs w:val="21"/>
              </w:rPr>
            </w:pPr>
            <w:r>
              <w:rPr>
                <w:sz w:val="21"/>
                <w:szCs w:val="21"/>
              </w:rPr>
              <w:t>37</w:t>
            </w:r>
          </w:p>
        </w:tc>
        <w:tc>
          <w:tcPr>
            <w:tcW w:w="1134" w:type="dxa"/>
            <w:vAlign w:val="center"/>
          </w:tcPr>
          <w:p>
            <w:pPr>
              <w:spacing w:line="240" w:lineRule="auto"/>
              <w:ind w:left="-120" w:firstLine="0" w:firstLineChars="0"/>
              <w:jc w:val="center"/>
              <w:rPr>
                <w:sz w:val="21"/>
                <w:szCs w:val="21"/>
              </w:rPr>
            </w:pPr>
            <w:r>
              <w:rPr>
                <w:sz w:val="21"/>
                <w:szCs w:val="21"/>
              </w:rPr>
              <w:t>21</w:t>
            </w:r>
          </w:p>
        </w:tc>
        <w:tc>
          <w:tcPr>
            <w:tcW w:w="907" w:type="dxa"/>
            <w:vAlign w:val="center"/>
          </w:tcPr>
          <w:p>
            <w:pPr>
              <w:spacing w:line="240" w:lineRule="auto"/>
              <w:ind w:left="-120" w:firstLine="0" w:firstLineChars="0"/>
              <w:jc w:val="center"/>
              <w:rPr>
                <w:sz w:val="21"/>
                <w:szCs w:val="21"/>
              </w:rPr>
            </w:pPr>
            <w:r>
              <w:rPr>
                <w:sz w:val="21"/>
                <w:szCs w:val="21"/>
              </w:rPr>
              <w:t>120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11</w:t>
            </w:r>
          </w:p>
        </w:tc>
        <w:tc>
          <w:tcPr>
            <w:tcW w:w="2268" w:type="dxa"/>
            <w:vAlign w:val="center"/>
          </w:tcPr>
          <w:p>
            <w:pPr>
              <w:widowControl/>
              <w:spacing w:line="240" w:lineRule="auto"/>
              <w:ind w:left="-120" w:firstLine="0" w:firstLineChars="0"/>
              <w:jc w:val="center"/>
              <w:textAlignment w:val="center"/>
              <w:rPr>
                <w:sz w:val="21"/>
                <w:szCs w:val="21"/>
              </w:rPr>
            </w:pPr>
            <w:r>
              <w:rPr>
                <w:sz w:val="21"/>
                <w:szCs w:val="21"/>
              </w:rPr>
              <w:t>1，1-二氯乙烷</w:t>
            </w:r>
          </w:p>
        </w:tc>
        <w:tc>
          <w:tcPr>
            <w:tcW w:w="1134" w:type="dxa"/>
            <w:vAlign w:val="center"/>
          </w:tcPr>
          <w:p>
            <w:pPr>
              <w:spacing w:line="240" w:lineRule="auto"/>
              <w:ind w:left="-120" w:firstLine="0" w:firstLineChars="0"/>
              <w:jc w:val="center"/>
              <w:rPr>
                <w:sz w:val="21"/>
                <w:szCs w:val="21"/>
              </w:rPr>
            </w:pPr>
            <w:r>
              <w:rPr>
                <w:sz w:val="21"/>
                <w:szCs w:val="21"/>
              </w:rPr>
              <w:t>75-34-3</w:t>
            </w:r>
          </w:p>
        </w:tc>
        <w:tc>
          <w:tcPr>
            <w:tcW w:w="1276" w:type="dxa"/>
            <w:gridSpan w:val="2"/>
            <w:vAlign w:val="center"/>
          </w:tcPr>
          <w:p>
            <w:pPr>
              <w:spacing w:line="240" w:lineRule="auto"/>
              <w:ind w:left="-120" w:firstLine="0" w:firstLineChars="0"/>
              <w:jc w:val="center"/>
              <w:rPr>
                <w:sz w:val="21"/>
                <w:szCs w:val="21"/>
              </w:rPr>
            </w:pPr>
            <w:r>
              <w:rPr>
                <w:sz w:val="21"/>
                <w:szCs w:val="21"/>
              </w:rPr>
              <w:t>3</w:t>
            </w:r>
          </w:p>
        </w:tc>
        <w:tc>
          <w:tcPr>
            <w:tcW w:w="992" w:type="dxa"/>
            <w:vAlign w:val="center"/>
          </w:tcPr>
          <w:p>
            <w:pPr>
              <w:spacing w:line="240" w:lineRule="auto"/>
              <w:ind w:left="-120" w:firstLine="0" w:firstLineChars="0"/>
              <w:jc w:val="center"/>
              <w:rPr>
                <w:sz w:val="21"/>
                <w:szCs w:val="21"/>
              </w:rPr>
            </w:pPr>
            <w:r>
              <w:rPr>
                <w:sz w:val="21"/>
                <w:szCs w:val="21"/>
              </w:rPr>
              <w:t>9</w:t>
            </w:r>
          </w:p>
        </w:tc>
        <w:tc>
          <w:tcPr>
            <w:tcW w:w="1134" w:type="dxa"/>
            <w:vAlign w:val="center"/>
          </w:tcPr>
          <w:p>
            <w:pPr>
              <w:spacing w:line="240" w:lineRule="auto"/>
              <w:ind w:left="-120" w:firstLine="0" w:firstLineChars="0"/>
              <w:jc w:val="center"/>
              <w:rPr>
                <w:sz w:val="21"/>
                <w:szCs w:val="21"/>
              </w:rPr>
            </w:pPr>
            <w:r>
              <w:rPr>
                <w:sz w:val="21"/>
                <w:szCs w:val="21"/>
              </w:rPr>
              <w:t>20</w:t>
            </w:r>
          </w:p>
        </w:tc>
        <w:tc>
          <w:tcPr>
            <w:tcW w:w="907" w:type="dxa"/>
            <w:vAlign w:val="center"/>
          </w:tcPr>
          <w:p>
            <w:pPr>
              <w:spacing w:line="240" w:lineRule="auto"/>
              <w:ind w:left="-120" w:firstLine="0" w:firstLineChars="0"/>
              <w:jc w:val="center"/>
              <w:rPr>
                <w:sz w:val="21"/>
                <w:szCs w:val="21"/>
              </w:rPr>
            </w:pPr>
            <w:r>
              <w:rPr>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12</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1，2-二氯乙烷</w:t>
            </w:r>
          </w:p>
        </w:tc>
        <w:tc>
          <w:tcPr>
            <w:tcW w:w="1134" w:type="dxa"/>
            <w:vAlign w:val="center"/>
          </w:tcPr>
          <w:p>
            <w:pPr>
              <w:spacing w:line="240" w:lineRule="auto"/>
              <w:ind w:left="-120" w:firstLine="0" w:firstLineChars="0"/>
              <w:jc w:val="center"/>
              <w:rPr>
                <w:sz w:val="21"/>
                <w:szCs w:val="21"/>
              </w:rPr>
            </w:pPr>
            <w:r>
              <w:rPr>
                <w:sz w:val="21"/>
                <w:szCs w:val="21"/>
              </w:rPr>
              <w:t>107-06-2</w:t>
            </w:r>
          </w:p>
        </w:tc>
        <w:tc>
          <w:tcPr>
            <w:tcW w:w="1276" w:type="dxa"/>
            <w:gridSpan w:val="2"/>
            <w:vAlign w:val="center"/>
          </w:tcPr>
          <w:p>
            <w:pPr>
              <w:spacing w:line="240" w:lineRule="auto"/>
              <w:ind w:left="-120" w:firstLine="0" w:firstLineChars="0"/>
              <w:jc w:val="center"/>
              <w:rPr>
                <w:sz w:val="21"/>
                <w:szCs w:val="21"/>
              </w:rPr>
            </w:pPr>
            <w:r>
              <w:rPr>
                <w:sz w:val="21"/>
                <w:szCs w:val="21"/>
              </w:rPr>
              <w:t>0.52</w:t>
            </w:r>
          </w:p>
        </w:tc>
        <w:tc>
          <w:tcPr>
            <w:tcW w:w="992" w:type="dxa"/>
            <w:vAlign w:val="center"/>
          </w:tcPr>
          <w:p>
            <w:pPr>
              <w:spacing w:line="240" w:lineRule="auto"/>
              <w:ind w:left="-120" w:firstLine="0" w:firstLineChars="0"/>
              <w:jc w:val="center"/>
              <w:rPr>
                <w:sz w:val="21"/>
                <w:szCs w:val="21"/>
              </w:rPr>
            </w:pPr>
            <w:r>
              <w:rPr>
                <w:sz w:val="21"/>
                <w:szCs w:val="21"/>
              </w:rPr>
              <w:t>5</w:t>
            </w:r>
          </w:p>
        </w:tc>
        <w:tc>
          <w:tcPr>
            <w:tcW w:w="1134" w:type="dxa"/>
            <w:vAlign w:val="center"/>
          </w:tcPr>
          <w:p>
            <w:pPr>
              <w:spacing w:line="240" w:lineRule="auto"/>
              <w:ind w:left="-120" w:firstLine="0" w:firstLineChars="0"/>
              <w:jc w:val="center"/>
              <w:rPr>
                <w:sz w:val="21"/>
                <w:szCs w:val="21"/>
              </w:rPr>
            </w:pPr>
            <w:r>
              <w:rPr>
                <w:sz w:val="21"/>
                <w:szCs w:val="21"/>
              </w:rPr>
              <w:t>6</w:t>
            </w:r>
          </w:p>
        </w:tc>
        <w:tc>
          <w:tcPr>
            <w:tcW w:w="907" w:type="dxa"/>
            <w:vAlign w:val="center"/>
          </w:tcPr>
          <w:p>
            <w:pPr>
              <w:spacing w:line="240" w:lineRule="auto"/>
              <w:ind w:left="-120" w:firstLine="0" w:firstLineChars="0"/>
              <w:jc w:val="center"/>
              <w:rPr>
                <w:sz w:val="21"/>
                <w:szCs w:val="21"/>
              </w:rPr>
            </w:pPr>
            <w:r>
              <w:rPr>
                <w:sz w:val="21"/>
                <w:szCs w:val="21"/>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13</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1，1-二氯乙烯</w:t>
            </w:r>
          </w:p>
        </w:tc>
        <w:tc>
          <w:tcPr>
            <w:tcW w:w="1134" w:type="dxa"/>
            <w:vAlign w:val="center"/>
          </w:tcPr>
          <w:p>
            <w:pPr>
              <w:spacing w:line="240" w:lineRule="auto"/>
              <w:ind w:left="-120" w:firstLine="0" w:firstLineChars="0"/>
              <w:jc w:val="center"/>
              <w:rPr>
                <w:sz w:val="21"/>
                <w:szCs w:val="21"/>
              </w:rPr>
            </w:pPr>
            <w:r>
              <w:rPr>
                <w:sz w:val="21"/>
                <w:szCs w:val="21"/>
              </w:rPr>
              <w:t>75-35-4</w:t>
            </w:r>
          </w:p>
        </w:tc>
        <w:tc>
          <w:tcPr>
            <w:tcW w:w="1276" w:type="dxa"/>
            <w:gridSpan w:val="2"/>
            <w:vAlign w:val="center"/>
          </w:tcPr>
          <w:p>
            <w:pPr>
              <w:spacing w:line="240" w:lineRule="auto"/>
              <w:ind w:left="-120" w:firstLine="0" w:firstLineChars="0"/>
              <w:jc w:val="center"/>
              <w:rPr>
                <w:sz w:val="21"/>
                <w:szCs w:val="21"/>
              </w:rPr>
            </w:pPr>
            <w:r>
              <w:rPr>
                <w:sz w:val="21"/>
                <w:szCs w:val="21"/>
              </w:rPr>
              <w:t>12</w:t>
            </w:r>
          </w:p>
        </w:tc>
        <w:tc>
          <w:tcPr>
            <w:tcW w:w="992" w:type="dxa"/>
            <w:vAlign w:val="center"/>
          </w:tcPr>
          <w:p>
            <w:pPr>
              <w:spacing w:line="240" w:lineRule="auto"/>
              <w:ind w:left="-120" w:firstLine="0" w:firstLineChars="0"/>
              <w:jc w:val="center"/>
              <w:rPr>
                <w:sz w:val="21"/>
                <w:szCs w:val="21"/>
              </w:rPr>
            </w:pPr>
            <w:r>
              <w:rPr>
                <w:sz w:val="21"/>
                <w:szCs w:val="21"/>
              </w:rPr>
              <w:t>66</w:t>
            </w:r>
          </w:p>
        </w:tc>
        <w:tc>
          <w:tcPr>
            <w:tcW w:w="1134" w:type="dxa"/>
            <w:vAlign w:val="center"/>
          </w:tcPr>
          <w:p>
            <w:pPr>
              <w:spacing w:line="240" w:lineRule="auto"/>
              <w:ind w:left="-120" w:firstLine="0" w:firstLineChars="0"/>
              <w:jc w:val="center"/>
              <w:rPr>
                <w:sz w:val="21"/>
                <w:szCs w:val="21"/>
              </w:rPr>
            </w:pPr>
            <w:r>
              <w:rPr>
                <w:sz w:val="21"/>
                <w:szCs w:val="21"/>
              </w:rPr>
              <w:t>40</w:t>
            </w:r>
          </w:p>
        </w:tc>
        <w:tc>
          <w:tcPr>
            <w:tcW w:w="907" w:type="dxa"/>
            <w:vAlign w:val="center"/>
          </w:tcPr>
          <w:p>
            <w:pPr>
              <w:spacing w:line="240" w:lineRule="auto"/>
              <w:ind w:left="-120" w:firstLine="0" w:firstLineChars="0"/>
              <w:jc w:val="center"/>
              <w:rPr>
                <w:sz w:val="21"/>
                <w:szCs w:val="21"/>
              </w:rPr>
            </w:pPr>
            <w:r>
              <w:rPr>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14</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顺-1，2-二氯乙烯</w:t>
            </w:r>
          </w:p>
        </w:tc>
        <w:tc>
          <w:tcPr>
            <w:tcW w:w="1134" w:type="dxa"/>
            <w:vAlign w:val="center"/>
          </w:tcPr>
          <w:p>
            <w:pPr>
              <w:spacing w:line="240" w:lineRule="auto"/>
              <w:ind w:left="-120" w:firstLine="0" w:firstLineChars="0"/>
              <w:jc w:val="center"/>
              <w:rPr>
                <w:sz w:val="21"/>
                <w:szCs w:val="21"/>
              </w:rPr>
            </w:pPr>
            <w:r>
              <w:rPr>
                <w:sz w:val="21"/>
                <w:szCs w:val="21"/>
              </w:rPr>
              <w:t>156-59-2</w:t>
            </w:r>
          </w:p>
        </w:tc>
        <w:tc>
          <w:tcPr>
            <w:tcW w:w="1276" w:type="dxa"/>
            <w:gridSpan w:val="2"/>
            <w:vAlign w:val="center"/>
          </w:tcPr>
          <w:p>
            <w:pPr>
              <w:spacing w:line="240" w:lineRule="auto"/>
              <w:ind w:left="-120" w:firstLine="0" w:firstLineChars="0"/>
              <w:jc w:val="center"/>
              <w:rPr>
                <w:sz w:val="21"/>
                <w:szCs w:val="21"/>
              </w:rPr>
            </w:pPr>
            <w:r>
              <w:rPr>
                <w:sz w:val="21"/>
                <w:szCs w:val="21"/>
              </w:rPr>
              <w:t>66</w:t>
            </w:r>
          </w:p>
        </w:tc>
        <w:tc>
          <w:tcPr>
            <w:tcW w:w="992" w:type="dxa"/>
            <w:vAlign w:val="center"/>
          </w:tcPr>
          <w:p>
            <w:pPr>
              <w:spacing w:line="240" w:lineRule="auto"/>
              <w:ind w:left="-120" w:firstLine="0" w:firstLineChars="0"/>
              <w:jc w:val="center"/>
              <w:rPr>
                <w:sz w:val="21"/>
                <w:szCs w:val="21"/>
              </w:rPr>
            </w:pPr>
            <w:r>
              <w:rPr>
                <w:sz w:val="21"/>
                <w:szCs w:val="21"/>
              </w:rPr>
              <w:t>596</w:t>
            </w:r>
          </w:p>
        </w:tc>
        <w:tc>
          <w:tcPr>
            <w:tcW w:w="1134" w:type="dxa"/>
            <w:vAlign w:val="center"/>
          </w:tcPr>
          <w:p>
            <w:pPr>
              <w:spacing w:line="240" w:lineRule="auto"/>
              <w:ind w:left="-120" w:firstLine="0" w:firstLineChars="0"/>
              <w:jc w:val="center"/>
              <w:rPr>
                <w:sz w:val="21"/>
                <w:szCs w:val="21"/>
              </w:rPr>
            </w:pPr>
            <w:r>
              <w:rPr>
                <w:sz w:val="21"/>
                <w:szCs w:val="21"/>
              </w:rPr>
              <w:t>200</w:t>
            </w:r>
          </w:p>
        </w:tc>
        <w:tc>
          <w:tcPr>
            <w:tcW w:w="907" w:type="dxa"/>
            <w:vAlign w:val="center"/>
          </w:tcPr>
          <w:p>
            <w:pPr>
              <w:spacing w:line="240" w:lineRule="auto"/>
              <w:ind w:left="-120" w:firstLine="0" w:firstLineChars="0"/>
              <w:jc w:val="center"/>
              <w:rPr>
                <w:sz w:val="21"/>
                <w:szCs w:val="21"/>
              </w:rPr>
            </w:pPr>
            <w:r>
              <w:rPr>
                <w:sz w:val="21"/>
                <w:szCs w:val="21"/>
              </w:rPr>
              <w:t>2000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15</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反-1，2-二氯乙烯</w:t>
            </w:r>
          </w:p>
        </w:tc>
        <w:tc>
          <w:tcPr>
            <w:tcW w:w="1134" w:type="dxa"/>
            <w:vAlign w:val="center"/>
          </w:tcPr>
          <w:p>
            <w:pPr>
              <w:spacing w:line="240" w:lineRule="auto"/>
              <w:ind w:left="-120" w:firstLine="0" w:firstLineChars="0"/>
              <w:jc w:val="center"/>
              <w:rPr>
                <w:sz w:val="21"/>
                <w:szCs w:val="21"/>
              </w:rPr>
            </w:pPr>
            <w:r>
              <w:rPr>
                <w:sz w:val="21"/>
                <w:szCs w:val="21"/>
              </w:rPr>
              <w:t>156-60-5</w:t>
            </w:r>
          </w:p>
        </w:tc>
        <w:tc>
          <w:tcPr>
            <w:tcW w:w="1276" w:type="dxa"/>
            <w:gridSpan w:val="2"/>
            <w:vAlign w:val="center"/>
          </w:tcPr>
          <w:p>
            <w:pPr>
              <w:spacing w:line="240" w:lineRule="auto"/>
              <w:ind w:left="-120" w:firstLine="0" w:firstLineChars="0"/>
              <w:jc w:val="center"/>
              <w:rPr>
                <w:sz w:val="21"/>
                <w:szCs w:val="21"/>
              </w:rPr>
            </w:pPr>
            <w:r>
              <w:rPr>
                <w:sz w:val="21"/>
                <w:szCs w:val="21"/>
              </w:rPr>
              <w:t>10</w:t>
            </w:r>
          </w:p>
        </w:tc>
        <w:tc>
          <w:tcPr>
            <w:tcW w:w="992" w:type="dxa"/>
            <w:vAlign w:val="center"/>
          </w:tcPr>
          <w:p>
            <w:pPr>
              <w:spacing w:line="240" w:lineRule="auto"/>
              <w:ind w:left="-120" w:firstLine="0" w:firstLineChars="0"/>
              <w:jc w:val="center"/>
              <w:rPr>
                <w:sz w:val="21"/>
                <w:szCs w:val="21"/>
              </w:rPr>
            </w:pPr>
            <w:r>
              <w:rPr>
                <w:sz w:val="21"/>
                <w:szCs w:val="21"/>
              </w:rPr>
              <w:t>54</w:t>
            </w:r>
          </w:p>
        </w:tc>
        <w:tc>
          <w:tcPr>
            <w:tcW w:w="1134" w:type="dxa"/>
            <w:vAlign w:val="center"/>
          </w:tcPr>
          <w:p>
            <w:pPr>
              <w:spacing w:line="240" w:lineRule="auto"/>
              <w:ind w:left="-120" w:firstLine="0" w:firstLineChars="0"/>
              <w:jc w:val="center"/>
              <w:rPr>
                <w:sz w:val="21"/>
                <w:szCs w:val="21"/>
              </w:rPr>
            </w:pPr>
            <w:r>
              <w:rPr>
                <w:sz w:val="21"/>
                <w:szCs w:val="21"/>
              </w:rPr>
              <w:t>31</w:t>
            </w:r>
          </w:p>
        </w:tc>
        <w:tc>
          <w:tcPr>
            <w:tcW w:w="907" w:type="dxa"/>
            <w:vAlign w:val="center"/>
          </w:tcPr>
          <w:p>
            <w:pPr>
              <w:spacing w:line="240" w:lineRule="auto"/>
              <w:ind w:left="-120" w:firstLine="0" w:firstLineChars="0"/>
              <w:jc w:val="center"/>
              <w:rPr>
                <w:sz w:val="21"/>
                <w:szCs w:val="21"/>
              </w:rPr>
            </w:pPr>
            <w:r>
              <w:rPr>
                <w:sz w:val="21"/>
                <w:szCs w:val="21"/>
              </w:rPr>
              <w:t>163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16</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二氯甲烷</w:t>
            </w:r>
          </w:p>
        </w:tc>
        <w:tc>
          <w:tcPr>
            <w:tcW w:w="1134" w:type="dxa"/>
            <w:vAlign w:val="center"/>
          </w:tcPr>
          <w:p>
            <w:pPr>
              <w:spacing w:line="240" w:lineRule="auto"/>
              <w:ind w:left="-120" w:firstLine="0" w:firstLineChars="0"/>
              <w:jc w:val="center"/>
              <w:rPr>
                <w:sz w:val="21"/>
                <w:szCs w:val="21"/>
              </w:rPr>
            </w:pPr>
            <w:r>
              <w:rPr>
                <w:sz w:val="21"/>
                <w:szCs w:val="21"/>
              </w:rPr>
              <w:t>75-09-2</w:t>
            </w:r>
          </w:p>
        </w:tc>
        <w:tc>
          <w:tcPr>
            <w:tcW w:w="1276" w:type="dxa"/>
            <w:gridSpan w:val="2"/>
            <w:vAlign w:val="center"/>
          </w:tcPr>
          <w:p>
            <w:pPr>
              <w:spacing w:line="240" w:lineRule="auto"/>
              <w:ind w:left="-120" w:firstLine="0" w:firstLineChars="0"/>
              <w:jc w:val="center"/>
              <w:rPr>
                <w:sz w:val="21"/>
                <w:szCs w:val="21"/>
              </w:rPr>
            </w:pPr>
            <w:r>
              <w:rPr>
                <w:sz w:val="21"/>
                <w:szCs w:val="21"/>
              </w:rPr>
              <w:t>94</w:t>
            </w:r>
          </w:p>
        </w:tc>
        <w:tc>
          <w:tcPr>
            <w:tcW w:w="992" w:type="dxa"/>
            <w:vAlign w:val="center"/>
          </w:tcPr>
          <w:p>
            <w:pPr>
              <w:spacing w:line="240" w:lineRule="auto"/>
              <w:ind w:left="-120" w:firstLine="0" w:firstLineChars="0"/>
              <w:jc w:val="center"/>
              <w:rPr>
                <w:sz w:val="21"/>
                <w:szCs w:val="21"/>
              </w:rPr>
            </w:pPr>
            <w:r>
              <w:rPr>
                <w:sz w:val="21"/>
                <w:szCs w:val="21"/>
              </w:rPr>
              <w:t>616</w:t>
            </w:r>
          </w:p>
        </w:tc>
        <w:tc>
          <w:tcPr>
            <w:tcW w:w="1134" w:type="dxa"/>
            <w:vAlign w:val="center"/>
          </w:tcPr>
          <w:p>
            <w:pPr>
              <w:spacing w:line="240" w:lineRule="auto"/>
              <w:ind w:left="-120" w:firstLine="0" w:firstLineChars="0"/>
              <w:jc w:val="center"/>
              <w:rPr>
                <w:sz w:val="21"/>
                <w:szCs w:val="21"/>
              </w:rPr>
            </w:pPr>
            <w:r>
              <w:rPr>
                <w:sz w:val="21"/>
                <w:szCs w:val="21"/>
              </w:rPr>
              <w:t>300</w:t>
            </w:r>
          </w:p>
        </w:tc>
        <w:tc>
          <w:tcPr>
            <w:tcW w:w="907" w:type="dxa"/>
            <w:vAlign w:val="center"/>
          </w:tcPr>
          <w:p>
            <w:pPr>
              <w:spacing w:line="240" w:lineRule="auto"/>
              <w:ind w:left="-120" w:firstLine="0" w:firstLineChars="0"/>
              <w:jc w:val="center"/>
              <w:rPr>
                <w:sz w:val="21"/>
                <w:szCs w:val="21"/>
              </w:rPr>
            </w:pPr>
            <w:r>
              <w:rPr>
                <w:sz w:val="21"/>
                <w:szCs w:val="21"/>
              </w:rPr>
              <w:t>2000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17</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1，2-二氯丙烷</w:t>
            </w:r>
          </w:p>
        </w:tc>
        <w:tc>
          <w:tcPr>
            <w:tcW w:w="1134" w:type="dxa"/>
            <w:vAlign w:val="center"/>
          </w:tcPr>
          <w:p>
            <w:pPr>
              <w:spacing w:line="240" w:lineRule="auto"/>
              <w:ind w:left="-120" w:firstLine="0" w:firstLineChars="0"/>
              <w:jc w:val="center"/>
              <w:rPr>
                <w:sz w:val="21"/>
                <w:szCs w:val="21"/>
              </w:rPr>
            </w:pPr>
            <w:r>
              <w:rPr>
                <w:sz w:val="21"/>
                <w:szCs w:val="21"/>
              </w:rPr>
              <w:t>78-87-5</w:t>
            </w:r>
          </w:p>
        </w:tc>
        <w:tc>
          <w:tcPr>
            <w:tcW w:w="1276" w:type="dxa"/>
            <w:gridSpan w:val="2"/>
            <w:vAlign w:val="center"/>
          </w:tcPr>
          <w:p>
            <w:pPr>
              <w:spacing w:line="240" w:lineRule="auto"/>
              <w:ind w:left="-120" w:firstLine="0" w:firstLineChars="0"/>
              <w:jc w:val="center"/>
              <w:rPr>
                <w:sz w:val="21"/>
                <w:szCs w:val="21"/>
              </w:rPr>
            </w:pPr>
            <w:r>
              <w:rPr>
                <w:sz w:val="21"/>
                <w:szCs w:val="21"/>
              </w:rPr>
              <w:t>1</w:t>
            </w:r>
          </w:p>
        </w:tc>
        <w:tc>
          <w:tcPr>
            <w:tcW w:w="992" w:type="dxa"/>
            <w:vAlign w:val="center"/>
          </w:tcPr>
          <w:p>
            <w:pPr>
              <w:spacing w:line="240" w:lineRule="auto"/>
              <w:ind w:left="-120" w:firstLine="0" w:firstLineChars="0"/>
              <w:jc w:val="center"/>
              <w:rPr>
                <w:sz w:val="21"/>
                <w:szCs w:val="21"/>
              </w:rPr>
            </w:pPr>
            <w:r>
              <w:rPr>
                <w:sz w:val="21"/>
                <w:szCs w:val="21"/>
              </w:rPr>
              <w:t>5</w:t>
            </w:r>
          </w:p>
        </w:tc>
        <w:tc>
          <w:tcPr>
            <w:tcW w:w="1134" w:type="dxa"/>
            <w:vAlign w:val="center"/>
          </w:tcPr>
          <w:p>
            <w:pPr>
              <w:spacing w:line="240" w:lineRule="auto"/>
              <w:ind w:left="-120" w:firstLine="0" w:firstLineChars="0"/>
              <w:jc w:val="center"/>
              <w:rPr>
                <w:sz w:val="21"/>
                <w:szCs w:val="21"/>
              </w:rPr>
            </w:pPr>
            <w:r>
              <w:rPr>
                <w:sz w:val="21"/>
                <w:szCs w:val="21"/>
              </w:rPr>
              <w:t>5</w:t>
            </w:r>
          </w:p>
        </w:tc>
        <w:tc>
          <w:tcPr>
            <w:tcW w:w="907" w:type="dxa"/>
            <w:vAlign w:val="center"/>
          </w:tcPr>
          <w:p>
            <w:pPr>
              <w:spacing w:line="240" w:lineRule="auto"/>
              <w:ind w:left="-120" w:firstLine="0" w:firstLineChars="0"/>
              <w:jc w:val="center"/>
              <w:rPr>
                <w:sz w:val="21"/>
                <w:szCs w:val="21"/>
              </w:rPr>
            </w:pPr>
            <w:r>
              <w:rPr>
                <w:sz w:val="21"/>
                <w:szCs w:val="21"/>
              </w:rPr>
              <w:t>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18</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1，1，1，2-四氯乙烷</w:t>
            </w:r>
          </w:p>
        </w:tc>
        <w:tc>
          <w:tcPr>
            <w:tcW w:w="1134" w:type="dxa"/>
            <w:vAlign w:val="center"/>
          </w:tcPr>
          <w:p>
            <w:pPr>
              <w:spacing w:line="240" w:lineRule="auto"/>
              <w:ind w:left="-120" w:firstLine="0" w:firstLineChars="0"/>
              <w:jc w:val="center"/>
              <w:rPr>
                <w:sz w:val="21"/>
                <w:szCs w:val="21"/>
              </w:rPr>
            </w:pPr>
            <w:r>
              <w:rPr>
                <w:sz w:val="21"/>
                <w:szCs w:val="21"/>
              </w:rPr>
              <w:t>630-20-6</w:t>
            </w:r>
          </w:p>
        </w:tc>
        <w:tc>
          <w:tcPr>
            <w:tcW w:w="1276" w:type="dxa"/>
            <w:gridSpan w:val="2"/>
            <w:vAlign w:val="center"/>
          </w:tcPr>
          <w:p>
            <w:pPr>
              <w:spacing w:line="240" w:lineRule="auto"/>
              <w:ind w:left="-120" w:firstLine="0" w:firstLineChars="0"/>
              <w:jc w:val="center"/>
              <w:rPr>
                <w:sz w:val="21"/>
                <w:szCs w:val="21"/>
              </w:rPr>
            </w:pPr>
            <w:r>
              <w:rPr>
                <w:sz w:val="21"/>
                <w:szCs w:val="21"/>
              </w:rPr>
              <w:t>2.6</w:t>
            </w:r>
          </w:p>
        </w:tc>
        <w:tc>
          <w:tcPr>
            <w:tcW w:w="992" w:type="dxa"/>
            <w:vAlign w:val="center"/>
          </w:tcPr>
          <w:p>
            <w:pPr>
              <w:spacing w:line="240" w:lineRule="auto"/>
              <w:ind w:left="-120" w:firstLine="0" w:firstLineChars="0"/>
              <w:jc w:val="center"/>
              <w:rPr>
                <w:sz w:val="21"/>
                <w:szCs w:val="21"/>
              </w:rPr>
            </w:pPr>
            <w:r>
              <w:rPr>
                <w:sz w:val="21"/>
                <w:szCs w:val="21"/>
              </w:rPr>
              <w:t>10</w:t>
            </w:r>
          </w:p>
        </w:tc>
        <w:tc>
          <w:tcPr>
            <w:tcW w:w="1134" w:type="dxa"/>
            <w:vAlign w:val="center"/>
          </w:tcPr>
          <w:p>
            <w:pPr>
              <w:spacing w:line="240" w:lineRule="auto"/>
              <w:ind w:left="-120" w:firstLine="0" w:firstLineChars="0"/>
              <w:jc w:val="center"/>
              <w:rPr>
                <w:sz w:val="21"/>
                <w:szCs w:val="21"/>
              </w:rPr>
            </w:pPr>
            <w:r>
              <w:rPr>
                <w:sz w:val="21"/>
                <w:szCs w:val="21"/>
              </w:rPr>
              <w:t>26</w:t>
            </w:r>
          </w:p>
        </w:tc>
        <w:tc>
          <w:tcPr>
            <w:tcW w:w="907" w:type="dxa"/>
            <w:vAlign w:val="center"/>
          </w:tcPr>
          <w:p>
            <w:pPr>
              <w:spacing w:line="240" w:lineRule="auto"/>
              <w:ind w:left="-120" w:firstLine="0" w:firstLineChars="0"/>
              <w:jc w:val="center"/>
              <w:rPr>
                <w:sz w:val="21"/>
                <w:szCs w:val="21"/>
              </w:rPr>
            </w:pPr>
            <w:r>
              <w:rPr>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19</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1，1，2，2-四氯乙烯</w:t>
            </w:r>
          </w:p>
        </w:tc>
        <w:tc>
          <w:tcPr>
            <w:tcW w:w="1134" w:type="dxa"/>
            <w:vAlign w:val="center"/>
          </w:tcPr>
          <w:p>
            <w:pPr>
              <w:spacing w:line="240" w:lineRule="auto"/>
              <w:ind w:left="-120" w:firstLine="0" w:firstLineChars="0"/>
              <w:jc w:val="center"/>
              <w:rPr>
                <w:sz w:val="21"/>
                <w:szCs w:val="21"/>
              </w:rPr>
            </w:pPr>
            <w:r>
              <w:rPr>
                <w:sz w:val="21"/>
                <w:szCs w:val="21"/>
              </w:rPr>
              <w:t>79-34-5</w:t>
            </w:r>
          </w:p>
        </w:tc>
        <w:tc>
          <w:tcPr>
            <w:tcW w:w="1276" w:type="dxa"/>
            <w:gridSpan w:val="2"/>
            <w:vAlign w:val="center"/>
          </w:tcPr>
          <w:p>
            <w:pPr>
              <w:spacing w:line="240" w:lineRule="auto"/>
              <w:ind w:left="-120" w:firstLine="0" w:firstLineChars="0"/>
              <w:jc w:val="center"/>
              <w:rPr>
                <w:sz w:val="21"/>
                <w:szCs w:val="21"/>
              </w:rPr>
            </w:pPr>
            <w:r>
              <w:rPr>
                <w:sz w:val="21"/>
                <w:szCs w:val="21"/>
              </w:rPr>
              <w:t>1.6</w:t>
            </w:r>
          </w:p>
        </w:tc>
        <w:tc>
          <w:tcPr>
            <w:tcW w:w="992" w:type="dxa"/>
            <w:vAlign w:val="center"/>
          </w:tcPr>
          <w:p>
            <w:pPr>
              <w:spacing w:line="240" w:lineRule="auto"/>
              <w:ind w:left="-120" w:firstLine="0" w:firstLineChars="0"/>
              <w:jc w:val="center"/>
              <w:rPr>
                <w:sz w:val="21"/>
                <w:szCs w:val="21"/>
              </w:rPr>
            </w:pPr>
            <w:r>
              <w:rPr>
                <w:sz w:val="21"/>
                <w:szCs w:val="21"/>
              </w:rPr>
              <w:t>6.8</w:t>
            </w:r>
          </w:p>
        </w:tc>
        <w:tc>
          <w:tcPr>
            <w:tcW w:w="1134" w:type="dxa"/>
            <w:vAlign w:val="center"/>
          </w:tcPr>
          <w:p>
            <w:pPr>
              <w:spacing w:line="240" w:lineRule="auto"/>
              <w:ind w:left="-120" w:firstLine="0" w:firstLineChars="0"/>
              <w:jc w:val="center"/>
              <w:rPr>
                <w:sz w:val="21"/>
                <w:szCs w:val="21"/>
              </w:rPr>
            </w:pPr>
            <w:r>
              <w:rPr>
                <w:sz w:val="21"/>
                <w:szCs w:val="21"/>
              </w:rPr>
              <w:t>14</w:t>
            </w:r>
          </w:p>
        </w:tc>
        <w:tc>
          <w:tcPr>
            <w:tcW w:w="907" w:type="dxa"/>
            <w:vAlign w:val="center"/>
          </w:tcPr>
          <w:p>
            <w:pPr>
              <w:spacing w:line="240" w:lineRule="auto"/>
              <w:ind w:left="-120" w:firstLine="0" w:firstLineChars="0"/>
              <w:jc w:val="center"/>
              <w:rPr>
                <w:sz w:val="21"/>
                <w:szCs w:val="21"/>
              </w:rPr>
            </w:pPr>
            <w:r>
              <w:rPr>
                <w:sz w:val="21"/>
                <w:szCs w:val="21"/>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20</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四氯乙烷</w:t>
            </w:r>
          </w:p>
        </w:tc>
        <w:tc>
          <w:tcPr>
            <w:tcW w:w="1134" w:type="dxa"/>
            <w:vAlign w:val="center"/>
          </w:tcPr>
          <w:p>
            <w:pPr>
              <w:spacing w:line="240" w:lineRule="auto"/>
              <w:ind w:left="-120" w:firstLine="0" w:firstLineChars="0"/>
              <w:jc w:val="center"/>
              <w:rPr>
                <w:sz w:val="21"/>
                <w:szCs w:val="21"/>
              </w:rPr>
            </w:pPr>
            <w:r>
              <w:rPr>
                <w:sz w:val="21"/>
                <w:szCs w:val="21"/>
              </w:rPr>
              <w:t>127-18-4</w:t>
            </w:r>
          </w:p>
        </w:tc>
        <w:tc>
          <w:tcPr>
            <w:tcW w:w="1276" w:type="dxa"/>
            <w:gridSpan w:val="2"/>
            <w:vAlign w:val="center"/>
          </w:tcPr>
          <w:p>
            <w:pPr>
              <w:spacing w:line="240" w:lineRule="auto"/>
              <w:ind w:left="-120" w:firstLine="0" w:firstLineChars="0"/>
              <w:jc w:val="center"/>
              <w:rPr>
                <w:sz w:val="21"/>
                <w:szCs w:val="21"/>
              </w:rPr>
            </w:pPr>
            <w:r>
              <w:rPr>
                <w:sz w:val="21"/>
                <w:szCs w:val="21"/>
              </w:rPr>
              <w:t>11</w:t>
            </w:r>
          </w:p>
        </w:tc>
        <w:tc>
          <w:tcPr>
            <w:tcW w:w="992" w:type="dxa"/>
            <w:vAlign w:val="center"/>
          </w:tcPr>
          <w:p>
            <w:pPr>
              <w:spacing w:line="240" w:lineRule="auto"/>
              <w:ind w:left="-120" w:firstLine="0" w:firstLineChars="0"/>
              <w:jc w:val="center"/>
              <w:rPr>
                <w:sz w:val="21"/>
                <w:szCs w:val="21"/>
              </w:rPr>
            </w:pPr>
            <w:r>
              <w:rPr>
                <w:sz w:val="21"/>
                <w:szCs w:val="21"/>
              </w:rPr>
              <w:t>53</w:t>
            </w:r>
          </w:p>
        </w:tc>
        <w:tc>
          <w:tcPr>
            <w:tcW w:w="1134" w:type="dxa"/>
            <w:vAlign w:val="center"/>
          </w:tcPr>
          <w:p>
            <w:pPr>
              <w:spacing w:line="240" w:lineRule="auto"/>
              <w:ind w:left="-120" w:firstLine="0" w:firstLineChars="0"/>
              <w:jc w:val="center"/>
              <w:rPr>
                <w:sz w:val="21"/>
                <w:szCs w:val="21"/>
              </w:rPr>
            </w:pPr>
            <w:r>
              <w:rPr>
                <w:sz w:val="21"/>
                <w:szCs w:val="21"/>
              </w:rPr>
              <w:t>34</w:t>
            </w:r>
          </w:p>
        </w:tc>
        <w:tc>
          <w:tcPr>
            <w:tcW w:w="907" w:type="dxa"/>
            <w:vAlign w:val="center"/>
          </w:tcPr>
          <w:p>
            <w:pPr>
              <w:spacing w:line="240" w:lineRule="auto"/>
              <w:ind w:left="-120" w:firstLine="0" w:firstLineChars="0"/>
              <w:jc w:val="center"/>
              <w:rPr>
                <w:sz w:val="21"/>
                <w:szCs w:val="21"/>
              </w:rPr>
            </w:pPr>
            <w:r>
              <w:rPr>
                <w:sz w:val="21"/>
                <w:szCs w:val="21"/>
              </w:rPr>
              <w:t>183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21</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1，1，1-三氯乙烷</w:t>
            </w:r>
          </w:p>
        </w:tc>
        <w:tc>
          <w:tcPr>
            <w:tcW w:w="1134" w:type="dxa"/>
            <w:vAlign w:val="center"/>
          </w:tcPr>
          <w:p>
            <w:pPr>
              <w:spacing w:line="240" w:lineRule="auto"/>
              <w:ind w:left="-120" w:firstLine="0" w:firstLineChars="0"/>
              <w:jc w:val="center"/>
              <w:rPr>
                <w:sz w:val="21"/>
                <w:szCs w:val="21"/>
              </w:rPr>
            </w:pPr>
            <w:r>
              <w:rPr>
                <w:sz w:val="21"/>
                <w:szCs w:val="21"/>
              </w:rPr>
              <w:t>71-55-6</w:t>
            </w:r>
          </w:p>
        </w:tc>
        <w:tc>
          <w:tcPr>
            <w:tcW w:w="1276" w:type="dxa"/>
            <w:gridSpan w:val="2"/>
            <w:vAlign w:val="center"/>
          </w:tcPr>
          <w:p>
            <w:pPr>
              <w:spacing w:line="240" w:lineRule="auto"/>
              <w:ind w:left="-120" w:firstLine="0" w:firstLineChars="0"/>
              <w:jc w:val="center"/>
              <w:rPr>
                <w:sz w:val="21"/>
                <w:szCs w:val="21"/>
              </w:rPr>
            </w:pPr>
            <w:r>
              <w:rPr>
                <w:sz w:val="21"/>
                <w:szCs w:val="21"/>
              </w:rPr>
              <w:t>701</w:t>
            </w:r>
          </w:p>
        </w:tc>
        <w:tc>
          <w:tcPr>
            <w:tcW w:w="992" w:type="dxa"/>
            <w:vAlign w:val="center"/>
          </w:tcPr>
          <w:p>
            <w:pPr>
              <w:spacing w:line="240" w:lineRule="auto"/>
              <w:ind w:left="-120" w:firstLine="0" w:firstLineChars="0"/>
              <w:jc w:val="center"/>
              <w:rPr>
                <w:sz w:val="21"/>
                <w:szCs w:val="21"/>
              </w:rPr>
            </w:pPr>
            <w:r>
              <w:rPr>
                <w:sz w:val="21"/>
                <w:szCs w:val="21"/>
              </w:rPr>
              <w:t>840</w:t>
            </w:r>
          </w:p>
        </w:tc>
        <w:tc>
          <w:tcPr>
            <w:tcW w:w="1134" w:type="dxa"/>
            <w:vAlign w:val="center"/>
          </w:tcPr>
          <w:p>
            <w:pPr>
              <w:spacing w:line="240" w:lineRule="auto"/>
              <w:ind w:left="-120" w:firstLine="0" w:firstLineChars="0"/>
              <w:jc w:val="center"/>
              <w:rPr>
                <w:sz w:val="21"/>
                <w:szCs w:val="21"/>
              </w:rPr>
            </w:pPr>
            <w:r>
              <w:rPr>
                <w:sz w:val="21"/>
                <w:szCs w:val="21"/>
              </w:rPr>
              <w:t>840</w:t>
            </w:r>
          </w:p>
        </w:tc>
        <w:tc>
          <w:tcPr>
            <w:tcW w:w="907" w:type="dxa"/>
            <w:vAlign w:val="center"/>
          </w:tcPr>
          <w:p>
            <w:pPr>
              <w:spacing w:line="240" w:lineRule="auto"/>
              <w:ind w:left="-120" w:firstLine="0" w:firstLineChars="0"/>
              <w:jc w:val="center"/>
              <w:rPr>
                <w:sz w:val="21"/>
                <w:szCs w:val="21"/>
              </w:rPr>
            </w:pPr>
            <w:r>
              <w:rPr>
                <w:sz w:val="21"/>
                <w:szCs w:val="21"/>
              </w:rPr>
              <w:t>840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22</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1，1，2-三氯乙烷</w:t>
            </w:r>
          </w:p>
        </w:tc>
        <w:tc>
          <w:tcPr>
            <w:tcW w:w="1134" w:type="dxa"/>
            <w:vAlign w:val="center"/>
          </w:tcPr>
          <w:p>
            <w:pPr>
              <w:spacing w:line="240" w:lineRule="auto"/>
              <w:ind w:left="-120" w:firstLine="0" w:firstLineChars="0"/>
              <w:jc w:val="center"/>
              <w:rPr>
                <w:sz w:val="21"/>
                <w:szCs w:val="21"/>
              </w:rPr>
            </w:pPr>
            <w:r>
              <w:rPr>
                <w:sz w:val="21"/>
                <w:szCs w:val="21"/>
              </w:rPr>
              <w:t>79-00-5</w:t>
            </w:r>
          </w:p>
        </w:tc>
        <w:tc>
          <w:tcPr>
            <w:tcW w:w="1276" w:type="dxa"/>
            <w:gridSpan w:val="2"/>
            <w:vAlign w:val="center"/>
          </w:tcPr>
          <w:p>
            <w:pPr>
              <w:spacing w:line="240" w:lineRule="auto"/>
              <w:ind w:left="-120" w:firstLine="0" w:firstLineChars="0"/>
              <w:jc w:val="center"/>
              <w:rPr>
                <w:sz w:val="21"/>
                <w:szCs w:val="21"/>
              </w:rPr>
            </w:pPr>
            <w:r>
              <w:rPr>
                <w:sz w:val="21"/>
                <w:szCs w:val="21"/>
              </w:rPr>
              <w:t>0.6</w:t>
            </w:r>
          </w:p>
        </w:tc>
        <w:tc>
          <w:tcPr>
            <w:tcW w:w="992" w:type="dxa"/>
            <w:vAlign w:val="center"/>
          </w:tcPr>
          <w:p>
            <w:pPr>
              <w:spacing w:line="240" w:lineRule="auto"/>
              <w:ind w:left="-120" w:firstLine="0" w:firstLineChars="0"/>
              <w:jc w:val="center"/>
              <w:rPr>
                <w:sz w:val="21"/>
                <w:szCs w:val="21"/>
              </w:rPr>
            </w:pPr>
            <w:r>
              <w:rPr>
                <w:sz w:val="21"/>
                <w:szCs w:val="21"/>
              </w:rPr>
              <w:t>2.8</w:t>
            </w:r>
          </w:p>
        </w:tc>
        <w:tc>
          <w:tcPr>
            <w:tcW w:w="1134" w:type="dxa"/>
            <w:vAlign w:val="center"/>
          </w:tcPr>
          <w:p>
            <w:pPr>
              <w:spacing w:line="240" w:lineRule="auto"/>
              <w:ind w:left="-120" w:firstLine="0" w:firstLineChars="0"/>
              <w:jc w:val="center"/>
              <w:rPr>
                <w:sz w:val="21"/>
                <w:szCs w:val="21"/>
              </w:rPr>
            </w:pPr>
            <w:r>
              <w:rPr>
                <w:sz w:val="21"/>
                <w:szCs w:val="21"/>
              </w:rPr>
              <w:t>5</w:t>
            </w:r>
          </w:p>
        </w:tc>
        <w:tc>
          <w:tcPr>
            <w:tcW w:w="907" w:type="dxa"/>
            <w:vAlign w:val="center"/>
          </w:tcPr>
          <w:p>
            <w:pPr>
              <w:spacing w:line="240" w:lineRule="auto"/>
              <w:ind w:left="-120" w:firstLine="0" w:firstLineChars="0"/>
              <w:jc w:val="center"/>
              <w:rPr>
                <w:sz w:val="21"/>
                <w:szCs w:val="21"/>
              </w:rPr>
            </w:pPr>
            <w:r>
              <w:rPr>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23</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三氯乙烯</w:t>
            </w:r>
          </w:p>
        </w:tc>
        <w:tc>
          <w:tcPr>
            <w:tcW w:w="1134" w:type="dxa"/>
            <w:vAlign w:val="center"/>
          </w:tcPr>
          <w:p>
            <w:pPr>
              <w:spacing w:line="240" w:lineRule="auto"/>
              <w:ind w:left="-120" w:firstLine="0" w:firstLineChars="0"/>
              <w:jc w:val="center"/>
              <w:rPr>
                <w:sz w:val="21"/>
                <w:szCs w:val="21"/>
              </w:rPr>
            </w:pPr>
            <w:r>
              <w:rPr>
                <w:sz w:val="21"/>
                <w:szCs w:val="21"/>
              </w:rPr>
              <w:t>79-01-6</w:t>
            </w:r>
          </w:p>
        </w:tc>
        <w:tc>
          <w:tcPr>
            <w:tcW w:w="1276" w:type="dxa"/>
            <w:gridSpan w:val="2"/>
            <w:vAlign w:val="center"/>
          </w:tcPr>
          <w:p>
            <w:pPr>
              <w:spacing w:line="240" w:lineRule="auto"/>
              <w:ind w:left="-120" w:firstLine="0" w:firstLineChars="0"/>
              <w:jc w:val="center"/>
              <w:rPr>
                <w:sz w:val="21"/>
                <w:szCs w:val="21"/>
              </w:rPr>
            </w:pPr>
            <w:r>
              <w:rPr>
                <w:sz w:val="21"/>
                <w:szCs w:val="21"/>
              </w:rPr>
              <w:t>0.7</w:t>
            </w:r>
          </w:p>
        </w:tc>
        <w:tc>
          <w:tcPr>
            <w:tcW w:w="992" w:type="dxa"/>
            <w:vAlign w:val="center"/>
          </w:tcPr>
          <w:p>
            <w:pPr>
              <w:spacing w:line="240" w:lineRule="auto"/>
              <w:ind w:left="-120" w:firstLine="0" w:firstLineChars="0"/>
              <w:jc w:val="center"/>
              <w:rPr>
                <w:sz w:val="21"/>
                <w:szCs w:val="21"/>
              </w:rPr>
            </w:pPr>
            <w:r>
              <w:rPr>
                <w:sz w:val="21"/>
                <w:szCs w:val="21"/>
              </w:rPr>
              <w:t>2.8</w:t>
            </w:r>
          </w:p>
        </w:tc>
        <w:tc>
          <w:tcPr>
            <w:tcW w:w="1134" w:type="dxa"/>
            <w:vAlign w:val="center"/>
          </w:tcPr>
          <w:p>
            <w:pPr>
              <w:spacing w:line="240" w:lineRule="auto"/>
              <w:ind w:left="-120" w:firstLine="0" w:firstLineChars="0"/>
              <w:jc w:val="center"/>
              <w:rPr>
                <w:sz w:val="21"/>
                <w:szCs w:val="21"/>
              </w:rPr>
            </w:pPr>
            <w:r>
              <w:rPr>
                <w:sz w:val="21"/>
                <w:szCs w:val="21"/>
              </w:rPr>
              <w:t>7</w:t>
            </w:r>
          </w:p>
        </w:tc>
        <w:tc>
          <w:tcPr>
            <w:tcW w:w="907" w:type="dxa"/>
            <w:vAlign w:val="center"/>
          </w:tcPr>
          <w:p>
            <w:pPr>
              <w:spacing w:line="240" w:lineRule="auto"/>
              <w:ind w:left="-120" w:firstLine="0" w:firstLineChars="0"/>
              <w:jc w:val="center"/>
              <w:rPr>
                <w:sz w:val="21"/>
                <w:szCs w:val="21"/>
              </w:rPr>
            </w:pPr>
            <w:r>
              <w:rPr>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24</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1，2，3-三氯丙烷</w:t>
            </w:r>
          </w:p>
        </w:tc>
        <w:tc>
          <w:tcPr>
            <w:tcW w:w="1134" w:type="dxa"/>
            <w:vAlign w:val="center"/>
          </w:tcPr>
          <w:p>
            <w:pPr>
              <w:spacing w:line="240" w:lineRule="auto"/>
              <w:ind w:left="-120" w:firstLine="0" w:firstLineChars="0"/>
              <w:jc w:val="center"/>
              <w:rPr>
                <w:sz w:val="21"/>
                <w:szCs w:val="21"/>
              </w:rPr>
            </w:pPr>
            <w:r>
              <w:rPr>
                <w:sz w:val="21"/>
                <w:szCs w:val="21"/>
              </w:rPr>
              <w:t>96-18-4</w:t>
            </w:r>
          </w:p>
        </w:tc>
        <w:tc>
          <w:tcPr>
            <w:tcW w:w="1276" w:type="dxa"/>
            <w:gridSpan w:val="2"/>
            <w:vAlign w:val="center"/>
          </w:tcPr>
          <w:p>
            <w:pPr>
              <w:spacing w:line="240" w:lineRule="auto"/>
              <w:ind w:left="-120" w:firstLine="0" w:firstLineChars="0"/>
              <w:jc w:val="center"/>
              <w:rPr>
                <w:sz w:val="21"/>
                <w:szCs w:val="21"/>
              </w:rPr>
            </w:pPr>
            <w:r>
              <w:rPr>
                <w:sz w:val="21"/>
                <w:szCs w:val="21"/>
              </w:rPr>
              <w:t>0.05</w:t>
            </w:r>
          </w:p>
        </w:tc>
        <w:tc>
          <w:tcPr>
            <w:tcW w:w="992" w:type="dxa"/>
            <w:vAlign w:val="center"/>
          </w:tcPr>
          <w:p>
            <w:pPr>
              <w:spacing w:line="240" w:lineRule="auto"/>
              <w:ind w:left="-120" w:firstLine="0" w:firstLineChars="0"/>
              <w:jc w:val="center"/>
              <w:rPr>
                <w:sz w:val="21"/>
                <w:szCs w:val="21"/>
              </w:rPr>
            </w:pPr>
            <w:r>
              <w:rPr>
                <w:sz w:val="21"/>
                <w:szCs w:val="21"/>
              </w:rPr>
              <w:t>0.5</w:t>
            </w:r>
          </w:p>
        </w:tc>
        <w:tc>
          <w:tcPr>
            <w:tcW w:w="1134" w:type="dxa"/>
            <w:vAlign w:val="center"/>
          </w:tcPr>
          <w:p>
            <w:pPr>
              <w:spacing w:line="240" w:lineRule="auto"/>
              <w:ind w:left="-120" w:firstLine="0" w:firstLineChars="0"/>
              <w:jc w:val="center"/>
              <w:rPr>
                <w:sz w:val="21"/>
                <w:szCs w:val="21"/>
              </w:rPr>
            </w:pPr>
            <w:r>
              <w:rPr>
                <w:sz w:val="21"/>
                <w:szCs w:val="21"/>
              </w:rPr>
              <w:t>0.5</w:t>
            </w:r>
          </w:p>
        </w:tc>
        <w:tc>
          <w:tcPr>
            <w:tcW w:w="907" w:type="dxa"/>
            <w:vAlign w:val="center"/>
          </w:tcPr>
          <w:p>
            <w:pPr>
              <w:spacing w:line="240" w:lineRule="auto"/>
              <w:ind w:left="-120" w:firstLine="0" w:firstLineChars="0"/>
              <w:jc w:val="center"/>
              <w:rPr>
                <w:sz w:val="21"/>
                <w:szCs w:val="21"/>
              </w:rPr>
            </w:pPr>
            <w:r>
              <w:rPr>
                <w:sz w:val="21"/>
                <w:szCs w:val="21"/>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25</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氯乙烯</w:t>
            </w:r>
          </w:p>
        </w:tc>
        <w:tc>
          <w:tcPr>
            <w:tcW w:w="1134" w:type="dxa"/>
            <w:vAlign w:val="center"/>
          </w:tcPr>
          <w:p>
            <w:pPr>
              <w:spacing w:line="240" w:lineRule="auto"/>
              <w:ind w:left="-120" w:firstLine="0" w:firstLineChars="0"/>
              <w:jc w:val="center"/>
              <w:rPr>
                <w:sz w:val="21"/>
                <w:szCs w:val="21"/>
              </w:rPr>
            </w:pPr>
            <w:r>
              <w:rPr>
                <w:sz w:val="21"/>
                <w:szCs w:val="21"/>
              </w:rPr>
              <w:t>75-01-4</w:t>
            </w:r>
          </w:p>
        </w:tc>
        <w:tc>
          <w:tcPr>
            <w:tcW w:w="1276" w:type="dxa"/>
            <w:gridSpan w:val="2"/>
            <w:vAlign w:val="center"/>
          </w:tcPr>
          <w:p>
            <w:pPr>
              <w:spacing w:line="240" w:lineRule="auto"/>
              <w:ind w:left="-120" w:firstLine="0" w:firstLineChars="0"/>
              <w:jc w:val="center"/>
              <w:rPr>
                <w:sz w:val="21"/>
                <w:szCs w:val="21"/>
              </w:rPr>
            </w:pPr>
            <w:r>
              <w:rPr>
                <w:sz w:val="21"/>
                <w:szCs w:val="21"/>
              </w:rPr>
              <w:t>0.12</w:t>
            </w:r>
          </w:p>
        </w:tc>
        <w:tc>
          <w:tcPr>
            <w:tcW w:w="992" w:type="dxa"/>
            <w:vAlign w:val="center"/>
          </w:tcPr>
          <w:p>
            <w:pPr>
              <w:spacing w:line="240" w:lineRule="auto"/>
              <w:ind w:left="-120" w:firstLine="0" w:firstLineChars="0"/>
              <w:jc w:val="center"/>
              <w:rPr>
                <w:sz w:val="21"/>
                <w:szCs w:val="21"/>
              </w:rPr>
            </w:pPr>
            <w:r>
              <w:rPr>
                <w:sz w:val="21"/>
                <w:szCs w:val="21"/>
              </w:rPr>
              <w:t>0.43</w:t>
            </w:r>
          </w:p>
        </w:tc>
        <w:tc>
          <w:tcPr>
            <w:tcW w:w="1134" w:type="dxa"/>
            <w:vAlign w:val="center"/>
          </w:tcPr>
          <w:p>
            <w:pPr>
              <w:spacing w:line="240" w:lineRule="auto"/>
              <w:ind w:left="-120" w:firstLine="0" w:firstLineChars="0"/>
              <w:jc w:val="center"/>
              <w:rPr>
                <w:sz w:val="21"/>
                <w:szCs w:val="21"/>
              </w:rPr>
            </w:pPr>
            <w:r>
              <w:rPr>
                <w:sz w:val="21"/>
                <w:szCs w:val="21"/>
              </w:rPr>
              <w:t>1.2</w:t>
            </w:r>
          </w:p>
        </w:tc>
        <w:tc>
          <w:tcPr>
            <w:tcW w:w="907" w:type="dxa"/>
            <w:vAlign w:val="center"/>
          </w:tcPr>
          <w:p>
            <w:pPr>
              <w:spacing w:line="240" w:lineRule="auto"/>
              <w:ind w:left="-120" w:firstLine="0" w:firstLineChars="0"/>
              <w:jc w:val="center"/>
              <w:rPr>
                <w:sz w:val="21"/>
                <w:szCs w:val="21"/>
              </w:rPr>
            </w:pPr>
            <w:r>
              <w:rPr>
                <w:sz w:val="21"/>
                <w:szCs w:val="21"/>
              </w:rPr>
              <w:t>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26</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苯</w:t>
            </w:r>
          </w:p>
        </w:tc>
        <w:tc>
          <w:tcPr>
            <w:tcW w:w="1134" w:type="dxa"/>
            <w:vAlign w:val="center"/>
          </w:tcPr>
          <w:p>
            <w:pPr>
              <w:spacing w:line="240" w:lineRule="auto"/>
              <w:ind w:left="-120" w:firstLine="0" w:firstLineChars="0"/>
              <w:jc w:val="center"/>
              <w:rPr>
                <w:sz w:val="21"/>
                <w:szCs w:val="21"/>
              </w:rPr>
            </w:pPr>
            <w:r>
              <w:rPr>
                <w:sz w:val="21"/>
                <w:szCs w:val="21"/>
              </w:rPr>
              <w:t>71-43-2</w:t>
            </w:r>
          </w:p>
        </w:tc>
        <w:tc>
          <w:tcPr>
            <w:tcW w:w="1276" w:type="dxa"/>
            <w:gridSpan w:val="2"/>
            <w:vAlign w:val="center"/>
          </w:tcPr>
          <w:p>
            <w:pPr>
              <w:spacing w:line="240" w:lineRule="auto"/>
              <w:ind w:left="-120" w:firstLine="0" w:firstLineChars="0"/>
              <w:jc w:val="center"/>
              <w:rPr>
                <w:sz w:val="21"/>
                <w:szCs w:val="21"/>
              </w:rPr>
            </w:pPr>
            <w:r>
              <w:rPr>
                <w:sz w:val="21"/>
                <w:szCs w:val="21"/>
              </w:rPr>
              <w:t>1</w:t>
            </w:r>
          </w:p>
        </w:tc>
        <w:tc>
          <w:tcPr>
            <w:tcW w:w="992" w:type="dxa"/>
            <w:vAlign w:val="center"/>
          </w:tcPr>
          <w:p>
            <w:pPr>
              <w:spacing w:line="240" w:lineRule="auto"/>
              <w:ind w:left="-120" w:firstLine="0" w:firstLineChars="0"/>
              <w:jc w:val="center"/>
              <w:rPr>
                <w:sz w:val="21"/>
                <w:szCs w:val="21"/>
              </w:rPr>
            </w:pPr>
            <w:r>
              <w:rPr>
                <w:sz w:val="21"/>
                <w:szCs w:val="21"/>
              </w:rPr>
              <w:t>4</w:t>
            </w:r>
          </w:p>
        </w:tc>
        <w:tc>
          <w:tcPr>
            <w:tcW w:w="1134" w:type="dxa"/>
            <w:vAlign w:val="center"/>
          </w:tcPr>
          <w:p>
            <w:pPr>
              <w:spacing w:line="240" w:lineRule="auto"/>
              <w:ind w:left="-120" w:firstLine="0" w:firstLineChars="0"/>
              <w:jc w:val="center"/>
              <w:rPr>
                <w:sz w:val="21"/>
                <w:szCs w:val="21"/>
              </w:rPr>
            </w:pPr>
            <w:r>
              <w:rPr>
                <w:sz w:val="21"/>
                <w:szCs w:val="21"/>
              </w:rPr>
              <w:t>10</w:t>
            </w:r>
          </w:p>
        </w:tc>
        <w:tc>
          <w:tcPr>
            <w:tcW w:w="907" w:type="dxa"/>
            <w:vAlign w:val="center"/>
          </w:tcPr>
          <w:p>
            <w:pPr>
              <w:spacing w:line="240" w:lineRule="auto"/>
              <w:ind w:left="-120" w:firstLine="0" w:firstLineChars="0"/>
              <w:jc w:val="center"/>
              <w:rPr>
                <w:sz w:val="21"/>
                <w:szCs w:val="21"/>
              </w:rPr>
            </w:pPr>
            <w:r>
              <w:rPr>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27</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氯苯</w:t>
            </w:r>
          </w:p>
        </w:tc>
        <w:tc>
          <w:tcPr>
            <w:tcW w:w="1134" w:type="dxa"/>
            <w:vAlign w:val="center"/>
          </w:tcPr>
          <w:p>
            <w:pPr>
              <w:spacing w:line="240" w:lineRule="auto"/>
              <w:ind w:left="-120" w:firstLine="0" w:firstLineChars="0"/>
              <w:jc w:val="center"/>
              <w:rPr>
                <w:sz w:val="21"/>
                <w:szCs w:val="21"/>
              </w:rPr>
            </w:pPr>
            <w:r>
              <w:rPr>
                <w:sz w:val="21"/>
                <w:szCs w:val="21"/>
              </w:rPr>
              <w:t>108-90-7</w:t>
            </w:r>
          </w:p>
        </w:tc>
        <w:tc>
          <w:tcPr>
            <w:tcW w:w="1276" w:type="dxa"/>
            <w:gridSpan w:val="2"/>
            <w:vAlign w:val="center"/>
          </w:tcPr>
          <w:p>
            <w:pPr>
              <w:spacing w:line="240" w:lineRule="auto"/>
              <w:ind w:left="-120" w:firstLine="0" w:firstLineChars="0"/>
              <w:jc w:val="center"/>
              <w:rPr>
                <w:sz w:val="21"/>
                <w:szCs w:val="21"/>
              </w:rPr>
            </w:pPr>
            <w:r>
              <w:rPr>
                <w:sz w:val="21"/>
                <w:szCs w:val="21"/>
              </w:rPr>
              <w:t>68</w:t>
            </w:r>
          </w:p>
        </w:tc>
        <w:tc>
          <w:tcPr>
            <w:tcW w:w="992" w:type="dxa"/>
            <w:vAlign w:val="center"/>
          </w:tcPr>
          <w:p>
            <w:pPr>
              <w:spacing w:line="240" w:lineRule="auto"/>
              <w:ind w:left="-120" w:firstLine="0" w:firstLineChars="0"/>
              <w:jc w:val="center"/>
              <w:rPr>
                <w:sz w:val="21"/>
                <w:szCs w:val="21"/>
              </w:rPr>
            </w:pPr>
            <w:r>
              <w:rPr>
                <w:sz w:val="21"/>
                <w:szCs w:val="21"/>
              </w:rPr>
              <w:t>270</w:t>
            </w:r>
          </w:p>
        </w:tc>
        <w:tc>
          <w:tcPr>
            <w:tcW w:w="1134" w:type="dxa"/>
            <w:vAlign w:val="center"/>
          </w:tcPr>
          <w:p>
            <w:pPr>
              <w:spacing w:line="240" w:lineRule="auto"/>
              <w:ind w:left="-120" w:firstLine="0" w:firstLineChars="0"/>
              <w:jc w:val="center"/>
              <w:rPr>
                <w:sz w:val="21"/>
                <w:szCs w:val="21"/>
              </w:rPr>
            </w:pPr>
            <w:r>
              <w:rPr>
                <w:sz w:val="21"/>
                <w:szCs w:val="21"/>
              </w:rPr>
              <w:t>200</w:t>
            </w:r>
          </w:p>
        </w:tc>
        <w:tc>
          <w:tcPr>
            <w:tcW w:w="907" w:type="dxa"/>
            <w:vAlign w:val="center"/>
          </w:tcPr>
          <w:p>
            <w:pPr>
              <w:spacing w:line="240" w:lineRule="auto"/>
              <w:ind w:left="-120" w:firstLine="0" w:firstLineChars="0"/>
              <w:jc w:val="center"/>
              <w:rPr>
                <w:sz w:val="21"/>
                <w:szCs w:val="21"/>
              </w:rPr>
            </w:pPr>
            <w:r>
              <w:rPr>
                <w:sz w:val="21"/>
                <w:szCs w:val="21"/>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28</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1，2-二氯苯</w:t>
            </w:r>
          </w:p>
        </w:tc>
        <w:tc>
          <w:tcPr>
            <w:tcW w:w="1134" w:type="dxa"/>
            <w:vAlign w:val="center"/>
          </w:tcPr>
          <w:p>
            <w:pPr>
              <w:spacing w:line="240" w:lineRule="auto"/>
              <w:ind w:left="-120" w:firstLine="0" w:firstLineChars="0"/>
              <w:jc w:val="center"/>
              <w:rPr>
                <w:sz w:val="21"/>
                <w:szCs w:val="21"/>
              </w:rPr>
            </w:pPr>
            <w:r>
              <w:rPr>
                <w:sz w:val="21"/>
                <w:szCs w:val="21"/>
              </w:rPr>
              <w:t>95-50-1</w:t>
            </w:r>
          </w:p>
        </w:tc>
        <w:tc>
          <w:tcPr>
            <w:tcW w:w="1276" w:type="dxa"/>
            <w:gridSpan w:val="2"/>
            <w:vAlign w:val="center"/>
          </w:tcPr>
          <w:p>
            <w:pPr>
              <w:spacing w:line="240" w:lineRule="auto"/>
              <w:ind w:left="-120" w:firstLine="0" w:firstLineChars="0"/>
              <w:jc w:val="center"/>
              <w:rPr>
                <w:sz w:val="21"/>
                <w:szCs w:val="21"/>
              </w:rPr>
            </w:pPr>
            <w:r>
              <w:rPr>
                <w:sz w:val="21"/>
                <w:szCs w:val="21"/>
              </w:rPr>
              <w:t>560</w:t>
            </w:r>
          </w:p>
        </w:tc>
        <w:tc>
          <w:tcPr>
            <w:tcW w:w="992" w:type="dxa"/>
            <w:vAlign w:val="center"/>
          </w:tcPr>
          <w:p>
            <w:pPr>
              <w:spacing w:line="240" w:lineRule="auto"/>
              <w:ind w:left="-120" w:firstLine="0" w:firstLineChars="0"/>
              <w:jc w:val="center"/>
              <w:rPr>
                <w:sz w:val="21"/>
                <w:szCs w:val="21"/>
              </w:rPr>
            </w:pPr>
            <w:r>
              <w:rPr>
                <w:sz w:val="21"/>
                <w:szCs w:val="21"/>
              </w:rPr>
              <w:t>560</w:t>
            </w:r>
          </w:p>
        </w:tc>
        <w:tc>
          <w:tcPr>
            <w:tcW w:w="1134" w:type="dxa"/>
            <w:vAlign w:val="center"/>
          </w:tcPr>
          <w:p>
            <w:pPr>
              <w:spacing w:line="240" w:lineRule="auto"/>
              <w:ind w:left="-120" w:firstLine="0" w:firstLineChars="0"/>
              <w:jc w:val="center"/>
              <w:rPr>
                <w:sz w:val="21"/>
                <w:szCs w:val="21"/>
              </w:rPr>
            </w:pPr>
            <w:r>
              <w:rPr>
                <w:sz w:val="21"/>
                <w:szCs w:val="21"/>
              </w:rPr>
              <w:t>560</w:t>
            </w:r>
          </w:p>
        </w:tc>
        <w:tc>
          <w:tcPr>
            <w:tcW w:w="907" w:type="dxa"/>
            <w:vAlign w:val="center"/>
          </w:tcPr>
          <w:p>
            <w:pPr>
              <w:spacing w:line="240" w:lineRule="auto"/>
              <w:ind w:left="-120" w:firstLine="0" w:firstLineChars="0"/>
              <w:jc w:val="center"/>
              <w:rPr>
                <w:sz w:val="21"/>
                <w:szCs w:val="21"/>
              </w:rPr>
            </w:pPr>
            <w:r>
              <w:rPr>
                <w:sz w:val="21"/>
                <w:szCs w:val="21"/>
              </w:rPr>
              <w:t>560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29</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1，4-二氯苯</w:t>
            </w:r>
          </w:p>
        </w:tc>
        <w:tc>
          <w:tcPr>
            <w:tcW w:w="1134" w:type="dxa"/>
            <w:vAlign w:val="center"/>
          </w:tcPr>
          <w:p>
            <w:pPr>
              <w:spacing w:line="240" w:lineRule="auto"/>
              <w:ind w:left="-120" w:firstLine="0" w:firstLineChars="0"/>
              <w:jc w:val="center"/>
              <w:rPr>
                <w:sz w:val="21"/>
                <w:szCs w:val="21"/>
              </w:rPr>
            </w:pPr>
            <w:r>
              <w:rPr>
                <w:sz w:val="21"/>
                <w:szCs w:val="21"/>
              </w:rPr>
              <w:t>106-46-7</w:t>
            </w:r>
          </w:p>
        </w:tc>
        <w:tc>
          <w:tcPr>
            <w:tcW w:w="1276" w:type="dxa"/>
            <w:gridSpan w:val="2"/>
            <w:vAlign w:val="center"/>
          </w:tcPr>
          <w:p>
            <w:pPr>
              <w:spacing w:line="240" w:lineRule="auto"/>
              <w:ind w:left="-120" w:firstLine="0" w:firstLineChars="0"/>
              <w:jc w:val="center"/>
              <w:rPr>
                <w:sz w:val="21"/>
                <w:szCs w:val="21"/>
              </w:rPr>
            </w:pPr>
            <w:r>
              <w:rPr>
                <w:sz w:val="21"/>
                <w:szCs w:val="21"/>
              </w:rPr>
              <w:t>5.6</w:t>
            </w:r>
          </w:p>
        </w:tc>
        <w:tc>
          <w:tcPr>
            <w:tcW w:w="992" w:type="dxa"/>
            <w:vAlign w:val="center"/>
          </w:tcPr>
          <w:p>
            <w:pPr>
              <w:spacing w:line="240" w:lineRule="auto"/>
              <w:ind w:left="-120" w:firstLine="0" w:firstLineChars="0"/>
              <w:jc w:val="center"/>
              <w:rPr>
                <w:sz w:val="21"/>
                <w:szCs w:val="21"/>
              </w:rPr>
            </w:pPr>
            <w:r>
              <w:rPr>
                <w:sz w:val="21"/>
                <w:szCs w:val="21"/>
              </w:rPr>
              <w:t>20</w:t>
            </w:r>
          </w:p>
        </w:tc>
        <w:tc>
          <w:tcPr>
            <w:tcW w:w="1134" w:type="dxa"/>
            <w:vAlign w:val="center"/>
          </w:tcPr>
          <w:p>
            <w:pPr>
              <w:spacing w:line="240" w:lineRule="auto"/>
              <w:ind w:left="-120" w:firstLine="0" w:firstLineChars="0"/>
              <w:jc w:val="center"/>
              <w:rPr>
                <w:sz w:val="21"/>
                <w:szCs w:val="21"/>
              </w:rPr>
            </w:pPr>
            <w:r>
              <w:rPr>
                <w:sz w:val="21"/>
                <w:szCs w:val="21"/>
              </w:rPr>
              <w:t>56</w:t>
            </w:r>
          </w:p>
        </w:tc>
        <w:tc>
          <w:tcPr>
            <w:tcW w:w="907" w:type="dxa"/>
            <w:vAlign w:val="center"/>
          </w:tcPr>
          <w:p>
            <w:pPr>
              <w:spacing w:line="240" w:lineRule="auto"/>
              <w:ind w:left="-120" w:firstLine="0" w:firstLineChars="0"/>
              <w:jc w:val="center"/>
              <w:rPr>
                <w:sz w:val="21"/>
                <w:szCs w:val="21"/>
              </w:rPr>
            </w:pPr>
            <w:r>
              <w:rPr>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30</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乙苯</w:t>
            </w:r>
          </w:p>
        </w:tc>
        <w:tc>
          <w:tcPr>
            <w:tcW w:w="1134" w:type="dxa"/>
            <w:vAlign w:val="center"/>
          </w:tcPr>
          <w:p>
            <w:pPr>
              <w:spacing w:line="240" w:lineRule="auto"/>
              <w:ind w:left="-120" w:firstLine="0" w:firstLineChars="0"/>
              <w:jc w:val="center"/>
              <w:rPr>
                <w:sz w:val="21"/>
                <w:szCs w:val="21"/>
              </w:rPr>
            </w:pPr>
            <w:r>
              <w:rPr>
                <w:sz w:val="21"/>
                <w:szCs w:val="21"/>
              </w:rPr>
              <w:t>100-41-4</w:t>
            </w:r>
          </w:p>
        </w:tc>
        <w:tc>
          <w:tcPr>
            <w:tcW w:w="1276" w:type="dxa"/>
            <w:gridSpan w:val="2"/>
            <w:vAlign w:val="center"/>
          </w:tcPr>
          <w:p>
            <w:pPr>
              <w:spacing w:line="240" w:lineRule="auto"/>
              <w:ind w:left="-120" w:firstLine="0" w:firstLineChars="0"/>
              <w:jc w:val="center"/>
              <w:rPr>
                <w:sz w:val="21"/>
                <w:szCs w:val="21"/>
              </w:rPr>
            </w:pPr>
            <w:r>
              <w:rPr>
                <w:sz w:val="21"/>
                <w:szCs w:val="21"/>
              </w:rPr>
              <w:t>7.2</w:t>
            </w:r>
          </w:p>
        </w:tc>
        <w:tc>
          <w:tcPr>
            <w:tcW w:w="992" w:type="dxa"/>
            <w:vAlign w:val="center"/>
          </w:tcPr>
          <w:p>
            <w:pPr>
              <w:spacing w:line="240" w:lineRule="auto"/>
              <w:ind w:left="-120" w:firstLine="0" w:firstLineChars="0"/>
              <w:jc w:val="center"/>
              <w:rPr>
                <w:sz w:val="21"/>
                <w:szCs w:val="21"/>
              </w:rPr>
            </w:pPr>
            <w:r>
              <w:rPr>
                <w:sz w:val="21"/>
                <w:szCs w:val="21"/>
              </w:rPr>
              <w:t>28</w:t>
            </w:r>
          </w:p>
        </w:tc>
        <w:tc>
          <w:tcPr>
            <w:tcW w:w="1134" w:type="dxa"/>
            <w:vAlign w:val="center"/>
          </w:tcPr>
          <w:p>
            <w:pPr>
              <w:spacing w:line="240" w:lineRule="auto"/>
              <w:ind w:left="-120" w:firstLine="0" w:firstLineChars="0"/>
              <w:jc w:val="center"/>
              <w:rPr>
                <w:sz w:val="21"/>
                <w:szCs w:val="21"/>
              </w:rPr>
            </w:pPr>
            <w:r>
              <w:rPr>
                <w:sz w:val="21"/>
                <w:szCs w:val="21"/>
              </w:rPr>
              <w:t>72</w:t>
            </w:r>
          </w:p>
        </w:tc>
        <w:tc>
          <w:tcPr>
            <w:tcW w:w="907" w:type="dxa"/>
            <w:vAlign w:val="center"/>
          </w:tcPr>
          <w:p>
            <w:pPr>
              <w:spacing w:line="240" w:lineRule="auto"/>
              <w:ind w:left="-120" w:firstLine="0" w:firstLineChars="0"/>
              <w:jc w:val="center"/>
              <w:rPr>
                <w:sz w:val="21"/>
                <w:szCs w:val="21"/>
              </w:rPr>
            </w:pPr>
            <w:r>
              <w:rPr>
                <w:sz w:val="21"/>
                <w:szCs w:val="21"/>
              </w:rPr>
              <w:t>280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31</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苯乙烯</w:t>
            </w:r>
          </w:p>
        </w:tc>
        <w:tc>
          <w:tcPr>
            <w:tcW w:w="1134" w:type="dxa"/>
            <w:vAlign w:val="center"/>
          </w:tcPr>
          <w:p>
            <w:pPr>
              <w:spacing w:line="240" w:lineRule="auto"/>
              <w:ind w:left="-120" w:firstLine="0" w:firstLineChars="0"/>
              <w:jc w:val="center"/>
              <w:rPr>
                <w:sz w:val="21"/>
                <w:szCs w:val="21"/>
              </w:rPr>
            </w:pPr>
            <w:r>
              <w:rPr>
                <w:sz w:val="21"/>
                <w:szCs w:val="21"/>
              </w:rPr>
              <w:t>100-42-5</w:t>
            </w:r>
          </w:p>
        </w:tc>
        <w:tc>
          <w:tcPr>
            <w:tcW w:w="1276" w:type="dxa"/>
            <w:gridSpan w:val="2"/>
            <w:vAlign w:val="center"/>
          </w:tcPr>
          <w:p>
            <w:pPr>
              <w:spacing w:line="240" w:lineRule="auto"/>
              <w:ind w:left="-120" w:firstLine="0" w:firstLineChars="0"/>
              <w:jc w:val="center"/>
              <w:rPr>
                <w:sz w:val="21"/>
                <w:szCs w:val="21"/>
              </w:rPr>
            </w:pPr>
            <w:r>
              <w:rPr>
                <w:sz w:val="21"/>
                <w:szCs w:val="21"/>
              </w:rPr>
              <w:t>1290</w:t>
            </w:r>
          </w:p>
        </w:tc>
        <w:tc>
          <w:tcPr>
            <w:tcW w:w="992" w:type="dxa"/>
            <w:vAlign w:val="center"/>
          </w:tcPr>
          <w:p>
            <w:pPr>
              <w:spacing w:line="240" w:lineRule="auto"/>
              <w:ind w:left="-120" w:firstLine="0" w:firstLineChars="0"/>
              <w:jc w:val="center"/>
              <w:rPr>
                <w:sz w:val="21"/>
                <w:szCs w:val="21"/>
              </w:rPr>
            </w:pPr>
            <w:r>
              <w:rPr>
                <w:sz w:val="21"/>
                <w:szCs w:val="21"/>
              </w:rPr>
              <w:t>1290</w:t>
            </w:r>
          </w:p>
        </w:tc>
        <w:tc>
          <w:tcPr>
            <w:tcW w:w="1134" w:type="dxa"/>
            <w:vAlign w:val="center"/>
          </w:tcPr>
          <w:p>
            <w:pPr>
              <w:spacing w:line="240" w:lineRule="auto"/>
              <w:ind w:left="-120" w:firstLine="0" w:firstLineChars="0"/>
              <w:jc w:val="center"/>
              <w:rPr>
                <w:sz w:val="21"/>
                <w:szCs w:val="21"/>
              </w:rPr>
            </w:pPr>
            <w:r>
              <w:rPr>
                <w:sz w:val="21"/>
                <w:szCs w:val="21"/>
              </w:rPr>
              <w:t>1290</w:t>
            </w:r>
          </w:p>
        </w:tc>
        <w:tc>
          <w:tcPr>
            <w:tcW w:w="907" w:type="dxa"/>
            <w:vAlign w:val="center"/>
          </w:tcPr>
          <w:p>
            <w:pPr>
              <w:spacing w:line="240" w:lineRule="auto"/>
              <w:ind w:left="-120" w:firstLine="0" w:firstLineChars="0"/>
              <w:jc w:val="center"/>
              <w:rPr>
                <w:sz w:val="21"/>
                <w:szCs w:val="21"/>
              </w:rPr>
            </w:pPr>
            <w:r>
              <w:rPr>
                <w:sz w:val="21"/>
                <w:szCs w:val="21"/>
              </w:rPr>
              <w:t>1290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32</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甲苯</w:t>
            </w:r>
          </w:p>
        </w:tc>
        <w:tc>
          <w:tcPr>
            <w:tcW w:w="1134" w:type="dxa"/>
            <w:vAlign w:val="center"/>
          </w:tcPr>
          <w:p>
            <w:pPr>
              <w:spacing w:line="240" w:lineRule="auto"/>
              <w:ind w:left="-120" w:firstLine="0" w:firstLineChars="0"/>
              <w:jc w:val="center"/>
              <w:rPr>
                <w:sz w:val="21"/>
                <w:szCs w:val="21"/>
              </w:rPr>
            </w:pPr>
            <w:r>
              <w:rPr>
                <w:sz w:val="21"/>
                <w:szCs w:val="21"/>
              </w:rPr>
              <w:t>108-88-3</w:t>
            </w:r>
          </w:p>
        </w:tc>
        <w:tc>
          <w:tcPr>
            <w:tcW w:w="1276" w:type="dxa"/>
            <w:gridSpan w:val="2"/>
            <w:vAlign w:val="center"/>
          </w:tcPr>
          <w:p>
            <w:pPr>
              <w:spacing w:line="240" w:lineRule="auto"/>
              <w:ind w:left="-120" w:firstLine="0" w:firstLineChars="0"/>
              <w:jc w:val="center"/>
              <w:rPr>
                <w:sz w:val="21"/>
                <w:szCs w:val="21"/>
              </w:rPr>
            </w:pPr>
            <w:r>
              <w:rPr>
                <w:sz w:val="21"/>
                <w:szCs w:val="21"/>
              </w:rPr>
              <w:t>1200</w:t>
            </w:r>
          </w:p>
        </w:tc>
        <w:tc>
          <w:tcPr>
            <w:tcW w:w="992" w:type="dxa"/>
            <w:vAlign w:val="center"/>
          </w:tcPr>
          <w:p>
            <w:pPr>
              <w:spacing w:line="240" w:lineRule="auto"/>
              <w:ind w:left="-120" w:firstLine="0" w:firstLineChars="0"/>
              <w:jc w:val="center"/>
              <w:rPr>
                <w:sz w:val="21"/>
                <w:szCs w:val="21"/>
              </w:rPr>
            </w:pPr>
            <w:r>
              <w:rPr>
                <w:sz w:val="21"/>
                <w:szCs w:val="21"/>
              </w:rPr>
              <w:t>1200</w:t>
            </w:r>
          </w:p>
        </w:tc>
        <w:tc>
          <w:tcPr>
            <w:tcW w:w="1134" w:type="dxa"/>
            <w:vAlign w:val="center"/>
          </w:tcPr>
          <w:p>
            <w:pPr>
              <w:spacing w:line="240" w:lineRule="auto"/>
              <w:ind w:left="-120" w:firstLine="0" w:firstLineChars="0"/>
              <w:jc w:val="center"/>
              <w:rPr>
                <w:sz w:val="21"/>
                <w:szCs w:val="21"/>
              </w:rPr>
            </w:pPr>
            <w:r>
              <w:rPr>
                <w:sz w:val="21"/>
                <w:szCs w:val="21"/>
              </w:rPr>
              <w:t>1200</w:t>
            </w:r>
          </w:p>
        </w:tc>
        <w:tc>
          <w:tcPr>
            <w:tcW w:w="907" w:type="dxa"/>
            <w:vAlign w:val="center"/>
          </w:tcPr>
          <w:p>
            <w:pPr>
              <w:spacing w:line="240" w:lineRule="auto"/>
              <w:ind w:left="-120" w:firstLine="0" w:firstLineChars="0"/>
              <w:jc w:val="center"/>
              <w:rPr>
                <w:sz w:val="21"/>
                <w:szCs w:val="21"/>
              </w:rPr>
            </w:pPr>
            <w:r>
              <w:rPr>
                <w:sz w:val="21"/>
                <w:szCs w:val="21"/>
              </w:rPr>
              <w:t>1200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33</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间二甲苯+对二甲苯</w:t>
            </w:r>
          </w:p>
        </w:tc>
        <w:tc>
          <w:tcPr>
            <w:tcW w:w="1134" w:type="dxa"/>
            <w:vAlign w:val="center"/>
          </w:tcPr>
          <w:p>
            <w:pPr>
              <w:spacing w:line="240" w:lineRule="auto"/>
              <w:ind w:left="-120" w:firstLine="0" w:firstLineChars="0"/>
              <w:jc w:val="center"/>
              <w:rPr>
                <w:sz w:val="21"/>
                <w:szCs w:val="21"/>
              </w:rPr>
            </w:pPr>
            <w:r>
              <w:rPr>
                <w:sz w:val="21"/>
                <w:szCs w:val="21"/>
              </w:rPr>
              <w:t>108-38-3</w:t>
            </w:r>
          </w:p>
          <w:p>
            <w:pPr>
              <w:spacing w:line="240" w:lineRule="auto"/>
              <w:ind w:left="-120" w:firstLine="0" w:firstLineChars="0"/>
              <w:jc w:val="center"/>
              <w:rPr>
                <w:sz w:val="21"/>
                <w:szCs w:val="21"/>
              </w:rPr>
            </w:pPr>
            <w:r>
              <w:rPr>
                <w:sz w:val="21"/>
                <w:szCs w:val="21"/>
              </w:rPr>
              <w:t>106-42-3</w:t>
            </w:r>
          </w:p>
        </w:tc>
        <w:tc>
          <w:tcPr>
            <w:tcW w:w="1276" w:type="dxa"/>
            <w:gridSpan w:val="2"/>
            <w:vAlign w:val="center"/>
          </w:tcPr>
          <w:p>
            <w:pPr>
              <w:spacing w:line="240" w:lineRule="auto"/>
              <w:ind w:left="-120" w:firstLine="0" w:firstLineChars="0"/>
              <w:jc w:val="center"/>
              <w:rPr>
                <w:sz w:val="21"/>
                <w:szCs w:val="21"/>
              </w:rPr>
            </w:pPr>
            <w:r>
              <w:rPr>
                <w:sz w:val="21"/>
                <w:szCs w:val="21"/>
              </w:rPr>
              <w:t>163</w:t>
            </w:r>
          </w:p>
        </w:tc>
        <w:tc>
          <w:tcPr>
            <w:tcW w:w="992" w:type="dxa"/>
            <w:vAlign w:val="center"/>
          </w:tcPr>
          <w:p>
            <w:pPr>
              <w:spacing w:line="240" w:lineRule="auto"/>
              <w:ind w:left="-120" w:firstLine="0" w:firstLineChars="0"/>
              <w:jc w:val="center"/>
              <w:rPr>
                <w:sz w:val="21"/>
                <w:szCs w:val="21"/>
              </w:rPr>
            </w:pPr>
            <w:r>
              <w:rPr>
                <w:sz w:val="21"/>
                <w:szCs w:val="21"/>
              </w:rPr>
              <w:t>570</w:t>
            </w:r>
          </w:p>
        </w:tc>
        <w:tc>
          <w:tcPr>
            <w:tcW w:w="1134" w:type="dxa"/>
            <w:vAlign w:val="center"/>
          </w:tcPr>
          <w:p>
            <w:pPr>
              <w:spacing w:line="240" w:lineRule="auto"/>
              <w:ind w:left="-120" w:firstLine="0" w:firstLineChars="0"/>
              <w:jc w:val="center"/>
              <w:rPr>
                <w:sz w:val="21"/>
                <w:szCs w:val="21"/>
              </w:rPr>
            </w:pPr>
            <w:r>
              <w:rPr>
                <w:sz w:val="21"/>
                <w:szCs w:val="21"/>
              </w:rPr>
              <w:t>500</w:t>
            </w:r>
          </w:p>
        </w:tc>
        <w:tc>
          <w:tcPr>
            <w:tcW w:w="907" w:type="dxa"/>
            <w:vAlign w:val="center"/>
          </w:tcPr>
          <w:p>
            <w:pPr>
              <w:spacing w:line="240" w:lineRule="auto"/>
              <w:ind w:left="-120" w:firstLine="0" w:firstLineChars="0"/>
              <w:jc w:val="center"/>
              <w:rPr>
                <w:sz w:val="21"/>
                <w:szCs w:val="21"/>
              </w:rPr>
            </w:pPr>
            <w:r>
              <w:rPr>
                <w:sz w:val="21"/>
                <w:szCs w:val="21"/>
              </w:rPr>
              <w:t>570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34</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邻二甲苯</w:t>
            </w:r>
          </w:p>
        </w:tc>
        <w:tc>
          <w:tcPr>
            <w:tcW w:w="1134" w:type="dxa"/>
            <w:vAlign w:val="center"/>
          </w:tcPr>
          <w:p>
            <w:pPr>
              <w:spacing w:line="240" w:lineRule="auto"/>
              <w:ind w:left="-120" w:firstLine="0" w:firstLineChars="0"/>
              <w:jc w:val="center"/>
              <w:rPr>
                <w:sz w:val="21"/>
                <w:szCs w:val="21"/>
              </w:rPr>
            </w:pPr>
            <w:r>
              <w:rPr>
                <w:sz w:val="21"/>
                <w:szCs w:val="21"/>
              </w:rPr>
              <w:t>95-47-6</w:t>
            </w:r>
          </w:p>
        </w:tc>
        <w:tc>
          <w:tcPr>
            <w:tcW w:w="1276" w:type="dxa"/>
            <w:gridSpan w:val="2"/>
            <w:vAlign w:val="center"/>
          </w:tcPr>
          <w:p>
            <w:pPr>
              <w:spacing w:line="240" w:lineRule="auto"/>
              <w:ind w:left="-120" w:firstLine="0" w:firstLineChars="0"/>
              <w:jc w:val="center"/>
              <w:rPr>
                <w:sz w:val="21"/>
                <w:szCs w:val="21"/>
              </w:rPr>
            </w:pPr>
            <w:r>
              <w:rPr>
                <w:sz w:val="21"/>
                <w:szCs w:val="21"/>
              </w:rPr>
              <w:t>222</w:t>
            </w:r>
          </w:p>
        </w:tc>
        <w:tc>
          <w:tcPr>
            <w:tcW w:w="992" w:type="dxa"/>
            <w:vAlign w:val="center"/>
          </w:tcPr>
          <w:p>
            <w:pPr>
              <w:spacing w:line="240" w:lineRule="auto"/>
              <w:ind w:left="-120" w:firstLine="0" w:firstLineChars="0"/>
              <w:jc w:val="center"/>
              <w:rPr>
                <w:sz w:val="21"/>
                <w:szCs w:val="21"/>
              </w:rPr>
            </w:pPr>
            <w:r>
              <w:rPr>
                <w:sz w:val="21"/>
                <w:szCs w:val="21"/>
              </w:rPr>
              <w:t>640</w:t>
            </w:r>
          </w:p>
        </w:tc>
        <w:tc>
          <w:tcPr>
            <w:tcW w:w="1134" w:type="dxa"/>
            <w:vAlign w:val="center"/>
          </w:tcPr>
          <w:p>
            <w:pPr>
              <w:spacing w:line="240" w:lineRule="auto"/>
              <w:ind w:left="-120" w:firstLine="0" w:firstLineChars="0"/>
              <w:jc w:val="center"/>
              <w:rPr>
                <w:sz w:val="21"/>
                <w:szCs w:val="21"/>
              </w:rPr>
            </w:pPr>
            <w:r>
              <w:rPr>
                <w:sz w:val="21"/>
                <w:szCs w:val="21"/>
              </w:rPr>
              <w:t>640</w:t>
            </w:r>
          </w:p>
        </w:tc>
        <w:tc>
          <w:tcPr>
            <w:tcW w:w="907" w:type="dxa"/>
            <w:vAlign w:val="center"/>
          </w:tcPr>
          <w:p>
            <w:pPr>
              <w:spacing w:line="240" w:lineRule="auto"/>
              <w:ind w:left="-120" w:firstLine="0" w:firstLineChars="0"/>
              <w:jc w:val="center"/>
              <w:rPr>
                <w:sz w:val="21"/>
                <w:szCs w:val="21"/>
              </w:rPr>
            </w:pPr>
            <w:r>
              <w:rPr>
                <w:sz w:val="21"/>
                <w:szCs w:val="21"/>
              </w:rPr>
              <w:t>640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8" w:type="dxa"/>
            <w:gridSpan w:val="8"/>
            <w:vAlign w:val="center"/>
          </w:tcPr>
          <w:p>
            <w:pPr>
              <w:spacing w:line="240" w:lineRule="auto"/>
              <w:ind w:left="-120" w:firstLine="0" w:firstLineChars="0"/>
              <w:jc w:val="center"/>
              <w:rPr>
                <w:sz w:val="21"/>
                <w:szCs w:val="21"/>
              </w:rPr>
            </w:pPr>
            <w:r>
              <w:rPr>
                <w:sz w:val="21"/>
                <w:szCs w:val="21"/>
              </w:rPr>
              <w:t>半挥发性有机物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35</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硝基苯</w:t>
            </w:r>
          </w:p>
        </w:tc>
        <w:tc>
          <w:tcPr>
            <w:tcW w:w="1134" w:type="dxa"/>
            <w:vAlign w:val="center"/>
          </w:tcPr>
          <w:p>
            <w:pPr>
              <w:spacing w:line="240" w:lineRule="auto"/>
              <w:ind w:left="-120" w:firstLine="0" w:firstLineChars="0"/>
              <w:jc w:val="center"/>
              <w:rPr>
                <w:sz w:val="21"/>
                <w:szCs w:val="21"/>
              </w:rPr>
            </w:pPr>
            <w:r>
              <w:rPr>
                <w:sz w:val="21"/>
                <w:szCs w:val="21"/>
              </w:rPr>
              <w:t>98-95-3</w:t>
            </w:r>
          </w:p>
        </w:tc>
        <w:tc>
          <w:tcPr>
            <w:tcW w:w="1276" w:type="dxa"/>
            <w:gridSpan w:val="2"/>
            <w:vAlign w:val="center"/>
          </w:tcPr>
          <w:p>
            <w:pPr>
              <w:spacing w:line="240" w:lineRule="auto"/>
              <w:ind w:left="-120" w:firstLine="0" w:firstLineChars="0"/>
              <w:jc w:val="center"/>
              <w:rPr>
                <w:sz w:val="21"/>
                <w:szCs w:val="21"/>
              </w:rPr>
            </w:pPr>
            <w:r>
              <w:rPr>
                <w:sz w:val="21"/>
                <w:szCs w:val="21"/>
              </w:rPr>
              <w:t>34</w:t>
            </w:r>
          </w:p>
        </w:tc>
        <w:tc>
          <w:tcPr>
            <w:tcW w:w="992" w:type="dxa"/>
            <w:vAlign w:val="center"/>
          </w:tcPr>
          <w:p>
            <w:pPr>
              <w:spacing w:line="240" w:lineRule="auto"/>
              <w:ind w:left="-120" w:firstLine="0" w:firstLineChars="0"/>
              <w:jc w:val="center"/>
              <w:rPr>
                <w:sz w:val="21"/>
                <w:szCs w:val="21"/>
              </w:rPr>
            </w:pPr>
            <w:r>
              <w:rPr>
                <w:sz w:val="21"/>
                <w:szCs w:val="21"/>
              </w:rPr>
              <w:t>76</w:t>
            </w:r>
          </w:p>
        </w:tc>
        <w:tc>
          <w:tcPr>
            <w:tcW w:w="1134" w:type="dxa"/>
            <w:vAlign w:val="center"/>
          </w:tcPr>
          <w:p>
            <w:pPr>
              <w:spacing w:line="240" w:lineRule="auto"/>
              <w:ind w:left="-120" w:firstLine="0" w:firstLineChars="0"/>
              <w:jc w:val="center"/>
              <w:rPr>
                <w:sz w:val="21"/>
                <w:szCs w:val="21"/>
              </w:rPr>
            </w:pPr>
            <w:r>
              <w:rPr>
                <w:sz w:val="21"/>
                <w:szCs w:val="21"/>
              </w:rPr>
              <w:t>190</w:t>
            </w:r>
          </w:p>
        </w:tc>
        <w:tc>
          <w:tcPr>
            <w:tcW w:w="907" w:type="dxa"/>
            <w:vAlign w:val="center"/>
          </w:tcPr>
          <w:p>
            <w:pPr>
              <w:spacing w:line="240" w:lineRule="auto"/>
              <w:ind w:left="-120" w:firstLine="0" w:firstLineChars="0"/>
              <w:jc w:val="center"/>
              <w:rPr>
                <w:sz w:val="21"/>
                <w:szCs w:val="21"/>
              </w:rPr>
            </w:pPr>
            <w:r>
              <w:rPr>
                <w:sz w:val="21"/>
                <w:szCs w:val="21"/>
              </w:rPr>
              <w:t>760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36</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苯胺</w:t>
            </w:r>
          </w:p>
        </w:tc>
        <w:tc>
          <w:tcPr>
            <w:tcW w:w="1134" w:type="dxa"/>
            <w:vAlign w:val="center"/>
          </w:tcPr>
          <w:p>
            <w:pPr>
              <w:spacing w:line="240" w:lineRule="auto"/>
              <w:ind w:left="-120" w:firstLine="0" w:firstLineChars="0"/>
              <w:jc w:val="center"/>
              <w:rPr>
                <w:sz w:val="21"/>
                <w:szCs w:val="21"/>
              </w:rPr>
            </w:pPr>
            <w:r>
              <w:rPr>
                <w:sz w:val="21"/>
                <w:szCs w:val="21"/>
              </w:rPr>
              <w:t>62-53-3</w:t>
            </w:r>
          </w:p>
        </w:tc>
        <w:tc>
          <w:tcPr>
            <w:tcW w:w="1276" w:type="dxa"/>
            <w:gridSpan w:val="2"/>
            <w:vAlign w:val="center"/>
          </w:tcPr>
          <w:p>
            <w:pPr>
              <w:spacing w:line="240" w:lineRule="auto"/>
              <w:ind w:left="-120" w:firstLine="0" w:firstLineChars="0"/>
              <w:jc w:val="center"/>
              <w:rPr>
                <w:sz w:val="21"/>
                <w:szCs w:val="21"/>
              </w:rPr>
            </w:pPr>
            <w:r>
              <w:rPr>
                <w:sz w:val="21"/>
                <w:szCs w:val="21"/>
              </w:rPr>
              <w:t>92</w:t>
            </w:r>
          </w:p>
        </w:tc>
        <w:tc>
          <w:tcPr>
            <w:tcW w:w="992" w:type="dxa"/>
            <w:vAlign w:val="center"/>
          </w:tcPr>
          <w:p>
            <w:pPr>
              <w:spacing w:line="240" w:lineRule="auto"/>
              <w:ind w:left="-120" w:firstLine="0" w:firstLineChars="0"/>
              <w:jc w:val="center"/>
              <w:rPr>
                <w:sz w:val="21"/>
                <w:szCs w:val="21"/>
              </w:rPr>
            </w:pPr>
            <w:r>
              <w:rPr>
                <w:sz w:val="21"/>
                <w:szCs w:val="21"/>
              </w:rPr>
              <w:t>260</w:t>
            </w:r>
          </w:p>
        </w:tc>
        <w:tc>
          <w:tcPr>
            <w:tcW w:w="1134" w:type="dxa"/>
            <w:vAlign w:val="center"/>
          </w:tcPr>
          <w:p>
            <w:pPr>
              <w:spacing w:line="240" w:lineRule="auto"/>
              <w:ind w:left="-120" w:firstLine="0" w:firstLineChars="0"/>
              <w:jc w:val="center"/>
              <w:rPr>
                <w:sz w:val="21"/>
                <w:szCs w:val="21"/>
              </w:rPr>
            </w:pPr>
            <w:r>
              <w:rPr>
                <w:sz w:val="21"/>
                <w:szCs w:val="21"/>
              </w:rPr>
              <w:t>211</w:t>
            </w:r>
          </w:p>
        </w:tc>
        <w:tc>
          <w:tcPr>
            <w:tcW w:w="907" w:type="dxa"/>
            <w:vAlign w:val="center"/>
          </w:tcPr>
          <w:p>
            <w:pPr>
              <w:spacing w:line="240" w:lineRule="auto"/>
              <w:ind w:left="-120" w:firstLine="0" w:firstLineChars="0"/>
              <w:jc w:val="center"/>
              <w:rPr>
                <w:sz w:val="21"/>
                <w:szCs w:val="21"/>
              </w:rPr>
            </w:pPr>
            <w:r>
              <w:rPr>
                <w:sz w:val="21"/>
                <w:szCs w:val="21"/>
              </w:rPr>
              <w:t>663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37</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2-氯酚</w:t>
            </w:r>
          </w:p>
        </w:tc>
        <w:tc>
          <w:tcPr>
            <w:tcW w:w="1134" w:type="dxa"/>
            <w:vAlign w:val="center"/>
          </w:tcPr>
          <w:p>
            <w:pPr>
              <w:spacing w:line="240" w:lineRule="auto"/>
              <w:ind w:left="-120" w:firstLine="0" w:firstLineChars="0"/>
              <w:jc w:val="center"/>
              <w:rPr>
                <w:sz w:val="21"/>
                <w:szCs w:val="21"/>
              </w:rPr>
            </w:pPr>
            <w:r>
              <w:rPr>
                <w:sz w:val="21"/>
                <w:szCs w:val="21"/>
              </w:rPr>
              <w:t>95-57-8</w:t>
            </w:r>
          </w:p>
        </w:tc>
        <w:tc>
          <w:tcPr>
            <w:tcW w:w="1276" w:type="dxa"/>
            <w:gridSpan w:val="2"/>
            <w:vAlign w:val="center"/>
          </w:tcPr>
          <w:p>
            <w:pPr>
              <w:spacing w:line="240" w:lineRule="auto"/>
              <w:ind w:left="-120" w:firstLine="0" w:firstLineChars="0"/>
              <w:jc w:val="center"/>
              <w:rPr>
                <w:sz w:val="21"/>
                <w:szCs w:val="21"/>
              </w:rPr>
            </w:pPr>
            <w:r>
              <w:rPr>
                <w:sz w:val="21"/>
                <w:szCs w:val="21"/>
              </w:rPr>
              <w:t>250</w:t>
            </w:r>
          </w:p>
        </w:tc>
        <w:tc>
          <w:tcPr>
            <w:tcW w:w="992" w:type="dxa"/>
            <w:vAlign w:val="center"/>
          </w:tcPr>
          <w:p>
            <w:pPr>
              <w:spacing w:line="240" w:lineRule="auto"/>
              <w:ind w:left="-120" w:firstLine="0" w:firstLineChars="0"/>
              <w:jc w:val="center"/>
              <w:rPr>
                <w:sz w:val="21"/>
                <w:szCs w:val="21"/>
              </w:rPr>
            </w:pPr>
            <w:r>
              <w:rPr>
                <w:sz w:val="21"/>
                <w:szCs w:val="21"/>
              </w:rPr>
              <w:t>2256</w:t>
            </w:r>
          </w:p>
        </w:tc>
        <w:tc>
          <w:tcPr>
            <w:tcW w:w="1134" w:type="dxa"/>
            <w:vAlign w:val="center"/>
          </w:tcPr>
          <w:p>
            <w:pPr>
              <w:spacing w:line="240" w:lineRule="auto"/>
              <w:ind w:left="-120" w:firstLine="0" w:firstLineChars="0"/>
              <w:jc w:val="center"/>
              <w:rPr>
                <w:sz w:val="21"/>
                <w:szCs w:val="21"/>
              </w:rPr>
            </w:pPr>
            <w:r>
              <w:rPr>
                <w:sz w:val="21"/>
                <w:szCs w:val="21"/>
              </w:rPr>
              <w:t>500</w:t>
            </w:r>
          </w:p>
        </w:tc>
        <w:tc>
          <w:tcPr>
            <w:tcW w:w="907" w:type="dxa"/>
            <w:vAlign w:val="center"/>
          </w:tcPr>
          <w:p>
            <w:pPr>
              <w:spacing w:line="240" w:lineRule="auto"/>
              <w:ind w:left="-120" w:firstLine="0" w:firstLineChars="0"/>
              <w:jc w:val="center"/>
              <w:rPr>
                <w:sz w:val="21"/>
                <w:szCs w:val="21"/>
              </w:rPr>
            </w:pPr>
            <w:r>
              <w:rPr>
                <w:sz w:val="21"/>
                <w:szCs w:val="21"/>
              </w:rPr>
              <w:t>4500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38</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苯并[a]蒽</w:t>
            </w:r>
          </w:p>
        </w:tc>
        <w:tc>
          <w:tcPr>
            <w:tcW w:w="1134" w:type="dxa"/>
            <w:vAlign w:val="center"/>
          </w:tcPr>
          <w:p>
            <w:pPr>
              <w:spacing w:line="240" w:lineRule="auto"/>
              <w:ind w:left="-120" w:firstLine="0" w:firstLineChars="0"/>
              <w:jc w:val="center"/>
              <w:rPr>
                <w:sz w:val="21"/>
                <w:szCs w:val="21"/>
              </w:rPr>
            </w:pPr>
            <w:r>
              <w:rPr>
                <w:sz w:val="21"/>
                <w:szCs w:val="21"/>
              </w:rPr>
              <w:t>56-55-3</w:t>
            </w:r>
          </w:p>
        </w:tc>
        <w:tc>
          <w:tcPr>
            <w:tcW w:w="1276" w:type="dxa"/>
            <w:gridSpan w:val="2"/>
            <w:vAlign w:val="center"/>
          </w:tcPr>
          <w:p>
            <w:pPr>
              <w:spacing w:line="240" w:lineRule="auto"/>
              <w:ind w:left="-120" w:firstLine="0" w:firstLineChars="0"/>
              <w:jc w:val="center"/>
              <w:rPr>
                <w:sz w:val="21"/>
                <w:szCs w:val="21"/>
              </w:rPr>
            </w:pPr>
            <w:r>
              <w:rPr>
                <w:sz w:val="21"/>
                <w:szCs w:val="21"/>
              </w:rPr>
              <w:t>5.5</w:t>
            </w:r>
          </w:p>
        </w:tc>
        <w:tc>
          <w:tcPr>
            <w:tcW w:w="992" w:type="dxa"/>
            <w:vAlign w:val="center"/>
          </w:tcPr>
          <w:p>
            <w:pPr>
              <w:spacing w:line="240" w:lineRule="auto"/>
              <w:ind w:left="-120" w:firstLine="0" w:firstLineChars="0"/>
              <w:jc w:val="center"/>
              <w:rPr>
                <w:sz w:val="21"/>
                <w:szCs w:val="21"/>
              </w:rPr>
            </w:pPr>
            <w:r>
              <w:rPr>
                <w:sz w:val="21"/>
                <w:szCs w:val="21"/>
              </w:rPr>
              <w:t>15</w:t>
            </w:r>
          </w:p>
        </w:tc>
        <w:tc>
          <w:tcPr>
            <w:tcW w:w="1134" w:type="dxa"/>
            <w:vAlign w:val="center"/>
          </w:tcPr>
          <w:p>
            <w:pPr>
              <w:spacing w:line="240" w:lineRule="auto"/>
              <w:ind w:left="-120" w:firstLine="0" w:firstLineChars="0"/>
              <w:jc w:val="center"/>
              <w:rPr>
                <w:sz w:val="21"/>
                <w:szCs w:val="21"/>
              </w:rPr>
            </w:pPr>
            <w:r>
              <w:rPr>
                <w:sz w:val="21"/>
                <w:szCs w:val="21"/>
              </w:rPr>
              <w:t>55</w:t>
            </w:r>
          </w:p>
        </w:tc>
        <w:tc>
          <w:tcPr>
            <w:tcW w:w="907" w:type="dxa"/>
            <w:vAlign w:val="center"/>
          </w:tcPr>
          <w:p>
            <w:pPr>
              <w:spacing w:line="240" w:lineRule="auto"/>
              <w:ind w:left="-120" w:firstLine="0" w:firstLineChars="0"/>
              <w:jc w:val="center"/>
              <w:rPr>
                <w:sz w:val="21"/>
                <w:szCs w:val="21"/>
              </w:rPr>
            </w:pPr>
            <w:r>
              <w:rPr>
                <w:sz w:val="21"/>
                <w:szCs w:val="21"/>
              </w:rPr>
              <w:t>151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39</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苯并[a]芘</w:t>
            </w:r>
          </w:p>
        </w:tc>
        <w:tc>
          <w:tcPr>
            <w:tcW w:w="1134" w:type="dxa"/>
            <w:vAlign w:val="center"/>
          </w:tcPr>
          <w:p>
            <w:pPr>
              <w:spacing w:line="240" w:lineRule="auto"/>
              <w:ind w:left="-120" w:firstLine="0" w:firstLineChars="0"/>
              <w:jc w:val="center"/>
              <w:rPr>
                <w:sz w:val="21"/>
                <w:szCs w:val="21"/>
              </w:rPr>
            </w:pPr>
            <w:r>
              <w:rPr>
                <w:sz w:val="21"/>
                <w:szCs w:val="21"/>
              </w:rPr>
              <w:t>50-32-8</w:t>
            </w:r>
          </w:p>
        </w:tc>
        <w:tc>
          <w:tcPr>
            <w:tcW w:w="1276" w:type="dxa"/>
            <w:gridSpan w:val="2"/>
            <w:vAlign w:val="center"/>
          </w:tcPr>
          <w:p>
            <w:pPr>
              <w:spacing w:line="240" w:lineRule="auto"/>
              <w:ind w:left="-120" w:firstLine="0" w:firstLineChars="0"/>
              <w:jc w:val="center"/>
              <w:rPr>
                <w:sz w:val="21"/>
                <w:szCs w:val="21"/>
              </w:rPr>
            </w:pPr>
            <w:r>
              <w:rPr>
                <w:sz w:val="21"/>
                <w:szCs w:val="21"/>
              </w:rPr>
              <w:t>0.55</w:t>
            </w:r>
          </w:p>
        </w:tc>
        <w:tc>
          <w:tcPr>
            <w:tcW w:w="992" w:type="dxa"/>
            <w:vAlign w:val="center"/>
          </w:tcPr>
          <w:p>
            <w:pPr>
              <w:spacing w:line="240" w:lineRule="auto"/>
              <w:ind w:left="-120" w:firstLine="0" w:firstLineChars="0"/>
              <w:jc w:val="center"/>
              <w:rPr>
                <w:sz w:val="21"/>
                <w:szCs w:val="21"/>
              </w:rPr>
            </w:pPr>
            <w:r>
              <w:rPr>
                <w:sz w:val="21"/>
                <w:szCs w:val="21"/>
              </w:rPr>
              <w:t>1.5</w:t>
            </w:r>
          </w:p>
        </w:tc>
        <w:tc>
          <w:tcPr>
            <w:tcW w:w="1134" w:type="dxa"/>
            <w:vAlign w:val="center"/>
          </w:tcPr>
          <w:p>
            <w:pPr>
              <w:spacing w:line="240" w:lineRule="auto"/>
              <w:ind w:left="-120" w:firstLine="0" w:firstLineChars="0"/>
              <w:jc w:val="center"/>
              <w:rPr>
                <w:sz w:val="21"/>
                <w:szCs w:val="21"/>
              </w:rPr>
            </w:pPr>
            <w:r>
              <w:rPr>
                <w:sz w:val="21"/>
                <w:szCs w:val="21"/>
              </w:rPr>
              <w:t>5.5</w:t>
            </w:r>
          </w:p>
        </w:tc>
        <w:tc>
          <w:tcPr>
            <w:tcW w:w="907" w:type="dxa"/>
            <w:vAlign w:val="center"/>
          </w:tcPr>
          <w:p>
            <w:pPr>
              <w:spacing w:line="240" w:lineRule="auto"/>
              <w:ind w:left="-120" w:firstLine="0" w:firstLineChars="0"/>
              <w:jc w:val="center"/>
              <w:rPr>
                <w:sz w:val="21"/>
                <w:szCs w:val="21"/>
              </w:rPr>
            </w:pPr>
            <w:r>
              <w:rPr>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40</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苯并[b]荧蒽</w:t>
            </w:r>
          </w:p>
        </w:tc>
        <w:tc>
          <w:tcPr>
            <w:tcW w:w="1134" w:type="dxa"/>
            <w:vAlign w:val="center"/>
          </w:tcPr>
          <w:p>
            <w:pPr>
              <w:spacing w:line="240" w:lineRule="auto"/>
              <w:ind w:left="-120" w:firstLine="0" w:firstLineChars="0"/>
              <w:jc w:val="center"/>
              <w:rPr>
                <w:sz w:val="21"/>
                <w:szCs w:val="21"/>
              </w:rPr>
            </w:pPr>
            <w:r>
              <w:rPr>
                <w:sz w:val="21"/>
                <w:szCs w:val="21"/>
              </w:rPr>
              <w:t>205-99-2</w:t>
            </w:r>
          </w:p>
        </w:tc>
        <w:tc>
          <w:tcPr>
            <w:tcW w:w="1276" w:type="dxa"/>
            <w:gridSpan w:val="2"/>
            <w:vAlign w:val="center"/>
          </w:tcPr>
          <w:p>
            <w:pPr>
              <w:spacing w:line="240" w:lineRule="auto"/>
              <w:ind w:left="-120" w:firstLine="0" w:firstLineChars="0"/>
              <w:jc w:val="center"/>
              <w:rPr>
                <w:sz w:val="21"/>
                <w:szCs w:val="21"/>
              </w:rPr>
            </w:pPr>
            <w:r>
              <w:rPr>
                <w:sz w:val="21"/>
                <w:szCs w:val="21"/>
              </w:rPr>
              <w:t>5.5</w:t>
            </w:r>
          </w:p>
        </w:tc>
        <w:tc>
          <w:tcPr>
            <w:tcW w:w="992" w:type="dxa"/>
            <w:vAlign w:val="center"/>
          </w:tcPr>
          <w:p>
            <w:pPr>
              <w:spacing w:line="240" w:lineRule="auto"/>
              <w:ind w:left="-120" w:firstLine="0" w:firstLineChars="0"/>
              <w:jc w:val="center"/>
              <w:rPr>
                <w:sz w:val="21"/>
                <w:szCs w:val="21"/>
              </w:rPr>
            </w:pPr>
            <w:r>
              <w:rPr>
                <w:sz w:val="21"/>
                <w:szCs w:val="21"/>
              </w:rPr>
              <w:t>15</w:t>
            </w:r>
          </w:p>
        </w:tc>
        <w:tc>
          <w:tcPr>
            <w:tcW w:w="1134" w:type="dxa"/>
            <w:vAlign w:val="center"/>
          </w:tcPr>
          <w:p>
            <w:pPr>
              <w:spacing w:line="240" w:lineRule="auto"/>
              <w:ind w:left="-120" w:firstLine="0" w:firstLineChars="0"/>
              <w:jc w:val="center"/>
              <w:rPr>
                <w:sz w:val="21"/>
                <w:szCs w:val="21"/>
              </w:rPr>
            </w:pPr>
            <w:r>
              <w:rPr>
                <w:sz w:val="21"/>
                <w:szCs w:val="21"/>
              </w:rPr>
              <w:t>55</w:t>
            </w:r>
          </w:p>
        </w:tc>
        <w:tc>
          <w:tcPr>
            <w:tcW w:w="907" w:type="dxa"/>
            <w:vAlign w:val="center"/>
          </w:tcPr>
          <w:p>
            <w:pPr>
              <w:spacing w:line="240" w:lineRule="auto"/>
              <w:ind w:left="-120" w:firstLine="0" w:firstLineChars="0"/>
              <w:jc w:val="center"/>
              <w:rPr>
                <w:sz w:val="21"/>
                <w:szCs w:val="21"/>
              </w:rPr>
            </w:pPr>
            <w:r>
              <w:rPr>
                <w:sz w:val="21"/>
                <w:szCs w:val="21"/>
              </w:rPr>
              <w:t>151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41</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苯并[k]荧蒽</w:t>
            </w:r>
          </w:p>
        </w:tc>
        <w:tc>
          <w:tcPr>
            <w:tcW w:w="1134" w:type="dxa"/>
            <w:vAlign w:val="center"/>
          </w:tcPr>
          <w:p>
            <w:pPr>
              <w:spacing w:line="240" w:lineRule="auto"/>
              <w:ind w:left="-120" w:firstLine="0" w:firstLineChars="0"/>
              <w:jc w:val="center"/>
              <w:rPr>
                <w:sz w:val="21"/>
                <w:szCs w:val="21"/>
              </w:rPr>
            </w:pPr>
            <w:r>
              <w:rPr>
                <w:sz w:val="21"/>
                <w:szCs w:val="21"/>
              </w:rPr>
              <w:t>207-08-9</w:t>
            </w:r>
          </w:p>
        </w:tc>
        <w:tc>
          <w:tcPr>
            <w:tcW w:w="1276" w:type="dxa"/>
            <w:gridSpan w:val="2"/>
            <w:vAlign w:val="center"/>
          </w:tcPr>
          <w:p>
            <w:pPr>
              <w:spacing w:line="240" w:lineRule="auto"/>
              <w:ind w:left="-120" w:firstLine="0" w:firstLineChars="0"/>
              <w:jc w:val="center"/>
              <w:rPr>
                <w:sz w:val="21"/>
                <w:szCs w:val="21"/>
              </w:rPr>
            </w:pPr>
            <w:r>
              <w:rPr>
                <w:sz w:val="21"/>
                <w:szCs w:val="21"/>
              </w:rPr>
              <w:t>55</w:t>
            </w:r>
          </w:p>
        </w:tc>
        <w:tc>
          <w:tcPr>
            <w:tcW w:w="992" w:type="dxa"/>
            <w:vAlign w:val="center"/>
          </w:tcPr>
          <w:p>
            <w:pPr>
              <w:spacing w:line="240" w:lineRule="auto"/>
              <w:ind w:left="-120" w:firstLine="0" w:firstLineChars="0"/>
              <w:jc w:val="center"/>
              <w:rPr>
                <w:sz w:val="21"/>
                <w:szCs w:val="21"/>
              </w:rPr>
            </w:pPr>
            <w:r>
              <w:rPr>
                <w:sz w:val="21"/>
                <w:szCs w:val="21"/>
              </w:rPr>
              <w:t>151</w:t>
            </w:r>
          </w:p>
        </w:tc>
        <w:tc>
          <w:tcPr>
            <w:tcW w:w="1134" w:type="dxa"/>
            <w:vAlign w:val="center"/>
          </w:tcPr>
          <w:p>
            <w:pPr>
              <w:spacing w:line="240" w:lineRule="auto"/>
              <w:ind w:left="-120" w:firstLine="0" w:firstLineChars="0"/>
              <w:jc w:val="center"/>
              <w:rPr>
                <w:sz w:val="21"/>
                <w:szCs w:val="21"/>
              </w:rPr>
            </w:pPr>
            <w:r>
              <w:rPr>
                <w:sz w:val="21"/>
                <w:szCs w:val="21"/>
              </w:rPr>
              <w:t>550</w:t>
            </w:r>
          </w:p>
        </w:tc>
        <w:tc>
          <w:tcPr>
            <w:tcW w:w="907" w:type="dxa"/>
            <w:vAlign w:val="center"/>
          </w:tcPr>
          <w:p>
            <w:pPr>
              <w:spacing w:line="240" w:lineRule="auto"/>
              <w:ind w:left="-120" w:firstLine="0" w:firstLineChars="0"/>
              <w:jc w:val="center"/>
              <w:rPr>
                <w:sz w:val="21"/>
                <w:szCs w:val="21"/>
              </w:rPr>
            </w:pPr>
            <w:r>
              <w:rPr>
                <w:sz w:val="21"/>
                <w:szCs w:val="21"/>
              </w:rPr>
              <w:t>1500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42</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䓛</w:t>
            </w:r>
          </w:p>
        </w:tc>
        <w:tc>
          <w:tcPr>
            <w:tcW w:w="1134" w:type="dxa"/>
            <w:vAlign w:val="center"/>
          </w:tcPr>
          <w:p>
            <w:pPr>
              <w:spacing w:line="240" w:lineRule="auto"/>
              <w:ind w:left="-120" w:firstLine="0" w:firstLineChars="0"/>
              <w:jc w:val="center"/>
              <w:rPr>
                <w:sz w:val="21"/>
                <w:szCs w:val="21"/>
              </w:rPr>
            </w:pPr>
            <w:r>
              <w:rPr>
                <w:sz w:val="21"/>
                <w:szCs w:val="21"/>
              </w:rPr>
              <w:t>218-01-9</w:t>
            </w:r>
          </w:p>
        </w:tc>
        <w:tc>
          <w:tcPr>
            <w:tcW w:w="1276" w:type="dxa"/>
            <w:gridSpan w:val="2"/>
            <w:vAlign w:val="center"/>
          </w:tcPr>
          <w:p>
            <w:pPr>
              <w:spacing w:line="240" w:lineRule="auto"/>
              <w:ind w:left="-120" w:firstLine="0" w:firstLineChars="0"/>
              <w:jc w:val="center"/>
              <w:rPr>
                <w:sz w:val="21"/>
                <w:szCs w:val="21"/>
              </w:rPr>
            </w:pPr>
            <w:r>
              <w:rPr>
                <w:sz w:val="21"/>
                <w:szCs w:val="21"/>
              </w:rPr>
              <w:t>490</w:t>
            </w:r>
          </w:p>
        </w:tc>
        <w:tc>
          <w:tcPr>
            <w:tcW w:w="992" w:type="dxa"/>
            <w:vAlign w:val="center"/>
          </w:tcPr>
          <w:p>
            <w:pPr>
              <w:spacing w:line="240" w:lineRule="auto"/>
              <w:ind w:left="-120" w:firstLine="0" w:firstLineChars="0"/>
              <w:jc w:val="center"/>
              <w:rPr>
                <w:sz w:val="21"/>
                <w:szCs w:val="21"/>
              </w:rPr>
            </w:pPr>
            <w:r>
              <w:rPr>
                <w:sz w:val="21"/>
                <w:szCs w:val="21"/>
              </w:rPr>
              <w:t>1293</w:t>
            </w:r>
          </w:p>
        </w:tc>
        <w:tc>
          <w:tcPr>
            <w:tcW w:w="1134" w:type="dxa"/>
            <w:vAlign w:val="center"/>
          </w:tcPr>
          <w:p>
            <w:pPr>
              <w:spacing w:line="240" w:lineRule="auto"/>
              <w:ind w:left="-120" w:firstLine="0" w:firstLineChars="0"/>
              <w:jc w:val="center"/>
              <w:rPr>
                <w:sz w:val="21"/>
                <w:szCs w:val="21"/>
              </w:rPr>
            </w:pPr>
            <w:r>
              <w:rPr>
                <w:sz w:val="21"/>
                <w:szCs w:val="21"/>
              </w:rPr>
              <w:t>4900</w:t>
            </w:r>
          </w:p>
        </w:tc>
        <w:tc>
          <w:tcPr>
            <w:tcW w:w="907" w:type="dxa"/>
            <w:vAlign w:val="center"/>
          </w:tcPr>
          <w:p>
            <w:pPr>
              <w:spacing w:line="240" w:lineRule="auto"/>
              <w:ind w:left="-120" w:firstLine="0" w:firstLineChars="0"/>
              <w:jc w:val="center"/>
              <w:rPr>
                <w:sz w:val="21"/>
                <w:szCs w:val="21"/>
              </w:rPr>
            </w:pPr>
            <w:r>
              <w:rPr>
                <w:sz w:val="21"/>
                <w:szCs w:val="21"/>
              </w:rPr>
              <w:t>12900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43</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二苯并[a，h]蒽</w:t>
            </w:r>
          </w:p>
        </w:tc>
        <w:tc>
          <w:tcPr>
            <w:tcW w:w="1134" w:type="dxa"/>
            <w:vAlign w:val="center"/>
          </w:tcPr>
          <w:p>
            <w:pPr>
              <w:spacing w:line="240" w:lineRule="auto"/>
              <w:ind w:left="-120" w:firstLine="0" w:firstLineChars="0"/>
              <w:jc w:val="center"/>
              <w:rPr>
                <w:sz w:val="21"/>
                <w:szCs w:val="21"/>
              </w:rPr>
            </w:pPr>
            <w:r>
              <w:rPr>
                <w:sz w:val="21"/>
                <w:szCs w:val="21"/>
              </w:rPr>
              <w:t>53-70-3</w:t>
            </w:r>
          </w:p>
        </w:tc>
        <w:tc>
          <w:tcPr>
            <w:tcW w:w="1276" w:type="dxa"/>
            <w:gridSpan w:val="2"/>
            <w:vAlign w:val="center"/>
          </w:tcPr>
          <w:p>
            <w:pPr>
              <w:spacing w:line="240" w:lineRule="auto"/>
              <w:ind w:left="-120" w:firstLine="0" w:firstLineChars="0"/>
              <w:jc w:val="center"/>
              <w:rPr>
                <w:sz w:val="21"/>
                <w:szCs w:val="21"/>
              </w:rPr>
            </w:pPr>
            <w:r>
              <w:rPr>
                <w:sz w:val="21"/>
                <w:szCs w:val="21"/>
              </w:rPr>
              <w:t>0.55</w:t>
            </w:r>
          </w:p>
        </w:tc>
        <w:tc>
          <w:tcPr>
            <w:tcW w:w="992" w:type="dxa"/>
            <w:vAlign w:val="center"/>
          </w:tcPr>
          <w:p>
            <w:pPr>
              <w:spacing w:line="240" w:lineRule="auto"/>
              <w:ind w:left="-120" w:firstLine="0" w:firstLineChars="0"/>
              <w:jc w:val="center"/>
              <w:rPr>
                <w:sz w:val="21"/>
                <w:szCs w:val="21"/>
              </w:rPr>
            </w:pPr>
            <w:r>
              <w:rPr>
                <w:sz w:val="21"/>
                <w:szCs w:val="21"/>
              </w:rPr>
              <w:t>1.5</w:t>
            </w:r>
          </w:p>
        </w:tc>
        <w:tc>
          <w:tcPr>
            <w:tcW w:w="1134" w:type="dxa"/>
            <w:vAlign w:val="center"/>
          </w:tcPr>
          <w:p>
            <w:pPr>
              <w:spacing w:line="240" w:lineRule="auto"/>
              <w:ind w:left="-120" w:firstLine="0" w:firstLineChars="0"/>
              <w:jc w:val="center"/>
              <w:rPr>
                <w:sz w:val="21"/>
                <w:szCs w:val="21"/>
              </w:rPr>
            </w:pPr>
            <w:r>
              <w:rPr>
                <w:sz w:val="21"/>
                <w:szCs w:val="21"/>
              </w:rPr>
              <w:t>5.5</w:t>
            </w:r>
          </w:p>
        </w:tc>
        <w:tc>
          <w:tcPr>
            <w:tcW w:w="907" w:type="dxa"/>
            <w:vAlign w:val="center"/>
          </w:tcPr>
          <w:p>
            <w:pPr>
              <w:spacing w:line="240" w:lineRule="auto"/>
              <w:ind w:left="-120" w:firstLine="0" w:firstLineChars="0"/>
              <w:jc w:val="center"/>
              <w:rPr>
                <w:sz w:val="21"/>
                <w:szCs w:val="21"/>
              </w:rPr>
            </w:pPr>
            <w:r>
              <w:rPr>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44</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茚并[1，2，3-cd]芘</w:t>
            </w:r>
          </w:p>
        </w:tc>
        <w:tc>
          <w:tcPr>
            <w:tcW w:w="1134" w:type="dxa"/>
            <w:vAlign w:val="center"/>
          </w:tcPr>
          <w:p>
            <w:pPr>
              <w:spacing w:line="240" w:lineRule="auto"/>
              <w:ind w:left="-120" w:firstLine="0" w:firstLineChars="0"/>
              <w:jc w:val="center"/>
              <w:rPr>
                <w:sz w:val="21"/>
                <w:szCs w:val="21"/>
              </w:rPr>
            </w:pPr>
            <w:r>
              <w:rPr>
                <w:sz w:val="21"/>
                <w:szCs w:val="21"/>
              </w:rPr>
              <w:t>193-39-5</w:t>
            </w:r>
          </w:p>
        </w:tc>
        <w:tc>
          <w:tcPr>
            <w:tcW w:w="1276" w:type="dxa"/>
            <w:gridSpan w:val="2"/>
            <w:vAlign w:val="center"/>
          </w:tcPr>
          <w:p>
            <w:pPr>
              <w:spacing w:line="240" w:lineRule="auto"/>
              <w:ind w:left="-120" w:firstLine="0" w:firstLineChars="0"/>
              <w:jc w:val="center"/>
              <w:rPr>
                <w:sz w:val="21"/>
                <w:szCs w:val="21"/>
              </w:rPr>
            </w:pPr>
            <w:r>
              <w:rPr>
                <w:sz w:val="21"/>
                <w:szCs w:val="21"/>
              </w:rPr>
              <w:t>55</w:t>
            </w:r>
          </w:p>
        </w:tc>
        <w:tc>
          <w:tcPr>
            <w:tcW w:w="992" w:type="dxa"/>
            <w:vAlign w:val="center"/>
          </w:tcPr>
          <w:p>
            <w:pPr>
              <w:spacing w:line="240" w:lineRule="auto"/>
              <w:ind w:left="-120" w:firstLine="0" w:firstLineChars="0"/>
              <w:jc w:val="center"/>
              <w:rPr>
                <w:sz w:val="21"/>
                <w:szCs w:val="21"/>
              </w:rPr>
            </w:pPr>
            <w:r>
              <w:rPr>
                <w:sz w:val="21"/>
                <w:szCs w:val="21"/>
              </w:rPr>
              <w:t>15</w:t>
            </w:r>
          </w:p>
        </w:tc>
        <w:tc>
          <w:tcPr>
            <w:tcW w:w="1134" w:type="dxa"/>
            <w:vAlign w:val="center"/>
          </w:tcPr>
          <w:p>
            <w:pPr>
              <w:spacing w:line="240" w:lineRule="auto"/>
              <w:ind w:left="-120" w:firstLine="0" w:firstLineChars="0"/>
              <w:jc w:val="center"/>
              <w:rPr>
                <w:sz w:val="21"/>
                <w:szCs w:val="21"/>
              </w:rPr>
            </w:pPr>
            <w:r>
              <w:rPr>
                <w:sz w:val="21"/>
                <w:szCs w:val="21"/>
              </w:rPr>
              <w:t>55</w:t>
            </w:r>
          </w:p>
        </w:tc>
        <w:tc>
          <w:tcPr>
            <w:tcW w:w="907" w:type="dxa"/>
            <w:vAlign w:val="center"/>
          </w:tcPr>
          <w:p>
            <w:pPr>
              <w:spacing w:line="240" w:lineRule="auto"/>
              <w:ind w:left="-120" w:firstLine="0" w:firstLineChars="0"/>
              <w:jc w:val="center"/>
              <w:rPr>
                <w:sz w:val="21"/>
                <w:szCs w:val="21"/>
              </w:rPr>
            </w:pPr>
            <w:r>
              <w:rPr>
                <w:sz w:val="21"/>
                <w:szCs w:val="21"/>
              </w:rPr>
              <w:t>151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left="-120" w:firstLine="0" w:firstLineChars="0"/>
              <w:jc w:val="center"/>
              <w:rPr>
                <w:sz w:val="21"/>
                <w:szCs w:val="21"/>
              </w:rPr>
            </w:pPr>
            <w:r>
              <w:rPr>
                <w:sz w:val="21"/>
                <w:szCs w:val="21"/>
              </w:rPr>
              <w:t>45</w:t>
            </w:r>
          </w:p>
        </w:tc>
        <w:tc>
          <w:tcPr>
            <w:tcW w:w="2268" w:type="dxa"/>
            <w:vAlign w:val="center"/>
          </w:tcPr>
          <w:p>
            <w:pPr>
              <w:widowControl/>
              <w:tabs>
                <w:tab w:val="left" w:pos="480"/>
              </w:tabs>
              <w:spacing w:line="240" w:lineRule="auto"/>
              <w:ind w:left="-120" w:firstLine="0" w:firstLineChars="0"/>
              <w:jc w:val="center"/>
              <w:rPr>
                <w:sz w:val="21"/>
                <w:szCs w:val="21"/>
              </w:rPr>
            </w:pPr>
            <w:r>
              <w:rPr>
                <w:sz w:val="21"/>
                <w:szCs w:val="21"/>
              </w:rPr>
              <w:t>萘</w:t>
            </w:r>
          </w:p>
        </w:tc>
        <w:tc>
          <w:tcPr>
            <w:tcW w:w="1134" w:type="dxa"/>
            <w:vAlign w:val="center"/>
          </w:tcPr>
          <w:p>
            <w:pPr>
              <w:spacing w:line="240" w:lineRule="auto"/>
              <w:ind w:left="-120" w:firstLine="0" w:firstLineChars="0"/>
              <w:jc w:val="center"/>
              <w:rPr>
                <w:sz w:val="21"/>
                <w:szCs w:val="21"/>
              </w:rPr>
            </w:pPr>
            <w:r>
              <w:rPr>
                <w:sz w:val="21"/>
                <w:szCs w:val="21"/>
              </w:rPr>
              <w:t>91-20-3</w:t>
            </w:r>
          </w:p>
        </w:tc>
        <w:tc>
          <w:tcPr>
            <w:tcW w:w="1276" w:type="dxa"/>
            <w:gridSpan w:val="2"/>
            <w:vAlign w:val="center"/>
          </w:tcPr>
          <w:p>
            <w:pPr>
              <w:spacing w:line="240" w:lineRule="auto"/>
              <w:ind w:left="-120" w:firstLine="0" w:firstLineChars="0"/>
              <w:jc w:val="center"/>
              <w:rPr>
                <w:sz w:val="21"/>
                <w:szCs w:val="21"/>
              </w:rPr>
            </w:pPr>
            <w:r>
              <w:rPr>
                <w:sz w:val="21"/>
                <w:szCs w:val="21"/>
              </w:rPr>
              <w:t>25</w:t>
            </w:r>
          </w:p>
        </w:tc>
        <w:tc>
          <w:tcPr>
            <w:tcW w:w="992" w:type="dxa"/>
            <w:vAlign w:val="center"/>
          </w:tcPr>
          <w:p>
            <w:pPr>
              <w:spacing w:line="240" w:lineRule="auto"/>
              <w:ind w:left="-120" w:firstLine="0" w:firstLineChars="0"/>
              <w:jc w:val="center"/>
              <w:rPr>
                <w:sz w:val="21"/>
                <w:szCs w:val="21"/>
              </w:rPr>
            </w:pPr>
            <w:r>
              <w:rPr>
                <w:sz w:val="21"/>
                <w:szCs w:val="21"/>
              </w:rPr>
              <w:t>70</w:t>
            </w:r>
          </w:p>
        </w:tc>
        <w:tc>
          <w:tcPr>
            <w:tcW w:w="1134" w:type="dxa"/>
            <w:vAlign w:val="center"/>
          </w:tcPr>
          <w:p>
            <w:pPr>
              <w:spacing w:line="240" w:lineRule="auto"/>
              <w:ind w:left="-120" w:firstLine="0" w:firstLineChars="0"/>
              <w:jc w:val="center"/>
              <w:rPr>
                <w:sz w:val="21"/>
                <w:szCs w:val="21"/>
              </w:rPr>
            </w:pPr>
            <w:r>
              <w:rPr>
                <w:sz w:val="21"/>
                <w:szCs w:val="21"/>
              </w:rPr>
              <w:t>255</w:t>
            </w:r>
          </w:p>
        </w:tc>
        <w:tc>
          <w:tcPr>
            <w:tcW w:w="907" w:type="dxa"/>
            <w:vAlign w:val="center"/>
          </w:tcPr>
          <w:p>
            <w:pPr>
              <w:spacing w:line="240" w:lineRule="auto"/>
              <w:ind w:left="-120" w:firstLine="0" w:firstLineChars="0"/>
              <w:jc w:val="center"/>
              <w:rPr>
                <w:sz w:val="21"/>
                <w:szCs w:val="21"/>
              </w:rPr>
            </w:pPr>
            <w:r>
              <w:rPr>
                <w:sz w:val="21"/>
                <w:szCs w:val="21"/>
              </w:rPr>
              <w:t>700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8528" w:type="dxa"/>
            <w:gridSpan w:val="8"/>
            <w:vAlign w:val="center"/>
          </w:tcPr>
          <w:p>
            <w:pPr>
              <w:spacing w:line="240" w:lineRule="auto"/>
              <w:ind w:left="-120" w:firstLine="0" w:firstLineChars="0"/>
              <w:jc w:val="center"/>
              <w:rPr>
                <w:sz w:val="21"/>
                <w:szCs w:val="21"/>
              </w:rPr>
            </w:pPr>
            <w:r>
              <w:rPr>
                <w:sz w:val="21"/>
                <w:szCs w:val="21"/>
              </w:rPr>
              <w:t>注：</w:t>
            </w:r>
            <w:r>
              <w:rPr>
                <w:rFonts w:hint="eastAsia" w:ascii="宋体" w:hAnsi="宋体" w:cs="宋体"/>
                <w:sz w:val="21"/>
                <w:szCs w:val="21"/>
              </w:rPr>
              <w:t>①</w:t>
            </w:r>
            <w:r>
              <w:rPr>
                <w:sz w:val="21"/>
                <w:szCs w:val="21"/>
              </w:rPr>
              <w:t>具体地块土壤中污染物监测含量超过筛选值，但等于或者低于土壤环境背景值（见3.6）水平的，不纳入污染地块管理。土壤环境背景值可参见附录A。</w:t>
            </w:r>
          </w:p>
        </w:tc>
      </w:tr>
    </w:tbl>
    <w:p>
      <w:pPr>
        <w:pStyle w:val="43"/>
        <w:spacing w:before="156" w:beforeLines="50"/>
        <w:ind w:firstLine="210"/>
        <w:jc w:val="center"/>
        <w:rPr>
          <w:rFonts w:ascii="Times New Roman" w:hAnsi="Times New Roman"/>
          <w:sz w:val="21"/>
        </w:rPr>
      </w:pPr>
      <w:r>
        <w:rPr>
          <w:rFonts w:ascii="Times New Roman" w:hAnsi="Times New Roman"/>
          <w:sz w:val="21"/>
        </w:rPr>
        <w:t>表2.3-8  农用地土壤污染风险筛选值（基本项目）  单位：mg/kg</w:t>
      </w:r>
    </w:p>
    <w:tbl>
      <w:tblPr>
        <w:tblStyle w:val="45"/>
        <w:tblW w:w="87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6"/>
        <w:gridCol w:w="971"/>
        <w:gridCol w:w="920"/>
        <w:gridCol w:w="1335"/>
        <w:gridCol w:w="1829"/>
        <w:gridCol w:w="1710"/>
        <w:gridCol w:w="11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restart"/>
            <w:tcBorders>
              <w:tl2br w:val="nil"/>
              <w:tr2bl w:val="nil"/>
            </w:tcBorders>
            <w:noWrap/>
            <w:vAlign w:val="center"/>
          </w:tcPr>
          <w:p>
            <w:pPr>
              <w:spacing w:line="240" w:lineRule="auto"/>
              <w:ind w:left="-119" w:firstLine="0" w:firstLineChars="0"/>
              <w:jc w:val="center"/>
              <w:rPr>
                <w:b/>
                <w:sz w:val="21"/>
                <w:szCs w:val="21"/>
              </w:rPr>
            </w:pPr>
            <w:r>
              <w:rPr>
                <w:b/>
                <w:sz w:val="21"/>
                <w:szCs w:val="21"/>
              </w:rPr>
              <w:t>序号</w:t>
            </w:r>
          </w:p>
        </w:tc>
        <w:tc>
          <w:tcPr>
            <w:tcW w:w="1891" w:type="dxa"/>
            <w:gridSpan w:val="2"/>
            <w:vMerge w:val="restart"/>
            <w:tcBorders>
              <w:tl2br w:val="nil"/>
              <w:tr2bl w:val="nil"/>
            </w:tcBorders>
            <w:noWrap/>
            <w:vAlign w:val="center"/>
          </w:tcPr>
          <w:p>
            <w:pPr>
              <w:spacing w:line="240" w:lineRule="auto"/>
              <w:ind w:left="-119" w:firstLine="0" w:firstLineChars="0"/>
              <w:jc w:val="center"/>
              <w:rPr>
                <w:b/>
                <w:sz w:val="21"/>
                <w:szCs w:val="21"/>
              </w:rPr>
            </w:pPr>
            <w:r>
              <w:rPr>
                <w:b/>
                <w:sz w:val="21"/>
                <w:szCs w:val="21"/>
              </w:rPr>
              <w:t>污染物项目</w:t>
            </w:r>
            <w:r>
              <w:rPr>
                <w:rFonts w:hint="eastAsia" w:ascii="宋体" w:hAnsi="宋体" w:cs="宋体"/>
                <w:b/>
                <w:sz w:val="21"/>
                <w:szCs w:val="21"/>
                <w:vertAlign w:val="superscript"/>
              </w:rPr>
              <w:t>①②</w:t>
            </w:r>
          </w:p>
        </w:tc>
        <w:tc>
          <w:tcPr>
            <w:tcW w:w="6015" w:type="dxa"/>
            <w:gridSpan w:val="4"/>
            <w:tcBorders>
              <w:tl2br w:val="nil"/>
              <w:tr2bl w:val="nil"/>
            </w:tcBorders>
            <w:noWrap/>
            <w:vAlign w:val="center"/>
          </w:tcPr>
          <w:p>
            <w:pPr>
              <w:spacing w:line="240" w:lineRule="auto"/>
              <w:ind w:left="-119" w:firstLine="0" w:firstLineChars="0"/>
              <w:jc w:val="center"/>
              <w:rPr>
                <w:b/>
                <w:sz w:val="21"/>
                <w:szCs w:val="21"/>
              </w:rPr>
            </w:pPr>
            <w:r>
              <w:rPr>
                <w:b/>
                <w:sz w:val="21"/>
                <w:szCs w:val="21"/>
              </w:rPr>
              <w:t>风险筛选值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continue"/>
            <w:tcBorders>
              <w:tl2br w:val="nil"/>
              <w:tr2bl w:val="nil"/>
            </w:tcBorders>
            <w:noWrap/>
            <w:vAlign w:val="center"/>
          </w:tcPr>
          <w:p>
            <w:pPr>
              <w:spacing w:line="240" w:lineRule="auto"/>
              <w:ind w:left="-119" w:firstLine="0" w:firstLineChars="0"/>
              <w:jc w:val="center"/>
              <w:rPr>
                <w:b/>
                <w:sz w:val="21"/>
                <w:szCs w:val="21"/>
              </w:rPr>
            </w:pPr>
          </w:p>
        </w:tc>
        <w:tc>
          <w:tcPr>
            <w:tcW w:w="1891" w:type="dxa"/>
            <w:gridSpan w:val="2"/>
            <w:vMerge w:val="continue"/>
            <w:tcBorders>
              <w:tl2br w:val="nil"/>
              <w:tr2bl w:val="nil"/>
            </w:tcBorders>
            <w:noWrap/>
            <w:vAlign w:val="center"/>
          </w:tcPr>
          <w:p>
            <w:pPr>
              <w:spacing w:line="240" w:lineRule="auto"/>
              <w:ind w:left="-119" w:firstLine="0" w:firstLineChars="0"/>
              <w:jc w:val="center"/>
              <w:rPr>
                <w:b/>
                <w:sz w:val="21"/>
                <w:szCs w:val="21"/>
              </w:rPr>
            </w:pPr>
          </w:p>
        </w:tc>
        <w:tc>
          <w:tcPr>
            <w:tcW w:w="1335" w:type="dxa"/>
            <w:tcBorders>
              <w:tl2br w:val="nil"/>
              <w:tr2bl w:val="nil"/>
            </w:tcBorders>
            <w:noWrap/>
            <w:vAlign w:val="center"/>
          </w:tcPr>
          <w:p>
            <w:pPr>
              <w:spacing w:line="240" w:lineRule="auto"/>
              <w:ind w:left="-119" w:firstLine="0" w:firstLineChars="0"/>
              <w:jc w:val="center"/>
              <w:rPr>
                <w:b/>
                <w:sz w:val="21"/>
                <w:szCs w:val="21"/>
              </w:rPr>
            </w:pPr>
            <w:r>
              <w:rPr>
                <w:b/>
                <w:sz w:val="21"/>
                <w:szCs w:val="21"/>
              </w:rPr>
              <w:t>pH≤5.5</w:t>
            </w:r>
          </w:p>
        </w:tc>
        <w:tc>
          <w:tcPr>
            <w:tcW w:w="1829" w:type="dxa"/>
            <w:tcBorders>
              <w:tl2br w:val="nil"/>
              <w:tr2bl w:val="nil"/>
            </w:tcBorders>
            <w:noWrap/>
            <w:vAlign w:val="center"/>
          </w:tcPr>
          <w:p>
            <w:pPr>
              <w:spacing w:line="240" w:lineRule="auto"/>
              <w:ind w:left="-119" w:firstLine="0" w:firstLineChars="0"/>
              <w:jc w:val="center"/>
              <w:rPr>
                <w:b/>
                <w:sz w:val="21"/>
                <w:szCs w:val="21"/>
              </w:rPr>
            </w:pPr>
            <w:r>
              <w:rPr>
                <w:b/>
                <w:sz w:val="21"/>
                <w:szCs w:val="21"/>
              </w:rPr>
              <w:t>5.5＜pH≤6.5</w:t>
            </w:r>
          </w:p>
        </w:tc>
        <w:tc>
          <w:tcPr>
            <w:tcW w:w="1710" w:type="dxa"/>
            <w:tcBorders>
              <w:tl2br w:val="nil"/>
              <w:tr2bl w:val="nil"/>
            </w:tcBorders>
            <w:noWrap/>
            <w:vAlign w:val="center"/>
          </w:tcPr>
          <w:p>
            <w:pPr>
              <w:spacing w:line="240" w:lineRule="auto"/>
              <w:ind w:left="-119" w:firstLine="0" w:firstLineChars="0"/>
              <w:jc w:val="center"/>
              <w:rPr>
                <w:b/>
                <w:sz w:val="21"/>
                <w:szCs w:val="21"/>
              </w:rPr>
            </w:pPr>
            <w:r>
              <w:rPr>
                <w:b/>
                <w:sz w:val="21"/>
                <w:szCs w:val="21"/>
              </w:rPr>
              <w:t>6.5＜pH≤7.5</w:t>
            </w:r>
          </w:p>
        </w:tc>
        <w:tc>
          <w:tcPr>
            <w:tcW w:w="1141" w:type="dxa"/>
            <w:tcBorders>
              <w:tl2br w:val="nil"/>
              <w:tr2bl w:val="nil"/>
            </w:tcBorders>
            <w:noWrap/>
            <w:vAlign w:val="center"/>
          </w:tcPr>
          <w:p>
            <w:pPr>
              <w:spacing w:line="240" w:lineRule="auto"/>
              <w:ind w:left="-119" w:firstLine="0" w:firstLineChars="0"/>
              <w:jc w:val="center"/>
              <w:rPr>
                <w:b/>
                <w:sz w:val="21"/>
                <w:szCs w:val="21"/>
              </w:rPr>
            </w:pPr>
            <w:r>
              <w:rPr>
                <w:b/>
                <w:sz w:val="21"/>
                <w:szCs w:val="21"/>
              </w:rPr>
              <w:t>pH＞7.5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restart"/>
            <w:tcBorders>
              <w:tl2br w:val="nil"/>
              <w:tr2bl w:val="nil"/>
            </w:tcBorders>
            <w:noWrap/>
            <w:vAlign w:val="center"/>
          </w:tcPr>
          <w:p>
            <w:pPr>
              <w:spacing w:line="240" w:lineRule="auto"/>
              <w:ind w:left="-119" w:firstLine="0" w:firstLineChars="0"/>
              <w:jc w:val="center"/>
              <w:rPr>
                <w:sz w:val="21"/>
                <w:szCs w:val="21"/>
              </w:rPr>
            </w:pPr>
            <w:r>
              <w:rPr>
                <w:sz w:val="21"/>
                <w:szCs w:val="21"/>
              </w:rPr>
              <w:t>1</w:t>
            </w:r>
          </w:p>
        </w:tc>
        <w:tc>
          <w:tcPr>
            <w:tcW w:w="971" w:type="dxa"/>
            <w:vMerge w:val="restart"/>
            <w:tcBorders>
              <w:tl2br w:val="nil"/>
              <w:tr2bl w:val="nil"/>
            </w:tcBorders>
            <w:noWrap/>
            <w:vAlign w:val="center"/>
          </w:tcPr>
          <w:p>
            <w:pPr>
              <w:spacing w:line="240" w:lineRule="auto"/>
              <w:ind w:left="-119" w:firstLine="0" w:firstLineChars="0"/>
              <w:jc w:val="center"/>
              <w:rPr>
                <w:b/>
                <w:sz w:val="21"/>
                <w:szCs w:val="21"/>
              </w:rPr>
            </w:pPr>
            <w:r>
              <w:rPr>
                <w:bCs/>
                <w:sz w:val="21"/>
                <w:szCs w:val="21"/>
              </w:rPr>
              <w:t>镉</w:t>
            </w: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水田</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0.3</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0.4</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0.6</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continue"/>
            <w:tcBorders>
              <w:tl2br w:val="nil"/>
              <w:tr2bl w:val="nil"/>
            </w:tcBorders>
            <w:noWrap/>
            <w:vAlign w:val="center"/>
          </w:tcPr>
          <w:p>
            <w:pPr>
              <w:spacing w:line="240" w:lineRule="auto"/>
              <w:ind w:left="-119" w:firstLine="0" w:firstLineChars="0"/>
              <w:jc w:val="center"/>
              <w:rPr>
                <w:sz w:val="21"/>
                <w:szCs w:val="21"/>
              </w:rPr>
            </w:pPr>
          </w:p>
        </w:tc>
        <w:tc>
          <w:tcPr>
            <w:tcW w:w="971" w:type="dxa"/>
            <w:vMerge w:val="continue"/>
            <w:tcBorders>
              <w:tl2br w:val="nil"/>
              <w:tr2bl w:val="nil"/>
            </w:tcBorders>
            <w:noWrap/>
            <w:vAlign w:val="center"/>
          </w:tcPr>
          <w:p>
            <w:pPr>
              <w:spacing w:line="240" w:lineRule="auto"/>
              <w:ind w:left="-119" w:firstLine="0" w:firstLineChars="0"/>
              <w:jc w:val="center"/>
              <w:rPr>
                <w:b/>
                <w:sz w:val="21"/>
                <w:szCs w:val="21"/>
              </w:rPr>
            </w:pP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其他</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0.3</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0.3</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0.3</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restart"/>
            <w:tcBorders>
              <w:tl2br w:val="nil"/>
              <w:tr2bl w:val="nil"/>
            </w:tcBorders>
            <w:noWrap/>
            <w:vAlign w:val="center"/>
          </w:tcPr>
          <w:p>
            <w:pPr>
              <w:spacing w:line="240" w:lineRule="auto"/>
              <w:ind w:left="-119" w:firstLine="0" w:firstLineChars="0"/>
              <w:jc w:val="center"/>
              <w:rPr>
                <w:sz w:val="21"/>
                <w:szCs w:val="21"/>
              </w:rPr>
            </w:pPr>
            <w:r>
              <w:rPr>
                <w:sz w:val="21"/>
                <w:szCs w:val="21"/>
              </w:rPr>
              <w:t>2</w:t>
            </w:r>
          </w:p>
        </w:tc>
        <w:tc>
          <w:tcPr>
            <w:tcW w:w="971" w:type="dxa"/>
            <w:vMerge w:val="restart"/>
            <w:tcBorders>
              <w:tl2br w:val="nil"/>
              <w:tr2bl w:val="nil"/>
            </w:tcBorders>
            <w:noWrap/>
            <w:vAlign w:val="center"/>
          </w:tcPr>
          <w:p>
            <w:pPr>
              <w:spacing w:line="240" w:lineRule="auto"/>
              <w:ind w:left="-119" w:firstLine="0" w:firstLineChars="0"/>
              <w:jc w:val="center"/>
              <w:rPr>
                <w:b/>
                <w:sz w:val="21"/>
                <w:szCs w:val="21"/>
              </w:rPr>
            </w:pPr>
            <w:r>
              <w:rPr>
                <w:bCs/>
                <w:sz w:val="21"/>
                <w:szCs w:val="21"/>
              </w:rPr>
              <w:t>汞</w:t>
            </w: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水田</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0.5</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0.5</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0.6</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continue"/>
            <w:tcBorders>
              <w:tl2br w:val="nil"/>
              <w:tr2bl w:val="nil"/>
            </w:tcBorders>
            <w:noWrap/>
            <w:vAlign w:val="center"/>
          </w:tcPr>
          <w:p>
            <w:pPr>
              <w:spacing w:line="240" w:lineRule="auto"/>
              <w:ind w:left="-119" w:firstLine="0" w:firstLineChars="0"/>
              <w:jc w:val="center"/>
              <w:rPr>
                <w:sz w:val="21"/>
                <w:szCs w:val="21"/>
              </w:rPr>
            </w:pPr>
          </w:p>
        </w:tc>
        <w:tc>
          <w:tcPr>
            <w:tcW w:w="971" w:type="dxa"/>
            <w:vMerge w:val="continue"/>
            <w:tcBorders>
              <w:tl2br w:val="nil"/>
              <w:tr2bl w:val="nil"/>
            </w:tcBorders>
            <w:noWrap/>
            <w:vAlign w:val="center"/>
          </w:tcPr>
          <w:p>
            <w:pPr>
              <w:spacing w:line="240" w:lineRule="auto"/>
              <w:ind w:left="-119" w:firstLine="0" w:firstLineChars="0"/>
              <w:jc w:val="center"/>
              <w:rPr>
                <w:b/>
                <w:sz w:val="21"/>
                <w:szCs w:val="21"/>
              </w:rPr>
            </w:pP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其他</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1.3</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1.8</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2.4</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restart"/>
            <w:tcBorders>
              <w:tl2br w:val="nil"/>
              <w:tr2bl w:val="nil"/>
            </w:tcBorders>
            <w:noWrap/>
            <w:vAlign w:val="center"/>
          </w:tcPr>
          <w:p>
            <w:pPr>
              <w:spacing w:line="240" w:lineRule="auto"/>
              <w:ind w:left="-119" w:firstLine="0" w:firstLineChars="0"/>
              <w:jc w:val="center"/>
              <w:rPr>
                <w:sz w:val="21"/>
                <w:szCs w:val="21"/>
              </w:rPr>
            </w:pPr>
            <w:r>
              <w:rPr>
                <w:sz w:val="21"/>
                <w:szCs w:val="21"/>
              </w:rPr>
              <w:t>3</w:t>
            </w:r>
          </w:p>
        </w:tc>
        <w:tc>
          <w:tcPr>
            <w:tcW w:w="971" w:type="dxa"/>
            <w:vMerge w:val="restart"/>
            <w:tcBorders>
              <w:tl2br w:val="nil"/>
              <w:tr2bl w:val="nil"/>
            </w:tcBorders>
            <w:noWrap/>
            <w:vAlign w:val="center"/>
          </w:tcPr>
          <w:p>
            <w:pPr>
              <w:spacing w:line="240" w:lineRule="auto"/>
              <w:ind w:left="-119" w:firstLine="0" w:firstLineChars="0"/>
              <w:jc w:val="center"/>
              <w:rPr>
                <w:b/>
                <w:sz w:val="21"/>
                <w:szCs w:val="21"/>
              </w:rPr>
            </w:pPr>
            <w:r>
              <w:rPr>
                <w:bCs/>
                <w:sz w:val="21"/>
                <w:szCs w:val="21"/>
              </w:rPr>
              <w:t>砷</w:t>
            </w: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水田</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30</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30</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25</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continue"/>
            <w:tcBorders>
              <w:tl2br w:val="nil"/>
              <w:tr2bl w:val="nil"/>
            </w:tcBorders>
            <w:noWrap/>
            <w:vAlign w:val="center"/>
          </w:tcPr>
          <w:p>
            <w:pPr>
              <w:spacing w:line="240" w:lineRule="auto"/>
              <w:ind w:left="-119" w:firstLine="0" w:firstLineChars="0"/>
              <w:jc w:val="center"/>
              <w:rPr>
                <w:sz w:val="21"/>
                <w:szCs w:val="21"/>
              </w:rPr>
            </w:pPr>
          </w:p>
        </w:tc>
        <w:tc>
          <w:tcPr>
            <w:tcW w:w="971" w:type="dxa"/>
            <w:vMerge w:val="continue"/>
            <w:tcBorders>
              <w:tl2br w:val="nil"/>
              <w:tr2bl w:val="nil"/>
            </w:tcBorders>
            <w:noWrap/>
            <w:vAlign w:val="center"/>
          </w:tcPr>
          <w:p>
            <w:pPr>
              <w:spacing w:line="240" w:lineRule="auto"/>
              <w:ind w:left="-119" w:firstLine="0" w:firstLineChars="0"/>
              <w:jc w:val="center"/>
              <w:rPr>
                <w:b/>
                <w:sz w:val="21"/>
                <w:szCs w:val="21"/>
              </w:rPr>
            </w:pP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其他</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40</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40</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30</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restart"/>
            <w:tcBorders>
              <w:tl2br w:val="nil"/>
              <w:tr2bl w:val="nil"/>
            </w:tcBorders>
            <w:noWrap/>
            <w:vAlign w:val="center"/>
          </w:tcPr>
          <w:p>
            <w:pPr>
              <w:spacing w:line="240" w:lineRule="auto"/>
              <w:ind w:left="-119" w:firstLine="0" w:firstLineChars="0"/>
              <w:jc w:val="center"/>
              <w:rPr>
                <w:sz w:val="21"/>
                <w:szCs w:val="21"/>
              </w:rPr>
            </w:pPr>
            <w:r>
              <w:rPr>
                <w:sz w:val="21"/>
                <w:szCs w:val="21"/>
              </w:rPr>
              <w:t>4</w:t>
            </w:r>
          </w:p>
        </w:tc>
        <w:tc>
          <w:tcPr>
            <w:tcW w:w="971" w:type="dxa"/>
            <w:vMerge w:val="restart"/>
            <w:tcBorders>
              <w:tl2br w:val="nil"/>
              <w:tr2bl w:val="nil"/>
            </w:tcBorders>
            <w:noWrap/>
            <w:vAlign w:val="center"/>
          </w:tcPr>
          <w:p>
            <w:pPr>
              <w:spacing w:line="240" w:lineRule="auto"/>
              <w:ind w:left="-119" w:firstLine="0" w:firstLineChars="0"/>
              <w:jc w:val="center"/>
              <w:rPr>
                <w:b/>
                <w:sz w:val="21"/>
                <w:szCs w:val="21"/>
              </w:rPr>
            </w:pPr>
            <w:r>
              <w:rPr>
                <w:bCs/>
                <w:sz w:val="21"/>
                <w:szCs w:val="21"/>
              </w:rPr>
              <w:t>铅</w:t>
            </w: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水田</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80</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100</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140</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continue"/>
            <w:tcBorders>
              <w:tl2br w:val="nil"/>
              <w:tr2bl w:val="nil"/>
            </w:tcBorders>
            <w:noWrap/>
            <w:vAlign w:val="center"/>
          </w:tcPr>
          <w:p>
            <w:pPr>
              <w:spacing w:line="240" w:lineRule="auto"/>
              <w:ind w:left="-119" w:firstLine="0" w:firstLineChars="0"/>
              <w:jc w:val="center"/>
              <w:rPr>
                <w:sz w:val="21"/>
                <w:szCs w:val="21"/>
              </w:rPr>
            </w:pPr>
          </w:p>
        </w:tc>
        <w:tc>
          <w:tcPr>
            <w:tcW w:w="971" w:type="dxa"/>
            <w:vMerge w:val="continue"/>
            <w:tcBorders>
              <w:tl2br w:val="nil"/>
              <w:tr2bl w:val="nil"/>
            </w:tcBorders>
            <w:noWrap/>
            <w:vAlign w:val="center"/>
          </w:tcPr>
          <w:p>
            <w:pPr>
              <w:spacing w:line="240" w:lineRule="auto"/>
              <w:ind w:left="-119" w:firstLine="0" w:firstLineChars="0"/>
              <w:jc w:val="center"/>
              <w:rPr>
                <w:b/>
                <w:sz w:val="21"/>
                <w:szCs w:val="21"/>
              </w:rPr>
            </w:pP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其他</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70</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90</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120</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restart"/>
            <w:tcBorders>
              <w:tl2br w:val="nil"/>
              <w:tr2bl w:val="nil"/>
            </w:tcBorders>
            <w:noWrap/>
            <w:vAlign w:val="center"/>
          </w:tcPr>
          <w:p>
            <w:pPr>
              <w:spacing w:line="240" w:lineRule="auto"/>
              <w:ind w:left="-119" w:firstLine="0" w:firstLineChars="0"/>
              <w:jc w:val="center"/>
              <w:rPr>
                <w:sz w:val="21"/>
                <w:szCs w:val="21"/>
              </w:rPr>
            </w:pPr>
            <w:r>
              <w:rPr>
                <w:sz w:val="21"/>
                <w:szCs w:val="21"/>
              </w:rPr>
              <w:t>5</w:t>
            </w:r>
          </w:p>
        </w:tc>
        <w:tc>
          <w:tcPr>
            <w:tcW w:w="971" w:type="dxa"/>
            <w:vMerge w:val="restart"/>
            <w:tcBorders>
              <w:tl2br w:val="nil"/>
              <w:tr2bl w:val="nil"/>
            </w:tcBorders>
            <w:noWrap/>
            <w:vAlign w:val="center"/>
          </w:tcPr>
          <w:p>
            <w:pPr>
              <w:spacing w:line="240" w:lineRule="auto"/>
              <w:ind w:left="-119" w:firstLine="0" w:firstLineChars="0"/>
              <w:jc w:val="center"/>
              <w:rPr>
                <w:b/>
                <w:sz w:val="21"/>
                <w:szCs w:val="21"/>
              </w:rPr>
            </w:pPr>
            <w:r>
              <w:rPr>
                <w:bCs/>
                <w:sz w:val="21"/>
                <w:szCs w:val="21"/>
              </w:rPr>
              <w:t>铬</w:t>
            </w: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水田</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250</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250</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300</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350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continue"/>
            <w:tcBorders>
              <w:tl2br w:val="nil"/>
              <w:tr2bl w:val="nil"/>
            </w:tcBorders>
            <w:noWrap/>
            <w:vAlign w:val="center"/>
          </w:tcPr>
          <w:p>
            <w:pPr>
              <w:spacing w:line="240" w:lineRule="auto"/>
              <w:ind w:left="-119" w:firstLine="0" w:firstLineChars="0"/>
              <w:jc w:val="center"/>
              <w:rPr>
                <w:sz w:val="21"/>
                <w:szCs w:val="21"/>
              </w:rPr>
            </w:pPr>
          </w:p>
        </w:tc>
        <w:tc>
          <w:tcPr>
            <w:tcW w:w="971" w:type="dxa"/>
            <w:vMerge w:val="continue"/>
            <w:tcBorders>
              <w:tl2br w:val="nil"/>
              <w:tr2bl w:val="nil"/>
            </w:tcBorders>
            <w:noWrap/>
            <w:vAlign w:val="center"/>
          </w:tcPr>
          <w:p>
            <w:pPr>
              <w:spacing w:line="240" w:lineRule="auto"/>
              <w:ind w:left="-119" w:firstLine="0" w:firstLineChars="0"/>
              <w:jc w:val="center"/>
              <w:rPr>
                <w:b/>
                <w:sz w:val="21"/>
                <w:szCs w:val="21"/>
              </w:rPr>
            </w:pP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其他</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150</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150</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200</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restart"/>
            <w:tcBorders>
              <w:tl2br w:val="nil"/>
              <w:tr2bl w:val="nil"/>
            </w:tcBorders>
            <w:noWrap/>
            <w:vAlign w:val="center"/>
          </w:tcPr>
          <w:p>
            <w:pPr>
              <w:spacing w:line="240" w:lineRule="auto"/>
              <w:ind w:left="-119" w:firstLine="0" w:firstLineChars="0"/>
              <w:jc w:val="center"/>
              <w:rPr>
                <w:sz w:val="21"/>
                <w:szCs w:val="21"/>
              </w:rPr>
            </w:pPr>
            <w:r>
              <w:rPr>
                <w:sz w:val="21"/>
                <w:szCs w:val="21"/>
              </w:rPr>
              <w:t>6</w:t>
            </w:r>
          </w:p>
        </w:tc>
        <w:tc>
          <w:tcPr>
            <w:tcW w:w="971" w:type="dxa"/>
            <w:vMerge w:val="restart"/>
            <w:tcBorders>
              <w:tl2br w:val="nil"/>
              <w:tr2bl w:val="nil"/>
            </w:tcBorders>
            <w:noWrap/>
            <w:vAlign w:val="center"/>
          </w:tcPr>
          <w:p>
            <w:pPr>
              <w:spacing w:line="240" w:lineRule="auto"/>
              <w:ind w:left="-119" w:firstLine="0" w:firstLineChars="0"/>
              <w:jc w:val="center"/>
              <w:rPr>
                <w:b/>
                <w:sz w:val="21"/>
                <w:szCs w:val="21"/>
              </w:rPr>
            </w:pPr>
            <w:r>
              <w:rPr>
                <w:bCs/>
                <w:sz w:val="21"/>
                <w:szCs w:val="21"/>
              </w:rPr>
              <w:t>铜</w:t>
            </w: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果园</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150</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150</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200</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vMerge w:val="continue"/>
            <w:tcBorders>
              <w:tl2br w:val="nil"/>
              <w:tr2bl w:val="nil"/>
            </w:tcBorders>
            <w:noWrap/>
            <w:vAlign w:val="center"/>
          </w:tcPr>
          <w:p>
            <w:pPr>
              <w:spacing w:line="240" w:lineRule="auto"/>
              <w:ind w:left="-119" w:firstLine="0" w:firstLineChars="0"/>
              <w:jc w:val="center"/>
              <w:rPr>
                <w:sz w:val="21"/>
                <w:szCs w:val="21"/>
              </w:rPr>
            </w:pPr>
          </w:p>
        </w:tc>
        <w:tc>
          <w:tcPr>
            <w:tcW w:w="971" w:type="dxa"/>
            <w:vMerge w:val="continue"/>
            <w:tcBorders>
              <w:tl2br w:val="nil"/>
              <w:tr2bl w:val="nil"/>
            </w:tcBorders>
            <w:noWrap/>
            <w:vAlign w:val="center"/>
          </w:tcPr>
          <w:p>
            <w:pPr>
              <w:spacing w:line="240" w:lineRule="auto"/>
              <w:ind w:left="-119" w:firstLine="0" w:firstLineChars="0"/>
              <w:jc w:val="center"/>
              <w:rPr>
                <w:b/>
                <w:sz w:val="21"/>
                <w:szCs w:val="21"/>
              </w:rPr>
            </w:pPr>
          </w:p>
        </w:tc>
        <w:tc>
          <w:tcPr>
            <w:tcW w:w="92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其他</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50</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50</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100</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tcBorders>
              <w:tl2br w:val="nil"/>
              <w:tr2bl w:val="nil"/>
            </w:tcBorders>
            <w:noWrap/>
            <w:vAlign w:val="center"/>
          </w:tcPr>
          <w:p>
            <w:pPr>
              <w:spacing w:line="240" w:lineRule="auto"/>
              <w:ind w:left="-119" w:firstLine="0" w:firstLineChars="0"/>
              <w:jc w:val="center"/>
              <w:rPr>
                <w:sz w:val="21"/>
                <w:szCs w:val="21"/>
              </w:rPr>
            </w:pPr>
            <w:r>
              <w:rPr>
                <w:sz w:val="21"/>
                <w:szCs w:val="21"/>
              </w:rPr>
              <w:t>7</w:t>
            </w:r>
          </w:p>
        </w:tc>
        <w:tc>
          <w:tcPr>
            <w:tcW w:w="1891" w:type="dxa"/>
            <w:gridSpan w:val="2"/>
            <w:tcBorders>
              <w:tl2br w:val="nil"/>
              <w:tr2bl w:val="nil"/>
            </w:tcBorders>
            <w:noWrap/>
            <w:vAlign w:val="center"/>
          </w:tcPr>
          <w:p>
            <w:pPr>
              <w:spacing w:line="240" w:lineRule="auto"/>
              <w:ind w:left="-119" w:firstLine="0" w:firstLineChars="0"/>
              <w:jc w:val="center"/>
              <w:rPr>
                <w:b/>
                <w:sz w:val="21"/>
                <w:szCs w:val="21"/>
              </w:rPr>
            </w:pPr>
            <w:r>
              <w:rPr>
                <w:bCs/>
                <w:sz w:val="21"/>
                <w:szCs w:val="21"/>
              </w:rPr>
              <w:t>镍</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60</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70</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100</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190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6" w:type="dxa"/>
            <w:tcBorders>
              <w:tl2br w:val="nil"/>
              <w:tr2bl w:val="nil"/>
            </w:tcBorders>
            <w:noWrap/>
            <w:vAlign w:val="center"/>
          </w:tcPr>
          <w:p>
            <w:pPr>
              <w:spacing w:line="240" w:lineRule="auto"/>
              <w:ind w:left="-119" w:firstLine="0" w:firstLineChars="0"/>
              <w:jc w:val="center"/>
              <w:rPr>
                <w:sz w:val="21"/>
                <w:szCs w:val="21"/>
              </w:rPr>
            </w:pPr>
            <w:r>
              <w:rPr>
                <w:sz w:val="21"/>
                <w:szCs w:val="21"/>
              </w:rPr>
              <w:t>8</w:t>
            </w:r>
          </w:p>
        </w:tc>
        <w:tc>
          <w:tcPr>
            <w:tcW w:w="1891" w:type="dxa"/>
            <w:gridSpan w:val="2"/>
            <w:tcBorders>
              <w:tl2br w:val="nil"/>
              <w:tr2bl w:val="nil"/>
            </w:tcBorders>
            <w:noWrap/>
            <w:vAlign w:val="center"/>
          </w:tcPr>
          <w:p>
            <w:pPr>
              <w:spacing w:line="240" w:lineRule="auto"/>
              <w:ind w:left="-119" w:firstLine="0" w:firstLineChars="0"/>
              <w:jc w:val="center"/>
              <w:rPr>
                <w:b/>
                <w:sz w:val="21"/>
                <w:szCs w:val="21"/>
              </w:rPr>
            </w:pPr>
            <w:r>
              <w:rPr>
                <w:bCs/>
                <w:sz w:val="21"/>
                <w:szCs w:val="21"/>
              </w:rPr>
              <w:t>锌</w:t>
            </w:r>
          </w:p>
        </w:tc>
        <w:tc>
          <w:tcPr>
            <w:tcW w:w="1335"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200</w:t>
            </w:r>
          </w:p>
        </w:tc>
        <w:tc>
          <w:tcPr>
            <w:tcW w:w="1829"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200</w:t>
            </w:r>
          </w:p>
        </w:tc>
        <w:tc>
          <w:tcPr>
            <w:tcW w:w="1710"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250</w:t>
            </w:r>
          </w:p>
        </w:tc>
        <w:tc>
          <w:tcPr>
            <w:tcW w:w="1141" w:type="dxa"/>
            <w:tcBorders>
              <w:tl2br w:val="nil"/>
              <w:tr2bl w:val="nil"/>
            </w:tcBorders>
            <w:noWrap/>
            <w:vAlign w:val="center"/>
          </w:tcPr>
          <w:p>
            <w:pPr>
              <w:spacing w:line="240" w:lineRule="auto"/>
              <w:ind w:left="-119" w:firstLine="0" w:firstLineChars="0"/>
              <w:jc w:val="center"/>
              <w:rPr>
                <w:bCs/>
                <w:sz w:val="21"/>
                <w:szCs w:val="21"/>
              </w:rPr>
            </w:pPr>
            <w:r>
              <w:rPr>
                <w:bCs/>
                <w:sz w:val="21"/>
                <w:szCs w:val="21"/>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2" w:type="dxa"/>
            <w:gridSpan w:val="7"/>
            <w:tcBorders>
              <w:tl2br w:val="nil"/>
              <w:tr2bl w:val="nil"/>
            </w:tcBorders>
            <w:noWrap/>
            <w:vAlign w:val="center"/>
          </w:tcPr>
          <w:p>
            <w:pPr>
              <w:spacing w:line="240" w:lineRule="auto"/>
              <w:ind w:left="-119" w:firstLine="0" w:firstLineChars="0"/>
              <w:jc w:val="left"/>
              <w:rPr>
                <w:sz w:val="21"/>
                <w:szCs w:val="21"/>
              </w:rPr>
            </w:pPr>
            <w:r>
              <w:rPr>
                <w:sz w:val="21"/>
                <w:szCs w:val="21"/>
              </w:rPr>
              <w:t>注：</w:t>
            </w:r>
            <w:r>
              <w:rPr>
                <w:rFonts w:hint="eastAsia" w:ascii="宋体" w:hAnsi="宋体" w:cs="宋体"/>
                <w:sz w:val="21"/>
                <w:szCs w:val="21"/>
              </w:rPr>
              <w:t>①</w:t>
            </w:r>
            <w:r>
              <w:rPr>
                <w:sz w:val="21"/>
                <w:szCs w:val="21"/>
              </w:rPr>
              <w:t>重金属和类金属砷均按元素总量计</w:t>
            </w:r>
          </w:p>
          <w:p>
            <w:pPr>
              <w:spacing w:line="240" w:lineRule="auto"/>
              <w:ind w:left="-119" w:firstLine="0" w:firstLineChars="0"/>
              <w:jc w:val="left"/>
              <w:rPr>
                <w:sz w:val="21"/>
                <w:szCs w:val="21"/>
              </w:rPr>
            </w:pPr>
            <w:r>
              <w:rPr>
                <w:rFonts w:hint="eastAsia" w:ascii="宋体" w:hAnsi="宋体" w:cs="宋体"/>
                <w:sz w:val="21"/>
                <w:szCs w:val="21"/>
              </w:rPr>
              <w:t>②</w:t>
            </w:r>
            <w:r>
              <w:rPr>
                <w:sz w:val="21"/>
                <w:szCs w:val="21"/>
              </w:rPr>
              <w:t>对于水旱轮作地，采用其中较严格的风险筛选值</w:t>
            </w:r>
          </w:p>
        </w:tc>
      </w:tr>
    </w:tbl>
    <w:p>
      <w:pPr>
        <w:pStyle w:val="69"/>
        <w:adjustRightInd w:val="0"/>
        <w:snapToGrid w:val="0"/>
        <w:ind w:firstLine="0" w:firstLineChars="0"/>
        <w:outlineLvl w:val="3"/>
        <w:rPr>
          <w:b/>
        </w:rPr>
      </w:pPr>
      <w:r>
        <w:rPr>
          <w:b/>
        </w:rPr>
        <w:t>2.3.2.2 污染物排放标准</w:t>
      </w:r>
      <w:bookmarkEnd w:id="47"/>
      <w:bookmarkEnd w:id="48"/>
      <w:bookmarkEnd w:id="49"/>
      <w:bookmarkEnd w:id="50"/>
      <w:bookmarkEnd w:id="51"/>
    </w:p>
    <w:p>
      <w:pPr>
        <w:pStyle w:val="69"/>
        <w:adjustRightInd w:val="0"/>
        <w:snapToGrid w:val="0"/>
        <w:ind w:firstLine="482"/>
        <w:rPr>
          <w:b/>
        </w:rPr>
      </w:pPr>
      <w:r>
        <w:rPr>
          <w:b/>
        </w:rPr>
        <w:t>1、废气</w:t>
      </w:r>
    </w:p>
    <w:p>
      <w:pPr>
        <w:pStyle w:val="69"/>
        <w:adjustRightInd w:val="0"/>
        <w:snapToGrid w:val="0"/>
      </w:pPr>
      <w:r>
        <w:t>（1）施工期</w:t>
      </w:r>
    </w:p>
    <w:p>
      <w:pPr>
        <w:pStyle w:val="69"/>
        <w:adjustRightInd w:val="0"/>
        <w:snapToGrid w:val="0"/>
      </w:pPr>
      <w:r>
        <w:t>大气污染物排放执行《大气污染物综合排放标准》（GB16297-1996）中表2 无组织排放监控浓度限值，详见表2.3-9。</w:t>
      </w:r>
    </w:p>
    <w:p>
      <w:pPr>
        <w:pStyle w:val="43"/>
        <w:spacing w:before="156" w:beforeLines="50"/>
        <w:ind w:firstLine="210"/>
        <w:jc w:val="center"/>
        <w:rPr>
          <w:rFonts w:ascii="Times New Roman" w:hAnsi="Times New Roman"/>
          <w:sz w:val="21"/>
        </w:rPr>
      </w:pPr>
      <w:r>
        <w:rPr>
          <w:rFonts w:ascii="Times New Roman" w:hAnsi="Times New Roman"/>
          <w:sz w:val="21"/>
        </w:rPr>
        <w:t>表2.3-9  施工期污染物排放标准要求</w:t>
      </w:r>
    </w:p>
    <w:tbl>
      <w:tblPr>
        <w:tblStyle w:val="4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834"/>
        <w:gridCol w:w="2845"/>
        <w:gridCol w:w="284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63" w:type="pct"/>
            <w:vMerge w:val="restart"/>
            <w:vAlign w:val="center"/>
          </w:tcPr>
          <w:p>
            <w:pPr>
              <w:spacing w:line="240" w:lineRule="auto"/>
              <w:ind w:firstLine="0" w:firstLineChars="0"/>
              <w:jc w:val="center"/>
              <w:rPr>
                <w:rFonts w:cs="Times New Roman"/>
                <w:b/>
                <w:sz w:val="21"/>
                <w:szCs w:val="18"/>
              </w:rPr>
            </w:pPr>
            <w:r>
              <w:rPr>
                <w:rFonts w:cs="Times New Roman"/>
                <w:b/>
                <w:sz w:val="21"/>
                <w:szCs w:val="18"/>
              </w:rPr>
              <w:t>污染物</w:t>
            </w:r>
          </w:p>
        </w:tc>
        <w:tc>
          <w:tcPr>
            <w:tcW w:w="3337" w:type="pct"/>
            <w:gridSpan w:val="2"/>
            <w:vAlign w:val="center"/>
          </w:tcPr>
          <w:p>
            <w:pPr>
              <w:spacing w:line="240" w:lineRule="auto"/>
              <w:ind w:firstLine="0" w:firstLineChars="0"/>
              <w:jc w:val="center"/>
              <w:rPr>
                <w:rFonts w:cs="Times New Roman"/>
                <w:b/>
                <w:sz w:val="21"/>
                <w:szCs w:val="18"/>
              </w:rPr>
            </w:pPr>
            <w:r>
              <w:rPr>
                <w:rFonts w:cs="Times New Roman"/>
                <w:b/>
                <w:sz w:val="21"/>
                <w:szCs w:val="18"/>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63" w:type="pct"/>
            <w:vMerge w:val="continue"/>
            <w:vAlign w:val="center"/>
          </w:tcPr>
          <w:p>
            <w:pPr>
              <w:spacing w:line="240" w:lineRule="auto"/>
              <w:ind w:firstLine="0" w:firstLineChars="0"/>
              <w:jc w:val="center"/>
              <w:rPr>
                <w:rFonts w:cs="Times New Roman"/>
                <w:sz w:val="21"/>
                <w:szCs w:val="18"/>
              </w:rPr>
            </w:pPr>
          </w:p>
        </w:tc>
        <w:tc>
          <w:tcPr>
            <w:tcW w:w="1669" w:type="pct"/>
            <w:vAlign w:val="center"/>
          </w:tcPr>
          <w:p>
            <w:pPr>
              <w:spacing w:line="240" w:lineRule="auto"/>
              <w:ind w:firstLine="0" w:firstLineChars="0"/>
              <w:jc w:val="center"/>
              <w:rPr>
                <w:rFonts w:cs="Times New Roman"/>
                <w:b/>
                <w:sz w:val="21"/>
                <w:szCs w:val="18"/>
              </w:rPr>
            </w:pPr>
            <w:r>
              <w:rPr>
                <w:rFonts w:cs="Times New Roman"/>
                <w:b/>
                <w:sz w:val="21"/>
                <w:szCs w:val="18"/>
              </w:rPr>
              <w:t>监控点</w:t>
            </w:r>
          </w:p>
        </w:tc>
        <w:tc>
          <w:tcPr>
            <w:tcW w:w="1668" w:type="pct"/>
            <w:vAlign w:val="center"/>
          </w:tcPr>
          <w:p>
            <w:pPr>
              <w:spacing w:line="240" w:lineRule="auto"/>
              <w:ind w:firstLine="0" w:firstLineChars="0"/>
              <w:jc w:val="center"/>
              <w:rPr>
                <w:rFonts w:cs="Times New Roman"/>
                <w:b/>
                <w:sz w:val="21"/>
                <w:szCs w:val="18"/>
              </w:rPr>
            </w:pPr>
            <w:r>
              <w:rPr>
                <w:rFonts w:cs="Times New Roman"/>
                <w:b/>
                <w:sz w:val="21"/>
                <w:szCs w:val="18"/>
              </w:rPr>
              <w:t>浓度（mg/m</w:t>
            </w:r>
            <w:r>
              <w:rPr>
                <w:rFonts w:cs="Times New Roman"/>
                <w:b/>
                <w:sz w:val="21"/>
                <w:szCs w:val="18"/>
                <w:vertAlign w:val="superscript"/>
              </w:rPr>
              <w:t>3</w:t>
            </w:r>
            <w:r>
              <w:rPr>
                <w:rFonts w:cs="Times New Roman"/>
                <w:b/>
                <w:sz w:val="21"/>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63" w:type="pct"/>
            <w:vAlign w:val="center"/>
          </w:tcPr>
          <w:p>
            <w:pPr>
              <w:spacing w:line="240" w:lineRule="auto"/>
              <w:ind w:firstLine="0" w:firstLineChars="0"/>
              <w:jc w:val="center"/>
              <w:rPr>
                <w:rFonts w:cs="Times New Roman"/>
                <w:sz w:val="21"/>
                <w:szCs w:val="18"/>
              </w:rPr>
            </w:pPr>
            <w:r>
              <w:rPr>
                <w:rFonts w:cs="Times New Roman"/>
                <w:sz w:val="21"/>
                <w:szCs w:val="18"/>
              </w:rPr>
              <w:t>颗粒物</w:t>
            </w:r>
          </w:p>
        </w:tc>
        <w:tc>
          <w:tcPr>
            <w:tcW w:w="1669" w:type="pct"/>
            <w:vAlign w:val="center"/>
          </w:tcPr>
          <w:p>
            <w:pPr>
              <w:spacing w:line="240" w:lineRule="auto"/>
              <w:ind w:firstLine="0" w:firstLineChars="0"/>
              <w:jc w:val="center"/>
              <w:rPr>
                <w:rFonts w:cs="Times New Roman"/>
                <w:sz w:val="21"/>
                <w:szCs w:val="18"/>
              </w:rPr>
            </w:pPr>
            <w:r>
              <w:rPr>
                <w:rFonts w:cs="Times New Roman"/>
                <w:sz w:val="21"/>
                <w:szCs w:val="18"/>
              </w:rPr>
              <w:t>周界外浓度最高点</w:t>
            </w:r>
          </w:p>
        </w:tc>
        <w:tc>
          <w:tcPr>
            <w:tcW w:w="1668" w:type="pct"/>
            <w:vAlign w:val="center"/>
          </w:tcPr>
          <w:p>
            <w:pPr>
              <w:spacing w:line="240" w:lineRule="auto"/>
              <w:ind w:firstLine="0" w:firstLineChars="0"/>
              <w:jc w:val="center"/>
              <w:rPr>
                <w:rFonts w:cs="Times New Roman"/>
                <w:sz w:val="21"/>
                <w:szCs w:val="18"/>
              </w:rPr>
            </w:pPr>
            <w:r>
              <w:rPr>
                <w:rFonts w:cs="Times New Roman"/>
                <w:sz w:val="21"/>
                <w:szCs w:val="18"/>
              </w:rPr>
              <w:t>1.0</w:t>
            </w:r>
          </w:p>
        </w:tc>
      </w:tr>
    </w:tbl>
    <w:p>
      <w:pPr>
        <w:pStyle w:val="69"/>
        <w:adjustRightInd w:val="0"/>
        <w:snapToGrid w:val="0"/>
      </w:pPr>
      <w:r>
        <w:t>（2）运行期</w:t>
      </w:r>
    </w:p>
    <w:p>
      <w:pPr>
        <w:pStyle w:val="69"/>
        <w:adjustRightInd w:val="0"/>
        <w:snapToGrid w:val="0"/>
      </w:pPr>
      <w:r>
        <w:t>本项目陶瓷生产排放的大气污染物执行《陶瓷工业污染物排放标准》（GB25464-2010）表5 中排放标准及2014 年第83 号环境保护部“关于发布国家污染物排放标准《陶瓷工业污染物排放标准》（GB25464-2010）修改单的公告”，详见表2.3-10。</w:t>
      </w:r>
    </w:p>
    <w:p>
      <w:pPr>
        <w:pStyle w:val="43"/>
        <w:spacing w:before="156" w:beforeLines="50"/>
        <w:ind w:firstLine="241"/>
        <w:jc w:val="center"/>
        <w:rPr>
          <w:rFonts w:ascii="Times New Roman" w:hAnsi="Times New Roman"/>
          <w:b/>
          <w:bCs/>
          <w:sz w:val="24"/>
          <w:szCs w:val="32"/>
        </w:rPr>
      </w:pPr>
      <w:r>
        <w:rPr>
          <w:rFonts w:ascii="Times New Roman" w:hAnsi="Times New Roman"/>
          <w:b/>
          <w:bCs/>
          <w:sz w:val="24"/>
          <w:szCs w:val="32"/>
        </w:rPr>
        <w:t>表2.3-10  企业大气污染物排放浓度限值  单位：mg/m</w:t>
      </w:r>
      <w:r>
        <w:rPr>
          <w:rFonts w:ascii="Times New Roman" w:hAnsi="Times New Roman"/>
          <w:b/>
          <w:bCs/>
          <w:sz w:val="24"/>
          <w:szCs w:val="32"/>
          <w:vertAlign w:val="superscript"/>
        </w:rPr>
        <w:t>3</w:t>
      </w:r>
    </w:p>
    <w:tbl>
      <w:tblPr>
        <w:tblStyle w:val="4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376"/>
        <w:gridCol w:w="1885"/>
        <w:gridCol w:w="1798"/>
        <w:gridCol w:w="24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94" w:type="pct"/>
            <w:vAlign w:val="center"/>
          </w:tcPr>
          <w:p>
            <w:pPr>
              <w:spacing w:line="240" w:lineRule="auto"/>
              <w:ind w:firstLine="0" w:firstLineChars="0"/>
              <w:jc w:val="center"/>
              <w:rPr>
                <w:rFonts w:cs="Times New Roman"/>
                <w:b/>
                <w:sz w:val="21"/>
                <w:szCs w:val="21"/>
              </w:rPr>
            </w:pPr>
            <w:r>
              <w:rPr>
                <w:rFonts w:cs="Times New Roman"/>
                <w:b/>
                <w:sz w:val="21"/>
                <w:szCs w:val="21"/>
              </w:rPr>
              <w:t>生产工序</w:t>
            </w:r>
          </w:p>
        </w:tc>
        <w:tc>
          <w:tcPr>
            <w:tcW w:w="1106" w:type="pct"/>
            <w:vAlign w:val="center"/>
          </w:tcPr>
          <w:p>
            <w:pPr>
              <w:spacing w:line="240" w:lineRule="auto"/>
              <w:ind w:firstLine="0" w:firstLineChars="0"/>
              <w:jc w:val="center"/>
              <w:rPr>
                <w:rFonts w:cs="Times New Roman"/>
                <w:b/>
                <w:sz w:val="21"/>
                <w:szCs w:val="21"/>
              </w:rPr>
            </w:pPr>
            <w:r>
              <w:rPr>
                <w:rFonts w:cs="Times New Roman"/>
                <w:b/>
                <w:sz w:val="21"/>
                <w:szCs w:val="21"/>
              </w:rPr>
              <w:t>原料制备、干燥</w:t>
            </w:r>
          </w:p>
        </w:tc>
        <w:tc>
          <w:tcPr>
            <w:tcW w:w="1055" w:type="pct"/>
            <w:vAlign w:val="center"/>
          </w:tcPr>
          <w:p>
            <w:pPr>
              <w:spacing w:line="240" w:lineRule="auto"/>
              <w:ind w:firstLine="0" w:firstLineChars="0"/>
              <w:jc w:val="center"/>
              <w:rPr>
                <w:rFonts w:cs="Times New Roman"/>
                <w:b/>
                <w:sz w:val="21"/>
                <w:szCs w:val="21"/>
              </w:rPr>
            </w:pPr>
            <w:r>
              <w:rPr>
                <w:rFonts w:cs="Times New Roman"/>
                <w:b/>
                <w:sz w:val="21"/>
                <w:szCs w:val="21"/>
              </w:rPr>
              <w:t>烧成、烤花</w:t>
            </w:r>
          </w:p>
        </w:tc>
        <w:tc>
          <w:tcPr>
            <w:tcW w:w="1446" w:type="pct"/>
            <w:vAlign w:val="center"/>
          </w:tcPr>
          <w:p>
            <w:pPr>
              <w:spacing w:line="240" w:lineRule="auto"/>
              <w:ind w:firstLine="0" w:firstLineChars="0"/>
              <w:jc w:val="center"/>
              <w:rPr>
                <w:rFonts w:cs="Times New Roman"/>
                <w:b/>
                <w:sz w:val="21"/>
                <w:szCs w:val="21"/>
              </w:rPr>
            </w:pPr>
            <w:r>
              <w:rPr>
                <w:rFonts w:cs="Times New Roman"/>
                <w:b/>
                <w:sz w:val="21"/>
                <w:szCs w:val="21"/>
              </w:rPr>
              <w:t>监控位置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94" w:type="pct"/>
            <w:vAlign w:val="center"/>
          </w:tcPr>
          <w:p>
            <w:pPr>
              <w:spacing w:line="240" w:lineRule="auto"/>
              <w:ind w:firstLine="0" w:firstLineChars="0"/>
              <w:jc w:val="center"/>
              <w:rPr>
                <w:rFonts w:cs="Times New Roman"/>
                <w:sz w:val="21"/>
                <w:szCs w:val="21"/>
              </w:rPr>
            </w:pPr>
            <w:r>
              <w:rPr>
                <w:rFonts w:cs="Times New Roman"/>
                <w:sz w:val="21"/>
                <w:szCs w:val="21"/>
              </w:rPr>
              <w:t>生产设备</w:t>
            </w:r>
          </w:p>
        </w:tc>
        <w:tc>
          <w:tcPr>
            <w:tcW w:w="1106" w:type="pct"/>
            <w:vAlign w:val="center"/>
          </w:tcPr>
          <w:p>
            <w:pPr>
              <w:spacing w:line="240" w:lineRule="auto"/>
              <w:ind w:firstLine="0" w:firstLineChars="0"/>
              <w:jc w:val="center"/>
              <w:rPr>
                <w:rFonts w:cs="Times New Roman"/>
                <w:sz w:val="21"/>
                <w:szCs w:val="21"/>
              </w:rPr>
            </w:pPr>
            <w:r>
              <w:rPr>
                <w:rFonts w:cs="Times New Roman"/>
                <w:sz w:val="21"/>
                <w:szCs w:val="21"/>
              </w:rPr>
              <w:t>喷雾干燥塔</w:t>
            </w:r>
          </w:p>
        </w:tc>
        <w:tc>
          <w:tcPr>
            <w:tcW w:w="1055" w:type="pct"/>
            <w:vAlign w:val="center"/>
          </w:tcPr>
          <w:p>
            <w:pPr>
              <w:spacing w:line="240" w:lineRule="auto"/>
              <w:ind w:firstLine="0" w:firstLineChars="0"/>
              <w:jc w:val="center"/>
              <w:rPr>
                <w:rFonts w:cs="Times New Roman"/>
                <w:sz w:val="21"/>
                <w:szCs w:val="21"/>
              </w:rPr>
            </w:pPr>
            <w:r>
              <w:rPr>
                <w:rFonts w:cs="Times New Roman"/>
                <w:sz w:val="21"/>
                <w:szCs w:val="21"/>
              </w:rPr>
              <w:t>辊道窑</w:t>
            </w:r>
          </w:p>
        </w:tc>
        <w:tc>
          <w:tcPr>
            <w:tcW w:w="1446" w:type="pct"/>
            <w:vMerge w:val="restart"/>
            <w:vAlign w:val="center"/>
          </w:tcPr>
          <w:p>
            <w:pPr>
              <w:spacing w:line="240" w:lineRule="auto"/>
              <w:ind w:firstLine="0" w:firstLineChars="0"/>
              <w:jc w:val="center"/>
              <w:rPr>
                <w:rFonts w:cs="Times New Roman"/>
                <w:sz w:val="21"/>
                <w:szCs w:val="21"/>
              </w:rPr>
            </w:pPr>
            <w:r>
              <w:rPr>
                <w:rFonts w:cs="Times New Roman"/>
                <w:sz w:val="21"/>
                <w:szCs w:val="21"/>
              </w:rPr>
              <w:t>车间或生产设施排气筒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94" w:type="pct"/>
            <w:vAlign w:val="center"/>
          </w:tcPr>
          <w:p>
            <w:pPr>
              <w:spacing w:line="240" w:lineRule="auto"/>
              <w:ind w:firstLine="0" w:firstLineChars="0"/>
              <w:jc w:val="center"/>
              <w:rPr>
                <w:rFonts w:cs="Times New Roman"/>
                <w:sz w:val="21"/>
                <w:szCs w:val="21"/>
              </w:rPr>
            </w:pPr>
            <w:r>
              <w:rPr>
                <w:rFonts w:cs="Times New Roman"/>
                <w:sz w:val="21"/>
                <w:szCs w:val="21"/>
              </w:rPr>
              <w:t>颗粒物</w:t>
            </w:r>
          </w:p>
        </w:tc>
        <w:tc>
          <w:tcPr>
            <w:tcW w:w="1106" w:type="pct"/>
            <w:vAlign w:val="center"/>
          </w:tcPr>
          <w:p>
            <w:pPr>
              <w:spacing w:line="240" w:lineRule="auto"/>
              <w:ind w:firstLine="0" w:firstLineChars="0"/>
              <w:jc w:val="center"/>
              <w:rPr>
                <w:rFonts w:cs="Times New Roman"/>
                <w:sz w:val="21"/>
                <w:szCs w:val="21"/>
              </w:rPr>
            </w:pPr>
            <w:r>
              <w:rPr>
                <w:rFonts w:cs="Times New Roman"/>
                <w:sz w:val="21"/>
                <w:szCs w:val="21"/>
              </w:rPr>
              <w:t>30</w:t>
            </w:r>
          </w:p>
        </w:tc>
        <w:tc>
          <w:tcPr>
            <w:tcW w:w="1055" w:type="pct"/>
            <w:vAlign w:val="center"/>
          </w:tcPr>
          <w:p>
            <w:pPr>
              <w:spacing w:line="240" w:lineRule="auto"/>
              <w:ind w:firstLine="0" w:firstLineChars="0"/>
              <w:jc w:val="center"/>
              <w:rPr>
                <w:rFonts w:cs="Times New Roman"/>
                <w:sz w:val="21"/>
                <w:szCs w:val="21"/>
              </w:rPr>
            </w:pPr>
            <w:r>
              <w:rPr>
                <w:rFonts w:cs="Times New Roman"/>
                <w:sz w:val="21"/>
                <w:szCs w:val="21"/>
              </w:rPr>
              <w:t>30</w:t>
            </w:r>
          </w:p>
        </w:tc>
        <w:tc>
          <w:tcPr>
            <w:tcW w:w="1446"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94" w:type="pct"/>
            <w:vAlign w:val="center"/>
          </w:tcPr>
          <w:p>
            <w:pPr>
              <w:spacing w:line="240" w:lineRule="auto"/>
              <w:ind w:firstLine="0" w:firstLineChars="0"/>
              <w:jc w:val="center"/>
              <w:rPr>
                <w:rFonts w:cs="Times New Roman"/>
                <w:sz w:val="21"/>
                <w:szCs w:val="21"/>
              </w:rPr>
            </w:pPr>
            <w:r>
              <w:rPr>
                <w:rFonts w:cs="Times New Roman"/>
                <w:sz w:val="21"/>
                <w:szCs w:val="21"/>
              </w:rPr>
              <w:t>SO</w:t>
            </w:r>
            <w:r>
              <w:rPr>
                <w:rFonts w:cs="Times New Roman"/>
                <w:sz w:val="21"/>
                <w:szCs w:val="21"/>
                <w:vertAlign w:val="subscript"/>
              </w:rPr>
              <w:t>2</w:t>
            </w:r>
          </w:p>
        </w:tc>
        <w:tc>
          <w:tcPr>
            <w:tcW w:w="1106" w:type="pct"/>
            <w:vAlign w:val="center"/>
          </w:tcPr>
          <w:p>
            <w:pPr>
              <w:spacing w:line="240" w:lineRule="auto"/>
              <w:ind w:firstLine="0" w:firstLineChars="0"/>
              <w:jc w:val="center"/>
              <w:rPr>
                <w:rFonts w:cs="Times New Roman"/>
                <w:sz w:val="21"/>
                <w:szCs w:val="21"/>
              </w:rPr>
            </w:pPr>
            <w:r>
              <w:rPr>
                <w:rFonts w:cs="Times New Roman"/>
                <w:sz w:val="21"/>
                <w:szCs w:val="21"/>
              </w:rPr>
              <w:t>50</w:t>
            </w:r>
          </w:p>
        </w:tc>
        <w:tc>
          <w:tcPr>
            <w:tcW w:w="1055" w:type="pct"/>
            <w:vAlign w:val="center"/>
          </w:tcPr>
          <w:p>
            <w:pPr>
              <w:spacing w:line="240" w:lineRule="auto"/>
              <w:ind w:firstLine="0" w:firstLineChars="0"/>
              <w:jc w:val="center"/>
              <w:rPr>
                <w:rFonts w:cs="Times New Roman"/>
                <w:sz w:val="21"/>
                <w:szCs w:val="21"/>
              </w:rPr>
            </w:pPr>
            <w:r>
              <w:rPr>
                <w:rFonts w:cs="Times New Roman"/>
                <w:sz w:val="21"/>
                <w:szCs w:val="21"/>
              </w:rPr>
              <w:t>50</w:t>
            </w:r>
          </w:p>
        </w:tc>
        <w:tc>
          <w:tcPr>
            <w:tcW w:w="1446"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94" w:type="pct"/>
            <w:vAlign w:val="center"/>
          </w:tcPr>
          <w:p>
            <w:pPr>
              <w:spacing w:line="240" w:lineRule="auto"/>
              <w:ind w:firstLine="0" w:firstLineChars="0"/>
              <w:jc w:val="center"/>
              <w:rPr>
                <w:rFonts w:cs="Times New Roman"/>
                <w:sz w:val="21"/>
                <w:szCs w:val="21"/>
              </w:rPr>
            </w:pPr>
            <w:r>
              <w:rPr>
                <w:rFonts w:cs="Times New Roman"/>
                <w:sz w:val="21"/>
                <w:szCs w:val="21"/>
              </w:rPr>
              <w:t>NO</w:t>
            </w:r>
            <w:r>
              <w:rPr>
                <w:rFonts w:cs="Times New Roman"/>
                <w:sz w:val="21"/>
                <w:szCs w:val="21"/>
                <w:vertAlign w:val="subscript"/>
              </w:rPr>
              <w:t>X</w:t>
            </w:r>
            <w:r>
              <w:rPr>
                <w:rFonts w:cs="Times New Roman"/>
                <w:sz w:val="21"/>
                <w:szCs w:val="21"/>
              </w:rPr>
              <w:t>（以NO</w:t>
            </w:r>
            <w:r>
              <w:rPr>
                <w:rFonts w:cs="Times New Roman"/>
                <w:sz w:val="21"/>
                <w:szCs w:val="21"/>
                <w:vertAlign w:val="subscript"/>
              </w:rPr>
              <w:t>2</w:t>
            </w:r>
            <w:r>
              <w:rPr>
                <w:rFonts w:cs="Times New Roman"/>
                <w:sz w:val="21"/>
                <w:szCs w:val="21"/>
              </w:rPr>
              <w:t>计）</w:t>
            </w:r>
          </w:p>
        </w:tc>
        <w:tc>
          <w:tcPr>
            <w:tcW w:w="1106" w:type="pct"/>
            <w:vAlign w:val="center"/>
          </w:tcPr>
          <w:p>
            <w:pPr>
              <w:spacing w:line="240" w:lineRule="auto"/>
              <w:ind w:firstLine="0" w:firstLineChars="0"/>
              <w:jc w:val="center"/>
              <w:rPr>
                <w:rFonts w:cs="Times New Roman"/>
                <w:sz w:val="21"/>
                <w:szCs w:val="21"/>
              </w:rPr>
            </w:pPr>
            <w:r>
              <w:rPr>
                <w:rFonts w:cs="Times New Roman"/>
                <w:sz w:val="21"/>
                <w:szCs w:val="21"/>
              </w:rPr>
              <w:t>180</w:t>
            </w:r>
          </w:p>
        </w:tc>
        <w:tc>
          <w:tcPr>
            <w:tcW w:w="1055" w:type="pct"/>
            <w:vAlign w:val="center"/>
          </w:tcPr>
          <w:p>
            <w:pPr>
              <w:spacing w:line="240" w:lineRule="auto"/>
              <w:ind w:firstLine="0" w:firstLineChars="0"/>
              <w:jc w:val="center"/>
              <w:rPr>
                <w:rFonts w:cs="Times New Roman"/>
                <w:sz w:val="21"/>
                <w:szCs w:val="21"/>
              </w:rPr>
            </w:pPr>
            <w:r>
              <w:rPr>
                <w:rFonts w:cs="Times New Roman"/>
                <w:sz w:val="21"/>
                <w:szCs w:val="21"/>
              </w:rPr>
              <w:t>180</w:t>
            </w:r>
          </w:p>
        </w:tc>
        <w:tc>
          <w:tcPr>
            <w:tcW w:w="1446"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94" w:type="pct"/>
            <w:vAlign w:val="center"/>
          </w:tcPr>
          <w:p>
            <w:pPr>
              <w:spacing w:line="240" w:lineRule="auto"/>
              <w:ind w:firstLine="0" w:firstLineChars="0"/>
              <w:jc w:val="center"/>
              <w:rPr>
                <w:rFonts w:cs="Times New Roman"/>
                <w:sz w:val="21"/>
                <w:szCs w:val="21"/>
              </w:rPr>
            </w:pPr>
            <w:r>
              <w:rPr>
                <w:rFonts w:cs="Times New Roman"/>
                <w:sz w:val="21"/>
                <w:szCs w:val="21"/>
              </w:rPr>
              <w:t>铅及其化合物</w:t>
            </w:r>
          </w:p>
        </w:tc>
        <w:tc>
          <w:tcPr>
            <w:tcW w:w="1106" w:type="pct"/>
            <w:vAlign w:val="center"/>
          </w:tcPr>
          <w:p>
            <w:pPr>
              <w:spacing w:line="240" w:lineRule="auto"/>
              <w:ind w:firstLine="0" w:firstLineChars="0"/>
              <w:jc w:val="center"/>
              <w:rPr>
                <w:rFonts w:cs="Times New Roman"/>
                <w:sz w:val="21"/>
                <w:szCs w:val="21"/>
              </w:rPr>
            </w:pPr>
            <w:r>
              <w:rPr>
                <w:rFonts w:cs="Times New Roman"/>
                <w:sz w:val="21"/>
                <w:szCs w:val="21"/>
              </w:rPr>
              <w:t>/</w:t>
            </w:r>
          </w:p>
        </w:tc>
        <w:tc>
          <w:tcPr>
            <w:tcW w:w="1055" w:type="pct"/>
            <w:vAlign w:val="center"/>
          </w:tcPr>
          <w:p>
            <w:pPr>
              <w:spacing w:line="240" w:lineRule="auto"/>
              <w:ind w:firstLine="0" w:firstLineChars="0"/>
              <w:jc w:val="center"/>
              <w:rPr>
                <w:rFonts w:cs="Times New Roman"/>
                <w:sz w:val="21"/>
                <w:szCs w:val="21"/>
              </w:rPr>
            </w:pPr>
            <w:r>
              <w:rPr>
                <w:rFonts w:cs="Times New Roman"/>
                <w:sz w:val="21"/>
                <w:szCs w:val="21"/>
              </w:rPr>
              <w:t>0.1</w:t>
            </w:r>
          </w:p>
        </w:tc>
        <w:tc>
          <w:tcPr>
            <w:tcW w:w="1446"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94" w:type="pct"/>
            <w:vAlign w:val="center"/>
          </w:tcPr>
          <w:p>
            <w:pPr>
              <w:spacing w:line="240" w:lineRule="auto"/>
              <w:ind w:firstLine="0" w:firstLineChars="0"/>
              <w:jc w:val="center"/>
              <w:rPr>
                <w:rFonts w:cs="Times New Roman"/>
                <w:sz w:val="21"/>
                <w:szCs w:val="21"/>
              </w:rPr>
            </w:pPr>
            <w:r>
              <w:rPr>
                <w:rFonts w:cs="Times New Roman"/>
                <w:sz w:val="21"/>
                <w:szCs w:val="21"/>
              </w:rPr>
              <w:t>镉及其化合物</w:t>
            </w:r>
          </w:p>
        </w:tc>
        <w:tc>
          <w:tcPr>
            <w:tcW w:w="1106" w:type="pct"/>
            <w:vAlign w:val="center"/>
          </w:tcPr>
          <w:p>
            <w:pPr>
              <w:spacing w:line="240" w:lineRule="auto"/>
              <w:ind w:firstLine="0" w:firstLineChars="0"/>
              <w:jc w:val="center"/>
              <w:rPr>
                <w:rFonts w:cs="Times New Roman"/>
                <w:sz w:val="21"/>
                <w:szCs w:val="21"/>
              </w:rPr>
            </w:pPr>
            <w:r>
              <w:rPr>
                <w:rFonts w:cs="Times New Roman"/>
                <w:sz w:val="21"/>
                <w:szCs w:val="21"/>
              </w:rPr>
              <w:t>/</w:t>
            </w:r>
          </w:p>
        </w:tc>
        <w:tc>
          <w:tcPr>
            <w:tcW w:w="1055" w:type="pct"/>
            <w:vAlign w:val="center"/>
          </w:tcPr>
          <w:p>
            <w:pPr>
              <w:spacing w:line="240" w:lineRule="auto"/>
              <w:ind w:firstLine="0" w:firstLineChars="0"/>
              <w:jc w:val="center"/>
              <w:rPr>
                <w:rFonts w:cs="Times New Roman"/>
                <w:sz w:val="21"/>
                <w:szCs w:val="21"/>
              </w:rPr>
            </w:pPr>
            <w:r>
              <w:rPr>
                <w:rFonts w:cs="Times New Roman"/>
                <w:sz w:val="21"/>
                <w:szCs w:val="21"/>
              </w:rPr>
              <w:t>0.1</w:t>
            </w:r>
          </w:p>
        </w:tc>
        <w:tc>
          <w:tcPr>
            <w:tcW w:w="1446"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94" w:type="pct"/>
            <w:vAlign w:val="center"/>
          </w:tcPr>
          <w:p>
            <w:pPr>
              <w:spacing w:line="240" w:lineRule="auto"/>
              <w:ind w:firstLine="0" w:firstLineChars="0"/>
              <w:jc w:val="center"/>
              <w:rPr>
                <w:rFonts w:cs="Times New Roman"/>
                <w:sz w:val="21"/>
                <w:szCs w:val="21"/>
              </w:rPr>
            </w:pPr>
            <w:r>
              <w:rPr>
                <w:rFonts w:cs="Times New Roman"/>
                <w:sz w:val="21"/>
                <w:szCs w:val="21"/>
              </w:rPr>
              <w:t>镍及其化合物</w:t>
            </w:r>
          </w:p>
        </w:tc>
        <w:tc>
          <w:tcPr>
            <w:tcW w:w="1106" w:type="pct"/>
            <w:vAlign w:val="center"/>
          </w:tcPr>
          <w:p>
            <w:pPr>
              <w:spacing w:line="240" w:lineRule="auto"/>
              <w:ind w:firstLine="0" w:firstLineChars="0"/>
              <w:jc w:val="center"/>
              <w:rPr>
                <w:rFonts w:cs="Times New Roman"/>
                <w:sz w:val="21"/>
                <w:szCs w:val="21"/>
              </w:rPr>
            </w:pPr>
            <w:r>
              <w:rPr>
                <w:rFonts w:cs="Times New Roman"/>
                <w:sz w:val="21"/>
                <w:szCs w:val="21"/>
              </w:rPr>
              <w:t>/</w:t>
            </w:r>
          </w:p>
        </w:tc>
        <w:tc>
          <w:tcPr>
            <w:tcW w:w="1055" w:type="pct"/>
            <w:vAlign w:val="center"/>
          </w:tcPr>
          <w:p>
            <w:pPr>
              <w:spacing w:line="240" w:lineRule="auto"/>
              <w:ind w:firstLine="0" w:firstLineChars="0"/>
              <w:jc w:val="center"/>
              <w:rPr>
                <w:rFonts w:cs="Times New Roman"/>
                <w:sz w:val="21"/>
                <w:szCs w:val="21"/>
              </w:rPr>
            </w:pPr>
            <w:r>
              <w:rPr>
                <w:rFonts w:cs="Times New Roman"/>
                <w:sz w:val="21"/>
                <w:szCs w:val="21"/>
              </w:rPr>
              <w:t>0.2</w:t>
            </w:r>
          </w:p>
        </w:tc>
        <w:tc>
          <w:tcPr>
            <w:tcW w:w="1446"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94" w:type="pct"/>
            <w:vAlign w:val="center"/>
          </w:tcPr>
          <w:p>
            <w:pPr>
              <w:spacing w:line="240" w:lineRule="auto"/>
              <w:ind w:firstLine="0" w:firstLineChars="0"/>
              <w:jc w:val="center"/>
              <w:rPr>
                <w:rFonts w:cs="Times New Roman"/>
                <w:sz w:val="21"/>
                <w:szCs w:val="21"/>
              </w:rPr>
            </w:pPr>
            <w:r>
              <w:rPr>
                <w:rFonts w:cs="Times New Roman"/>
                <w:sz w:val="21"/>
                <w:szCs w:val="21"/>
              </w:rPr>
              <w:t>氟化物</w:t>
            </w:r>
          </w:p>
        </w:tc>
        <w:tc>
          <w:tcPr>
            <w:tcW w:w="1106" w:type="pct"/>
            <w:vAlign w:val="center"/>
          </w:tcPr>
          <w:p>
            <w:pPr>
              <w:spacing w:line="240" w:lineRule="auto"/>
              <w:ind w:firstLine="0" w:firstLineChars="0"/>
              <w:jc w:val="center"/>
              <w:rPr>
                <w:rFonts w:cs="Times New Roman"/>
                <w:sz w:val="21"/>
                <w:szCs w:val="21"/>
              </w:rPr>
            </w:pPr>
            <w:r>
              <w:rPr>
                <w:rFonts w:cs="Times New Roman"/>
                <w:sz w:val="21"/>
                <w:szCs w:val="21"/>
              </w:rPr>
              <w:t>/</w:t>
            </w:r>
          </w:p>
        </w:tc>
        <w:tc>
          <w:tcPr>
            <w:tcW w:w="1055" w:type="pct"/>
            <w:vAlign w:val="center"/>
          </w:tcPr>
          <w:p>
            <w:pPr>
              <w:spacing w:line="240" w:lineRule="auto"/>
              <w:ind w:firstLine="0" w:firstLineChars="0"/>
              <w:jc w:val="center"/>
              <w:rPr>
                <w:rFonts w:cs="Times New Roman"/>
                <w:sz w:val="21"/>
                <w:szCs w:val="21"/>
              </w:rPr>
            </w:pPr>
            <w:r>
              <w:rPr>
                <w:rFonts w:cs="Times New Roman"/>
                <w:sz w:val="21"/>
                <w:szCs w:val="21"/>
              </w:rPr>
              <w:t>3.0</w:t>
            </w:r>
          </w:p>
        </w:tc>
        <w:tc>
          <w:tcPr>
            <w:tcW w:w="1446"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94" w:type="pct"/>
            <w:vAlign w:val="center"/>
          </w:tcPr>
          <w:p>
            <w:pPr>
              <w:spacing w:line="240" w:lineRule="auto"/>
              <w:ind w:firstLine="0" w:firstLineChars="0"/>
              <w:jc w:val="center"/>
              <w:rPr>
                <w:rFonts w:cs="Times New Roman"/>
                <w:sz w:val="21"/>
                <w:szCs w:val="21"/>
              </w:rPr>
            </w:pPr>
            <w:r>
              <w:rPr>
                <w:rFonts w:cs="Times New Roman"/>
                <w:sz w:val="21"/>
                <w:szCs w:val="21"/>
              </w:rPr>
              <w:t>氯化物（以HCL计）</w:t>
            </w:r>
          </w:p>
        </w:tc>
        <w:tc>
          <w:tcPr>
            <w:tcW w:w="1106" w:type="pct"/>
            <w:vAlign w:val="center"/>
          </w:tcPr>
          <w:p>
            <w:pPr>
              <w:spacing w:line="240" w:lineRule="auto"/>
              <w:ind w:firstLine="0" w:firstLineChars="0"/>
              <w:jc w:val="center"/>
              <w:rPr>
                <w:rFonts w:cs="Times New Roman"/>
                <w:sz w:val="21"/>
                <w:szCs w:val="21"/>
              </w:rPr>
            </w:pPr>
            <w:r>
              <w:rPr>
                <w:rFonts w:cs="Times New Roman"/>
                <w:sz w:val="21"/>
                <w:szCs w:val="21"/>
              </w:rPr>
              <w:t>/</w:t>
            </w:r>
          </w:p>
        </w:tc>
        <w:tc>
          <w:tcPr>
            <w:tcW w:w="1055" w:type="pct"/>
            <w:vAlign w:val="center"/>
          </w:tcPr>
          <w:p>
            <w:pPr>
              <w:spacing w:line="240" w:lineRule="auto"/>
              <w:ind w:firstLine="0" w:firstLineChars="0"/>
              <w:jc w:val="center"/>
              <w:rPr>
                <w:rFonts w:cs="Times New Roman"/>
                <w:sz w:val="21"/>
                <w:szCs w:val="21"/>
              </w:rPr>
            </w:pPr>
            <w:r>
              <w:rPr>
                <w:rFonts w:cs="Times New Roman"/>
                <w:sz w:val="21"/>
                <w:szCs w:val="21"/>
              </w:rPr>
              <w:t>25</w:t>
            </w:r>
          </w:p>
        </w:tc>
        <w:tc>
          <w:tcPr>
            <w:tcW w:w="1446"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94" w:type="pct"/>
            <w:vAlign w:val="center"/>
          </w:tcPr>
          <w:p>
            <w:pPr>
              <w:spacing w:line="240" w:lineRule="auto"/>
              <w:ind w:firstLine="0" w:firstLineChars="0"/>
              <w:jc w:val="center"/>
              <w:rPr>
                <w:rFonts w:cs="Times New Roman"/>
                <w:sz w:val="21"/>
                <w:szCs w:val="21"/>
              </w:rPr>
            </w:pPr>
            <w:r>
              <w:rPr>
                <w:rFonts w:cs="Times New Roman"/>
                <w:sz w:val="21"/>
                <w:szCs w:val="21"/>
              </w:rPr>
              <w:t>烟气黑度（格林曼黑度）</w:t>
            </w:r>
          </w:p>
        </w:tc>
        <w:tc>
          <w:tcPr>
            <w:tcW w:w="2161" w:type="pct"/>
            <w:gridSpan w:val="2"/>
            <w:vAlign w:val="center"/>
          </w:tcPr>
          <w:p>
            <w:pPr>
              <w:spacing w:line="240" w:lineRule="auto"/>
              <w:ind w:firstLine="0" w:firstLineChars="0"/>
              <w:jc w:val="center"/>
              <w:rPr>
                <w:rFonts w:cs="Times New Roman"/>
                <w:sz w:val="21"/>
                <w:szCs w:val="21"/>
              </w:rPr>
            </w:pPr>
            <w:r>
              <w:rPr>
                <w:rFonts w:cs="Times New Roman"/>
                <w:sz w:val="21"/>
                <w:szCs w:val="21"/>
              </w:rPr>
              <w:t>1</w:t>
            </w:r>
          </w:p>
        </w:tc>
        <w:tc>
          <w:tcPr>
            <w:tcW w:w="1446" w:type="pct"/>
            <w:vMerge w:val="continue"/>
            <w:vAlign w:val="center"/>
          </w:tcPr>
          <w:p>
            <w:pPr>
              <w:spacing w:line="240" w:lineRule="auto"/>
              <w:ind w:firstLine="0" w:firstLineChars="0"/>
              <w:jc w:val="center"/>
              <w:rPr>
                <w:rFonts w:cs="Times New Roman"/>
                <w:sz w:val="21"/>
                <w:szCs w:val="21"/>
              </w:rPr>
            </w:pPr>
          </w:p>
        </w:tc>
      </w:tr>
    </w:tbl>
    <w:p>
      <w:pPr>
        <w:pStyle w:val="69"/>
        <w:adjustRightInd w:val="0"/>
        <w:snapToGrid w:val="0"/>
      </w:pPr>
      <w:r>
        <w:t>标准另规定：喷雾干燥塔、陶瓷窑烟气基准含氧量为18%，实测喷雾干燥塔、陶瓷窑的大气污染物排放浓度，应换算为基准含氧量条件下的排放浓度，并以此作为判定排放是否达标的依据。</w:t>
      </w:r>
    </w:p>
    <w:p>
      <w:pPr>
        <w:pStyle w:val="69"/>
        <w:adjustRightInd w:val="0"/>
        <w:snapToGrid w:val="0"/>
      </w:pPr>
      <w:r>
        <w:t>产生大气污染物的生产工艺和装置必须设立局部或整体气体收集系统和集中净化处理装置。所有排气筒高度应不低于15m，排气筒周围半径200m 范围内有建筑物时，排气筒高度还应高出最高建筑物3m以上。</w:t>
      </w:r>
    </w:p>
    <w:p>
      <w:pPr>
        <w:pStyle w:val="69"/>
        <w:adjustRightInd w:val="0"/>
        <w:snapToGrid w:val="0"/>
      </w:pPr>
      <w:r>
        <w:t>企业边界大气污染物任何1 小时平均浓度执行《陶瓷工业污染物排放标准》（GB25464-2010）表6 规定的限值，详见表2.3-11。</w:t>
      </w:r>
    </w:p>
    <w:p>
      <w:pPr>
        <w:pStyle w:val="43"/>
        <w:spacing w:before="156" w:beforeLines="50"/>
        <w:ind w:firstLine="241"/>
        <w:jc w:val="center"/>
        <w:rPr>
          <w:rFonts w:ascii="Times New Roman" w:hAnsi="Times New Roman"/>
          <w:b/>
          <w:bCs/>
          <w:sz w:val="24"/>
          <w:szCs w:val="32"/>
        </w:rPr>
      </w:pPr>
      <w:r>
        <w:rPr>
          <w:rFonts w:ascii="Times New Roman" w:hAnsi="Times New Roman"/>
          <w:b/>
          <w:bCs/>
          <w:sz w:val="24"/>
          <w:szCs w:val="32"/>
        </w:rPr>
        <w:t>表2.3-11  企业厂界无组织排放限值  单位：mg/Nm</w:t>
      </w:r>
      <w:r>
        <w:rPr>
          <w:rFonts w:ascii="Times New Roman" w:hAnsi="Times New Roman"/>
          <w:b/>
          <w:bCs/>
          <w:sz w:val="24"/>
          <w:szCs w:val="32"/>
          <w:vertAlign w:val="superscript"/>
        </w:rPr>
        <w:t>3</w:t>
      </w:r>
    </w:p>
    <w:tbl>
      <w:tblPr>
        <w:tblStyle w:val="4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666" w:type="pct"/>
            <w:vAlign w:val="center"/>
          </w:tcPr>
          <w:p>
            <w:pPr>
              <w:spacing w:line="240" w:lineRule="auto"/>
              <w:ind w:firstLine="0" w:firstLineChars="0"/>
              <w:jc w:val="center"/>
              <w:rPr>
                <w:rFonts w:cs="Times New Roman"/>
                <w:b/>
                <w:sz w:val="21"/>
                <w:szCs w:val="18"/>
              </w:rPr>
            </w:pPr>
            <w:r>
              <w:rPr>
                <w:rFonts w:cs="Times New Roman"/>
                <w:b/>
                <w:sz w:val="21"/>
                <w:szCs w:val="18"/>
              </w:rPr>
              <w:t>序号</w:t>
            </w:r>
          </w:p>
        </w:tc>
        <w:tc>
          <w:tcPr>
            <w:tcW w:w="1667" w:type="pct"/>
            <w:vAlign w:val="center"/>
          </w:tcPr>
          <w:p>
            <w:pPr>
              <w:spacing w:line="240" w:lineRule="auto"/>
              <w:ind w:firstLine="0" w:firstLineChars="0"/>
              <w:jc w:val="center"/>
              <w:rPr>
                <w:rFonts w:cs="Times New Roman"/>
                <w:b/>
                <w:sz w:val="21"/>
                <w:szCs w:val="18"/>
              </w:rPr>
            </w:pPr>
            <w:r>
              <w:rPr>
                <w:rFonts w:cs="Times New Roman"/>
                <w:b/>
                <w:sz w:val="21"/>
                <w:szCs w:val="18"/>
              </w:rPr>
              <w:t>污染物项目</w:t>
            </w:r>
          </w:p>
        </w:tc>
        <w:tc>
          <w:tcPr>
            <w:tcW w:w="1667" w:type="pct"/>
            <w:vAlign w:val="center"/>
          </w:tcPr>
          <w:p>
            <w:pPr>
              <w:spacing w:line="240" w:lineRule="auto"/>
              <w:ind w:firstLine="0" w:firstLineChars="0"/>
              <w:jc w:val="center"/>
              <w:rPr>
                <w:rFonts w:cs="Times New Roman"/>
                <w:b/>
                <w:sz w:val="21"/>
                <w:szCs w:val="18"/>
              </w:rPr>
            </w:pPr>
            <w:r>
              <w:rPr>
                <w:rFonts w:cs="Times New Roman"/>
                <w:b/>
                <w:sz w:val="21"/>
                <w:szCs w:val="18"/>
              </w:rPr>
              <w:t>最高浓度限值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666" w:type="pct"/>
            <w:vAlign w:val="center"/>
          </w:tcPr>
          <w:p>
            <w:pPr>
              <w:spacing w:line="240" w:lineRule="auto"/>
              <w:ind w:firstLine="0" w:firstLineChars="0"/>
              <w:jc w:val="center"/>
              <w:rPr>
                <w:rFonts w:cs="Times New Roman"/>
                <w:sz w:val="21"/>
                <w:szCs w:val="18"/>
              </w:rPr>
            </w:pPr>
            <w:r>
              <w:rPr>
                <w:rFonts w:cs="Times New Roman"/>
                <w:sz w:val="21"/>
                <w:szCs w:val="18"/>
              </w:rPr>
              <w:t>1</w:t>
            </w:r>
          </w:p>
        </w:tc>
        <w:tc>
          <w:tcPr>
            <w:tcW w:w="1667" w:type="pct"/>
            <w:vAlign w:val="center"/>
          </w:tcPr>
          <w:p>
            <w:pPr>
              <w:spacing w:line="240" w:lineRule="auto"/>
              <w:ind w:firstLine="0" w:firstLineChars="0"/>
              <w:jc w:val="center"/>
              <w:rPr>
                <w:rFonts w:cs="Times New Roman"/>
                <w:sz w:val="21"/>
                <w:szCs w:val="18"/>
              </w:rPr>
            </w:pPr>
            <w:r>
              <w:rPr>
                <w:rFonts w:cs="Times New Roman"/>
                <w:sz w:val="21"/>
                <w:szCs w:val="18"/>
              </w:rPr>
              <w:t>颗粒物</w:t>
            </w:r>
          </w:p>
        </w:tc>
        <w:tc>
          <w:tcPr>
            <w:tcW w:w="1667" w:type="pct"/>
            <w:vAlign w:val="center"/>
          </w:tcPr>
          <w:p>
            <w:pPr>
              <w:spacing w:line="240" w:lineRule="auto"/>
              <w:ind w:firstLine="0" w:firstLineChars="0"/>
              <w:jc w:val="center"/>
              <w:rPr>
                <w:rFonts w:cs="Times New Roman"/>
                <w:sz w:val="21"/>
                <w:szCs w:val="18"/>
              </w:rPr>
            </w:pPr>
            <w:r>
              <w:rPr>
                <w:rFonts w:cs="Times New Roman"/>
                <w:sz w:val="21"/>
                <w:szCs w:val="18"/>
              </w:rPr>
              <w:t>1.0</w:t>
            </w:r>
          </w:p>
        </w:tc>
      </w:tr>
    </w:tbl>
    <w:p>
      <w:pPr>
        <w:pStyle w:val="69"/>
        <w:adjustRightInd w:val="0"/>
        <w:snapToGrid w:val="0"/>
      </w:pPr>
      <w:r>
        <w:t>根据《陶瓷工业污染物排放标准》(GB25464-2010)适用范围说明，该标准不适用原料初加工过程的水污染物及大气污染物排放管理，故项目原料堆存及初加工等未列入《陶瓷工业污染物排放标准》（GB25464-2010）的粉尘排放执行《大气污染物综合排放标准》（GB16297-1996）表2 新污染源大气污染物排放限值二级标准，标准值见表2.3-12。</w:t>
      </w:r>
    </w:p>
    <w:p>
      <w:pPr>
        <w:pStyle w:val="43"/>
        <w:spacing w:before="156" w:beforeLines="50"/>
        <w:ind w:firstLine="241"/>
        <w:jc w:val="center"/>
        <w:rPr>
          <w:rFonts w:ascii="Times New Roman" w:hAnsi="Times New Roman"/>
          <w:b/>
          <w:bCs/>
          <w:sz w:val="24"/>
          <w:szCs w:val="32"/>
        </w:rPr>
      </w:pPr>
      <w:r>
        <w:rPr>
          <w:rFonts w:ascii="Times New Roman" w:hAnsi="Times New Roman"/>
          <w:b/>
          <w:bCs/>
          <w:sz w:val="24"/>
          <w:szCs w:val="32"/>
        </w:rPr>
        <w:t>表2.3-12  大气污染物综合排放标准</w:t>
      </w:r>
    </w:p>
    <w:tbl>
      <w:tblPr>
        <w:tblStyle w:val="4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84"/>
        <w:gridCol w:w="2516"/>
        <w:gridCol w:w="2028"/>
        <w:gridCol w:w="229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88" w:type="pct"/>
            <w:vMerge w:val="restart"/>
            <w:vAlign w:val="center"/>
          </w:tcPr>
          <w:p>
            <w:pPr>
              <w:spacing w:line="240" w:lineRule="auto"/>
              <w:ind w:firstLine="0" w:firstLineChars="0"/>
              <w:jc w:val="center"/>
              <w:rPr>
                <w:rFonts w:cs="Times New Roman"/>
                <w:b/>
                <w:sz w:val="21"/>
                <w:szCs w:val="18"/>
              </w:rPr>
            </w:pPr>
            <w:r>
              <w:rPr>
                <w:rFonts w:cs="Times New Roman"/>
                <w:b/>
                <w:sz w:val="21"/>
                <w:szCs w:val="18"/>
              </w:rPr>
              <w:t>控制项目</w:t>
            </w:r>
          </w:p>
        </w:tc>
        <w:tc>
          <w:tcPr>
            <w:tcW w:w="1476" w:type="pct"/>
            <w:vMerge w:val="restart"/>
            <w:vAlign w:val="center"/>
          </w:tcPr>
          <w:p>
            <w:pPr>
              <w:spacing w:line="240" w:lineRule="auto"/>
              <w:ind w:firstLine="0" w:firstLineChars="0"/>
              <w:jc w:val="center"/>
              <w:rPr>
                <w:rFonts w:cs="Times New Roman"/>
                <w:b/>
                <w:sz w:val="21"/>
                <w:szCs w:val="18"/>
              </w:rPr>
            </w:pPr>
            <w:r>
              <w:rPr>
                <w:rFonts w:cs="Times New Roman"/>
                <w:b/>
                <w:sz w:val="21"/>
                <w:szCs w:val="18"/>
              </w:rPr>
              <w:t>最高允许排放浓度（mg/m</w:t>
            </w:r>
            <w:r>
              <w:rPr>
                <w:rFonts w:cs="Times New Roman"/>
                <w:b/>
                <w:sz w:val="21"/>
                <w:szCs w:val="18"/>
                <w:vertAlign w:val="superscript"/>
              </w:rPr>
              <w:t>3</w:t>
            </w:r>
            <w:r>
              <w:rPr>
                <w:rFonts w:cs="Times New Roman"/>
                <w:b/>
                <w:sz w:val="21"/>
                <w:szCs w:val="18"/>
              </w:rPr>
              <w:t>）</w:t>
            </w:r>
          </w:p>
        </w:tc>
        <w:tc>
          <w:tcPr>
            <w:tcW w:w="2536" w:type="pct"/>
            <w:gridSpan w:val="2"/>
            <w:vAlign w:val="center"/>
          </w:tcPr>
          <w:p>
            <w:pPr>
              <w:spacing w:line="240" w:lineRule="auto"/>
              <w:ind w:firstLine="0" w:firstLineChars="0"/>
              <w:jc w:val="center"/>
              <w:rPr>
                <w:rFonts w:cs="Times New Roman"/>
                <w:b/>
                <w:sz w:val="21"/>
                <w:szCs w:val="18"/>
              </w:rPr>
            </w:pPr>
            <w:r>
              <w:rPr>
                <w:rFonts w:cs="Times New Roman"/>
                <w:b/>
                <w:sz w:val="21"/>
                <w:szCs w:val="18"/>
              </w:rPr>
              <w:t>恶臭污染物排放标准值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88" w:type="pct"/>
            <w:vMerge w:val="continue"/>
            <w:vAlign w:val="center"/>
          </w:tcPr>
          <w:p>
            <w:pPr>
              <w:spacing w:line="240" w:lineRule="auto"/>
              <w:ind w:firstLine="0" w:firstLineChars="0"/>
              <w:jc w:val="center"/>
              <w:rPr>
                <w:rFonts w:cs="Times New Roman"/>
                <w:sz w:val="21"/>
                <w:szCs w:val="18"/>
              </w:rPr>
            </w:pPr>
          </w:p>
        </w:tc>
        <w:tc>
          <w:tcPr>
            <w:tcW w:w="1476" w:type="pct"/>
            <w:vMerge w:val="continue"/>
            <w:vAlign w:val="center"/>
          </w:tcPr>
          <w:p>
            <w:pPr>
              <w:spacing w:line="240" w:lineRule="auto"/>
              <w:ind w:firstLine="0" w:firstLineChars="0"/>
              <w:jc w:val="center"/>
              <w:rPr>
                <w:rFonts w:cs="Times New Roman"/>
                <w:sz w:val="21"/>
                <w:szCs w:val="18"/>
              </w:rPr>
            </w:pPr>
          </w:p>
        </w:tc>
        <w:tc>
          <w:tcPr>
            <w:tcW w:w="1190" w:type="pct"/>
            <w:vAlign w:val="center"/>
          </w:tcPr>
          <w:p>
            <w:pPr>
              <w:spacing w:line="240" w:lineRule="auto"/>
              <w:ind w:firstLine="0" w:firstLineChars="0"/>
              <w:jc w:val="center"/>
              <w:rPr>
                <w:rFonts w:cs="Times New Roman"/>
                <w:b/>
                <w:sz w:val="21"/>
                <w:szCs w:val="18"/>
              </w:rPr>
            </w:pPr>
            <w:r>
              <w:rPr>
                <w:rFonts w:cs="Times New Roman"/>
                <w:b/>
                <w:sz w:val="21"/>
                <w:szCs w:val="18"/>
              </w:rPr>
              <w:t>排放高度（m）</w:t>
            </w:r>
          </w:p>
        </w:tc>
        <w:tc>
          <w:tcPr>
            <w:tcW w:w="1346" w:type="pct"/>
            <w:vAlign w:val="center"/>
          </w:tcPr>
          <w:p>
            <w:pPr>
              <w:spacing w:line="240" w:lineRule="auto"/>
              <w:ind w:firstLine="0" w:firstLineChars="0"/>
              <w:jc w:val="center"/>
              <w:rPr>
                <w:rFonts w:cs="Times New Roman"/>
                <w:b/>
                <w:sz w:val="21"/>
                <w:szCs w:val="18"/>
              </w:rPr>
            </w:pPr>
            <w:r>
              <w:rPr>
                <w:rFonts w:cs="Times New Roman"/>
                <w:b/>
                <w:sz w:val="21"/>
                <w:szCs w:val="18"/>
              </w:rPr>
              <w:t>排放量（kg/h）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88" w:type="pct"/>
            <w:vAlign w:val="center"/>
          </w:tcPr>
          <w:p>
            <w:pPr>
              <w:spacing w:line="240" w:lineRule="auto"/>
              <w:ind w:firstLine="0" w:firstLineChars="0"/>
              <w:jc w:val="center"/>
              <w:rPr>
                <w:rFonts w:cs="Times New Roman"/>
                <w:sz w:val="21"/>
                <w:szCs w:val="18"/>
              </w:rPr>
            </w:pPr>
            <w:r>
              <w:rPr>
                <w:rFonts w:cs="Times New Roman"/>
                <w:sz w:val="21"/>
                <w:szCs w:val="18"/>
              </w:rPr>
              <w:t>颗粒物</w:t>
            </w:r>
          </w:p>
        </w:tc>
        <w:tc>
          <w:tcPr>
            <w:tcW w:w="1476" w:type="pct"/>
            <w:vAlign w:val="center"/>
          </w:tcPr>
          <w:p>
            <w:pPr>
              <w:spacing w:line="240" w:lineRule="auto"/>
              <w:ind w:firstLine="0" w:firstLineChars="0"/>
              <w:jc w:val="center"/>
              <w:rPr>
                <w:rFonts w:cs="Times New Roman"/>
                <w:sz w:val="21"/>
                <w:szCs w:val="18"/>
              </w:rPr>
            </w:pPr>
            <w:r>
              <w:rPr>
                <w:rFonts w:cs="Times New Roman"/>
                <w:sz w:val="21"/>
                <w:szCs w:val="18"/>
              </w:rPr>
              <w:t>120</w:t>
            </w:r>
          </w:p>
        </w:tc>
        <w:tc>
          <w:tcPr>
            <w:tcW w:w="1190" w:type="pct"/>
            <w:vAlign w:val="center"/>
          </w:tcPr>
          <w:p>
            <w:pPr>
              <w:spacing w:line="240" w:lineRule="auto"/>
              <w:ind w:firstLine="0" w:firstLineChars="0"/>
              <w:jc w:val="center"/>
              <w:rPr>
                <w:rFonts w:cs="Times New Roman"/>
                <w:sz w:val="21"/>
                <w:szCs w:val="18"/>
              </w:rPr>
            </w:pPr>
            <w:r>
              <w:rPr>
                <w:rFonts w:cs="Times New Roman"/>
                <w:sz w:val="21"/>
                <w:szCs w:val="18"/>
              </w:rPr>
              <w:t>15</w:t>
            </w:r>
          </w:p>
        </w:tc>
        <w:tc>
          <w:tcPr>
            <w:tcW w:w="1346" w:type="pct"/>
            <w:vAlign w:val="center"/>
          </w:tcPr>
          <w:p>
            <w:pPr>
              <w:spacing w:line="240" w:lineRule="auto"/>
              <w:ind w:firstLine="0" w:firstLineChars="0"/>
              <w:jc w:val="center"/>
              <w:rPr>
                <w:rFonts w:cs="Times New Roman"/>
                <w:sz w:val="21"/>
                <w:szCs w:val="18"/>
              </w:rPr>
            </w:pPr>
            <w:r>
              <w:rPr>
                <w:rFonts w:cs="Times New Roman"/>
                <w:sz w:val="21"/>
                <w:szCs w:val="18"/>
              </w:rPr>
              <w:t>3.5</w:t>
            </w:r>
          </w:p>
        </w:tc>
      </w:tr>
    </w:tbl>
    <w:p>
      <w:pPr>
        <w:pStyle w:val="69"/>
        <w:adjustRightInd w:val="0"/>
        <w:snapToGrid w:val="0"/>
      </w:pPr>
      <w:r>
        <w:t>本项目食堂油烟废气执行《饮食业油烟排放标准》（GB1848-2001）大型规模排放标准，具体浓度限值见表2.3~13。</w:t>
      </w:r>
    </w:p>
    <w:p>
      <w:pPr>
        <w:pStyle w:val="43"/>
        <w:spacing w:before="156" w:beforeLines="50"/>
        <w:ind w:firstLine="241"/>
        <w:jc w:val="center"/>
        <w:rPr>
          <w:rFonts w:ascii="Times New Roman" w:hAnsi="Times New Roman"/>
          <w:b/>
          <w:bCs/>
          <w:sz w:val="24"/>
          <w:szCs w:val="32"/>
        </w:rPr>
      </w:pPr>
      <w:r>
        <w:rPr>
          <w:rFonts w:ascii="Times New Roman" w:hAnsi="Times New Roman"/>
          <w:b/>
          <w:bCs/>
          <w:sz w:val="24"/>
          <w:szCs w:val="32"/>
        </w:rPr>
        <w:t>表2.3-13  《饮食业油烟排放标准》（GB18483-2001）</w:t>
      </w:r>
    </w:p>
    <w:tbl>
      <w:tblPr>
        <w:tblStyle w:val="4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764"/>
        <w:gridCol w:w="1767"/>
        <w:gridCol w:w="2495"/>
        <w:gridCol w:w="24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35" w:type="pct"/>
            <w:vAlign w:val="center"/>
          </w:tcPr>
          <w:p>
            <w:pPr>
              <w:pStyle w:val="69"/>
              <w:adjustRightInd w:val="0"/>
              <w:snapToGrid w:val="0"/>
              <w:ind w:firstLine="0" w:firstLineChars="0"/>
              <w:jc w:val="center"/>
              <w:rPr>
                <w:b/>
                <w:kern w:val="2"/>
                <w:sz w:val="21"/>
                <w:szCs w:val="21"/>
              </w:rPr>
            </w:pPr>
            <w:r>
              <w:rPr>
                <w:b/>
                <w:kern w:val="2"/>
                <w:sz w:val="21"/>
                <w:szCs w:val="21"/>
              </w:rPr>
              <w:t>规模</w:t>
            </w:r>
          </w:p>
        </w:tc>
        <w:tc>
          <w:tcPr>
            <w:tcW w:w="1037" w:type="pct"/>
            <w:vAlign w:val="center"/>
          </w:tcPr>
          <w:p>
            <w:pPr>
              <w:pStyle w:val="69"/>
              <w:adjustRightInd w:val="0"/>
              <w:snapToGrid w:val="0"/>
              <w:ind w:firstLine="0" w:firstLineChars="0"/>
              <w:jc w:val="center"/>
              <w:rPr>
                <w:b/>
                <w:kern w:val="2"/>
                <w:sz w:val="21"/>
                <w:szCs w:val="21"/>
              </w:rPr>
            </w:pPr>
            <w:r>
              <w:rPr>
                <w:b/>
                <w:kern w:val="2"/>
                <w:sz w:val="21"/>
                <w:szCs w:val="21"/>
              </w:rPr>
              <w:t>小型</w:t>
            </w:r>
          </w:p>
        </w:tc>
        <w:tc>
          <w:tcPr>
            <w:tcW w:w="1464" w:type="pct"/>
            <w:vAlign w:val="center"/>
          </w:tcPr>
          <w:p>
            <w:pPr>
              <w:pStyle w:val="69"/>
              <w:adjustRightInd w:val="0"/>
              <w:snapToGrid w:val="0"/>
              <w:ind w:firstLine="0" w:firstLineChars="0"/>
              <w:jc w:val="center"/>
              <w:rPr>
                <w:b/>
                <w:kern w:val="2"/>
                <w:sz w:val="21"/>
                <w:szCs w:val="21"/>
              </w:rPr>
            </w:pPr>
            <w:r>
              <w:rPr>
                <w:b/>
                <w:kern w:val="2"/>
                <w:sz w:val="21"/>
                <w:szCs w:val="21"/>
              </w:rPr>
              <w:t>中型</w:t>
            </w:r>
          </w:p>
        </w:tc>
        <w:tc>
          <w:tcPr>
            <w:tcW w:w="1464" w:type="pct"/>
            <w:vAlign w:val="center"/>
          </w:tcPr>
          <w:p>
            <w:pPr>
              <w:pStyle w:val="69"/>
              <w:adjustRightInd w:val="0"/>
              <w:snapToGrid w:val="0"/>
              <w:ind w:firstLine="0" w:firstLineChars="0"/>
              <w:jc w:val="center"/>
              <w:rPr>
                <w:b/>
                <w:kern w:val="2"/>
                <w:sz w:val="21"/>
                <w:szCs w:val="21"/>
              </w:rPr>
            </w:pPr>
            <w:r>
              <w:rPr>
                <w:b/>
                <w:kern w:val="2"/>
                <w:sz w:val="21"/>
                <w:szCs w:val="21"/>
              </w:rPr>
              <w:t>大型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35" w:type="pct"/>
            <w:vAlign w:val="center"/>
          </w:tcPr>
          <w:p>
            <w:pPr>
              <w:pStyle w:val="69"/>
              <w:adjustRightInd w:val="0"/>
              <w:snapToGrid w:val="0"/>
              <w:ind w:firstLine="0" w:firstLineChars="0"/>
              <w:jc w:val="center"/>
              <w:rPr>
                <w:kern w:val="2"/>
                <w:sz w:val="21"/>
                <w:szCs w:val="21"/>
              </w:rPr>
            </w:pPr>
            <w:r>
              <w:rPr>
                <w:kern w:val="2"/>
                <w:sz w:val="21"/>
                <w:szCs w:val="21"/>
              </w:rPr>
              <w:t>基准灶头数</w:t>
            </w:r>
          </w:p>
        </w:tc>
        <w:tc>
          <w:tcPr>
            <w:tcW w:w="1037" w:type="pct"/>
            <w:vAlign w:val="center"/>
          </w:tcPr>
          <w:p>
            <w:pPr>
              <w:pStyle w:val="69"/>
              <w:adjustRightInd w:val="0"/>
              <w:snapToGrid w:val="0"/>
              <w:ind w:firstLine="0" w:firstLineChars="0"/>
              <w:jc w:val="center"/>
              <w:rPr>
                <w:kern w:val="2"/>
                <w:sz w:val="21"/>
                <w:szCs w:val="21"/>
              </w:rPr>
            </w:pPr>
            <w:r>
              <w:rPr>
                <w:kern w:val="2"/>
                <w:sz w:val="21"/>
                <w:szCs w:val="21"/>
              </w:rPr>
              <w:t>≥1，＜3</w:t>
            </w:r>
          </w:p>
        </w:tc>
        <w:tc>
          <w:tcPr>
            <w:tcW w:w="1464" w:type="pct"/>
            <w:vAlign w:val="center"/>
          </w:tcPr>
          <w:p>
            <w:pPr>
              <w:pStyle w:val="69"/>
              <w:adjustRightInd w:val="0"/>
              <w:snapToGrid w:val="0"/>
              <w:ind w:firstLine="0" w:firstLineChars="0"/>
              <w:jc w:val="center"/>
              <w:rPr>
                <w:kern w:val="2"/>
                <w:sz w:val="21"/>
                <w:szCs w:val="21"/>
              </w:rPr>
            </w:pPr>
            <w:r>
              <w:rPr>
                <w:kern w:val="2"/>
                <w:sz w:val="21"/>
                <w:szCs w:val="21"/>
              </w:rPr>
              <w:t>≥3，＜6</w:t>
            </w:r>
          </w:p>
        </w:tc>
        <w:tc>
          <w:tcPr>
            <w:tcW w:w="1464" w:type="pct"/>
            <w:vAlign w:val="center"/>
          </w:tcPr>
          <w:p>
            <w:pPr>
              <w:pStyle w:val="69"/>
              <w:adjustRightInd w:val="0"/>
              <w:snapToGrid w:val="0"/>
              <w:ind w:firstLine="0" w:firstLineChars="0"/>
              <w:jc w:val="center"/>
              <w:rPr>
                <w:kern w:val="2"/>
                <w:sz w:val="21"/>
                <w:szCs w:val="21"/>
              </w:rPr>
            </w:pPr>
            <w:r>
              <w:rPr>
                <w:kern w:val="2"/>
                <w:sz w:val="21"/>
                <w:szCs w:val="21"/>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35" w:type="pct"/>
            <w:vAlign w:val="center"/>
          </w:tcPr>
          <w:p>
            <w:pPr>
              <w:pStyle w:val="69"/>
              <w:adjustRightInd w:val="0"/>
              <w:snapToGrid w:val="0"/>
              <w:ind w:firstLine="0" w:firstLineChars="0"/>
              <w:jc w:val="center"/>
              <w:rPr>
                <w:kern w:val="2"/>
                <w:sz w:val="21"/>
                <w:szCs w:val="21"/>
              </w:rPr>
            </w:pPr>
            <w:r>
              <w:rPr>
                <w:kern w:val="2"/>
                <w:sz w:val="21"/>
                <w:szCs w:val="21"/>
              </w:rPr>
              <w:t>最高允许排放浓度（mg/m</w:t>
            </w:r>
            <w:r>
              <w:rPr>
                <w:kern w:val="2"/>
                <w:sz w:val="21"/>
                <w:szCs w:val="21"/>
                <w:vertAlign w:val="superscript"/>
              </w:rPr>
              <w:t>3</w:t>
            </w:r>
            <w:r>
              <w:rPr>
                <w:kern w:val="2"/>
                <w:sz w:val="21"/>
                <w:szCs w:val="21"/>
              </w:rPr>
              <w:t>）</w:t>
            </w:r>
          </w:p>
        </w:tc>
        <w:tc>
          <w:tcPr>
            <w:tcW w:w="3965" w:type="pct"/>
            <w:gridSpan w:val="3"/>
            <w:vAlign w:val="center"/>
          </w:tcPr>
          <w:p>
            <w:pPr>
              <w:pStyle w:val="69"/>
              <w:adjustRightInd w:val="0"/>
              <w:snapToGrid w:val="0"/>
              <w:ind w:firstLine="0" w:firstLineChars="0"/>
              <w:jc w:val="center"/>
              <w:rPr>
                <w:b/>
                <w:kern w:val="2"/>
                <w:sz w:val="21"/>
                <w:szCs w:val="21"/>
              </w:rPr>
            </w:pPr>
            <w:r>
              <w:rPr>
                <w:b/>
                <w:kern w:val="2"/>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35" w:type="pct"/>
            <w:vAlign w:val="center"/>
          </w:tcPr>
          <w:p>
            <w:pPr>
              <w:pStyle w:val="69"/>
              <w:adjustRightInd w:val="0"/>
              <w:snapToGrid w:val="0"/>
              <w:ind w:firstLine="0" w:firstLineChars="0"/>
              <w:jc w:val="center"/>
              <w:rPr>
                <w:kern w:val="2"/>
                <w:sz w:val="21"/>
                <w:szCs w:val="21"/>
              </w:rPr>
            </w:pPr>
            <w:r>
              <w:rPr>
                <w:kern w:val="2"/>
                <w:sz w:val="21"/>
                <w:szCs w:val="21"/>
              </w:rPr>
              <w:t>净化设施最低去除效率（%）</w:t>
            </w:r>
          </w:p>
        </w:tc>
        <w:tc>
          <w:tcPr>
            <w:tcW w:w="1037" w:type="pct"/>
            <w:vAlign w:val="center"/>
          </w:tcPr>
          <w:p>
            <w:pPr>
              <w:pStyle w:val="69"/>
              <w:adjustRightInd w:val="0"/>
              <w:snapToGrid w:val="0"/>
              <w:ind w:firstLine="0" w:firstLineChars="0"/>
              <w:jc w:val="center"/>
              <w:rPr>
                <w:kern w:val="2"/>
                <w:sz w:val="21"/>
                <w:szCs w:val="21"/>
              </w:rPr>
            </w:pPr>
            <w:r>
              <w:rPr>
                <w:kern w:val="2"/>
                <w:sz w:val="21"/>
                <w:szCs w:val="21"/>
              </w:rPr>
              <w:t>60</w:t>
            </w:r>
          </w:p>
        </w:tc>
        <w:tc>
          <w:tcPr>
            <w:tcW w:w="1464" w:type="pct"/>
            <w:vAlign w:val="center"/>
          </w:tcPr>
          <w:p>
            <w:pPr>
              <w:pStyle w:val="69"/>
              <w:adjustRightInd w:val="0"/>
              <w:snapToGrid w:val="0"/>
              <w:ind w:firstLine="0" w:firstLineChars="0"/>
              <w:jc w:val="center"/>
              <w:rPr>
                <w:kern w:val="2"/>
                <w:sz w:val="21"/>
                <w:szCs w:val="21"/>
              </w:rPr>
            </w:pPr>
            <w:r>
              <w:rPr>
                <w:kern w:val="2"/>
                <w:sz w:val="21"/>
                <w:szCs w:val="21"/>
              </w:rPr>
              <w:t>75</w:t>
            </w:r>
          </w:p>
        </w:tc>
        <w:tc>
          <w:tcPr>
            <w:tcW w:w="1464" w:type="pct"/>
            <w:vAlign w:val="center"/>
          </w:tcPr>
          <w:p>
            <w:pPr>
              <w:pStyle w:val="69"/>
              <w:adjustRightInd w:val="0"/>
              <w:snapToGrid w:val="0"/>
              <w:ind w:firstLine="0" w:firstLineChars="0"/>
              <w:jc w:val="center"/>
              <w:rPr>
                <w:b/>
                <w:kern w:val="2"/>
                <w:sz w:val="21"/>
                <w:szCs w:val="21"/>
              </w:rPr>
            </w:pPr>
            <w:r>
              <w:rPr>
                <w:b/>
                <w:kern w:val="2"/>
                <w:sz w:val="21"/>
                <w:szCs w:val="21"/>
              </w:rPr>
              <w:t>85</w:t>
            </w:r>
          </w:p>
        </w:tc>
      </w:tr>
    </w:tbl>
    <w:p>
      <w:pPr>
        <w:pStyle w:val="69"/>
        <w:adjustRightInd w:val="0"/>
        <w:snapToGrid w:val="0"/>
        <w:ind w:firstLine="482"/>
        <w:rPr>
          <w:b/>
        </w:rPr>
      </w:pPr>
      <w:r>
        <w:rPr>
          <w:b/>
        </w:rPr>
        <w:t>2、废水</w:t>
      </w:r>
    </w:p>
    <w:p>
      <w:pPr>
        <w:pStyle w:val="69"/>
        <w:adjustRightInd w:val="0"/>
        <w:snapToGrid w:val="0"/>
      </w:pPr>
      <w:r>
        <w:rPr>
          <w:rFonts w:hint="eastAsia" w:ascii="宋体" w:hAnsi="宋体" w:cs="宋体"/>
        </w:rPr>
        <w:t>①</w:t>
      </w:r>
      <w:r>
        <w:t>废水排放标准</w:t>
      </w:r>
    </w:p>
    <w:p>
      <w:pPr>
        <w:pStyle w:val="69"/>
        <w:adjustRightInd w:val="0"/>
        <w:snapToGrid w:val="0"/>
      </w:pPr>
      <w:r>
        <w:t>项目废水排放执行《陶瓷工业污染物排放标准》（GB25464-2010）中表2 标准，包括企业废水总排口标志和车间或生产设施废水排放口。具体标准值见表2.3-14。</w:t>
      </w:r>
    </w:p>
    <w:p>
      <w:pPr>
        <w:adjustRightInd w:val="0"/>
        <w:snapToGrid w:val="0"/>
        <w:spacing w:before="156" w:beforeLines="50"/>
        <w:ind w:firstLine="482"/>
        <w:jc w:val="center"/>
        <w:rPr>
          <w:rFonts w:cs="Times New Roman"/>
          <w:b/>
          <w:kern w:val="0"/>
          <w:szCs w:val="21"/>
        </w:rPr>
      </w:pPr>
      <w:r>
        <w:rPr>
          <w:rFonts w:cs="Times New Roman"/>
          <w:b/>
          <w:kern w:val="0"/>
          <w:szCs w:val="21"/>
        </w:rPr>
        <w:t>表2.3-14  废水污染物排放标准  单位：mg/L，pH除外</w:t>
      </w:r>
    </w:p>
    <w:tbl>
      <w:tblPr>
        <w:tblStyle w:val="4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1" w:type="dxa"/>
          <w:bottom w:w="0" w:type="dxa"/>
          <w:right w:w="51" w:type="dxa"/>
        </w:tblCellMar>
      </w:tblPr>
      <w:tblGrid>
        <w:gridCol w:w="903"/>
        <w:gridCol w:w="1337"/>
        <w:gridCol w:w="928"/>
        <w:gridCol w:w="1557"/>
        <w:gridCol w:w="1552"/>
        <w:gridCol w:w="21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
                <w:bCs/>
                <w:spacing w:val="4"/>
                <w:sz w:val="21"/>
                <w:szCs w:val="18"/>
              </w:rPr>
            </w:pPr>
            <w:r>
              <w:rPr>
                <w:rFonts w:cs="Times New Roman"/>
                <w:b/>
                <w:bCs/>
                <w:spacing w:val="4"/>
                <w:sz w:val="21"/>
                <w:szCs w:val="18"/>
              </w:rPr>
              <w:t>序号</w:t>
            </w:r>
          </w:p>
        </w:tc>
        <w:tc>
          <w:tcPr>
            <w:tcW w:w="1347" w:type="pct"/>
            <w:gridSpan w:val="2"/>
            <w:vAlign w:val="center"/>
          </w:tcPr>
          <w:p>
            <w:pPr>
              <w:adjustRightInd w:val="0"/>
              <w:snapToGrid w:val="0"/>
              <w:spacing w:line="240" w:lineRule="auto"/>
              <w:ind w:firstLine="0" w:firstLineChars="0"/>
              <w:jc w:val="center"/>
              <w:rPr>
                <w:rFonts w:cs="Times New Roman"/>
                <w:b/>
                <w:bCs/>
                <w:spacing w:val="4"/>
                <w:sz w:val="21"/>
                <w:szCs w:val="18"/>
              </w:rPr>
            </w:pPr>
            <w:r>
              <w:rPr>
                <w:rFonts w:cs="Times New Roman"/>
                <w:b/>
                <w:bCs/>
                <w:spacing w:val="4"/>
                <w:sz w:val="21"/>
                <w:szCs w:val="18"/>
              </w:rPr>
              <w:t>污染物项目</w:t>
            </w:r>
          </w:p>
        </w:tc>
        <w:tc>
          <w:tcPr>
            <w:tcW w:w="926" w:type="pct"/>
            <w:vAlign w:val="center"/>
          </w:tcPr>
          <w:p>
            <w:pPr>
              <w:adjustRightInd w:val="0"/>
              <w:snapToGrid w:val="0"/>
              <w:spacing w:line="240" w:lineRule="auto"/>
              <w:ind w:firstLine="0" w:firstLineChars="0"/>
              <w:jc w:val="center"/>
              <w:rPr>
                <w:rFonts w:cs="Times New Roman"/>
                <w:b/>
                <w:bCs/>
                <w:spacing w:val="4"/>
                <w:sz w:val="21"/>
                <w:szCs w:val="18"/>
              </w:rPr>
            </w:pPr>
            <w:r>
              <w:rPr>
                <w:rFonts w:cs="Times New Roman"/>
                <w:b/>
                <w:bCs/>
                <w:spacing w:val="4"/>
                <w:sz w:val="21"/>
                <w:szCs w:val="18"/>
              </w:rPr>
              <w:t>直接排放限值</w:t>
            </w:r>
          </w:p>
        </w:tc>
        <w:tc>
          <w:tcPr>
            <w:tcW w:w="923" w:type="pct"/>
            <w:vAlign w:val="center"/>
          </w:tcPr>
          <w:p>
            <w:pPr>
              <w:spacing w:line="240" w:lineRule="auto"/>
              <w:ind w:firstLine="0" w:firstLineChars="0"/>
              <w:jc w:val="center"/>
              <w:rPr>
                <w:rFonts w:cs="Times New Roman"/>
                <w:b/>
                <w:bCs/>
                <w:spacing w:val="4"/>
                <w:sz w:val="21"/>
                <w:szCs w:val="18"/>
              </w:rPr>
            </w:pPr>
            <w:r>
              <w:rPr>
                <w:rFonts w:cs="Times New Roman"/>
                <w:b/>
                <w:snapToGrid w:val="0"/>
                <w:kern w:val="0"/>
                <w:sz w:val="21"/>
                <w:szCs w:val="18"/>
              </w:rPr>
              <w:t>间接排放</w:t>
            </w:r>
            <w:r>
              <w:rPr>
                <w:rFonts w:cs="Times New Roman"/>
                <w:b/>
                <w:bCs/>
                <w:spacing w:val="4"/>
                <w:sz w:val="21"/>
                <w:szCs w:val="18"/>
              </w:rPr>
              <w:t>限值</w:t>
            </w:r>
          </w:p>
        </w:tc>
        <w:tc>
          <w:tcPr>
            <w:tcW w:w="1267" w:type="pct"/>
            <w:vAlign w:val="center"/>
          </w:tcPr>
          <w:p>
            <w:pPr>
              <w:adjustRightInd w:val="0"/>
              <w:snapToGrid w:val="0"/>
              <w:spacing w:line="240" w:lineRule="auto"/>
              <w:ind w:firstLine="0" w:firstLineChars="0"/>
              <w:jc w:val="center"/>
              <w:rPr>
                <w:rFonts w:cs="Times New Roman"/>
                <w:b/>
                <w:bCs/>
                <w:spacing w:val="4"/>
                <w:sz w:val="21"/>
                <w:szCs w:val="18"/>
              </w:rPr>
            </w:pPr>
            <w:r>
              <w:rPr>
                <w:rFonts w:cs="Times New Roman"/>
                <w:b/>
                <w:bCs/>
                <w:spacing w:val="4"/>
                <w:sz w:val="21"/>
                <w:szCs w:val="18"/>
              </w:rPr>
              <w:t>污染物排放监控位置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pH值</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6~9</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6-9</w:t>
            </w:r>
          </w:p>
        </w:tc>
        <w:tc>
          <w:tcPr>
            <w:tcW w:w="1267" w:type="pct"/>
            <w:vMerge w:val="restar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企业废水总排放口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2</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悬浮物（SS）</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50</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120</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3</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COD</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50</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110</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4</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BOD</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10</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40</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5</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氨氮</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3.0</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10</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6</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总磷</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1.0</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3.0</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7</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总氮</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15</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40</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8</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石油类</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3.0</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10</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9</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硫化物</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1.0</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2.0</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10</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氟化物</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8.0</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20</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11</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总铜</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0.1</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1.0</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12</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总锌</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1.0</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4.0</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13</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总钡</w:t>
            </w:r>
          </w:p>
        </w:tc>
        <w:tc>
          <w:tcPr>
            <w:tcW w:w="926"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0.7</w:t>
            </w:r>
          </w:p>
        </w:tc>
        <w:tc>
          <w:tcPr>
            <w:tcW w:w="923" w:type="pct"/>
            <w:vAlign w:val="center"/>
          </w:tcPr>
          <w:p>
            <w:pPr>
              <w:spacing w:line="240" w:lineRule="auto"/>
              <w:ind w:firstLine="0" w:firstLineChars="0"/>
              <w:jc w:val="center"/>
              <w:rPr>
                <w:rFonts w:cs="Times New Roman"/>
                <w:bCs/>
                <w:spacing w:val="4"/>
                <w:sz w:val="21"/>
                <w:szCs w:val="18"/>
              </w:rPr>
            </w:pPr>
            <w:r>
              <w:rPr>
                <w:rFonts w:cs="Times New Roman"/>
                <w:snapToGrid w:val="0"/>
                <w:kern w:val="0"/>
                <w:sz w:val="21"/>
                <w:szCs w:val="18"/>
              </w:rPr>
              <w:t>0.7</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14</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总镉</w:t>
            </w:r>
          </w:p>
        </w:tc>
        <w:tc>
          <w:tcPr>
            <w:tcW w:w="1849"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0.07</w:t>
            </w:r>
          </w:p>
        </w:tc>
        <w:tc>
          <w:tcPr>
            <w:tcW w:w="1267" w:type="pct"/>
            <w:vMerge w:val="restar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车间或生产设施废水排放口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15</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总铬</w:t>
            </w:r>
          </w:p>
        </w:tc>
        <w:tc>
          <w:tcPr>
            <w:tcW w:w="1849"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0.1</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16</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总铅</w:t>
            </w:r>
          </w:p>
        </w:tc>
        <w:tc>
          <w:tcPr>
            <w:tcW w:w="1849"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0.3</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17</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总镍</w:t>
            </w:r>
          </w:p>
        </w:tc>
        <w:tc>
          <w:tcPr>
            <w:tcW w:w="1849"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0.1</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18</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总钴</w:t>
            </w:r>
          </w:p>
        </w:tc>
        <w:tc>
          <w:tcPr>
            <w:tcW w:w="1849"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0.1</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19</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总铍</w:t>
            </w:r>
          </w:p>
        </w:tc>
        <w:tc>
          <w:tcPr>
            <w:tcW w:w="1849"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0.005</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20</w:t>
            </w:r>
          </w:p>
        </w:tc>
        <w:tc>
          <w:tcPr>
            <w:tcW w:w="1347"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可吸附有机卤化物(AOX)</w:t>
            </w:r>
          </w:p>
        </w:tc>
        <w:tc>
          <w:tcPr>
            <w:tcW w:w="1849"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0.1</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Merge w:val="restar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单位产品基准排水量</w:t>
            </w:r>
          </w:p>
        </w:tc>
        <w:tc>
          <w:tcPr>
            <w:tcW w:w="795" w:type="pct"/>
            <w:vMerge w:val="restar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建筑陶瓷</w:t>
            </w:r>
          </w:p>
        </w:tc>
        <w:tc>
          <w:tcPr>
            <w:tcW w:w="552"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抛光（m</w:t>
            </w:r>
            <w:r>
              <w:rPr>
                <w:rFonts w:cs="Times New Roman"/>
                <w:bCs/>
                <w:spacing w:val="4"/>
                <w:sz w:val="21"/>
                <w:szCs w:val="18"/>
                <w:vertAlign w:val="superscript"/>
              </w:rPr>
              <w:t>3</w:t>
            </w:r>
            <w:r>
              <w:rPr>
                <w:rFonts w:cs="Times New Roman"/>
                <w:bCs/>
                <w:spacing w:val="4"/>
                <w:sz w:val="21"/>
                <w:szCs w:val="18"/>
              </w:rPr>
              <w:t>/t）</w:t>
            </w:r>
          </w:p>
        </w:tc>
        <w:tc>
          <w:tcPr>
            <w:tcW w:w="1849"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0.3</w:t>
            </w:r>
          </w:p>
        </w:tc>
        <w:tc>
          <w:tcPr>
            <w:tcW w:w="1267" w:type="pct"/>
            <w:vMerge w:val="restar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排水量计量位置与污染物排放监控位置一致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trPr>
        <w:tc>
          <w:tcPr>
            <w:tcW w:w="53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c>
          <w:tcPr>
            <w:tcW w:w="795"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c>
          <w:tcPr>
            <w:tcW w:w="552" w:type="pct"/>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非抛光（m</w:t>
            </w:r>
            <w:r>
              <w:rPr>
                <w:rFonts w:cs="Times New Roman"/>
                <w:bCs/>
                <w:spacing w:val="4"/>
                <w:sz w:val="21"/>
                <w:szCs w:val="18"/>
                <w:vertAlign w:val="superscript"/>
              </w:rPr>
              <w:t>3</w:t>
            </w:r>
            <w:r>
              <w:rPr>
                <w:rFonts w:cs="Times New Roman"/>
                <w:bCs/>
                <w:spacing w:val="4"/>
                <w:sz w:val="21"/>
                <w:szCs w:val="18"/>
              </w:rPr>
              <w:t>/t）</w:t>
            </w:r>
          </w:p>
        </w:tc>
        <w:tc>
          <w:tcPr>
            <w:tcW w:w="1849" w:type="pct"/>
            <w:gridSpan w:val="2"/>
            <w:vAlign w:val="center"/>
          </w:tcPr>
          <w:p>
            <w:pPr>
              <w:adjustRightInd w:val="0"/>
              <w:snapToGrid w:val="0"/>
              <w:spacing w:line="240" w:lineRule="auto"/>
              <w:ind w:firstLine="0" w:firstLineChars="0"/>
              <w:jc w:val="center"/>
              <w:rPr>
                <w:rFonts w:cs="Times New Roman"/>
                <w:bCs/>
                <w:spacing w:val="4"/>
                <w:sz w:val="21"/>
                <w:szCs w:val="18"/>
              </w:rPr>
            </w:pPr>
            <w:r>
              <w:rPr>
                <w:rFonts w:cs="Times New Roman"/>
                <w:bCs/>
                <w:spacing w:val="4"/>
                <w:sz w:val="21"/>
                <w:szCs w:val="18"/>
              </w:rPr>
              <w:t>0.1</w:t>
            </w:r>
          </w:p>
        </w:tc>
        <w:tc>
          <w:tcPr>
            <w:tcW w:w="1267" w:type="pct"/>
            <w:vMerge w:val="continue"/>
            <w:vAlign w:val="center"/>
          </w:tcPr>
          <w:p>
            <w:pPr>
              <w:adjustRightInd w:val="0"/>
              <w:snapToGrid w:val="0"/>
              <w:spacing w:line="240" w:lineRule="auto"/>
              <w:ind w:firstLine="0" w:firstLineChars="0"/>
              <w:jc w:val="center"/>
              <w:rPr>
                <w:rFonts w:cs="Times New Roman"/>
                <w:bCs/>
                <w:spacing w:val="4"/>
                <w:sz w:val="21"/>
                <w:szCs w:val="18"/>
              </w:rPr>
            </w:pPr>
          </w:p>
        </w:tc>
      </w:tr>
    </w:tbl>
    <w:p>
      <w:pPr>
        <w:pStyle w:val="69"/>
        <w:adjustRightInd w:val="0"/>
        <w:snapToGrid w:val="0"/>
      </w:pPr>
      <w:r>
        <w:rPr>
          <w:rFonts w:hint="eastAsia" w:ascii="宋体" w:hAnsi="宋体" w:cs="宋体"/>
        </w:rPr>
        <w:t>②</w:t>
      </w:r>
      <w:r>
        <w:t>废水回用水质标准</w:t>
      </w:r>
    </w:p>
    <w:p>
      <w:pPr>
        <w:pStyle w:val="69"/>
        <w:snapToGrid w:val="0"/>
        <w:rPr>
          <w:kern w:val="2"/>
        </w:rPr>
      </w:pPr>
      <w:r>
        <w:rPr>
          <w:kern w:val="2"/>
        </w:rPr>
        <w:t>项目运营期生产废水全部回用，不外排。回用水质执行《城市污水再生利用工业用水水质》（GB/T19923-2005）以及城市污水再生利用城市杂用水水质》（GB/T18920-2002）标准，相同指标按严要求执行，详见表2.3-15和表2.3-16</w:t>
      </w:r>
    </w:p>
    <w:p>
      <w:pPr>
        <w:adjustRightInd w:val="0"/>
        <w:snapToGrid w:val="0"/>
        <w:spacing w:before="156" w:beforeLines="50"/>
        <w:ind w:firstLine="482"/>
        <w:jc w:val="center"/>
        <w:rPr>
          <w:rFonts w:cs="Times New Roman"/>
          <w:b/>
          <w:kern w:val="0"/>
          <w:szCs w:val="21"/>
        </w:rPr>
      </w:pPr>
      <w:r>
        <w:rPr>
          <w:rFonts w:cs="Times New Roman"/>
          <w:b/>
          <w:kern w:val="0"/>
          <w:szCs w:val="21"/>
        </w:rPr>
        <w:t>表2.3-15  《城市污水再生利用工业用水水质》</w:t>
      </w:r>
    </w:p>
    <w:tbl>
      <w:tblPr>
        <w:tblStyle w:val="4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41"/>
        <w:gridCol w:w="38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2723" w:type="pct"/>
            <w:vAlign w:val="center"/>
          </w:tcPr>
          <w:p>
            <w:pPr>
              <w:spacing w:line="240" w:lineRule="auto"/>
              <w:ind w:firstLine="0" w:firstLineChars="0"/>
              <w:jc w:val="center"/>
              <w:rPr>
                <w:rFonts w:cs="Times New Roman"/>
                <w:b/>
                <w:sz w:val="21"/>
                <w:szCs w:val="21"/>
              </w:rPr>
            </w:pPr>
            <w:r>
              <w:rPr>
                <w:rFonts w:cs="Times New Roman"/>
                <w:b/>
                <w:sz w:val="21"/>
                <w:szCs w:val="21"/>
              </w:rPr>
              <w:t>控制项目</w:t>
            </w:r>
          </w:p>
        </w:tc>
        <w:tc>
          <w:tcPr>
            <w:tcW w:w="2277" w:type="pct"/>
            <w:vAlign w:val="center"/>
          </w:tcPr>
          <w:p>
            <w:pPr>
              <w:spacing w:line="240" w:lineRule="auto"/>
              <w:ind w:firstLine="0" w:firstLineChars="0"/>
              <w:jc w:val="center"/>
              <w:rPr>
                <w:rFonts w:cs="Times New Roman"/>
                <w:b/>
                <w:sz w:val="21"/>
                <w:szCs w:val="21"/>
              </w:rPr>
            </w:pPr>
            <w:r>
              <w:rPr>
                <w:rFonts w:cs="Times New Roman"/>
                <w:b/>
                <w:sz w:val="21"/>
                <w:szCs w:val="21"/>
              </w:rPr>
              <w:t>工业与产品用水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pH值</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6.5~8.5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悬浮物（SS）（mg/L）≤</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浊度（NTU）≤</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色度（度）≤</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生化需氧量（BOD</w:t>
            </w:r>
            <w:r>
              <w:rPr>
                <w:rFonts w:cs="Times New Roman"/>
                <w:bCs/>
                <w:spacing w:val="4"/>
                <w:sz w:val="21"/>
                <w:szCs w:val="21"/>
                <w:vertAlign w:val="subscript"/>
              </w:rPr>
              <w:t>5</w:t>
            </w:r>
            <w:r>
              <w:rPr>
                <w:rFonts w:cs="Times New Roman"/>
                <w:bCs/>
                <w:spacing w:val="4"/>
                <w:sz w:val="21"/>
                <w:szCs w:val="21"/>
              </w:rPr>
              <w:t>）（mg/L）≤</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化学需氧量（COD）（mg/L）≤</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铁（mg/L）≤</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锰（mg/L）≤</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总硬度（以CaCO</w:t>
            </w:r>
            <w:r>
              <w:rPr>
                <w:rFonts w:cs="Times New Roman"/>
                <w:bCs/>
                <w:spacing w:val="4"/>
                <w:sz w:val="21"/>
                <w:szCs w:val="21"/>
                <w:vertAlign w:val="subscript"/>
              </w:rPr>
              <w:t>3</w:t>
            </w:r>
            <w:r>
              <w:rPr>
                <w:rFonts w:cs="Times New Roman"/>
                <w:bCs/>
                <w:spacing w:val="4"/>
                <w:sz w:val="21"/>
                <w:szCs w:val="21"/>
              </w:rPr>
              <w:t>计）（mg/L）≤</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450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氨氮（以N计）（mg/L）≤</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总磷（以P计）（mg/L）≤</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2723"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石油类（mg/L）≤</w:t>
            </w:r>
          </w:p>
        </w:tc>
        <w:tc>
          <w:tcPr>
            <w:tcW w:w="2277" w:type="pct"/>
            <w:vAlign w:val="center"/>
          </w:tcPr>
          <w:p>
            <w:pPr>
              <w:spacing w:line="240" w:lineRule="auto"/>
              <w:ind w:firstLine="0" w:firstLineChars="0"/>
              <w:jc w:val="center"/>
              <w:rPr>
                <w:rFonts w:cs="Times New Roman"/>
                <w:sz w:val="21"/>
                <w:szCs w:val="21"/>
              </w:rPr>
            </w:pPr>
            <w:r>
              <w:rPr>
                <w:rFonts w:cs="Times New Roman"/>
                <w:sz w:val="21"/>
                <w:szCs w:val="21"/>
              </w:rPr>
              <w:t>1</w:t>
            </w:r>
          </w:p>
        </w:tc>
      </w:tr>
    </w:tbl>
    <w:p>
      <w:pPr>
        <w:adjustRightInd w:val="0"/>
        <w:snapToGrid w:val="0"/>
        <w:spacing w:before="156" w:beforeLines="50"/>
        <w:ind w:firstLine="482"/>
        <w:jc w:val="center"/>
        <w:rPr>
          <w:rFonts w:cs="Times New Roman"/>
          <w:b/>
          <w:kern w:val="0"/>
          <w:szCs w:val="21"/>
        </w:rPr>
      </w:pPr>
    </w:p>
    <w:p>
      <w:pPr>
        <w:adjustRightInd w:val="0"/>
        <w:snapToGrid w:val="0"/>
        <w:spacing w:before="156" w:beforeLines="50"/>
        <w:ind w:firstLine="482"/>
        <w:jc w:val="center"/>
        <w:rPr>
          <w:rFonts w:cs="Times New Roman"/>
          <w:b/>
          <w:kern w:val="0"/>
          <w:szCs w:val="21"/>
        </w:rPr>
      </w:pPr>
      <w:r>
        <w:rPr>
          <w:rFonts w:cs="Times New Roman"/>
          <w:b/>
          <w:kern w:val="0"/>
          <w:szCs w:val="21"/>
        </w:rPr>
        <w:t>表2.3-16  《城市污水再生利用城市杂用水水质》</w:t>
      </w:r>
    </w:p>
    <w:tbl>
      <w:tblPr>
        <w:tblStyle w:val="4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89"/>
        <w:gridCol w:w="2667"/>
        <w:gridCol w:w="26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1" w:type="pct"/>
            <w:vAlign w:val="center"/>
          </w:tcPr>
          <w:p>
            <w:pPr>
              <w:spacing w:line="240" w:lineRule="auto"/>
              <w:ind w:firstLine="0" w:firstLineChars="0"/>
              <w:jc w:val="center"/>
              <w:rPr>
                <w:rFonts w:cs="Times New Roman"/>
                <w:b/>
                <w:sz w:val="21"/>
                <w:szCs w:val="21"/>
              </w:rPr>
            </w:pPr>
            <w:r>
              <w:rPr>
                <w:rFonts w:cs="Times New Roman"/>
                <w:b/>
                <w:sz w:val="21"/>
                <w:szCs w:val="21"/>
              </w:rPr>
              <w:t>控制项目</w:t>
            </w:r>
          </w:p>
        </w:tc>
        <w:tc>
          <w:tcPr>
            <w:tcW w:w="1565" w:type="pct"/>
            <w:vAlign w:val="center"/>
          </w:tcPr>
          <w:p>
            <w:pPr>
              <w:spacing w:line="240" w:lineRule="auto"/>
              <w:ind w:firstLine="0" w:firstLineChars="0"/>
              <w:jc w:val="center"/>
              <w:rPr>
                <w:rFonts w:cs="Times New Roman"/>
                <w:b/>
                <w:sz w:val="21"/>
                <w:szCs w:val="21"/>
              </w:rPr>
            </w:pPr>
            <w:r>
              <w:rPr>
                <w:rFonts w:cs="Times New Roman"/>
                <w:b/>
                <w:sz w:val="21"/>
                <w:szCs w:val="21"/>
              </w:rPr>
              <w:t>道路清扫、消防</w:t>
            </w:r>
          </w:p>
        </w:tc>
        <w:tc>
          <w:tcPr>
            <w:tcW w:w="1564" w:type="pct"/>
            <w:vAlign w:val="center"/>
          </w:tcPr>
          <w:p>
            <w:pPr>
              <w:spacing w:line="240" w:lineRule="auto"/>
              <w:ind w:firstLine="0" w:firstLineChars="0"/>
              <w:jc w:val="center"/>
              <w:rPr>
                <w:rFonts w:cs="Times New Roman"/>
                <w:b/>
                <w:sz w:val="21"/>
                <w:szCs w:val="21"/>
              </w:rPr>
            </w:pPr>
            <w:r>
              <w:rPr>
                <w:rFonts w:cs="Times New Roman"/>
                <w:b/>
                <w:sz w:val="21"/>
                <w:szCs w:val="21"/>
              </w:rPr>
              <w:t>城市绿化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1"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pH值</w:t>
            </w:r>
          </w:p>
        </w:tc>
        <w:tc>
          <w:tcPr>
            <w:tcW w:w="3129" w:type="pct"/>
            <w:gridSpan w:val="2"/>
            <w:vAlign w:val="center"/>
          </w:tcPr>
          <w:p>
            <w:pPr>
              <w:spacing w:line="240" w:lineRule="auto"/>
              <w:ind w:firstLine="0" w:firstLineChars="0"/>
              <w:jc w:val="center"/>
              <w:rPr>
                <w:rFonts w:cs="Times New Roman"/>
                <w:sz w:val="21"/>
                <w:szCs w:val="21"/>
              </w:rPr>
            </w:pPr>
            <w:r>
              <w:rPr>
                <w:rFonts w:cs="Times New Roman"/>
                <w:sz w:val="21"/>
                <w:szCs w:val="21"/>
              </w:rPr>
              <w:t>6.0~9.0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1"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色度（度）</w:t>
            </w:r>
          </w:p>
        </w:tc>
        <w:tc>
          <w:tcPr>
            <w:tcW w:w="3129" w:type="pct"/>
            <w:gridSpan w:val="2"/>
            <w:vAlign w:val="center"/>
          </w:tcPr>
          <w:p>
            <w:pPr>
              <w:spacing w:line="240" w:lineRule="auto"/>
              <w:ind w:firstLine="0" w:firstLineChars="0"/>
              <w:jc w:val="center"/>
              <w:rPr>
                <w:rFonts w:cs="Times New Roman"/>
                <w:sz w:val="21"/>
                <w:szCs w:val="21"/>
              </w:rPr>
            </w:pPr>
            <w:r>
              <w:rPr>
                <w:rFonts w:cs="Times New Roman"/>
                <w:sz w:val="21"/>
                <w:szCs w:val="21"/>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1"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浊度（NTU）</w:t>
            </w:r>
          </w:p>
        </w:tc>
        <w:tc>
          <w:tcPr>
            <w:tcW w:w="1565" w:type="pct"/>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564" w:type="pct"/>
            <w:vAlign w:val="center"/>
          </w:tcPr>
          <w:p>
            <w:pPr>
              <w:spacing w:line="240" w:lineRule="auto"/>
              <w:ind w:firstLine="0" w:firstLineChars="0"/>
              <w:jc w:val="center"/>
              <w:rPr>
                <w:rFonts w:cs="Times New Roman"/>
                <w:sz w:val="21"/>
                <w:szCs w:val="21"/>
              </w:rPr>
            </w:pPr>
            <w:r>
              <w:rPr>
                <w:rFonts w:cs="Times New Roman"/>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1"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溶解性总固体（mg/L）≤</w:t>
            </w:r>
          </w:p>
        </w:tc>
        <w:tc>
          <w:tcPr>
            <w:tcW w:w="1565" w:type="pct"/>
            <w:vAlign w:val="center"/>
          </w:tcPr>
          <w:p>
            <w:pPr>
              <w:spacing w:line="240" w:lineRule="auto"/>
              <w:ind w:firstLine="0" w:firstLineChars="0"/>
              <w:jc w:val="center"/>
              <w:rPr>
                <w:rFonts w:cs="Times New Roman"/>
                <w:sz w:val="21"/>
                <w:szCs w:val="21"/>
              </w:rPr>
            </w:pPr>
            <w:r>
              <w:rPr>
                <w:rFonts w:cs="Times New Roman"/>
                <w:sz w:val="21"/>
                <w:szCs w:val="21"/>
              </w:rPr>
              <w:t>1500</w:t>
            </w:r>
          </w:p>
        </w:tc>
        <w:tc>
          <w:tcPr>
            <w:tcW w:w="1564" w:type="pct"/>
            <w:vAlign w:val="center"/>
          </w:tcPr>
          <w:p>
            <w:pPr>
              <w:spacing w:line="240" w:lineRule="auto"/>
              <w:ind w:firstLine="0" w:firstLineChars="0"/>
              <w:jc w:val="center"/>
              <w:rPr>
                <w:rFonts w:cs="Times New Roman"/>
                <w:sz w:val="21"/>
                <w:szCs w:val="21"/>
              </w:rPr>
            </w:pPr>
            <w:r>
              <w:rPr>
                <w:rFonts w:cs="Times New Roman"/>
                <w:sz w:val="21"/>
                <w:szCs w:val="21"/>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1"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生化需氧量（BOD</w:t>
            </w:r>
            <w:r>
              <w:rPr>
                <w:rFonts w:cs="Times New Roman"/>
                <w:bCs/>
                <w:spacing w:val="4"/>
                <w:sz w:val="21"/>
                <w:szCs w:val="21"/>
                <w:vertAlign w:val="subscript"/>
              </w:rPr>
              <w:t>5</w:t>
            </w:r>
            <w:r>
              <w:rPr>
                <w:rFonts w:cs="Times New Roman"/>
                <w:bCs/>
                <w:spacing w:val="4"/>
                <w:sz w:val="21"/>
                <w:szCs w:val="21"/>
              </w:rPr>
              <w:t>）（mg/L）≤</w:t>
            </w:r>
          </w:p>
        </w:tc>
        <w:tc>
          <w:tcPr>
            <w:tcW w:w="1565" w:type="pct"/>
            <w:vAlign w:val="center"/>
          </w:tcPr>
          <w:p>
            <w:pPr>
              <w:spacing w:line="240" w:lineRule="auto"/>
              <w:ind w:firstLine="0" w:firstLineChars="0"/>
              <w:jc w:val="center"/>
              <w:rPr>
                <w:rFonts w:cs="Times New Roman"/>
                <w:sz w:val="21"/>
                <w:szCs w:val="21"/>
              </w:rPr>
            </w:pPr>
            <w:r>
              <w:rPr>
                <w:rFonts w:cs="Times New Roman"/>
                <w:sz w:val="21"/>
                <w:szCs w:val="21"/>
              </w:rPr>
              <w:t>15</w:t>
            </w:r>
          </w:p>
        </w:tc>
        <w:tc>
          <w:tcPr>
            <w:tcW w:w="1564" w:type="pct"/>
            <w:vAlign w:val="center"/>
          </w:tcPr>
          <w:p>
            <w:pPr>
              <w:spacing w:line="240" w:lineRule="auto"/>
              <w:ind w:firstLine="0" w:firstLineChars="0"/>
              <w:jc w:val="center"/>
              <w:rPr>
                <w:rFonts w:cs="Times New Roman"/>
                <w:sz w:val="21"/>
                <w:szCs w:val="21"/>
              </w:rPr>
            </w:pPr>
            <w:r>
              <w:rPr>
                <w:rFonts w:cs="Times New Roman"/>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1"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氨氮（以N计）（mg/L）≤</w:t>
            </w:r>
          </w:p>
        </w:tc>
        <w:tc>
          <w:tcPr>
            <w:tcW w:w="1565" w:type="pct"/>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564" w:type="pct"/>
            <w:vAlign w:val="center"/>
          </w:tcPr>
          <w:p>
            <w:pPr>
              <w:spacing w:line="240" w:lineRule="auto"/>
              <w:ind w:firstLine="0" w:firstLineChars="0"/>
              <w:jc w:val="center"/>
              <w:rPr>
                <w:rFonts w:cs="Times New Roman"/>
                <w:sz w:val="21"/>
                <w:szCs w:val="21"/>
              </w:rPr>
            </w:pPr>
            <w:r>
              <w:rPr>
                <w:rFonts w:cs="Times New Roman"/>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1"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阴离子表面活性剂（mg/L）≤</w:t>
            </w:r>
          </w:p>
        </w:tc>
        <w:tc>
          <w:tcPr>
            <w:tcW w:w="1565" w:type="pct"/>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564" w:type="pct"/>
            <w:vAlign w:val="center"/>
          </w:tcPr>
          <w:p>
            <w:pPr>
              <w:spacing w:line="240" w:lineRule="auto"/>
              <w:ind w:firstLine="0" w:firstLineChars="0"/>
              <w:jc w:val="center"/>
              <w:rPr>
                <w:rFonts w:cs="Times New Roman"/>
                <w:sz w:val="21"/>
                <w:szCs w:val="21"/>
              </w:rPr>
            </w:pPr>
            <w:r>
              <w:rPr>
                <w:rFonts w:cs="Times New Roman"/>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1"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铁（mg/L）≤</w:t>
            </w:r>
          </w:p>
        </w:tc>
        <w:tc>
          <w:tcPr>
            <w:tcW w:w="1565" w:type="pct"/>
            <w:vAlign w:val="center"/>
          </w:tcPr>
          <w:p>
            <w:pPr>
              <w:spacing w:line="240" w:lineRule="auto"/>
              <w:ind w:firstLine="0" w:firstLineChars="0"/>
              <w:jc w:val="center"/>
              <w:rPr>
                <w:rFonts w:cs="Times New Roman"/>
                <w:sz w:val="21"/>
                <w:szCs w:val="21"/>
              </w:rPr>
            </w:pPr>
            <w:r>
              <w:rPr>
                <w:rFonts w:cs="Times New Roman"/>
                <w:sz w:val="21"/>
                <w:szCs w:val="21"/>
              </w:rPr>
              <w:t>/</w:t>
            </w:r>
          </w:p>
        </w:tc>
        <w:tc>
          <w:tcPr>
            <w:tcW w:w="1564" w:type="pct"/>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1"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锰（mg/L）≤</w:t>
            </w:r>
          </w:p>
        </w:tc>
        <w:tc>
          <w:tcPr>
            <w:tcW w:w="1565" w:type="pct"/>
            <w:vAlign w:val="center"/>
          </w:tcPr>
          <w:p>
            <w:pPr>
              <w:spacing w:line="240" w:lineRule="auto"/>
              <w:ind w:firstLine="0" w:firstLineChars="0"/>
              <w:jc w:val="center"/>
              <w:rPr>
                <w:rFonts w:cs="Times New Roman"/>
                <w:sz w:val="21"/>
                <w:szCs w:val="21"/>
              </w:rPr>
            </w:pPr>
            <w:r>
              <w:rPr>
                <w:rFonts w:cs="Times New Roman"/>
                <w:sz w:val="21"/>
                <w:szCs w:val="21"/>
              </w:rPr>
              <w:t>/</w:t>
            </w:r>
          </w:p>
        </w:tc>
        <w:tc>
          <w:tcPr>
            <w:tcW w:w="1564" w:type="pct"/>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1" w:type="pct"/>
            <w:vAlign w:val="center"/>
          </w:tcPr>
          <w:p>
            <w:pPr>
              <w:adjustRightInd w:val="0"/>
              <w:snapToGrid w:val="0"/>
              <w:spacing w:line="240" w:lineRule="auto"/>
              <w:ind w:firstLine="0" w:firstLineChars="0"/>
              <w:jc w:val="center"/>
              <w:rPr>
                <w:rFonts w:cs="Times New Roman"/>
                <w:bCs/>
                <w:spacing w:val="4"/>
                <w:sz w:val="21"/>
                <w:szCs w:val="21"/>
              </w:rPr>
            </w:pPr>
            <w:r>
              <w:rPr>
                <w:rFonts w:cs="Times New Roman"/>
                <w:bCs/>
                <w:spacing w:val="4"/>
                <w:sz w:val="21"/>
                <w:szCs w:val="21"/>
              </w:rPr>
              <w:t>溶解氧≤</w:t>
            </w:r>
          </w:p>
        </w:tc>
        <w:tc>
          <w:tcPr>
            <w:tcW w:w="3129" w:type="pct"/>
            <w:gridSpan w:val="2"/>
            <w:vAlign w:val="center"/>
          </w:tcPr>
          <w:p>
            <w:pPr>
              <w:spacing w:line="240" w:lineRule="auto"/>
              <w:ind w:firstLine="0" w:firstLineChars="0"/>
              <w:jc w:val="center"/>
              <w:rPr>
                <w:rFonts w:cs="Times New Roman"/>
                <w:sz w:val="21"/>
                <w:szCs w:val="21"/>
              </w:rPr>
            </w:pPr>
            <w:r>
              <w:rPr>
                <w:rFonts w:cs="Times New Roman"/>
                <w:sz w:val="21"/>
                <w:szCs w:val="21"/>
              </w:rPr>
              <w:t>1.0</w:t>
            </w:r>
          </w:p>
        </w:tc>
      </w:tr>
    </w:tbl>
    <w:p>
      <w:pPr>
        <w:pStyle w:val="69"/>
        <w:adjustRightInd w:val="0"/>
        <w:snapToGrid w:val="0"/>
        <w:ind w:firstLine="482"/>
        <w:rPr>
          <w:b/>
        </w:rPr>
      </w:pPr>
      <w:r>
        <w:rPr>
          <w:b/>
        </w:rPr>
        <w:t>3、噪声排放标准</w:t>
      </w:r>
    </w:p>
    <w:p>
      <w:pPr>
        <w:adjustRightInd w:val="0"/>
        <w:snapToGrid w:val="0"/>
        <w:ind w:firstLine="480"/>
        <w:rPr>
          <w:rFonts w:cs="Times New Roman"/>
        </w:rPr>
      </w:pPr>
      <w:r>
        <w:rPr>
          <w:rFonts w:cs="Times New Roman"/>
        </w:rPr>
        <w:t>施工期在噪声排放执行《建筑施工场界环境噪声排放标准》（GB12523-2011），具体标准值见表2.3-17；运营期厂界噪声执行《工业企业厂界环境噪声排放标准》（GB12348-2008）中3类标准，具体标准值见表2.3-18。</w:t>
      </w:r>
    </w:p>
    <w:p>
      <w:pPr>
        <w:pStyle w:val="43"/>
        <w:spacing w:before="156" w:beforeLines="50"/>
        <w:ind w:firstLine="241"/>
        <w:jc w:val="center"/>
        <w:rPr>
          <w:rFonts w:ascii="Times New Roman" w:hAnsi="Times New Roman"/>
          <w:b/>
          <w:bCs/>
          <w:sz w:val="24"/>
          <w:szCs w:val="32"/>
        </w:rPr>
      </w:pPr>
      <w:r>
        <w:rPr>
          <w:rFonts w:ascii="Times New Roman" w:hAnsi="Times New Roman"/>
          <w:b/>
          <w:bCs/>
          <w:sz w:val="24"/>
          <w:szCs w:val="32"/>
        </w:rPr>
        <w:t>表2.3-17  《建筑施工场界环境噪声排放标准》  单位dB（A）</w:t>
      </w:r>
    </w:p>
    <w:tbl>
      <w:tblPr>
        <w:tblStyle w:val="4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73"/>
        <w:gridCol w:w="41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2566" w:type="pct"/>
            <w:vAlign w:val="center"/>
          </w:tcPr>
          <w:p>
            <w:pPr>
              <w:spacing w:line="240" w:lineRule="auto"/>
              <w:ind w:firstLine="0" w:firstLineChars="0"/>
              <w:jc w:val="center"/>
              <w:rPr>
                <w:rFonts w:cs="Times New Roman"/>
                <w:b/>
                <w:sz w:val="21"/>
                <w:szCs w:val="21"/>
              </w:rPr>
            </w:pPr>
            <w:r>
              <w:rPr>
                <w:rFonts w:cs="Times New Roman"/>
                <w:b/>
                <w:sz w:val="21"/>
                <w:szCs w:val="21"/>
              </w:rPr>
              <w:t>昼间</w:t>
            </w:r>
          </w:p>
        </w:tc>
        <w:tc>
          <w:tcPr>
            <w:tcW w:w="2434" w:type="pct"/>
            <w:vAlign w:val="center"/>
          </w:tcPr>
          <w:p>
            <w:pPr>
              <w:spacing w:line="240" w:lineRule="auto"/>
              <w:ind w:firstLine="0" w:firstLineChars="0"/>
              <w:jc w:val="center"/>
              <w:rPr>
                <w:rFonts w:cs="Times New Roman"/>
                <w:b/>
                <w:sz w:val="21"/>
                <w:szCs w:val="21"/>
              </w:rPr>
            </w:pPr>
            <w:r>
              <w:rPr>
                <w:rFonts w:cs="Times New Roman"/>
                <w:b/>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6" w:type="pct"/>
            <w:vAlign w:val="center"/>
          </w:tcPr>
          <w:p>
            <w:pPr>
              <w:spacing w:line="240" w:lineRule="auto"/>
              <w:ind w:firstLine="0" w:firstLineChars="0"/>
              <w:jc w:val="center"/>
              <w:rPr>
                <w:rFonts w:cs="Times New Roman"/>
                <w:sz w:val="21"/>
                <w:szCs w:val="21"/>
              </w:rPr>
            </w:pPr>
            <w:r>
              <w:rPr>
                <w:rFonts w:cs="Times New Roman"/>
                <w:sz w:val="21"/>
                <w:szCs w:val="21"/>
              </w:rPr>
              <w:t>70</w:t>
            </w:r>
          </w:p>
        </w:tc>
        <w:tc>
          <w:tcPr>
            <w:tcW w:w="2434" w:type="pct"/>
            <w:vAlign w:val="center"/>
          </w:tcPr>
          <w:p>
            <w:pPr>
              <w:spacing w:line="240" w:lineRule="auto"/>
              <w:ind w:firstLine="0" w:firstLineChars="0"/>
              <w:jc w:val="center"/>
              <w:rPr>
                <w:rFonts w:cs="Times New Roman"/>
                <w:sz w:val="21"/>
                <w:szCs w:val="21"/>
              </w:rPr>
            </w:pPr>
            <w:r>
              <w:rPr>
                <w:rFonts w:cs="Times New Roman"/>
                <w:sz w:val="21"/>
                <w:szCs w:val="21"/>
              </w:rPr>
              <w:t>55</w:t>
            </w:r>
          </w:p>
        </w:tc>
      </w:tr>
    </w:tbl>
    <w:p>
      <w:pPr>
        <w:pStyle w:val="43"/>
        <w:spacing w:before="156" w:beforeLines="50"/>
        <w:ind w:firstLine="241"/>
        <w:jc w:val="center"/>
        <w:rPr>
          <w:rFonts w:ascii="Times New Roman" w:hAnsi="Times New Roman"/>
          <w:b/>
          <w:bCs/>
          <w:sz w:val="24"/>
          <w:szCs w:val="32"/>
        </w:rPr>
      </w:pPr>
      <w:r>
        <w:rPr>
          <w:rFonts w:ascii="Times New Roman" w:hAnsi="Times New Roman"/>
          <w:b/>
          <w:bCs/>
          <w:sz w:val="24"/>
          <w:szCs w:val="32"/>
        </w:rPr>
        <w:t>表2.3-18  《工业企业厂界环境噪声排放标准》  单位dB（A）</w:t>
      </w:r>
    </w:p>
    <w:tbl>
      <w:tblPr>
        <w:tblStyle w:val="4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41"/>
        <w:gridCol w:w="3157"/>
        <w:gridCol w:w="1398"/>
        <w:gridCol w:w="13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0" w:type="pct"/>
            <w:vMerge w:val="restart"/>
            <w:vAlign w:val="center"/>
          </w:tcPr>
          <w:p>
            <w:pPr>
              <w:spacing w:line="240" w:lineRule="auto"/>
              <w:ind w:firstLine="0" w:firstLineChars="0"/>
              <w:jc w:val="center"/>
              <w:rPr>
                <w:rFonts w:cs="Times New Roman"/>
                <w:b/>
                <w:sz w:val="21"/>
                <w:szCs w:val="21"/>
              </w:rPr>
            </w:pPr>
            <w:r>
              <w:rPr>
                <w:rFonts w:cs="Times New Roman"/>
                <w:b/>
                <w:sz w:val="21"/>
                <w:szCs w:val="21"/>
              </w:rPr>
              <w:t>厂界外声环境功能区类别</w:t>
            </w:r>
          </w:p>
        </w:tc>
        <w:tc>
          <w:tcPr>
            <w:tcW w:w="1852" w:type="pct"/>
            <w:vMerge w:val="restart"/>
            <w:vAlign w:val="center"/>
          </w:tcPr>
          <w:p>
            <w:pPr>
              <w:spacing w:line="240" w:lineRule="auto"/>
              <w:ind w:firstLine="0" w:firstLineChars="0"/>
              <w:jc w:val="center"/>
              <w:rPr>
                <w:rFonts w:cs="Times New Roman"/>
                <w:b/>
                <w:sz w:val="21"/>
                <w:szCs w:val="21"/>
              </w:rPr>
            </w:pPr>
            <w:r>
              <w:rPr>
                <w:rFonts w:cs="Times New Roman"/>
                <w:b/>
                <w:sz w:val="21"/>
                <w:szCs w:val="21"/>
              </w:rPr>
              <w:t>执行标准和级别</w:t>
            </w:r>
          </w:p>
        </w:tc>
        <w:tc>
          <w:tcPr>
            <w:tcW w:w="1598" w:type="pct"/>
            <w:gridSpan w:val="2"/>
            <w:vAlign w:val="center"/>
          </w:tcPr>
          <w:p>
            <w:pPr>
              <w:spacing w:line="240" w:lineRule="auto"/>
              <w:ind w:firstLine="0" w:firstLineChars="0"/>
              <w:jc w:val="center"/>
              <w:rPr>
                <w:rFonts w:cs="Times New Roman"/>
                <w:b/>
                <w:sz w:val="21"/>
                <w:szCs w:val="21"/>
              </w:rPr>
            </w:pPr>
            <w:r>
              <w:rPr>
                <w:rFonts w:cs="Times New Roman"/>
                <w:b/>
                <w:sz w:val="21"/>
                <w:szCs w:val="21"/>
              </w:rPr>
              <w:t>标准值dB(A)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0" w:type="pct"/>
            <w:vMerge w:val="continue"/>
            <w:vAlign w:val="center"/>
          </w:tcPr>
          <w:p>
            <w:pPr>
              <w:spacing w:line="240" w:lineRule="auto"/>
              <w:ind w:firstLine="0" w:firstLineChars="0"/>
              <w:jc w:val="center"/>
              <w:rPr>
                <w:rFonts w:cs="Times New Roman"/>
                <w:b/>
                <w:sz w:val="21"/>
                <w:szCs w:val="21"/>
              </w:rPr>
            </w:pPr>
          </w:p>
        </w:tc>
        <w:tc>
          <w:tcPr>
            <w:tcW w:w="1852" w:type="pct"/>
            <w:vMerge w:val="continue"/>
            <w:vAlign w:val="center"/>
          </w:tcPr>
          <w:p>
            <w:pPr>
              <w:spacing w:line="240" w:lineRule="auto"/>
              <w:ind w:firstLine="0" w:firstLineChars="0"/>
              <w:jc w:val="center"/>
              <w:rPr>
                <w:rFonts w:cs="Times New Roman"/>
                <w:b/>
                <w:sz w:val="21"/>
                <w:szCs w:val="21"/>
              </w:rPr>
            </w:pPr>
          </w:p>
        </w:tc>
        <w:tc>
          <w:tcPr>
            <w:tcW w:w="820" w:type="pct"/>
            <w:vAlign w:val="center"/>
          </w:tcPr>
          <w:p>
            <w:pPr>
              <w:spacing w:line="240" w:lineRule="auto"/>
              <w:ind w:firstLine="0" w:firstLineChars="0"/>
              <w:jc w:val="center"/>
              <w:rPr>
                <w:rFonts w:cs="Times New Roman"/>
                <w:b/>
                <w:sz w:val="21"/>
                <w:szCs w:val="21"/>
              </w:rPr>
            </w:pPr>
            <w:r>
              <w:rPr>
                <w:rFonts w:cs="Times New Roman"/>
                <w:b/>
                <w:sz w:val="21"/>
                <w:szCs w:val="21"/>
              </w:rPr>
              <w:t>昼间</w:t>
            </w:r>
          </w:p>
        </w:tc>
        <w:tc>
          <w:tcPr>
            <w:tcW w:w="778" w:type="pct"/>
            <w:vAlign w:val="center"/>
          </w:tcPr>
          <w:p>
            <w:pPr>
              <w:spacing w:line="240" w:lineRule="auto"/>
              <w:ind w:firstLine="0" w:firstLineChars="0"/>
              <w:jc w:val="center"/>
              <w:rPr>
                <w:rFonts w:cs="Times New Roman"/>
                <w:b/>
                <w:sz w:val="21"/>
                <w:szCs w:val="21"/>
              </w:rPr>
            </w:pPr>
            <w:r>
              <w:rPr>
                <w:rFonts w:cs="Times New Roman"/>
                <w:b/>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0" w:type="pct"/>
            <w:vAlign w:val="center"/>
          </w:tcPr>
          <w:p>
            <w:pPr>
              <w:spacing w:line="240" w:lineRule="auto"/>
              <w:ind w:firstLine="0" w:firstLineChars="0"/>
              <w:jc w:val="center"/>
              <w:rPr>
                <w:rFonts w:cs="Times New Roman"/>
                <w:sz w:val="21"/>
                <w:szCs w:val="21"/>
              </w:rPr>
            </w:pPr>
            <w:r>
              <w:rPr>
                <w:rFonts w:cs="Times New Roman"/>
                <w:sz w:val="21"/>
                <w:szCs w:val="21"/>
              </w:rPr>
              <w:t>3类</w:t>
            </w:r>
          </w:p>
        </w:tc>
        <w:tc>
          <w:tcPr>
            <w:tcW w:w="1852" w:type="pct"/>
            <w:vAlign w:val="center"/>
          </w:tcPr>
          <w:p>
            <w:pPr>
              <w:spacing w:line="240" w:lineRule="auto"/>
              <w:ind w:firstLine="0" w:firstLineChars="0"/>
              <w:jc w:val="center"/>
              <w:rPr>
                <w:rFonts w:cs="Times New Roman"/>
                <w:sz w:val="21"/>
                <w:szCs w:val="21"/>
              </w:rPr>
            </w:pPr>
            <w:r>
              <w:rPr>
                <w:rFonts w:cs="Times New Roman"/>
                <w:sz w:val="21"/>
                <w:szCs w:val="21"/>
              </w:rPr>
              <w:t>GB12348-2008中3类标准</w:t>
            </w:r>
          </w:p>
        </w:tc>
        <w:tc>
          <w:tcPr>
            <w:tcW w:w="820" w:type="pct"/>
            <w:vAlign w:val="center"/>
          </w:tcPr>
          <w:p>
            <w:pPr>
              <w:spacing w:line="240" w:lineRule="auto"/>
              <w:ind w:firstLine="0" w:firstLineChars="0"/>
              <w:jc w:val="center"/>
              <w:rPr>
                <w:rFonts w:cs="Times New Roman"/>
                <w:sz w:val="21"/>
                <w:szCs w:val="21"/>
              </w:rPr>
            </w:pPr>
            <w:r>
              <w:rPr>
                <w:rFonts w:cs="Times New Roman"/>
                <w:sz w:val="21"/>
                <w:szCs w:val="21"/>
              </w:rPr>
              <w:t>65</w:t>
            </w:r>
          </w:p>
        </w:tc>
        <w:tc>
          <w:tcPr>
            <w:tcW w:w="778" w:type="pct"/>
            <w:vAlign w:val="center"/>
          </w:tcPr>
          <w:p>
            <w:pPr>
              <w:spacing w:line="240" w:lineRule="auto"/>
              <w:ind w:firstLine="0" w:firstLineChars="0"/>
              <w:jc w:val="center"/>
              <w:rPr>
                <w:rFonts w:cs="Times New Roman"/>
                <w:sz w:val="21"/>
                <w:szCs w:val="21"/>
              </w:rPr>
            </w:pPr>
            <w:r>
              <w:rPr>
                <w:rFonts w:cs="Times New Roman"/>
                <w:sz w:val="21"/>
                <w:szCs w:val="21"/>
              </w:rPr>
              <w:t>55</w:t>
            </w:r>
          </w:p>
        </w:tc>
      </w:tr>
    </w:tbl>
    <w:p>
      <w:pPr>
        <w:adjustRightInd w:val="0"/>
        <w:snapToGrid w:val="0"/>
        <w:ind w:firstLine="482"/>
        <w:rPr>
          <w:rFonts w:cs="Times New Roman"/>
          <w:b/>
          <w:bCs/>
        </w:rPr>
      </w:pPr>
      <w:r>
        <w:rPr>
          <w:rFonts w:cs="Times New Roman"/>
          <w:b/>
          <w:bCs/>
        </w:rPr>
        <w:t>4、固体废弃物</w:t>
      </w:r>
    </w:p>
    <w:p>
      <w:pPr>
        <w:ind w:firstLine="480"/>
        <w:rPr>
          <w:rFonts w:cs="Times New Roman"/>
        </w:rPr>
      </w:pPr>
      <w:r>
        <w:rPr>
          <w:rFonts w:cs="Times New Roman"/>
        </w:rPr>
        <w:t>工业固体废弃物执行《一般工业固体废物贮存、处置场污染控制标准》（GB18599-2001）中的第Ⅰ类一般工业固体废物、《危险废物贮存污染控制标准》（GB18597-2001）中关于危险废物贮存设施的选址、运行、安全防护、监测和关闭的要求，以及环境保护部2013年第36号的“《一般工业固体废物贮存、处置场污染控制标准》（GB18599- 2001）等3项国家污染物控制标准修改单的公告”。</w:t>
      </w:r>
    </w:p>
    <w:p>
      <w:pPr>
        <w:pStyle w:val="3"/>
        <w:rPr>
          <w:rFonts w:cs="Times New Roman"/>
        </w:rPr>
      </w:pPr>
      <w:bookmarkStart w:id="52" w:name="_Toc86611233"/>
      <w:r>
        <w:rPr>
          <w:rFonts w:cs="Times New Roman"/>
        </w:rPr>
        <w:t>2.3评价工作等级和评价范围</w:t>
      </w:r>
      <w:bookmarkEnd w:id="52"/>
    </w:p>
    <w:p>
      <w:pPr>
        <w:pStyle w:val="4"/>
        <w:adjustRightInd w:val="0"/>
        <w:snapToGrid w:val="0"/>
        <w:jc w:val="left"/>
        <w:rPr>
          <w:rFonts w:cs="Times New Roman"/>
          <w:szCs w:val="24"/>
        </w:rPr>
      </w:pPr>
      <w:bookmarkStart w:id="53" w:name="_Toc86611234"/>
      <w:r>
        <w:rPr>
          <w:rFonts w:cs="Times New Roman"/>
          <w:szCs w:val="24"/>
        </w:rPr>
        <w:t>2.3.1 大气环境影响评价等级</w:t>
      </w:r>
      <w:bookmarkEnd w:id="53"/>
    </w:p>
    <w:p>
      <w:pPr>
        <w:autoSpaceDE w:val="0"/>
        <w:autoSpaceDN w:val="0"/>
        <w:adjustRightInd w:val="0"/>
        <w:ind w:firstLine="480"/>
        <w:rPr>
          <w:rFonts w:cs="Times New Roman"/>
        </w:rPr>
      </w:pPr>
      <w:r>
        <w:rPr>
          <w:rFonts w:cs="Times New Roman"/>
        </w:rPr>
        <w:t>根据《环境影响评价技术导则大气环境》（HJ2.2-2018）中的大气环境评价工作分级的划分原则，结合项目的初步工程分析结果，选取SO</w:t>
      </w:r>
      <w:r>
        <w:rPr>
          <w:rFonts w:cs="Times New Roman"/>
          <w:vertAlign w:val="subscript"/>
        </w:rPr>
        <w:t>2</w:t>
      </w:r>
      <w:r>
        <w:rPr>
          <w:rFonts w:cs="Times New Roman"/>
        </w:rPr>
        <w:t>、NO</w:t>
      </w:r>
      <w:r>
        <w:rPr>
          <w:rFonts w:cs="Times New Roman"/>
          <w:vertAlign w:val="subscript"/>
        </w:rPr>
        <w:t>2</w:t>
      </w:r>
      <w:r>
        <w:rPr>
          <w:rFonts w:cs="Times New Roman"/>
        </w:rPr>
        <w:t>、颗粒物、氟化物作为大气预测计算因子，分别计算每一种污染物最大地面浓度占标率Pi（第i个污染物）及地面浓度达标准限值10%时所对应的最远距离D10%。其中Pi定义为：</w:t>
      </w:r>
    </w:p>
    <w:p>
      <w:pPr>
        <w:snapToGrid w:val="0"/>
        <w:ind w:firstLine="480"/>
        <w:jc w:val="center"/>
        <w:rPr>
          <w:rFonts w:cs="Times New Roman"/>
          <w:lang w:val="zh-CN"/>
        </w:rPr>
      </w:pPr>
      <w:r>
        <w:rPr>
          <w:rFonts w:cs="Times New Roman"/>
          <w:lang w:val="zh-CN"/>
        </w:rPr>
        <w:t>P</w:t>
      </w:r>
      <w:r>
        <w:rPr>
          <w:rFonts w:cs="Times New Roman"/>
          <w:vertAlign w:val="subscript"/>
          <w:lang w:val="zh-CN"/>
        </w:rPr>
        <w:t>i</w:t>
      </w:r>
      <w:r>
        <w:rPr>
          <w:rFonts w:cs="Times New Roman"/>
          <w:lang w:val="zh-CN"/>
        </w:rPr>
        <w:t>=C</w:t>
      </w:r>
      <w:r>
        <w:rPr>
          <w:rFonts w:cs="Times New Roman"/>
          <w:vertAlign w:val="subscript"/>
          <w:lang w:val="zh-CN"/>
        </w:rPr>
        <w:t>i</w:t>
      </w:r>
      <w:r>
        <w:rPr>
          <w:rFonts w:cs="Times New Roman"/>
          <w:lang w:val="zh-CN"/>
        </w:rPr>
        <w:t>/C</w:t>
      </w:r>
      <w:r>
        <w:rPr>
          <w:rFonts w:cs="Times New Roman"/>
          <w:vertAlign w:val="subscript"/>
        </w:rPr>
        <w:t>0i</w:t>
      </w:r>
      <w:r>
        <w:rPr>
          <w:rFonts w:cs="Times New Roman"/>
          <w:lang w:val="zh-CN"/>
        </w:rPr>
        <w:t>×100%</w:t>
      </w:r>
    </w:p>
    <w:p>
      <w:pPr>
        <w:snapToGrid w:val="0"/>
        <w:ind w:firstLine="480"/>
        <w:rPr>
          <w:rFonts w:cs="Times New Roman"/>
          <w:lang w:val="zh-CN"/>
        </w:rPr>
      </w:pPr>
      <w:r>
        <w:rPr>
          <w:rFonts w:cs="Times New Roman"/>
          <w:lang w:val="zh-CN"/>
        </w:rPr>
        <w:t>P</w:t>
      </w:r>
      <w:r>
        <w:rPr>
          <w:rFonts w:cs="Times New Roman"/>
          <w:vertAlign w:val="subscript"/>
          <w:lang w:val="zh-CN"/>
        </w:rPr>
        <w:t>i</w:t>
      </w:r>
      <w:r>
        <w:rPr>
          <w:rFonts w:cs="Times New Roman"/>
          <w:lang w:val="zh-CN"/>
        </w:rPr>
        <w:t>—第i类污染物的最大地面空气质量浓度占标率，%；</w:t>
      </w:r>
    </w:p>
    <w:p>
      <w:pPr>
        <w:snapToGrid w:val="0"/>
        <w:ind w:firstLine="480"/>
        <w:rPr>
          <w:rFonts w:cs="Times New Roman"/>
          <w:lang w:val="zh-CN"/>
        </w:rPr>
      </w:pPr>
      <w:r>
        <w:rPr>
          <w:rFonts w:cs="Times New Roman"/>
          <w:lang w:val="zh-CN"/>
        </w:rPr>
        <w:t>C</w:t>
      </w:r>
      <w:r>
        <w:rPr>
          <w:rFonts w:cs="Times New Roman"/>
          <w:vertAlign w:val="subscript"/>
          <w:lang w:val="zh-CN"/>
        </w:rPr>
        <w:t>i</w:t>
      </w:r>
      <w:r>
        <w:rPr>
          <w:rFonts w:cs="Times New Roman"/>
          <w:lang w:val="zh-CN"/>
        </w:rPr>
        <w:t>—采用估算模型计算出的第i个污染物的最大1h地面空气质量浓度，μg/m</w:t>
      </w:r>
      <w:r>
        <w:rPr>
          <w:rFonts w:cs="Times New Roman"/>
          <w:vertAlign w:val="superscript"/>
          <w:lang w:val="zh-CN"/>
        </w:rPr>
        <w:t>3</w:t>
      </w:r>
      <w:r>
        <w:rPr>
          <w:rFonts w:cs="Times New Roman"/>
          <w:lang w:val="zh-CN"/>
        </w:rPr>
        <w:t>。</w:t>
      </w:r>
    </w:p>
    <w:p>
      <w:pPr>
        <w:snapToGrid w:val="0"/>
        <w:ind w:firstLine="480"/>
        <w:rPr>
          <w:rFonts w:cs="Times New Roman"/>
          <w:lang w:val="zh-CN"/>
        </w:rPr>
      </w:pPr>
      <w:r>
        <w:rPr>
          <w:rFonts w:cs="Times New Roman"/>
          <w:lang w:val="zh-CN"/>
        </w:rPr>
        <w:t>C</w:t>
      </w:r>
      <w:r>
        <w:rPr>
          <w:rFonts w:cs="Times New Roman"/>
          <w:vertAlign w:val="subscript"/>
          <w:lang w:val="zh-CN"/>
        </w:rPr>
        <w:t>0i</w:t>
      </w:r>
      <w:r>
        <w:rPr>
          <w:rFonts w:cs="Times New Roman"/>
          <w:lang w:val="zh-CN"/>
        </w:rPr>
        <w:t>—第i个污染物空气质量浓度标准，μg/m</w:t>
      </w:r>
      <w:r>
        <w:rPr>
          <w:rFonts w:cs="Times New Roman"/>
          <w:vertAlign w:val="superscript"/>
          <w:lang w:val="zh-CN"/>
        </w:rPr>
        <w:t>3</w:t>
      </w:r>
      <w:r>
        <w:rPr>
          <w:rFonts w:cs="Times New Roman"/>
          <w:lang w:val="zh-CN"/>
        </w:rPr>
        <w:t>。一般选用GB3095中1h平均质量浓度的二级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平均质量浓度限值。</w:t>
      </w:r>
    </w:p>
    <w:p>
      <w:pPr>
        <w:snapToGrid w:val="0"/>
        <w:ind w:firstLine="480"/>
        <w:rPr>
          <w:rFonts w:cs="Times New Roman"/>
          <w:lang w:val="zh-CN"/>
        </w:rPr>
      </w:pPr>
      <w:r>
        <w:rPr>
          <w:rFonts w:cs="Times New Roman"/>
          <w:lang w:val="zh-CN"/>
        </w:rPr>
        <w:t>根据《环境影响评价技术导则大气环境》（HJ2.2-2018），大气环境影响评价工作等级按表2.4-1的分级判据进行划分。</w:t>
      </w:r>
    </w:p>
    <w:p>
      <w:pPr>
        <w:snapToGrid w:val="0"/>
        <w:ind w:firstLine="480"/>
        <w:rPr>
          <w:rFonts w:cs="Times New Roman"/>
          <w:lang w:val="zh-CN"/>
        </w:rPr>
      </w:pPr>
    </w:p>
    <w:p>
      <w:pPr>
        <w:snapToGrid w:val="0"/>
        <w:ind w:firstLine="480"/>
        <w:rPr>
          <w:rFonts w:cs="Times New Roman"/>
          <w:lang w:val="zh-CN"/>
        </w:rPr>
      </w:pPr>
    </w:p>
    <w:p>
      <w:pPr>
        <w:spacing w:before="156" w:beforeLines="50" w:line="240" w:lineRule="auto"/>
        <w:ind w:firstLine="482"/>
        <w:jc w:val="center"/>
        <w:rPr>
          <w:rFonts w:cs="Times New Roman"/>
          <w:b/>
          <w:szCs w:val="24"/>
        </w:rPr>
      </w:pPr>
      <w:r>
        <w:rPr>
          <w:rFonts w:cs="Times New Roman"/>
          <w:b/>
          <w:szCs w:val="24"/>
        </w:rPr>
        <w:t>表2.3-1  大气评价工作等级划分判据</w:t>
      </w: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8"/>
        <w:gridCol w:w="4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vAlign w:val="center"/>
          </w:tcPr>
          <w:p>
            <w:pPr>
              <w:spacing w:line="240" w:lineRule="auto"/>
              <w:ind w:firstLine="0" w:firstLineChars="0"/>
              <w:jc w:val="center"/>
              <w:rPr>
                <w:b/>
                <w:sz w:val="21"/>
                <w:szCs w:val="21"/>
              </w:rPr>
            </w:pPr>
            <w:r>
              <w:rPr>
                <w:bCs/>
                <w:sz w:val="21"/>
                <w:szCs w:val="21"/>
              </w:rPr>
              <w:t>评价工作等级</w:t>
            </w:r>
          </w:p>
        </w:tc>
        <w:tc>
          <w:tcPr>
            <w:tcW w:w="4148" w:type="dxa"/>
            <w:vAlign w:val="center"/>
          </w:tcPr>
          <w:p>
            <w:pPr>
              <w:spacing w:line="240" w:lineRule="auto"/>
              <w:ind w:firstLine="0" w:firstLineChars="0"/>
              <w:jc w:val="center"/>
              <w:rPr>
                <w:b/>
                <w:sz w:val="21"/>
                <w:szCs w:val="21"/>
              </w:rPr>
            </w:pPr>
            <w:r>
              <w:rPr>
                <w:bCs/>
                <w:sz w:val="21"/>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vAlign w:val="center"/>
          </w:tcPr>
          <w:p>
            <w:pPr>
              <w:spacing w:line="240" w:lineRule="auto"/>
              <w:ind w:firstLine="0" w:firstLineChars="0"/>
              <w:jc w:val="center"/>
              <w:rPr>
                <w:b/>
                <w:sz w:val="21"/>
                <w:szCs w:val="21"/>
              </w:rPr>
            </w:pPr>
            <w:r>
              <w:rPr>
                <w:bCs/>
                <w:sz w:val="21"/>
                <w:szCs w:val="21"/>
              </w:rPr>
              <w:t>一级</w:t>
            </w:r>
          </w:p>
        </w:tc>
        <w:tc>
          <w:tcPr>
            <w:tcW w:w="4148" w:type="dxa"/>
            <w:vAlign w:val="center"/>
          </w:tcPr>
          <w:p>
            <w:pPr>
              <w:spacing w:line="240" w:lineRule="auto"/>
              <w:ind w:firstLine="0" w:firstLineChars="0"/>
              <w:jc w:val="center"/>
              <w:rPr>
                <w:b/>
                <w:sz w:val="21"/>
                <w:szCs w:val="21"/>
              </w:rPr>
            </w:pPr>
            <w:r>
              <w:rPr>
                <w:bCs/>
                <w:sz w:val="21"/>
                <w:szCs w:val="21"/>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vAlign w:val="center"/>
          </w:tcPr>
          <w:p>
            <w:pPr>
              <w:spacing w:line="240" w:lineRule="auto"/>
              <w:ind w:firstLine="0" w:firstLineChars="0"/>
              <w:jc w:val="center"/>
              <w:rPr>
                <w:b/>
                <w:sz w:val="21"/>
                <w:szCs w:val="21"/>
              </w:rPr>
            </w:pPr>
            <w:r>
              <w:rPr>
                <w:bCs/>
                <w:sz w:val="21"/>
                <w:szCs w:val="21"/>
              </w:rPr>
              <w:t>二级</w:t>
            </w:r>
          </w:p>
        </w:tc>
        <w:tc>
          <w:tcPr>
            <w:tcW w:w="4148" w:type="dxa"/>
            <w:vAlign w:val="center"/>
          </w:tcPr>
          <w:p>
            <w:pPr>
              <w:spacing w:line="240" w:lineRule="auto"/>
              <w:ind w:firstLine="0" w:firstLineChars="0"/>
              <w:jc w:val="center"/>
              <w:rPr>
                <w:b/>
                <w:sz w:val="21"/>
                <w:szCs w:val="21"/>
              </w:rPr>
            </w:pPr>
            <w:r>
              <w:rPr>
                <w:bCs/>
                <w:sz w:val="21"/>
                <w:szCs w:val="21"/>
              </w:rPr>
              <w:t>1%≤Pmax&lt;10%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vAlign w:val="center"/>
          </w:tcPr>
          <w:p>
            <w:pPr>
              <w:spacing w:line="240" w:lineRule="auto"/>
              <w:ind w:firstLine="0" w:firstLineChars="0"/>
              <w:jc w:val="center"/>
              <w:rPr>
                <w:b/>
                <w:sz w:val="21"/>
                <w:szCs w:val="21"/>
              </w:rPr>
            </w:pPr>
            <w:r>
              <w:rPr>
                <w:bCs/>
                <w:sz w:val="21"/>
                <w:szCs w:val="21"/>
              </w:rPr>
              <w:t>三级</w:t>
            </w:r>
          </w:p>
        </w:tc>
        <w:tc>
          <w:tcPr>
            <w:tcW w:w="4148" w:type="dxa"/>
            <w:vAlign w:val="center"/>
          </w:tcPr>
          <w:p>
            <w:pPr>
              <w:spacing w:line="240" w:lineRule="auto"/>
              <w:ind w:firstLine="0" w:firstLineChars="0"/>
              <w:jc w:val="center"/>
              <w:rPr>
                <w:b/>
                <w:sz w:val="21"/>
                <w:szCs w:val="21"/>
              </w:rPr>
            </w:pPr>
            <w:r>
              <w:rPr>
                <w:bCs/>
                <w:sz w:val="21"/>
                <w:szCs w:val="21"/>
              </w:rPr>
              <w:t>Pmax&lt;1%</w:t>
            </w:r>
          </w:p>
        </w:tc>
      </w:tr>
    </w:tbl>
    <w:p>
      <w:pPr>
        <w:ind w:firstLine="480"/>
        <w:rPr>
          <w:rFonts w:cs="Times New Roman"/>
        </w:rPr>
      </w:pPr>
      <w:r>
        <w:rPr>
          <w:rFonts w:cs="Times New Roman"/>
        </w:rPr>
        <w:t>估算过程详见本报告&amp;5.2.3.1章节，</w:t>
      </w:r>
      <w:r>
        <w:rPr>
          <w:u w:val="single"/>
        </w:rPr>
        <w:t>根据估算结果，最大占标率为</w:t>
      </w:r>
      <w:r>
        <w:rPr>
          <w:rFonts w:hint="eastAsia"/>
          <w:u w:val="single"/>
        </w:rPr>
        <w:t>DA</w:t>
      </w:r>
      <w:r>
        <w:rPr>
          <w:u w:val="single"/>
        </w:rPr>
        <w:t>008</w:t>
      </w:r>
      <w:r>
        <w:rPr>
          <w:rFonts w:hint="eastAsia"/>
          <w:u w:val="single"/>
        </w:rPr>
        <w:t>有组织排放源（炉窑废气排气筒）</w:t>
      </w:r>
      <w:r>
        <w:rPr>
          <w:u w:val="single"/>
        </w:rPr>
        <w:t>排放的</w:t>
      </w:r>
      <w:r>
        <w:rPr>
          <w:rFonts w:hint="eastAsia"/>
          <w:u w:val="single"/>
        </w:rPr>
        <w:t>NO</w:t>
      </w:r>
      <w:r>
        <w:rPr>
          <w:rFonts w:hint="eastAsia"/>
          <w:u w:val="single"/>
          <w:vertAlign w:val="subscript"/>
        </w:rPr>
        <w:t>x</w:t>
      </w:r>
      <w:r>
        <w:rPr>
          <w:u w:val="single"/>
        </w:rPr>
        <w:t>，最大落地浓度为66.99ug/m</w:t>
      </w:r>
      <w:r>
        <w:rPr>
          <w:u w:val="single"/>
          <w:vertAlign w:val="superscript"/>
        </w:rPr>
        <w:t>3</w:t>
      </w:r>
      <w:r>
        <w:rPr>
          <w:u w:val="single"/>
        </w:rPr>
        <w:t>，最大占标率为26.80%。根据5.2-4，确定评价等级为一级。D</w:t>
      </w:r>
      <w:r>
        <w:rPr>
          <w:u w:val="single"/>
          <w:vertAlign w:val="subscript"/>
        </w:rPr>
        <w:t>10%</w:t>
      </w:r>
      <w:r>
        <w:rPr>
          <w:u w:val="single"/>
        </w:rPr>
        <w:t>最大为</w:t>
      </w:r>
      <w:r>
        <w:rPr>
          <w:rFonts w:hint="eastAsia"/>
          <w:u w:val="single"/>
        </w:rPr>
        <w:t>DA</w:t>
      </w:r>
      <w:r>
        <w:rPr>
          <w:u w:val="single"/>
        </w:rPr>
        <w:t>014</w:t>
      </w:r>
      <w:r>
        <w:rPr>
          <w:rFonts w:hint="eastAsia"/>
          <w:u w:val="single"/>
        </w:rPr>
        <w:t>有组织点</w:t>
      </w:r>
      <w:r>
        <w:rPr>
          <w:u w:val="single"/>
        </w:rPr>
        <w:t>源（</w:t>
      </w:r>
      <w:r>
        <w:rPr>
          <w:rFonts w:hint="eastAsia"/>
          <w:u w:val="single"/>
        </w:rPr>
        <w:t>炉窑废气排气筒</w:t>
      </w:r>
      <w:r>
        <w:rPr>
          <w:u w:val="single"/>
        </w:rPr>
        <w:t>）</w:t>
      </w:r>
      <w:r>
        <w:rPr>
          <w:rFonts w:hint="eastAsia"/>
          <w:u w:val="single"/>
        </w:rPr>
        <w:t>排放废气</w:t>
      </w:r>
      <w:r>
        <w:rPr>
          <w:u w:val="single"/>
        </w:rPr>
        <w:t>，D</w:t>
      </w:r>
      <w:r>
        <w:rPr>
          <w:u w:val="single"/>
          <w:vertAlign w:val="subscript"/>
        </w:rPr>
        <w:t>10%</w:t>
      </w:r>
      <w:r>
        <w:rPr>
          <w:u w:val="single"/>
        </w:rPr>
        <w:t>为1000m，小于2.5km，因此大气评价范围为以厂址为中心，边长为5km的矩形范围。</w:t>
      </w:r>
    </w:p>
    <w:p>
      <w:pPr>
        <w:pStyle w:val="4"/>
        <w:adjustRightInd w:val="0"/>
        <w:snapToGrid w:val="0"/>
        <w:jc w:val="left"/>
        <w:rPr>
          <w:rFonts w:cs="Times New Roman"/>
          <w:szCs w:val="24"/>
        </w:rPr>
      </w:pPr>
      <w:bookmarkStart w:id="54" w:name="_Toc86611235"/>
      <w:r>
        <w:rPr>
          <w:rFonts w:cs="Times New Roman"/>
          <w:szCs w:val="24"/>
        </w:rPr>
        <w:t>2.3.2 地表水环境影响评价等级</w:t>
      </w:r>
      <w:bookmarkEnd w:id="54"/>
    </w:p>
    <w:p>
      <w:pPr>
        <w:ind w:firstLine="480"/>
        <w:rPr>
          <w:rFonts w:cs="Times New Roman"/>
        </w:rPr>
      </w:pPr>
      <w:r>
        <w:rPr>
          <w:rFonts w:cs="Times New Roman"/>
        </w:rPr>
        <w:t>根据《环境影响评价技术导则地表水环境》（HJ/T2.3-2018），按照影响类型、排放方式、排放量或影响情况、收纳水体环境质量现状、水环境保护目标等综合确定地表水评价等级。本项目影响类型为水污染影响类型，其评价等级判定依据见表2.3-4。</w:t>
      </w:r>
    </w:p>
    <w:p>
      <w:pPr>
        <w:spacing w:before="156" w:beforeLines="50" w:line="240" w:lineRule="auto"/>
        <w:ind w:firstLine="0" w:firstLineChars="0"/>
        <w:jc w:val="center"/>
        <w:rPr>
          <w:rFonts w:cs="Times New Roman"/>
          <w:b/>
          <w:szCs w:val="24"/>
        </w:rPr>
      </w:pPr>
      <w:r>
        <w:rPr>
          <w:rFonts w:cs="Times New Roman"/>
          <w:b/>
          <w:szCs w:val="24"/>
        </w:rPr>
        <w:t>表2.3-4  水污染影响型建设项目评价等级判定判定（摘录）</w:t>
      </w:r>
    </w:p>
    <w:tbl>
      <w:tblPr>
        <w:tblStyle w:val="45"/>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840"/>
        <w:gridCol w:w="2841"/>
        <w:gridCol w:w="28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42" w:type="dxa"/>
            <w:vMerge w:val="restart"/>
            <w:vAlign w:val="center"/>
          </w:tcPr>
          <w:p>
            <w:pPr>
              <w:spacing w:line="240" w:lineRule="auto"/>
              <w:ind w:firstLine="0" w:firstLineChars="0"/>
              <w:jc w:val="center"/>
              <w:rPr>
                <w:rFonts w:cs="Times New Roman"/>
                <w:b/>
                <w:sz w:val="21"/>
                <w:szCs w:val="21"/>
              </w:rPr>
            </w:pPr>
            <w:r>
              <w:rPr>
                <w:rFonts w:cs="Times New Roman"/>
                <w:b/>
                <w:sz w:val="21"/>
                <w:szCs w:val="21"/>
              </w:rPr>
              <w:t>评价等级</w:t>
            </w:r>
          </w:p>
        </w:tc>
        <w:tc>
          <w:tcPr>
            <w:tcW w:w="5686" w:type="dxa"/>
            <w:gridSpan w:val="2"/>
            <w:vAlign w:val="center"/>
          </w:tcPr>
          <w:p>
            <w:pPr>
              <w:spacing w:line="240" w:lineRule="auto"/>
              <w:ind w:firstLine="0" w:firstLineChars="0"/>
              <w:jc w:val="center"/>
              <w:rPr>
                <w:rFonts w:cs="Times New Roman"/>
                <w:b/>
                <w:sz w:val="21"/>
                <w:szCs w:val="21"/>
              </w:rPr>
            </w:pPr>
            <w:r>
              <w:rPr>
                <w:rFonts w:cs="Times New Roman"/>
                <w:b/>
                <w:sz w:val="21"/>
                <w:szCs w:val="21"/>
              </w:rPr>
              <w:t>判定依据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42" w:type="dxa"/>
            <w:vMerge w:val="continue"/>
            <w:vAlign w:val="center"/>
          </w:tcPr>
          <w:p>
            <w:pPr>
              <w:spacing w:line="240" w:lineRule="auto"/>
              <w:ind w:firstLine="0" w:firstLineChars="0"/>
              <w:jc w:val="center"/>
              <w:rPr>
                <w:rFonts w:cs="Times New Roman"/>
                <w:b/>
                <w:sz w:val="21"/>
                <w:szCs w:val="21"/>
              </w:rPr>
            </w:pPr>
          </w:p>
        </w:tc>
        <w:tc>
          <w:tcPr>
            <w:tcW w:w="2843" w:type="dxa"/>
            <w:vAlign w:val="center"/>
          </w:tcPr>
          <w:p>
            <w:pPr>
              <w:spacing w:line="240" w:lineRule="auto"/>
              <w:ind w:firstLine="0" w:firstLineChars="0"/>
              <w:jc w:val="center"/>
              <w:rPr>
                <w:rFonts w:cs="Times New Roman"/>
                <w:b/>
                <w:sz w:val="21"/>
                <w:szCs w:val="21"/>
              </w:rPr>
            </w:pPr>
            <w:r>
              <w:rPr>
                <w:rFonts w:cs="Times New Roman"/>
                <w:b/>
                <w:sz w:val="21"/>
                <w:szCs w:val="21"/>
              </w:rPr>
              <w:t>排放方式</w:t>
            </w:r>
          </w:p>
        </w:tc>
        <w:tc>
          <w:tcPr>
            <w:tcW w:w="2843" w:type="dxa"/>
            <w:vAlign w:val="center"/>
          </w:tcPr>
          <w:p>
            <w:pPr>
              <w:spacing w:line="240" w:lineRule="auto"/>
              <w:ind w:firstLine="0" w:firstLineChars="0"/>
              <w:jc w:val="center"/>
              <w:rPr>
                <w:rFonts w:cs="Times New Roman"/>
                <w:b/>
                <w:sz w:val="21"/>
                <w:szCs w:val="21"/>
              </w:rPr>
            </w:pPr>
            <w:r>
              <w:rPr>
                <w:rFonts w:cs="Times New Roman"/>
                <w:b/>
                <w:sz w:val="21"/>
                <w:szCs w:val="21"/>
              </w:rPr>
              <w:t>废水排放量Q/（m</w:t>
            </w:r>
            <w:r>
              <w:rPr>
                <w:rFonts w:cs="Times New Roman"/>
                <w:b/>
                <w:sz w:val="21"/>
                <w:szCs w:val="21"/>
                <w:vertAlign w:val="superscript"/>
              </w:rPr>
              <w:t>3</w:t>
            </w:r>
            <w:r>
              <w:rPr>
                <w:rFonts w:cs="Times New Roman"/>
                <w:b/>
                <w:sz w:val="21"/>
                <w:szCs w:val="21"/>
              </w:rPr>
              <w:t>/d）；水污染物当量数W（无纲量）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42" w:type="dxa"/>
            <w:vAlign w:val="center"/>
          </w:tcPr>
          <w:p>
            <w:pPr>
              <w:spacing w:line="240" w:lineRule="auto"/>
              <w:ind w:firstLine="0" w:firstLineChars="0"/>
              <w:jc w:val="center"/>
              <w:rPr>
                <w:rFonts w:cs="Times New Roman"/>
                <w:sz w:val="21"/>
                <w:szCs w:val="21"/>
              </w:rPr>
            </w:pPr>
            <w:r>
              <w:rPr>
                <w:rFonts w:cs="Times New Roman"/>
                <w:sz w:val="21"/>
                <w:szCs w:val="21"/>
              </w:rPr>
              <w:t>一级</w:t>
            </w:r>
          </w:p>
        </w:tc>
        <w:tc>
          <w:tcPr>
            <w:tcW w:w="2843" w:type="dxa"/>
            <w:vAlign w:val="center"/>
          </w:tcPr>
          <w:p>
            <w:pPr>
              <w:spacing w:line="240" w:lineRule="auto"/>
              <w:ind w:firstLine="0" w:firstLineChars="0"/>
              <w:jc w:val="center"/>
              <w:rPr>
                <w:rFonts w:cs="Times New Roman"/>
                <w:sz w:val="21"/>
                <w:szCs w:val="21"/>
              </w:rPr>
            </w:pPr>
            <w:r>
              <w:rPr>
                <w:rFonts w:cs="Times New Roman"/>
                <w:sz w:val="21"/>
                <w:szCs w:val="21"/>
              </w:rPr>
              <w:t>直接排放</w:t>
            </w:r>
          </w:p>
        </w:tc>
        <w:tc>
          <w:tcPr>
            <w:tcW w:w="2843" w:type="dxa"/>
            <w:vAlign w:val="center"/>
          </w:tcPr>
          <w:p>
            <w:pPr>
              <w:spacing w:line="240" w:lineRule="auto"/>
              <w:ind w:firstLine="0" w:firstLineChars="0"/>
              <w:jc w:val="center"/>
              <w:rPr>
                <w:rFonts w:cs="Times New Roman"/>
                <w:sz w:val="21"/>
                <w:szCs w:val="21"/>
              </w:rPr>
            </w:pPr>
            <w:r>
              <w:rPr>
                <w:rFonts w:cs="Times New Roman"/>
                <w:sz w:val="21"/>
                <w:szCs w:val="21"/>
              </w:rPr>
              <w:t>Q≥20000或W≥600000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42" w:type="dxa"/>
            <w:vAlign w:val="center"/>
          </w:tcPr>
          <w:p>
            <w:pPr>
              <w:spacing w:line="240" w:lineRule="auto"/>
              <w:ind w:firstLine="0" w:firstLineChars="0"/>
              <w:jc w:val="center"/>
              <w:rPr>
                <w:rFonts w:cs="Times New Roman"/>
                <w:sz w:val="21"/>
                <w:szCs w:val="21"/>
              </w:rPr>
            </w:pPr>
            <w:r>
              <w:rPr>
                <w:rFonts w:cs="Times New Roman"/>
                <w:sz w:val="21"/>
                <w:szCs w:val="21"/>
              </w:rPr>
              <w:t>二级</w:t>
            </w:r>
          </w:p>
        </w:tc>
        <w:tc>
          <w:tcPr>
            <w:tcW w:w="2843" w:type="dxa"/>
            <w:vAlign w:val="center"/>
          </w:tcPr>
          <w:p>
            <w:pPr>
              <w:spacing w:line="240" w:lineRule="auto"/>
              <w:ind w:firstLine="0" w:firstLineChars="0"/>
              <w:jc w:val="center"/>
              <w:rPr>
                <w:rFonts w:cs="Times New Roman"/>
                <w:sz w:val="21"/>
                <w:szCs w:val="21"/>
              </w:rPr>
            </w:pPr>
            <w:r>
              <w:rPr>
                <w:rFonts w:cs="Times New Roman"/>
                <w:sz w:val="21"/>
                <w:szCs w:val="21"/>
              </w:rPr>
              <w:t>直接排放</w:t>
            </w:r>
          </w:p>
        </w:tc>
        <w:tc>
          <w:tcPr>
            <w:tcW w:w="2843" w:type="dxa"/>
            <w:vAlign w:val="center"/>
          </w:tcPr>
          <w:p>
            <w:pPr>
              <w:spacing w:line="240" w:lineRule="auto"/>
              <w:ind w:firstLine="0" w:firstLineChars="0"/>
              <w:jc w:val="center"/>
              <w:rPr>
                <w:rFonts w:cs="Times New Roman"/>
                <w:sz w:val="21"/>
                <w:szCs w:val="21"/>
              </w:rPr>
            </w:pPr>
            <w:r>
              <w:rPr>
                <w:rFonts w:cs="Times New Roman"/>
                <w:sz w:val="21"/>
                <w:szCs w:val="21"/>
              </w:rPr>
              <w:t>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42" w:type="dxa"/>
            <w:vAlign w:val="center"/>
          </w:tcPr>
          <w:p>
            <w:pPr>
              <w:spacing w:line="240" w:lineRule="auto"/>
              <w:ind w:firstLine="0" w:firstLineChars="0"/>
              <w:jc w:val="center"/>
              <w:rPr>
                <w:rFonts w:cs="Times New Roman"/>
                <w:sz w:val="21"/>
                <w:szCs w:val="21"/>
              </w:rPr>
            </w:pPr>
            <w:r>
              <w:rPr>
                <w:rFonts w:cs="Times New Roman"/>
                <w:sz w:val="21"/>
                <w:szCs w:val="21"/>
              </w:rPr>
              <w:t>三级A</w:t>
            </w:r>
          </w:p>
        </w:tc>
        <w:tc>
          <w:tcPr>
            <w:tcW w:w="2843" w:type="dxa"/>
            <w:vAlign w:val="center"/>
          </w:tcPr>
          <w:p>
            <w:pPr>
              <w:spacing w:line="240" w:lineRule="auto"/>
              <w:ind w:firstLine="0" w:firstLineChars="0"/>
              <w:jc w:val="center"/>
              <w:rPr>
                <w:rFonts w:cs="Times New Roman"/>
                <w:sz w:val="21"/>
                <w:szCs w:val="21"/>
              </w:rPr>
            </w:pPr>
            <w:r>
              <w:rPr>
                <w:rFonts w:cs="Times New Roman"/>
                <w:sz w:val="21"/>
                <w:szCs w:val="21"/>
              </w:rPr>
              <w:t>直接排放</w:t>
            </w:r>
          </w:p>
        </w:tc>
        <w:tc>
          <w:tcPr>
            <w:tcW w:w="2843" w:type="dxa"/>
            <w:vAlign w:val="center"/>
          </w:tcPr>
          <w:p>
            <w:pPr>
              <w:spacing w:line="240" w:lineRule="auto"/>
              <w:ind w:firstLine="0" w:firstLineChars="0"/>
              <w:jc w:val="center"/>
              <w:rPr>
                <w:rFonts w:cs="Times New Roman"/>
                <w:sz w:val="21"/>
                <w:szCs w:val="21"/>
              </w:rPr>
            </w:pPr>
            <w:r>
              <w:rPr>
                <w:rFonts w:cs="Times New Roman"/>
                <w:sz w:val="21"/>
                <w:szCs w:val="21"/>
              </w:rPr>
              <w:t>Q＜200且</w:t>
            </w:r>
            <w:r>
              <w:rPr>
                <w:rFonts w:hint="eastAsia" w:cs="Times New Roman"/>
                <w:sz w:val="21"/>
                <w:szCs w:val="21"/>
              </w:rPr>
              <w:t>W</w:t>
            </w:r>
            <w:r>
              <w:rPr>
                <w:rFonts w:cs="Times New Roman"/>
                <w:sz w:val="21"/>
                <w:szCs w:val="21"/>
              </w:rPr>
              <w:t>＜6000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42" w:type="dxa"/>
            <w:shd w:val="clear" w:color="auto" w:fill="FFFFFF"/>
            <w:vAlign w:val="center"/>
          </w:tcPr>
          <w:p>
            <w:pPr>
              <w:spacing w:line="240" w:lineRule="auto"/>
              <w:ind w:firstLine="0" w:firstLineChars="0"/>
              <w:jc w:val="center"/>
              <w:rPr>
                <w:rFonts w:cs="Times New Roman"/>
                <w:sz w:val="21"/>
                <w:szCs w:val="21"/>
              </w:rPr>
            </w:pPr>
            <w:r>
              <w:rPr>
                <w:rFonts w:cs="Times New Roman"/>
                <w:sz w:val="21"/>
                <w:szCs w:val="21"/>
              </w:rPr>
              <w:t>三级B</w:t>
            </w:r>
          </w:p>
        </w:tc>
        <w:tc>
          <w:tcPr>
            <w:tcW w:w="2843" w:type="dxa"/>
            <w:shd w:val="clear" w:color="auto" w:fill="FFFFFF"/>
            <w:vAlign w:val="center"/>
          </w:tcPr>
          <w:p>
            <w:pPr>
              <w:spacing w:line="240" w:lineRule="auto"/>
              <w:ind w:firstLine="0" w:firstLineChars="0"/>
              <w:jc w:val="center"/>
              <w:rPr>
                <w:rFonts w:cs="Times New Roman"/>
                <w:sz w:val="21"/>
                <w:szCs w:val="21"/>
              </w:rPr>
            </w:pPr>
            <w:r>
              <w:rPr>
                <w:rFonts w:cs="Times New Roman"/>
                <w:sz w:val="21"/>
                <w:szCs w:val="21"/>
              </w:rPr>
              <w:t>间接排放</w:t>
            </w:r>
          </w:p>
        </w:tc>
        <w:tc>
          <w:tcPr>
            <w:tcW w:w="2843" w:type="dxa"/>
            <w:shd w:val="clear" w:color="auto" w:fill="FFFFFF"/>
            <w:vAlign w:val="center"/>
          </w:tcPr>
          <w:p>
            <w:pPr>
              <w:spacing w:line="240" w:lineRule="auto"/>
              <w:ind w:firstLine="0" w:firstLineChars="0"/>
              <w:jc w:val="center"/>
              <w:rPr>
                <w:rFonts w:cs="Times New Roman"/>
                <w:sz w:val="21"/>
                <w:szCs w:val="21"/>
              </w:rPr>
            </w:pPr>
            <w:r>
              <w:rPr>
                <w:rFonts w:cs="Times New Roman"/>
                <w:sz w:val="21"/>
                <w:szCs w:val="21"/>
              </w:rPr>
              <w:t>——</w:t>
            </w:r>
          </w:p>
        </w:tc>
      </w:tr>
    </w:tbl>
    <w:p>
      <w:pPr>
        <w:ind w:firstLine="480"/>
        <w:rPr>
          <w:rFonts w:cs="Times New Roman"/>
        </w:rPr>
      </w:pPr>
      <w:r>
        <w:rPr>
          <w:rFonts w:cs="Times New Roman"/>
        </w:rPr>
        <w:t>建设项目产生的生产废水主要为陶瓷生产废水，生产废水絮凝沉淀后均循环回用于生产，地表水评价等级定位三级B；生活污水（产生量为84m</w:t>
      </w:r>
      <w:r>
        <w:rPr>
          <w:rFonts w:cs="Times New Roman"/>
          <w:vertAlign w:val="superscript"/>
        </w:rPr>
        <w:t>3</w:t>
      </w:r>
      <w:r>
        <w:rPr>
          <w:rFonts w:cs="Times New Roman"/>
        </w:rPr>
        <w:t>/d）经生化一体污水处理设施处理达到《陶瓷工业污染物排放标准》（GB25464-2010）中表2</w:t>
      </w:r>
      <w:r>
        <w:rPr>
          <w:rFonts w:hint="eastAsia" w:cs="Times New Roman"/>
        </w:rPr>
        <w:t>标准限值后排入白象河</w:t>
      </w:r>
      <w:r>
        <w:rPr>
          <w:rFonts w:cs="Times New Roman"/>
        </w:rPr>
        <w:t>，远期待污水处理厂建成后，处理达到《陶瓷工业污染物排放标准》（GB25464-2010）中表2 间接排放限值后排入市政管网进入污水处理厂进行深度处理后排入白象河。</w:t>
      </w:r>
    </w:p>
    <w:p>
      <w:pPr>
        <w:ind w:firstLine="480"/>
        <w:rPr>
          <w:rFonts w:cs="Times New Roman"/>
        </w:rPr>
      </w:pPr>
      <w:r>
        <w:rPr>
          <w:rFonts w:hint="eastAsia" w:cs="Times New Roman"/>
        </w:rPr>
        <w:t>生活污水外排量约为1</w:t>
      </w:r>
      <w:r>
        <w:rPr>
          <w:rFonts w:cs="Times New Roman"/>
        </w:rPr>
        <w:t>92</w:t>
      </w:r>
      <w:r>
        <w:rPr>
          <w:rFonts w:hint="eastAsia" w:cs="Times New Roman"/>
        </w:rPr>
        <w:t>m</w:t>
      </w:r>
      <w:r>
        <w:rPr>
          <w:rFonts w:cs="Times New Roman"/>
          <w:vertAlign w:val="superscript"/>
        </w:rPr>
        <w:t>3</w:t>
      </w:r>
      <w:r>
        <w:rPr>
          <w:rFonts w:cs="Times New Roman"/>
        </w:rPr>
        <w:t>/d</w:t>
      </w:r>
      <w:r>
        <w:rPr>
          <w:rFonts w:hint="eastAsia" w:cs="Times New Roman"/>
        </w:rPr>
        <w:t>，Q＜2</w:t>
      </w:r>
      <w:r>
        <w:rPr>
          <w:rFonts w:cs="Times New Roman"/>
        </w:rPr>
        <w:t>00</w:t>
      </w:r>
      <w:r>
        <w:rPr>
          <w:rFonts w:hint="eastAsia" w:cs="Times New Roman"/>
        </w:rPr>
        <w:t>m</w:t>
      </w:r>
      <w:r>
        <w:rPr>
          <w:rFonts w:cs="Times New Roman"/>
          <w:vertAlign w:val="superscript"/>
        </w:rPr>
        <w:t>3</w:t>
      </w:r>
      <w:r>
        <w:rPr>
          <w:rFonts w:cs="Times New Roman"/>
        </w:rPr>
        <w:t>/d</w:t>
      </w:r>
      <w:r>
        <w:rPr>
          <w:rFonts w:hint="eastAsia" w:cs="Times New Roman"/>
        </w:rPr>
        <w:t>，污染物当量分别为：COD：2</w:t>
      </w:r>
      <w:r>
        <w:rPr>
          <w:rFonts w:cs="Times New Roman"/>
        </w:rPr>
        <w:t>.88</w:t>
      </w:r>
      <w:r>
        <w:rPr>
          <w:rFonts w:hint="eastAsia" w:cs="Times New Roman"/>
        </w:rPr>
        <w:t>/</w:t>
      </w:r>
      <w:r>
        <w:rPr>
          <w:rFonts w:cs="Times New Roman"/>
        </w:rPr>
        <w:t>1</w:t>
      </w:r>
      <w:r>
        <w:rPr>
          <w:rFonts w:hint="eastAsia" w:cs="Times New Roman"/>
        </w:rPr>
        <w:t>=</w:t>
      </w:r>
      <w:r>
        <w:rPr>
          <w:rFonts w:cs="Times New Roman"/>
        </w:rPr>
        <w:t>2.88</w:t>
      </w:r>
      <w:r>
        <w:rPr>
          <w:rFonts w:hint="eastAsia" w:cs="Times New Roman"/>
        </w:rPr>
        <w:t>；BOD</w:t>
      </w:r>
      <w:r>
        <w:rPr>
          <w:rFonts w:cs="Times New Roman"/>
          <w:vertAlign w:val="subscript"/>
        </w:rPr>
        <w:t>5</w:t>
      </w:r>
      <w:r>
        <w:rPr>
          <w:rFonts w:hint="eastAsia" w:cs="Times New Roman"/>
        </w:rPr>
        <w:t>：0</w:t>
      </w:r>
      <w:r>
        <w:rPr>
          <w:rFonts w:cs="Times New Roman"/>
        </w:rPr>
        <w:t>.58</w:t>
      </w:r>
      <w:r>
        <w:rPr>
          <w:rFonts w:hint="eastAsia" w:cs="Times New Roman"/>
        </w:rPr>
        <w:t>/</w:t>
      </w:r>
      <w:r>
        <w:rPr>
          <w:rFonts w:cs="Times New Roman"/>
        </w:rPr>
        <w:t>0.5</w:t>
      </w:r>
      <w:r>
        <w:rPr>
          <w:rFonts w:hint="eastAsia" w:cs="Times New Roman"/>
        </w:rPr>
        <w:t>=</w:t>
      </w:r>
      <w:r>
        <w:rPr>
          <w:rFonts w:cs="Times New Roman"/>
        </w:rPr>
        <w:t>1.16</w:t>
      </w:r>
      <w:r>
        <w:rPr>
          <w:rFonts w:hint="eastAsia" w:cs="Times New Roman"/>
        </w:rPr>
        <w:t>；SS：2</w:t>
      </w:r>
      <w:r>
        <w:rPr>
          <w:rFonts w:cs="Times New Roman"/>
        </w:rPr>
        <w:t>.88/5=0.72</w:t>
      </w:r>
      <w:r>
        <w:rPr>
          <w:rFonts w:hint="eastAsia" w:cs="Times New Roman"/>
        </w:rPr>
        <w:t>；NH</w:t>
      </w:r>
      <w:r>
        <w:rPr>
          <w:rFonts w:cs="Times New Roman"/>
          <w:vertAlign w:val="subscript"/>
        </w:rPr>
        <w:t>3</w:t>
      </w:r>
      <w:r>
        <w:rPr>
          <w:rFonts w:hint="eastAsia" w:cs="Times New Roman"/>
        </w:rPr>
        <w:t>-N：0</w:t>
      </w:r>
      <w:r>
        <w:rPr>
          <w:rFonts w:cs="Times New Roman"/>
        </w:rPr>
        <w:t>.17/0.8</w:t>
      </w:r>
      <w:r>
        <w:rPr>
          <w:rFonts w:hint="eastAsia" w:cs="Times New Roman"/>
        </w:rPr>
        <w:t>=</w:t>
      </w:r>
      <w:r>
        <w:rPr>
          <w:rFonts w:cs="Times New Roman"/>
        </w:rPr>
        <w:t>0.21</w:t>
      </w:r>
      <w:r>
        <w:rPr>
          <w:rFonts w:hint="eastAsia" w:cs="Times New Roman"/>
        </w:rPr>
        <w:t>；动植物油：0</w:t>
      </w:r>
      <w:r>
        <w:rPr>
          <w:rFonts w:cs="Times New Roman"/>
        </w:rPr>
        <w:t>.58</w:t>
      </w:r>
      <w:r>
        <w:rPr>
          <w:rFonts w:hint="eastAsia" w:cs="Times New Roman"/>
        </w:rPr>
        <w:t>/</w:t>
      </w:r>
      <w:r>
        <w:rPr>
          <w:rFonts w:cs="Times New Roman"/>
        </w:rPr>
        <w:t>0.16</w:t>
      </w:r>
      <w:r>
        <w:rPr>
          <w:rFonts w:hint="eastAsia" w:cs="Times New Roman"/>
        </w:rPr>
        <w:t>=</w:t>
      </w:r>
      <w:r>
        <w:rPr>
          <w:rFonts w:cs="Times New Roman"/>
        </w:rPr>
        <w:t>3.63</w:t>
      </w:r>
      <w:r>
        <w:rPr>
          <w:rFonts w:hint="eastAsia" w:cs="Times New Roman"/>
        </w:rPr>
        <w:t>。最大污染物当量为动植物油：3</w:t>
      </w:r>
      <w:r>
        <w:rPr>
          <w:rFonts w:cs="Times New Roman"/>
        </w:rPr>
        <w:t>.63</w:t>
      </w:r>
      <w:r>
        <w:rPr>
          <w:rFonts w:hint="eastAsia" w:cs="Times New Roman"/>
        </w:rPr>
        <w:t>，污染物当量小于6</w:t>
      </w:r>
      <w:r>
        <w:rPr>
          <w:rFonts w:cs="Times New Roman"/>
        </w:rPr>
        <w:t>000</w:t>
      </w:r>
      <w:r>
        <w:rPr>
          <w:rFonts w:hint="eastAsia" w:cs="Times New Roman"/>
        </w:rPr>
        <w:t>，因此项目地表水评价等级为三级A。</w:t>
      </w:r>
    </w:p>
    <w:p>
      <w:pPr>
        <w:pStyle w:val="4"/>
        <w:adjustRightInd w:val="0"/>
        <w:snapToGrid w:val="0"/>
        <w:jc w:val="left"/>
        <w:rPr>
          <w:rFonts w:cs="Times New Roman"/>
          <w:szCs w:val="24"/>
        </w:rPr>
      </w:pPr>
      <w:bookmarkStart w:id="55" w:name="_Toc86611236"/>
      <w:r>
        <w:rPr>
          <w:rFonts w:cs="Times New Roman"/>
          <w:szCs w:val="24"/>
        </w:rPr>
        <w:t>2.3.3 地下水环境评价等级</w:t>
      </w:r>
      <w:bookmarkEnd w:id="55"/>
    </w:p>
    <w:p>
      <w:pPr>
        <w:ind w:firstLine="480"/>
        <w:rPr>
          <w:rFonts w:cs="Times New Roman"/>
        </w:rPr>
      </w:pPr>
      <w:r>
        <w:rPr>
          <w:rFonts w:cs="Times New Roman"/>
        </w:rPr>
        <w:t>根据《环境影响评价技术导则地下水环境》（HJ610-2016），地下水环境评价工作等级划分依据为建设项目所属的地下水环境影响评价项目类别和建设项目的地下水环境敏感程度。</w:t>
      </w:r>
    </w:p>
    <w:p>
      <w:pPr>
        <w:ind w:firstLine="480"/>
        <w:rPr>
          <w:rFonts w:cs="Times New Roman"/>
        </w:rPr>
      </w:pPr>
      <w:r>
        <w:rPr>
          <w:rFonts w:cs="Times New Roman"/>
        </w:rPr>
        <w:t>（1）建设项目所属的地下水环境影响评价项目类别</w:t>
      </w:r>
    </w:p>
    <w:p>
      <w:pPr>
        <w:ind w:firstLine="480"/>
        <w:rPr>
          <w:rFonts w:cs="Times New Roman"/>
        </w:rPr>
      </w:pPr>
      <w:r>
        <w:rPr>
          <w:rFonts w:cs="Times New Roman"/>
        </w:rPr>
        <w:t>据《环境影响评价技术导则地下水环境》（HJ610-2016）6.2.1.1条，根据附录A，本项目属于“J 非金属矿采选及制品制造”中的第67类“陶瓷制品 年产建筑陶瓷100万平方米及以上；年产卫生陶瓷150万件及以上；年产日用陶瓷250万件及以上”，为地下水环境影响评价Ⅲ类项目。</w:t>
      </w:r>
    </w:p>
    <w:p>
      <w:pPr>
        <w:ind w:firstLine="480"/>
        <w:rPr>
          <w:rFonts w:cs="Times New Roman"/>
        </w:rPr>
      </w:pPr>
      <w:r>
        <w:rPr>
          <w:rFonts w:cs="Times New Roman"/>
        </w:rPr>
        <w:t>（2）建设项目场地的地下水环境敏感程度</w:t>
      </w:r>
    </w:p>
    <w:p>
      <w:pPr>
        <w:ind w:firstLine="480"/>
        <w:rPr>
          <w:rFonts w:cs="Times New Roman"/>
        </w:rPr>
      </w:pPr>
      <w:r>
        <w:rPr>
          <w:rFonts w:cs="Times New Roman"/>
        </w:rPr>
        <w:t>根据《环境影响评价技术导则地下水环境》（HJ610-2016）6.2.1.2条，建设项目场地的地下水环境敏感程度可分为敏感、较敏感、不敏感三级（见表2.4-4）。</w:t>
      </w:r>
    </w:p>
    <w:p>
      <w:pPr>
        <w:ind w:firstLine="480"/>
        <w:rPr>
          <w:rFonts w:cs="Times New Roman"/>
        </w:rPr>
      </w:pPr>
      <w:r>
        <w:rPr>
          <w:rFonts w:cs="Times New Roman"/>
        </w:rPr>
        <w:t>项目位于</w:t>
      </w:r>
      <w:r>
        <w:rPr>
          <w:rFonts w:cs="Times New Roman"/>
          <w:bCs/>
        </w:rPr>
        <w:t>衡阳界牌陶瓷循环经济特色工业园区</w:t>
      </w:r>
      <w:r>
        <w:rPr>
          <w:rFonts w:cs="Times New Roman"/>
        </w:rPr>
        <w:t>，评价区内无集中供水地下水水源，根据收集的水文地质调查资料，结合所处位置的地下水流向，本项目下游分布有分散式水源。地下水环境敏感程度为较敏感。项目运营期不取用地下水，也无废水排放，对评价区域地下水流场或地下水水位基本无影响。</w:t>
      </w:r>
    </w:p>
    <w:p>
      <w:pPr>
        <w:spacing w:before="156" w:beforeLines="50" w:line="240" w:lineRule="auto"/>
        <w:ind w:firstLine="482"/>
        <w:jc w:val="center"/>
        <w:rPr>
          <w:rFonts w:cs="Times New Roman"/>
          <w:b/>
          <w:szCs w:val="24"/>
        </w:rPr>
      </w:pPr>
      <w:r>
        <w:rPr>
          <w:rFonts w:cs="Times New Roman"/>
          <w:b/>
          <w:szCs w:val="24"/>
        </w:rPr>
        <w:t>表2.3-5  地下水环境敏感程度分级</w:t>
      </w: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7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Align w:val="center"/>
          </w:tcPr>
          <w:p>
            <w:pPr>
              <w:spacing w:line="240" w:lineRule="auto"/>
              <w:ind w:firstLine="0" w:firstLineChars="0"/>
              <w:jc w:val="center"/>
              <w:rPr>
                <w:rFonts w:cs="Times New Roman"/>
                <w:b/>
                <w:sz w:val="21"/>
                <w:szCs w:val="21"/>
              </w:rPr>
            </w:pPr>
            <w:r>
              <w:rPr>
                <w:rFonts w:cs="Times New Roman"/>
                <w:b/>
                <w:sz w:val="21"/>
                <w:szCs w:val="21"/>
              </w:rPr>
              <w:t>分级</w:t>
            </w:r>
          </w:p>
        </w:tc>
        <w:tc>
          <w:tcPr>
            <w:tcW w:w="7144" w:type="dxa"/>
            <w:vAlign w:val="center"/>
          </w:tcPr>
          <w:p>
            <w:pPr>
              <w:spacing w:line="240" w:lineRule="auto"/>
              <w:ind w:firstLine="0" w:firstLineChars="0"/>
              <w:jc w:val="center"/>
              <w:rPr>
                <w:rFonts w:cs="Times New Roman"/>
                <w:b/>
                <w:sz w:val="21"/>
                <w:szCs w:val="21"/>
              </w:rPr>
            </w:pPr>
            <w:r>
              <w:rPr>
                <w:rFonts w:cs="Times New Roman"/>
                <w:b/>
                <w:sz w:val="21"/>
                <w:szCs w:val="21"/>
              </w:rPr>
              <w:t>项目场地的地下水环境敏感特征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Align w:val="center"/>
          </w:tcPr>
          <w:p>
            <w:pPr>
              <w:spacing w:line="240" w:lineRule="auto"/>
              <w:ind w:firstLine="0" w:firstLineChars="0"/>
              <w:jc w:val="center"/>
              <w:rPr>
                <w:rFonts w:cs="Times New Roman"/>
                <w:sz w:val="21"/>
                <w:szCs w:val="21"/>
              </w:rPr>
            </w:pPr>
            <w:r>
              <w:rPr>
                <w:rFonts w:cs="Times New Roman"/>
                <w:sz w:val="21"/>
                <w:szCs w:val="21"/>
              </w:rPr>
              <w:t>敏感</w:t>
            </w:r>
          </w:p>
        </w:tc>
        <w:tc>
          <w:tcPr>
            <w:tcW w:w="7144" w:type="dxa"/>
            <w:vAlign w:val="center"/>
          </w:tcPr>
          <w:p>
            <w:pPr>
              <w:ind w:firstLine="0" w:firstLineChars="0"/>
              <w:rPr>
                <w:rFonts w:cs="Times New Roman"/>
                <w:sz w:val="21"/>
                <w:szCs w:val="21"/>
              </w:rPr>
            </w:pPr>
            <w:r>
              <w:rPr>
                <w:rFonts w:cs="Times New Roman"/>
                <w:sz w:val="21"/>
                <w:szCs w:val="21"/>
              </w:rPr>
              <w:t>集中式饮用水水源地（包括已建成的在用、备用、应急水源地，在建和规划的水源地）准保护区；除集中式饮用水水源地以外的国家或地方政府设定的与地下水环境相关的其它保护区，如热水、矿泉水、温泉等特征地下水资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Align w:val="center"/>
          </w:tcPr>
          <w:p>
            <w:pPr>
              <w:spacing w:line="240" w:lineRule="auto"/>
              <w:ind w:firstLine="0" w:firstLineChars="0"/>
              <w:jc w:val="center"/>
              <w:rPr>
                <w:rFonts w:cs="Times New Roman"/>
                <w:sz w:val="21"/>
                <w:szCs w:val="21"/>
              </w:rPr>
            </w:pPr>
            <w:r>
              <w:rPr>
                <w:rFonts w:cs="Times New Roman"/>
                <w:sz w:val="21"/>
                <w:szCs w:val="21"/>
              </w:rPr>
              <w:t>较敏感</w:t>
            </w:r>
          </w:p>
        </w:tc>
        <w:tc>
          <w:tcPr>
            <w:tcW w:w="7144" w:type="dxa"/>
            <w:vAlign w:val="center"/>
          </w:tcPr>
          <w:p>
            <w:pPr>
              <w:ind w:firstLine="0" w:firstLineChars="0"/>
              <w:rPr>
                <w:rFonts w:cs="Times New Roman"/>
                <w:szCs w:val="21"/>
              </w:rPr>
            </w:pPr>
            <w:r>
              <w:rPr>
                <w:rFonts w:cs="Times New Roman"/>
                <w:sz w:val="21"/>
                <w:szCs w:val="21"/>
              </w:rPr>
              <w:t>集中式饮用水水源地（包括已建成的在用、备用、应急水源地，在建和规划的水源地）准保护区以外的补给径流区；未划定准保护区的集中水式饮用水水源，其保护区以外的补给径流区；分散式饮用水水源地；特殊地下水资源（如矿泉水、温泉等）保护区以外的补给径流区；特殊地下水资源（如矿泉水、温泉等）保护区以外的分布区等其它未列入上述敏感分级的环境敏感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Align w:val="center"/>
          </w:tcPr>
          <w:p>
            <w:pPr>
              <w:spacing w:line="240" w:lineRule="auto"/>
              <w:ind w:firstLine="0" w:firstLineChars="0"/>
              <w:jc w:val="center"/>
              <w:rPr>
                <w:rFonts w:cs="Times New Roman"/>
                <w:sz w:val="21"/>
                <w:szCs w:val="21"/>
              </w:rPr>
            </w:pPr>
            <w:r>
              <w:rPr>
                <w:rFonts w:cs="Times New Roman"/>
                <w:sz w:val="21"/>
                <w:szCs w:val="21"/>
              </w:rPr>
              <w:t>不敏感</w:t>
            </w:r>
          </w:p>
        </w:tc>
        <w:tc>
          <w:tcPr>
            <w:tcW w:w="7144" w:type="dxa"/>
            <w:vAlign w:val="center"/>
          </w:tcPr>
          <w:p>
            <w:pPr>
              <w:spacing w:line="240" w:lineRule="auto"/>
              <w:ind w:firstLine="0" w:firstLineChars="0"/>
              <w:rPr>
                <w:rFonts w:cs="Times New Roman"/>
                <w:sz w:val="21"/>
                <w:szCs w:val="21"/>
              </w:rPr>
            </w:pPr>
            <w:r>
              <w:rPr>
                <w:rFonts w:cs="Times New Roman"/>
                <w:sz w:val="21"/>
                <w:szCs w:val="21"/>
              </w:rPr>
              <w:t>上述地区之外的其它地区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8" w:type="dxa"/>
            <w:gridSpan w:val="2"/>
            <w:vAlign w:val="center"/>
          </w:tcPr>
          <w:p>
            <w:pPr>
              <w:spacing w:line="240" w:lineRule="auto"/>
              <w:ind w:firstLine="0" w:firstLineChars="0"/>
              <w:rPr>
                <w:rFonts w:cs="Times New Roman"/>
                <w:sz w:val="21"/>
                <w:szCs w:val="21"/>
              </w:rPr>
            </w:pPr>
            <w:r>
              <w:rPr>
                <w:rFonts w:cs="Times New Roman"/>
                <w:sz w:val="21"/>
                <w:szCs w:val="21"/>
              </w:rPr>
              <w:t>a“环境敏感区”是指《建设项目环境影响评价分类管理名录》中所界定的涉及地下水的环境敏感区。</w:t>
            </w:r>
          </w:p>
        </w:tc>
      </w:tr>
    </w:tbl>
    <w:p>
      <w:pPr>
        <w:ind w:firstLine="480"/>
        <w:rPr>
          <w:rFonts w:cs="Times New Roman"/>
        </w:rPr>
      </w:pPr>
      <w:r>
        <w:rPr>
          <w:rFonts w:cs="Times New Roman"/>
        </w:rPr>
        <w:t>（3）建设项目评价工作等级分级</w:t>
      </w:r>
    </w:p>
    <w:p>
      <w:pPr>
        <w:ind w:firstLine="480"/>
        <w:rPr>
          <w:rFonts w:cs="Times New Roman"/>
        </w:rPr>
      </w:pPr>
      <w:r>
        <w:rPr>
          <w:rFonts w:cs="Times New Roman"/>
        </w:rPr>
        <w:t>综上所述，根据《环境影响评价技术导则地下水环境》（HJ610-2016），本建设项目地下水环境影响评价工作等级为三级，见表2.3-6。</w:t>
      </w:r>
    </w:p>
    <w:p>
      <w:pPr>
        <w:pStyle w:val="43"/>
        <w:spacing w:before="156" w:beforeLines="50"/>
        <w:ind w:firstLine="241"/>
        <w:jc w:val="center"/>
        <w:rPr>
          <w:rFonts w:ascii="Times New Roman" w:hAnsi="Times New Roman"/>
          <w:b/>
          <w:bCs/>
          <w:sz w:val="24"/>
          <w:szCs w:val="32"/>
        </w:rPr>
      </w:pPr>
      <w:r>
        <w:rPr>
          <w:rFonts w:ascii="Times New Roman" w:hAnsi="Times New Roman"/>
          <w:b/>
          <w:bCs/>
          <w:sz w:val="24"/>
          <w:szCs w:val="32"/>
        </w:rPr>
        <w:t>表2.3-6  地下水环境评价工作等级分级表</w:t>
      </w:r>
    </w:p>
    <w:tbl>
      <w:tblPr>
        <w:tblStyle w:val="45"/>
        <w:tblW w:w="852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32"/>
        <w:gridCol w:w="2132"/>
        <w:gridCol w:w="2132"/>
        <w:gridCol w:w="21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2" w:type="dxa"/>
            <w:tcBorders>
              <w:top w:val="single" w:color="auto" w:sz="4" w:space="0"/>
              <w:left w:val="single" w:color="auto" w:sz="4" w:space="0"/>
              <w:bottom w:val="single" w:color="auto" w:sz="4" w:space="0"/>
              <w:tl2br w:val="single" w:color="auto" w:sz="2" w:space="0"/>
            </w:tcBorders>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 xml:space="preserve">        项目类别</w:t>
            </w:r>
          </w:p>
          <w:p>
            <w:pPr>
              <w:adjustRightInd w:val="0"/>
              <w:snapToGrid w:val="0"/>
              <w:spacing w:line="240" w:lineRule="auto"/>
              <w:ind w:firstLine="0" w:firstLineChars="0"/>
              <w:rPr>
                <w:rFonts w:cs="Times New Roman"/>
                <w:b/>
                <w:sz w:val="21"/>
                <w:szCs w:val="21"/>
              </w:rPr>
            </w:pPr>
            <w:r>
              <w:rPr>
                <w:rFonts w:cs="Times New Roman"/>
                <w:b/>
                <w:sz w:val="21"/>
                <w:szCs w:val="21"/>
              </w:rPr>
              <w:t>环境敏感程度</w:t>
            </w:r>
          </w:p>
        </w:tc>
        <w:tc>
          <w:tcPr>
            <w:tcW w:w="2132"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Ⅰ类项目</w:t>
            </w:r>
          </w:p>
        </w:tc>
        <w:tc>
          <w:tcPr>
            <w:tcW w:w="2132"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Ⅱ类项目</w:t>
            </w:r>
          </w:p>
        </w:tc>
        <w:tc>
          <w:tcPr>
            <w:tcW w:w="2132" w:type="dxa"/>
            <w:tcBorders>
              <w:top w:val="single" w:color="auto" w:sz="4" w:space="0"/>
              <w:bottom w:val="single" w:color="auto" w:sz="4" w:space="0"/>
              <w:right w:val="single" w:color="auto" w:sz="4" w:space="0"/>
              <w:tl2br w:val="nil"/>
              <w:tr2bl w:val="nil"/>
            </w:tcBorders>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Ⅲ类项目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2" w:type="dxa"/>
            <w:tcBorders>
              <w:top w:val="single" w:color="auto" w:sz="4" w:space="0"/>
              <w:left w:val="single" w:color="auto" w:sz="4" w:space="0"/>
              <w:bottom w:val="single" w:color="auto" w:sz="4" w:space="0"/>
              <w:tl2br w:val="nil"/>
              <w:tr2bl w:val="nil"/>
            </w:tcBorders>
            <w:vAlign w:val="center"/>
          </w:tcPr>
          <w:p>
            <w:pPr>
              <w:spacing w:line="240" w:lineRule="auto"/>
              <w:ind w:firstLine="420"/>
              <w:jc w:val="center"/>
              <w:rPr>
                <w:rFonts w:cs="Times New Roman"/>
                <w:snapToGrid w:val="0"/>
                <w:sz w:val="21"/>
                <w:szCs w:val="21"/>
              </w:rPr>
            </w:pPr>
            <w:r>
              <w:rPr>
                <w:rFonts w:cs="Times New Roman"/>
                <w:snapToGrid w:val="0"/>
                <w:sz w:val="21"/>
                <w:szCs w:val="21"/>
              </w:rPr>
              <w:t>敏感</w:t>
            </w:r>
          </w:p>
        </w:tc>
        <w:tc>
          <w:tcPr>
            <w:tcW w:w="2132" w:type="dxa"/>
            <w:tcBorders>
              <w:top w:val="single" w:color="auto" w:sz="4" w:space="0"/>
              <w:bottom w:val="single" w:color="auto" w:sz="4" w:space="0"/>
              <w:tl2br w:val="nil"/>
              <w:tr2bl w:val="nil"/>
            </w:tcBorders>
            <w:vAlign w:val="center"/>
          </w:tcPr>
          <w:p>
            <w:pPr>
              <w:spacing w:line="240" w:lineRule="auto"/>
              <w:ind w:firstLine="420"/>
              <w:jc w:val="center"/>
              <w:rPr>
                <w:rFonts w:cs="Times New Roman"/>
                <w:snapToGrid w:val="0"/>
                <w:sz w:val="21"/>
                <w:szCs w:val="21"/>
              </w:rPr>
            </w:pPr>
            <w:r>
              <w:rPr>
                <w:rFonts w:cs="Times New Roman"/>
                <w:snapToGrid w:val="0"/>
                <w:sz w:val="21"/>
                <w:szCs w:val="21"/>
              </w:rPr>
              <w:t>一</w:t>
            </w:r>
          </w:p>
        </w:tc>
        <w:tc>
          <w:tcPr>
            <w:tcW w:w="2132" w:type="dxa"/>
            <w:tcBorders>
              <w:top w:val="single" w:color="auto" w:sz="4" w:space="0"/>
              <w:bottom w:val="single" w:color="auto" w:sz="4" w:space="0"/>
              <w:tl2br w:val="nil"/>
              <w:tr2bl w:val="nil"/>
            </w:tcBorders>
            <w:vAlign w:val="center"/>
          </w:tcPr>
          <w:p>
            <w:pPr>
              <w:spacing w:line="240" w:lineRule="auto"/>
              <w:ind w:firstLine="420"/>
              <w:jc w:val="center"/>
              <w:rPr>
                <w:rFonts w:cs="Times New Roman"/>
                <w:snapToGrid w:val="0"/>
                <w:sz w:val="21"/>
                <w:szCs w:val="21"/>
              </w:rPr>
            </w:pPr>
            <w:r>
              <w:rPr>
                <w:rFonts w:cs="Times New Roman"/>
                <w:snapToGrid w:val="0"/>
                <w:sz w:val="21"/>
                <w:szCs w:val="21"/>
              </w:rPr>
              <w:t>一</w:t>
            </w:r>
          </w:p>
        </w:tc>
        <w:tc>
          <w:tcPr>
            <w:tcW w:w="2132" w:type="dxa"/>
            <w:tcBorders>
              <w:top w:val="single" w:color="auto" w:sz="4" w:space="0"/>
              <w:bottom w:val="single" w:color="auto" w:sz="4" w:space="0"/>
              <w:right w:val="single" w:color="auto" w:sz="4" w:space="0"/>
              <w:tl2br w:val="nil"/>
              <w:tr2bl w:val="nil"/>
            </w:tcBorders>
            <w:vAlign w:val="center"/>
          </w:tcPr>
          <w:p>
            <w:pPr>
              <w:spacing w:line="240" w:lineRule="auto"/>
              <w:ind w:firstLine="420"/>
              <w:jc w:val="center"/>
              <w:rPr>
                <w:rFonts w:cs="Times New Roman"/>
                <w:snapToGrid w:val="0"/>
                <w:sz w:val="21"/>
                <w:szCs w:val="21"/>
              </w:rPr>
            </w:pPr>
            <w:r>
              <w:rPr>
                <w:rFonts w:cs="Times New Roman"/>
                <w:snapToGrid w:val="0"/>
                <w:sz w:val="21"/>
                <w:szCs w:val="21"/>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2" w:type="dxa"/>
            <w:tcBorders>
              <w:top w:val="single" w:color="auto" w:sz="4" w:space="0"/>
              <w:left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较敏感</w:t>
            </w:r>
          </w:p>
        </w:tc>
        <w:tc>
          <w:tcPr>
            <w:tcW w:w="2132"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一</w:t>
            </w:r>
          </w:p>
        </w:tc>
        <w:tc>
          <w:tcPr>
            <w:tcW w:w="2132"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二</w:t>
            </w:r>
          </w:p>
        </w:tc>
        <w:tc>
          <w:tcPr>
            <w:tcW w:w="2132" w:type="dxa"/>
            <w:tcBorders>
              <w:top w:val="single" w:color="auto" w:sz="4" w:space="0"/>
              <w:bottom w:val="single" w:color="auto" w:sz="4" w:space="0"/>
              <w:right w:val="single" w:color="auto" w:sz="4" w:space="0"/>
              <w:tl2br w:val="nil"/>
              <w:tr2bl w:val="nil"/>
            </w:tcBorders>
            <w:shd w:val="clear" w:color="auto" w:fill="D9D9D9"/>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2" w:type="dxa"/>
            <w:tcBorders>
              <w:top w:val="single" w:color="auto" w:sz="4" w:space="0"/>
              <w:left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不敏感</w:t>
            </w:r>
          </w:p>
        </w:tc>
        <w:tc>
          <w:tcPr>
            <w:tcW w:w="2132"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二</w:t>
            </w:r>
          </w:p>
        </w:tc>
        <w:tc>
          <w:tcPr>
            <w:tcW w:w="2132"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三</w:t>
            </w:r>
          </w:p>
        </w:tc>
        <w:tc>
          <w:tcPr>
            <w:tcW w:w="2132" w:type="dxa"/>
            <w:tcBorders>
              <w:top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240" w:lineRule="auto"/>
              <w:ind w:firstLine="0" w:firstLineChars="0"/>
              <w:jc w:val="center"/>
              <w:rPr>
                <w:rFonts w:cs="Times New Roman"/>
                <w:sz w:val="21"/>
                <w:szCs w:val="21"/>
              </w:rPr>
            </w:pPr>
            <w:r>
              <w:rPr>
                <w:rFonts w:cs="Times New Roman"/>
                <w:b/>
                <w:sz w:val="21"/>
                <w:szCs w:val="21"/>
              </w:rPr>
              <w:t>三</w:t>
            </w:r>
          </w:p>
        </w:tc>
      </w:tr>
    </w:tbl>
    <w:p>
      <w:pPr>
        <w:pStyle w:val="4"/>
        <w:adjustRightInd w:val="0"/>
        <w:snapToGrid w:val="0"/>
        <w:jc w:val="left"/>
        <w:rPr>
          <w:rFonts w:cs="Times New Roman"/>
          <w:szCs w:val="24"/>
        </w:rPr>
      </w:pPr>
      <w:bookmarkStart w:id="56" w:name="_Toc86611237"/>
      <w:r>
        <w:rPr>
          <w:rFonts w:cs="Times New Roman"/>
          <w:szCs w:val="24"/>
        </w:rPr>
        <w:t>2.3.4 声环境影响评价等级</w:t>
      </w:r>
      <w:bookmarkEnd w:id="56"/>
    </w:p>
    <w:p>
      <w:pPr>
        <w:ind w:firstLine="480"/>
        <w:rPr>
          <w:rFonts w:cs="Times New Roman"/>
        </w:rPr>
      </w:pPr>
      <w:r>
        <w:rPr>
          <w:rFonts w:cs="Times New Roman"/>
        </w:rPr>
        <w:t>根据《环境影响评价技术导则声环境》（HJ2.4-2009）规定，从建设项目所在区域的声环境功能类别、建设项目建设前后所在区域的声环境质量变化程度、受建设项目影响人口数量来划分工作等级。</w:t>
      </w:r>
    </w:p>
    <w:p>
      <w:pPr>
        <w:ind w:firstLine="480"/>
        <w:rPr>
          <w:rFonts w:cs="Times New Roman"/>
        </w:rPr>
      </w:pPr>
      <w:r>
        <w:rPr>
          <w:rFonts w:cs="Times New Roman"/>
        </w:rPr>
        <w:t>项目所在功能区适用《声环境质量标准》（GB3096-2008）规定的3类标准地区，项目建设前后评价范围内敏感目标噪声级增加量在3</w:t>
      </w:r>
      <w:r>
        <w:rPr>
          <w:rFonts w:cs="Times New Roman"/>
          <w:lang w:val="zh-CN"/>
        </w:rPr>
        <w:t>dB（A）以下，且受影响人口数量变化不显著。依据《环境影响评价技术导则声环境》（HJ2.4-2009），确定</w:t>
      </w:r>
      <w:r>
        <w:rPr>
          <w:rFonts w:cs="Times New Roman"/>
        </w:rPr>
        <w:t>本项目声环境影响评价工作等级为三级。</w:t>
      </w:r>
    </w:p>
    <w:p>
      <w:pPr>
        <w:ind w:firstLine="480"/>
        <w:rPr>
          <w:rFonts w:cs="Times New Roman"/>
        </w:rPr>
      </w:pPr>
      <w:r>
        <w:rPr>
          <w:rFonts w:cs="Times New Roman"/>
        </w:rPr>
        <w:t>建设项目声环境影响评价工作等级划分见表2.3-7。</w:t>
      </w:r>
    </w:p>
    <w:p>
      <w:pPr>
        <w:pStyle w:val="43"/>
        <w:spacing w:before="156" w:beforeLines="50"/>
        <w:ind w:firstLine="241"/>
        <w:jc w:val="center"/>
        <w:rPr>
          <w:rFonts w:ascii="Times New Roman" w:hAnsi="Times New Roman"/>
          <w:b/>
          <w:bCs/>
          <w:sz w:val="24"/>
          <w:szCs w:val="32"/>
        </w:rPr>
      </w:pPr>
      <w:r>
        <w:rPr>
          <w:rFonts w:ascii="Times New Roman" w:hAnsi="Times New Roman"/>
          <w:b/>
          <w:bCs/>
          <w:sz w:val="24"/>
          <w:szCs w:val="32"/>
        </w:rPr>
        <w:t>表2.3-7  声影响评价等级划分表</w:t>
      </w:r>
    </w:p>
    <w:tbl>
      <w:tblPr>
        <w:tblStyle w:val="45"/>
        <w:tblW w:w="852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10"/>
        <w:gridCol w:w="1417"/>
        <w:gridCol w:w="1559"/>
        <w:gridCol w:w="1276"/>
        <w:gridCol w:w="1559"/>
        <w:gridCol w:w="9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0" w:type="dxa"/>
            <w:tcBorders>
              <w:top w:val="single" w:color="auto" w:sz="4" w:space="0"/>
              <w:left w:val="single" w:color="auto" w:sz="4" w:space="0"/>
              <w:bottom w:val="single" w:color="auto" w:sz="4" w:space="0"/>
              <w:tl2br w:val="single" w:color="auto" w:sz="2" w:space="0"/>
            </w:tcBorders>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 xml:space="preserve">      项目类</w:t>
            </w:r>
          </w:p>
          <w:p>
            <w:pPr>
              <w:adjustRightInd w:val="0"/>
              <w:snapToGrid w:val="0"/>
              <w:spacing w:line="240" w:lineRule="auto"/>
              <w:ind w:firstLine="0" w:firstLineChars="0"/>
              <w:rPr>
                <w:rFonts w:cs="Times New Roman"/>
                <w:b/>
                <w:sz w:val="21"/>
                <w:szCs w:val="21"/>
              </w:rPr>
            </w:pPr>
            <w:r>
              <w:rPr>
                <w:rFonts w:cs="Times New Roman"/>
                <w:b/>
                <w:sz w:val="21"/>
                <w:szCs w:val="21"/>
              </w:rPr>
              <w:t>环境敏感程度</w:t>
            </w:r>
          </w:p>
        </w:tc>
        <w:tc>
          <w:tcPr>
            <w:tcW w:w="1417"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项目参数</w:t>
            </w:r>
          </w:p>
        </w:tc>
        <w:tc>
          <w:tcPr>
            <w:tcW w:w="1559"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一级</w:t>
            </w:r>
          </w:p>
        </w:tc>
        <w:tc>
          <w:tcPr>
            <w:tcW w:w="1276"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二级</w:t>
            </w:r>
          </w:p>
        </w:tc>
        <w:tc>
          <w:tcPr>
            <w:tcW w:w="1559"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三级</w:t>
            </w:r>
          </w:p>
        </w:tc>
        <w:tc>
          <w:tcPr>
            <w:tcW w:w="907" w:type="dxa"/>
            <w:tcBorders>
              <w:top w:val="single" w:color="auto" w:sz="4" w:space="0"/>
              <w:bottom w:val="single" w:color="auto" w:sz="4" w:space="0"/>
              <w:right w:val="single" w:color="auto" w:sz="4" w:space="0"/>
              <w:tl2br w:val="nil"/>
              <w:tr2bl w:val="nil"/>
            </w:tcBorders>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综合判定结果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0" w:type="dxa"/>
            <w:tcBorders>
              <w:top w:val="single" w:color="auto" w:sz="4" w:space="0"/>
              <w:left w:val="single" w:color="auto" w:sz="4" w:space="0"/>
              <w:bottom w:val="single" w:color="auto" w:sz="4" w:space="0"/>
              <w:tl2br w:val="nil"/>
              <w:tr2bl w:val="nil"/>
            </w:tcBorders>
            <w:vAlign w:val="center"/>
          </w:tcPr>
          <w:p>
            <w:pPr>
              <w:spacing w:line="240" w:lineRule="auto"/>
              <w:ind w:firstLine="420"/>
              <w:jc w:val="center"/>
              <w:rPr>
                <w:rFonts w:cs="Times New Roman"/>
                <w:snapToGrid w:val="0"/>
                <w:sz w:val="21"/>
                <w:szCs w:val="21"/>
              </w:rPr>
            </w:pPr>
            <w:r>
              <w:rPr>
                <w:rFonts w:cs="Times New Roman"/>
                <w:snapToGrid w:val="0"/>
                <w:sz w:val="21"/>
                <w:szCs w:val="21"/>
              </w:rPr>
              <w:t>环境功能区划</w:t>
            </w:r>
          </w:p>
        </w:tc>
        <w:tc>
          <w:tcPr>
            <w:tcW w:w="1417" w:type="dxa"/>
            <w:tcBorders>
              <w:top w:val="single" w:color="auto" w:sz="4" w:space="0"/>
              <w:bottom w:val="single" w:color="auto" w:sz="4" w:space="0"/>
              <w:tl2br w:val="nil"/>
              <w:tr2bl w:val="nil"/>
            </w:tcBorders>
            <w:vAlign w:val="center"/>
          </w:tcPr>
          <w:p>
            <w:pPr>
              <w:spacing w:line="240" w:lineRule="auto"/>
              <w:ind w:firstLine="420"/>
              <w:jc w:val="center"/>
              <w:rPr>
                <w:rFonts w:cs="Times New Roman"/>
                <w:snapToGrid w:val="0"/>
                <w:sz w:val="21"/>
                <w:szCs w:val="21"/>
              </w:rPr>
            </w:pPr>
            <w:r>
              <w:rPr>
                <w:rFonts w:cs="Times New Roman"/>
                <w:snapToGrid w:val="0"/>
                <w:sz w:val="21"/>
                <w:szCs w:val="21"/>
              </w:rPr>
              <w:t>2类</w:t>
            </w:r>
          </w:p>
        </w:tc>
        <w:tc>
          <w:tcPr>
            <w:tcW w:w="1559" w:type="dxa"/>
            <w:tcBorders>
              <w:top w:val="single" w:color="auto" w:sz="4" w:space="0"/>
              <w:bottom w:val="single" w:color="auto" w:sz="4" w:space="0"/>
              <w:tl2br w:val="nil"/>
              <w:tr2bl w:val="nil"/>
            </w:tcBorders>
            <w:vAlign w:val="center"/>
          </w:tcPr>
          <w:p>
            <w:pPr>
              <w:spacing w:line="240" w:lineRule="auto"/>
              <w:ind w:firstLine="420"/>
              <w:jc w:val="center"/>
              <w:rPr>
                <w:rFonts w:cs="Times New Roman"/>
                <w:snapToGrid w:val="0"/>
                <w:sz w:val="21"/>
                <w:szCs w:val="21"/>
              </w:rPr>
            </w:pPr>
            <w:r>
              <w:rPr>
                <w:rFonts w:cs="Times New Roman"/>
                <w:snapToGrid w:val="0"/>
                <w:sz w:val="21"/>
                <w:szCs w:val="21"/>
              </w:rPr>
              <w:t>0类</w:t>
            </w:r>
          </w:p>
        </w:tc>
        <w:tc>
          <w:tcPr>
            <w:tcW w:w="1276"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1，2类</w:t>
            </w:r>
          </w:p>
        </w:tc>
        <w:tc>
          <w:tcPr>
            <w:tcW w:w="1559"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3，4类</w:t>
            </w:r>
          </w:p>
        </w:tc>
        <w:tc>
          <w:tcPr>
            <w:tcW w:w="907" w:type="dxa"/>
            <w:vMerge w:val="restart"/>
            <w:tcBorders>
              <w:top w:val="single" w:color="auto" w:sz="4" w:space="0"/>
              <w:bottom w:val="single" w:color="auto" w:sz="4" w:space="0"/>
              <w:right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0" w:type="dxa"/>
            <w:tcBorders>
              <w:top w:val="single" w:color="auto" w:sz="4" w:space="0"/>
              <w:left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噪声增量</w:t>
            </w:r>
          </w:p>
        </w:tc>
        <w:tc>
          <w:tcPr>
            <w:tcW w:w="1417"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小于3</w:t>
            </w:r>
            <w:r>
              <w:rPr>
                <w:rFonts w:cs="Times New Roman"/>
                <w:sz w:val="21"/>
                <w:szCs w:val="21"/>
                <w:lang w:val="zh-CN"/>
              </w:rPr>
              <w:t>dB（A）</w:t>
            </w:r>
          </w:p>
        </w:tc>
        <w:tc>
          <w:tcPr>
            <w:tcW w:w="1559"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大于5</w:t>
            </w:r>
            <w:r>
              <w:rPr>
                <w:rFonts w:cs="Times New Roman"/>
                <w:sz w:val="21"/>
                <w:szCs w:val="21"/>
                <w:lang w:val="zh-CN"/>
              </w:rPr>
              <w:t>dB（A）</w:t>
            </w:r>
          </w:p>
        </w:tc>
        <w:tc>
          <w:tcPr>
            <w:tcW w:w="1276" w:type="dxa"/>
            <w:tcBorders>
              <w:top w:val="single" w:color="auto" w:sz="4" w:space="0"/>
              <w:bottom w:val="single" w:color="auto" w:sz="4" w:space="0"/>
              <w:tl2br w:val="nil"/>
              <w:tr2bl w:val="nil"/>
            </w:tcBorders>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3~5</w:t>
            </w:r>
            <w:r>
              <w:rPr>
                <w:rFonts w:cs="Times New Roman"/>
                <w:sz w:val="21"/>
                <w:szCs w:val="21"/>
                <w:lang w:val="zh-CN"/>
              </w:rPr>
              <w:t>dB（A）</w:t>
            </w:r>
          </w:p>
        </w:tc>
        <w:tc>
          <w:tcPr>
            <w:tcW w:w="1559"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小于3</w:t>
            </w:r>
            <w:r>
              <w:rPr>
                <w:rFonts w:cs="Times New Roman"/>
                <w:sz w:val="21"/>
                <w:szCs w:val="21"/>
                <w:lang w:val="zh-CN"/>
              </w:rPr>
              <w:t>dB（A）</w:t>
            </w:r>
          </w:p>
        </w:tc>
        <w:tc>
          <w:tcPr>
            <w:tcW w:w="907" w:type="dxa"/>
            <w:vMerge w:val="continue"/>
            <w:tcBorders>
              <w:top w:val="single" w:color="auto" w:sz="4" w:space="0"/>
              <w:bottom w:val="single" w:color="auto" w:sz="4" w:space="0"/>
              <w:right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0" w:type="dxa"/>
            <w:tcBorders>
              <w:top w:val="single" w:color="auto" w:sz="4" w:space="0"/>
              <w:left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受影响人口数量</w:t>
            </w:r>
          </w:p>
        </w:tc>
        <w:tc>
          <w:tcPr>
            <w:tcW w:w="1417"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变化不大</w:t>
            </w:r>
          </w:p>
        </w:tc>
        <w:tc>
          <w:tcPr>
            <w:tcW w:w="1559"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显著增加</w:t>
            </w:r>
          </w:p>
        </w:tc>
        <w:tc>
          <w:tcPr>
            <w:tcW w:w="1276" w:type="dxa"/>
            <w:tcBorders>
              <w:top w:val="single" w:color="auto" w:sz="4" w:space="0"/>
              <w:bottom w:val="single" w:color="auto" w:sz="4" w:space="0"/>
              <w:tl2br w:val="nil"/>
              <w:tr2bl w:val="nil"/>
            </w:tcBorders>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增加较多</w:t>
            </w:r>
          </w:p>
        </w:tc>
        <w:tc>
          <w:tcPr>
            <w:tcW w:w="1559" w:type="dxa"/>
            <w:tcBorders>
              <w:top w:val="single" w:color="auto" w:sz="4" w:space="0"/>
              <w:bottom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变化不大</w:t>
            </w:r>
          </w:p>
        </w:tc>
        <w:tc>
          <w:tcPr>
            <w:tcW w:w="907" w:type="dxa"/>
            <w:vMerge w:val="continue"/>
            <w:tcBorders>
              <w:top w:val="single" w:color="auto" w:sz="4" w:space="0"/>
              <w:bottom w:val="single" w:color="auto" w:sz="4" w:space="0"/>
              <w:right w:val="single" w:color="auto" w:sz="4" w:space="0"/>
              <w:tl2br w:val="nil"/>
              <w:tr2bl w:val="nil"/>
            </w:tcBorders>
            <w:vAlign w:val="center"/>
          </w:tcPr>
          <w:p>
            <w:pPr>
              <w:adjustRightInd w:val="0"/>
              <w:snapToGrid w:val="0"/>
              <w:spacing w:line="240" w:lineRule="auto"/>
              <w:ind w:firstLine="0" w:firstLineChars="0"/>
              <w:jc w:val="center"/>
              <w:rPr>
                <w:rFonts w:cs="Times New Roman"/>
                <w:sz w:val="21"/>
                <w:szCs w:val="21"/>
              </w:rPr>
            </w:pPr>
          </w:p>
        </w:tc>
      </w:tr>
    </w:tbl>
    <w:p>
      <w:pPr>
        <w:pStyle w:val="4"/>
        <w:adjustRightInd w:val="0"/>
        <w:snapToGrid w:val="0"/>
        <w:jc w:val="left"/>
        <w:rPr>
          <w:rFonts w:cs="Times New Roman"/>
          <w:szCs w:val="24"/>
        </w:rPr>
      </w:pPr>
      <w:bookmarkStart w:id="57" w:name="_Toc86611238"/>
      <w:r>
        <w:rPr>
          <w:rFonts w:cs="Times New Roman"/>
          <w:szCs w:val="24"/>
        </w:rPr>
        <w:t>2.3.5 生态环境影响评价等级</w:t>
      </w:r>
      <w:bookmarkEnd w:id="57"/>
    </w:p>
    <w:p>
      <w:pPr>
        <w:ind w:firstLine="480"/>
        <w:rPr>
          <w:rFonts w:cs="Times New Roman"/>
        </w:rPr>
      </w:pPr>
      <w:r>
        <w:rPr>
          <w:rFonts w:cs="Times New Roman"/>
        </w:rPr>
        <w:t>根据《环境影响评价技术导则生态影响》（HJ19-2011）规定，生态影响评价工作等级依据影响区域的生态敏感性和项目的工程占地范围确定。</w:t>
      </w:r>
    </w:p>
    <w:p>
      <w:pPr>
        <w:ind w:firstLine="480"/>
        <w:rPr>
          <w:rFonts w:cs="Times New Roman"/>
        </w:rPr>
      </w:pPr>
      <w:r>
        <w:rPr>
          <w:rFonts w:cs="Times New Roman"/>
        </w:rPr>
        <w:t>本项目所在区域不属于特殊生态敏感区和重要生态敏感区，生态敏感性属一般区域。项目占地面积1093333.33m</w:t>
      </w:r>
      <w:r>
        <w:rPr>
          <w:rFonts w:cs="Times New Roman"/>
          <w:vertAlign w:val="superscript"/>
        </w:rPr>
        <w:t>2</w:t>
      </w:r>
      <w:r>
        <w:rPr>
          <w:rFonts w:cs="Times New Roman"/>
        </w:rPr>
        <w:t>（合1.09km</w:t>
      </w:r>
      <w:r>
        <w:rPr>
          <w:rFonts w:cs="Times New Roman"/>
          <w:vertAlign w:val="superscript"/>
        </w:rPr>
        <w:t>2</w:t>
      </w:r>
      <w:r>
        <w:rPr>
          <w:rFonts w:cs="Times New Roman"/>
        </w:rPr>
        <w:t>）小于2km</w:t>
      </w:r>
      <w:r>
        <w:rPr>
          <w:rFonts w:cs="Times New Roman"/>
          <w:vertAlign w:val="superscript"/>
        </w:rPr>
        <w:t>2</w:t>
      </w:r>
      <w:r>
        <w:rPr>
          <w:rFonts w:cs="Times New Roman"/>
        </w:rPr>
        <w:t>，根据《环境影响评价技术导则生态影响》（HJ19-2011）判定，本项目生态影响评价工作等级为三级。</w:t>
      </w:r>
    </w:p>
    <w:p>
      <w:pPr>
        <w:ind w:firstLine="480"/>
        <w:rPr>
          <w:rFonts w:cs="Times New Roman"/>
        </w:rPr>
      </w:pPr>
      <w:r>
        <w:rPr>
          <w:rFonts w:cs="Times New Roman"/>
        </w:rPr>
        <w:t>其评价等级划分情况详见表2.3-8。</w:t>
      </w:r>
    </w:p>
    <w:p>
      <w:pPr>
        <w:pStyle w:val="43"/>
        <w:spacing w:before="156" w:beforeLines="50"/>
        <w:ind w:firstLine="241"/>
        <w:jc w:val="center"/>
        <w:rPr>
          <w:rFonts w:ascii="Times New Roman" w:hAnsi="Times New Roman"/>
          <w:b/>
          <w:bCs/>
          <w:sz w:val="24"/>
          <w:szCs w:val="32"/>
        </w:rPr>
      </w:pPr>
      <w:r>
        <w:rPr>
          <w:rFonts w:ascii="Times New Roman" w:hAnsi="Times New Roman"/>
          <w:b/>
          <w:bCs/>
          <w:sz w:val="24"/>
          <w:szCs w:val="32"/>
        </w:rPr>
        <w:t>表2.3-8  生态影响评价等级划分表</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2562"/>
        <w:gridCol w:w="2115"/>
        <w:gridCol w:w="2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vMerge w:val="restart"/>
            <w:vAlign w:val="center"/>
          </w:tcPr>
          <w:p>
            <w:pPr>
              <w:spacing w:line="240" w:lineRule="auto"/>
              <w:ind w:firstLine="0" w:firstLineChars="0"/>
              <w:jc w:val="center"/>
              <w:rPr>
                <w:rFonts w:cs="Times New Roman"/>
                <w:b/>
                <w:sz w:val="21"/>
                <w:szCs w:val="21"/>
              </w:rPr>
            </w:pPr>
            <w:r>
              <w:rPr>
                <w:rFonts w:cs="Times New Roman"/>
                <w:b/>
                <w:sz w:val="21"/>
                <w:szCs w:val="21"/>
              </w:rPr>
              <w:t>影响区域生态敏感性</w:t>
            </w:r>
          </w:p>
        </w:tc>
        <w:tc>
          <w:tcPr>
            <w:tcW w:w="6860" w:type="dxa"/>
            <w:gridSpan w:val="3"/>
            <w:vAlign w:val="center"/>
          </w:tcPr>
          <w:p>
            <w:pPr>
              <w:spacing w:line="240" w:lineRule="auto"/>
              <w:ind w:firstLine="0" w:firstLineChars="0"/>
              <w:jc w:val="center"/>
              <w:rPr>
                <w:rFonts w:cs="Times New Roman"/>
                <w:b/>
                <w:sz w:val="21"/>
                <w:szCs w:val="21"/>
              </w:rPr>
            </w:pPr>
            <w:r>
              <w:rPr>
                <w:rFonts w:cs="Times New Roman"/>
                <w:b/>
                <w:sz w:val="21"/>
                <w:szCs w:val="21"/>
              </w:rPr>
              <w:t>工程占地（水域）范围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vMerge w:val="continue"/>
            <w:vAlign w:val="center"/>
          </w:tcPr>
          <w:p>
            <w:pPr>
              <w:spacing w:line="240" w:lineRule="auto"/>
              <w:ind w:firstLine="0" w:firstLineChars="0"/>
              <w:jc w:val="center"/>
              <w:rPr>
                <w:rFonts w:cs="Times New Roman"/>
                <w:b/>
                <w:sz w:val="21"/>
                <w:szCs w:val="21"/>
              </w:rPr>
            </w:pPr>
          </w:p>
        </w:tc>
        <w:tc>
          <w:tcPr>
            <w:tcW w:w="2562" w:type="dxa"/>
            <w:vAlign w:val="center"/>
          </w:tcPr>
          <w:p>
            <w:pPr>
              <w:spacing w:line="240" w:lineRule="auto"/>
              <w:ind w:firstLine="0" w:firstLineChars="0"/>
              <w:jc w:val="center"/>
              <w:rPr>
                <w:rFonts w:cs="Times New Roman"/>
                <w:b/>
                <w:sz w:val="21"/>
                <w:szCs w:val="21"/>
              </w:rPr>
            </w:pPr>
            <w:r>
              <w:rPr>
                <w:rFonts w:cs="Times New Roman"/>
                <w:b/>
                <w:sz w:val="21"/>
                <w:szCs w:val="21"/>
              </w:rPr>
              <w:t>面积≥20km</w:t>
            </w:r>
            <w:r>
              <w:rPr>
                <w:rFonts w:cs="Times New Roman"/>
                <w:b/>
                <w:sz w:val="21"/>
                <w:szCs w:val="21"/>
                <w:vertAlign w:val="superscript"/>
              </w:rPr>
              <w:t>2</w:t>
            </w:r>
            <w:r>
              <w:rPr>
                <w:rFonts w:cs="Times New Roman"/>
                <w:b/>
                <w:sz w:val="21"/>
                <w:szCs w:val="21"/>
              </w:rPr>
              <w:t>或长度≥100km</w:t>
            </w:r>
          </w:p>
        </w:tc>
        <w:tc>
          <w:tcPr>
            <w:tcW w:w="2115" w:type="dxa"/>
            <w:vAlign w:val="center"/>
          </w:tcPr>
          <w:p>
            <w:pPr>
              <w:spacing w:line="240" w:lineRule="auto"/>
              <w:ind w:firstLine="0" w:firstLineChars="0"/>
              <w:jc w:val="center"/>
              <w:rPr>
                <w:rFonts w:cs="Times New Roman"/>
                <w:b/>
                <w:sz w:val="21"/>
                <w:szCs w:val="21"/>
              </w:rPr>
            </w:pPr>
            <w:r>
              <w:rPr>
                <w:rFonts w:cs="Times New Roman"/>
                <w:b/>
                <w:sz w:val="21"/>
                <w:szCs w:val="21"/>
              </w:rPr>
              <w:t>面积2km</w:t>
            </w:r>
            <w:r>
              <w:rPr>
                <w:rFonts w:cs="Times New Roman"/>
                <w:b/>
                <w:sz w:val="21"/>
                <w:szCs w:val="21"/>
                <w:vertAlign w:val="superscript"/>
              </w:rPr>
              <w:t>2</w:t>
            </w:r>
            <w:r>
              <w:rPr>
                <w:rFonts w:cs="Times New Roman"/>
                <w:b/>
                <w:sz w:val="21"/>
                <w:szCs w:val="21"/>
              </w:rPr>
              <w:t>-20km</w:t>
            </w:r>
            <w:r>
              <w:rPr>
                <w:rFonts w:cs="Times New Roman"/>
                <w:b/>
                <w:sz w:val="21"/>
                <w:szCs w:val="21"/>
                <w:vertAlign w:val="superscript"/>
              </w:rPr>
              <w:t>2</w:t>
            </w:r>
            <w:r>
              <w:rPr>
                <w:rFonts w:cs="Times New Roman"/>
                <w:b/>
                <w:sz w:val="21"/>
                <w:szCs w:val="21"/>
              </w:rPr>
              <w:t>或长度50km-100km</w:t>
            </w:r>
          </w:p>
        </w:tc>
        <w:tc>
          <w:tcPr>
            <w:tcW w:w="2183" w:type="dxa"/>
            <w:vAlign w:val="center"/>
          </w:tcPr>
          <w:p>
            <w:pPr>
              <w:spacing w:line="240" w:lineRule="auto"/>
              <w:ind w:firstLine="0" w:firstLineChars="0"/>
              <w:jc w:val="center"/>
              <w:rPr>
                <w:rFonts w:cs="Times New Roman"/>
                <w:b/>
                <w:sz w:val="21"/>
                <w:szCs w:val="21"/>
              </w:rPr>
            </w:pPr>
            <w:r>
              <w:rPr>
                <w:rFonts w:cs="Times New Roman"/>
                <w:b/>
                <w:sz w:val="21"/>
                <w:szCs w:val="21"/>
              </w:rPr>
              <w:t>面积≤2km</w:t>
            </w:r>
            <w:r>
              <w:rPr>
                <w:rFonts w:cs="Times New Roman"/>
                <w:b/>
                <w:sz w:val="21"/>
                <w:szCs w:val="21"/>
                <w:vertAlign w:val="superscript"/>
              </w:rPr>
              <w:t>2</w:t>
            </w:r>
            <w:r>
              <w:rPr>
                <w:rFonts w:cs="Times New Roman"/>
                <w:b/>
                <w:sz w:val="21"/>
                <w:szCs w:val="21"/>
              </w:rPr>
              <w:t>或长度≤50km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vAlign w:val="center"/>
          </w:tcPr>
          <w:p>
            <w:pPr>
              <w:spacing w:line="240" w:lineRule="auto"/>
              <w:ind w:firstLine="0" w:firstLineChars="0"/>
              <w:jc w:val="center"/>
              <w:rPr>
                <w:rFonts w:cs="Times New Roman"/>
                <w:sz w:val="21"/>
                <w:szCs w:val="21"/>
              </w:rPr>
            </w:pPr>
            <w:r>
              <w:rPr>
                <w:rFonts w:cs="Times New Roman"/>
                <w:sz w:val="21"/>
                <w:szCs w:val="21"/>
              </w:rPr>
              <w:t>一般区域</w:t>
            </w:r>
          </w:p>
        </w:tc>
        <w:tc>
          <w:tcPr>
            <w:tcW w:w="2562" w:type="dxa"/>
            <w:vAlign w:val="center"/>
          </w:tcPr>
          <w:p>
            <w:pPr>
              <w:spacing w:line="240" w:lineRule="auto"/>
              <w:ind w:firstLine="0" w:firstLineChars="0"/>
              <w:jc w:val="center"/>
              <w:rPr>
                <w:rFonts w:cs="Times New Roman"/>
                <w:sz w:val="21"/>
                <w:szCs w:val="21"/>
              </w:rPr>
            </w:pPr>
            <w:r>
              <w:rPr>
                <w:rFonts w:cs="Times New Roman"/>
                <w:sz w:val="21"/>
                <w:szCs w:val="21"/>
              </w:rPr>
              <w:t>二级</w:t>
            </w:r>
          </w:p>
        </w:tc>
        <w:tc>
          <w:tcPr>
            <w:tcW w:w="2115" w:type="dxa"/>
            <w:vAlign w:val="center"/>
          </w:tcPr>
          <w:p>
            <w:pPr>
              <w:spacing w:line="240" w:lineRule="auto"/>
              <w:ind w:firstLine="0" w:firstLineChars="0"/>
              <w:jc w:val="center"/>
              <w:rPr>
                <w:rFonts w:cs="Times New Roman"/>
                <w:sz w:val="21"/>
                <w:szCs w:val="21"/>
              </w:rPr>
            </w:pPr>
            <w:r>
              <w:rPr>
                <w:rFonts w:cs="Times New Roman"/>
                <w:sz w:val="21"/>
                <w:szCs w:val="21"/>
              </w:rPr>
              <w:t>三级</w:t>
            </w:r>
          </w:p>
        </w:tc>
        <w:tc>
          <w:tcPr>
            <w:tcW w:w="2183" w:type="dxa"/>
            <w:shd w:val="clear" w:color="auto" w:fill="D8D8D8"/>
            <w:vAlign w:val="center"/>
          </w:tcPr>
          <w:p>
            <w:pPr>
              <w:spacing w:line="240" w:lineRule="auto"/>
              <w:ind w:firstLine="0" w:firstLineChars="0"/>
              <w:jc w:val="center"/>
              <w:rPr>
                <w:rFonts w:cs="Times New Roman"/>
                <w:sz w:val="21"/>
                <w:szCs w:val="21"/>
              </w:rPr>
            </w:pPr>
            <w:r>
              <w:rPr>
                <w:rFonts w:cs="Times New Roman"/>
                <w:sz w:val="21"/>
                <w:szCs w:val="21"/>
              </w:rPr>
              <w:t>三级</w:t>
            </w:r>
          </w:p>
        </w:tc>
      </w:tr>
    </w:tbl>
    <w:p>
      <w:pPr>
        <w:pStyle w:val="4"/>
        <w:adjustRightInd w:val="0"/>
        <w:snapToGrid w:val="0"/>
        <w:jc w:val="left"/>
        <w:rPr>
          <w:rFonts w:cs="Times New Roman"/>
          <w:szCs w:val="24"/>
          <w:u w:val="single"/>
        </w:rPr>
      </w:pPr>
      <w:bookmarkStart w:id="58" w:name="_Toc86611239"/>
      <w:r>
        <w:rPr>
          <w:rFonts w:cs="Times New Roman"/>
          <w:szCs w:val="24"/>
          <w:u w:val="single"/>
        </w:rPr>
        <w:t>2.3.6 环境风险评价等级</w:t>
      </w:r>
      <w:bookmarkEnd w:id="58"/>
    </w:p>
    <w:p>
      <w:pPr>
        <w:ind w:firstLine="480"/>
        <w:rPr>
          <w:rFonts w:cs="Times New Roman"/>
          <w:u w:val="single"/>
        </w:rPr>
      </w:pPr>
      <w:r>
        <w:rPr>
          <w:rFonts w:cs="Times New Roman"/>
          <w:u w:val="single"/>
        </w:rPr>
        <w:t>按照《建设项目环境风险评价技术导则》（HJ/T169－2018）要求，根据建设项目涉及的危险物质及工艺系统危险性（P）和所在地的环境敏感性（E），按照表2.3-9确定环境风险潜势，再根据表2.3-10确定评价等级。</w:t>
      </w:r>
    </w:p>
    <w:p>
      <w:pPr>
        <w:pStyle w:val="43"/>
        <w:spacing w:before="156" w:beforeLines="50"/>
        <w:ind w:firstLine="241"/>
        <w:jc w:val="center"/>
        <w:rPr>
          <w:rFonts w:ascii="Times New Roman" w:hAnsi="Times New Roman"/>
          <w:b/>
          <w:bCs/>
          <w:sz w:val="24"/>
          <w:szCs w:val="32"/>
          <w:u w:val="single"/>
        </w:rPr>
      </w:pPr>
      <w:r>
        <w:rPr>
          <w:rFonts w:ascii="Times New Roman" w:hAnsi="Times New Roman"/>
          <w:b/>
          <w:bCs/>
          <w:sz w:val="24"/>
          <w:szCs w:val="32"/>
          <w:u w:val="single"/>
        </w:rPr>
        <w:t>表2.3-9  建设项目环境风险潜势划分</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7"/>
        <w:gridCol w:w="1700"/>
        <w:gridCol w:w="1562"/>
        <w:gridCol w:w="1982"/>
        <w:gridCol w:w="1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dxa"/>
            <w:vMerge w:val="restart"/>
            <w:vAlign w:val="center"/>
          </w:tcPr>
          <w:p>
            <w:pPr>
              <w:spacing w:line="240" w:lineRule="auto"/>
              <w:ind w:firstLine="0" w:firstLineChars="0"/>
              <w:jc w:val="center"/>
              <w:rPr>
                <w:rFonts w:cs="Times New Roman"/>
                <w:b/>
                <w:sz w:val="21"/>
                <w:szCs w:val="18"/>
                <w:u w:val="single"/>
              </w:rPr>
            </w:pPr>
            <w:r>
              <w:rPr>
                <w:rFonts w:cs="Times New Roman"/>
                <w:b/>
                <w:sz w:val="21"/>
                <w:szCs w:val="18"/>
                <w:u w:val="single"/>
              </w:rPr>
              <w:t>环境敏感程度（E）</w:t>
            </w:r>
          </w:p>
        </w:tc>
        <w:tc>
          <w:tcPr>
            <w:tcW w:w="7001" w:type="dxa"/>
            <w:gridSpan w:val="4"/>
            <w:vAlign w:val="center"/>
          </w:tcPr>
          <w:p>
            <w:pPr>
              <w:spacing w:line="240" w:lineRule="auto"/>
              <w:ind w:firstLine="0" w:firstLineChars="0"/>
              <w:jc w:val="center"/>
              <w:rPr>
                <w:rFonts w:cs="Times New Roman"/>
                <w:b/>
                <w:sz w:val="21"/>
                <w:szCs w:val="18"/>
                <w:u w:val="single"/>
              </w:rPr>
            </w:pPr>
            <w:r>
              <w:rPr>
                <w:rFonts w:cs="Times New Roman"/>
                <w:b/>
                <w:sz w:val="21"/>
                <w:szCs w:val="18"/>
                <w:u w:val="single"/>
              </w:rPr>
              <w:t>危险物质及工艺系统危害性（P）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dxa"/>
            <w:vMerge w:val="continue"/>
            <w:vAlign w:val="center"/>
          </w:tcPr>
          <w:p>
            <w:pPr>
              <w:spacing w:line="240" w:lineRule="auto"/>
              <w:ind w:firstLine="0" w:firstLineChars="0"/>
              <w:jc w:val="center"/>
              <w:rPr>
                <w:rFonts w:cs="Times New Roman"/>
                <w:b/>
                <w:sz w:val="21"/>
                <w:szCs w:val="18"/>
                <w:u w:val="single"/>
              </w:rPr>
            </w:pPr>
          </w:p>
        </w:tc>
        <w:tc>
          <w:tcPr>
            <w:tcW w:w="1700" w:type="dxa"/>
            <w:vAlign w:val="center"/>
          </w:tcPr>
          <w:p>
            <w:pPr>
              <w:spacing w:line="240" w:lineRule="auto"/>
              <w:ind w:firstLine="0" w:firstLineChars="0"/>
              <w:jc w:val="center"/>
              <w:rPr>
                <w:rFonts w:cs="Times New Roman"/>
                <w:b/>
                <w:sz w:val="21"/>
                <w:szCs w:val="18"/>
                <w:u w:val="single"/>
              </w:rPr>
            </w:pPr>
            <w:r>
              <w:rPr>
                <w:rFonts w:cs="Times New Roman"/>
                <w:b/>
                <w:sz w:val="21"/>
                <w:szCs w:val="18"/>
                <w:u w:val="single"/>
              </w:rPr>
              <w:t>极度危害（P1）</w:t>
            </w:r>
          </w:p>
        </w:tc>
        <w:tc>
          <w:tcPr>
            <w:tcW w:w="1562" w:type="dxa"/>
            <w:vAlign w:val="center"/>
          </w:tcPr>
          <w:p>
            <w:pPr>
              <w:spacing w:line="240" w:lineRule="auto"/>
              <w:ind w:firstLine="0" w:firstLineChars="0"/>
              <w:jc w:val="center"/>
              <w:rPr>
                <w:rFonts w:cs="Times New Roman"/>
                <w:b/>
                <w:sz w:val="21"/>
                <w:szCs w:val="18"/>
                <w:u w:val="single"/>
              </w:rPr>
            </w:pPr>
            <w:r>
              <w:rPr>
                <w:rFonts w:cs="Times New Roman"/>
                <w:b/>
                <w:sz w:val="21"/>
                <w:szCs w:val="18"/>
                <w:u w:val="single"/>
              </w:rPr>
              <w:t>高度危害（P2）</w:t>
            </w:r>
          </w:p>
        </w:tc>
        <w:tc>
          <w:tcPr>
            <w:tcW w:w="1982" w:type="dxa"/>
            <w:vAlign w:val="center"/>
          </w:tcPr>
          <w:p>
            <w:pPr>
              <w:spacing w:line="240" w:lineRule="auto"/>
              <w:ind w:firstLine="0" w:firstLineChars="0"/>
              <w:jc w:val="center"/>
              <w:rPr>
                <w:rFonts w:cs="Times New Roman"/>
                <w:b/>
                <w:sz w:val="21"/>
                <w:szCs w:val="18"/>
                <w:u w:val="single"/>
              </w:rPr>
            </w:pPr>
            <w:r>
              <w:rPr>
                <w:rFonts w:cs="Times New Roman"/>
                <w:b/>
                <w:sz w:val="21"/>
                <w:szCs w:val="18"/>
                <w:u w:val="single"/>
              </w:rPr>
              <w:t>中度危害（P3）</w:t>
            </w:r>
          </w:p>
        </w:tc>
        <w:tc>
          <w:tcPr>
            <w:tcW w:w="1757" w:type="dxa"/>
            <w:vAlign w:val="center"/>
          </w:tcPr>
          <w:p>
            <w:pPr>
              <w:spacing w:line="240" w:lineRule="auto"/>
              <w:ind w:firstLine="0" w:firstLineChars="0"/>
              <w:jc w:val="center"/>
              <w:rPr>
                <w:rFonts w:cs="Times New Roman"/>
                <w:b/>
                <w:sz w:val="21"/>
                <w:szCs w:val="18"/>
                <w:u w:val="single"/>
              </w:rPr>
            </w:pPr>
            <w:r>
              <w:rPr>
                <w:rFonts w:cs="Times New Roman"/>
                <w:b/>
                <w:sz w:val="21"/>
                <w:szCs w:val="18"/>
                <w:u w:val="single"/>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环境高度敏感区（E1）</w:t>
            </w:r>
          </w:p>
        </w:tc>
        <w:tc>
          <w:tcPr>
            <w:tcW w:w="1700"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Ⅳ</w:t>
            </w:r>
            <w:r>
              <w:rPr>
                <w:rFonts w:cs="Times New Roman"/>
                <w:sz w:val="21"/>
                <w:szCs w:val="18"/>
                <w:u w:val="single"/>
                <w:vertAlign w:val="superscript"/>
              </w:rPr>
              <w:t>+</w:t>
            </w:r>
          </w:p>
        </w:tc>
        <w:tc>
          <w:tcPr>
            <w:tcW w:w="1562"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Ⅳ</w:t>
            </w:r>
          </w:p>
        </w:tc>
        <w:tc>
          <w:tcPr>
            <w:tcW w:w="1982"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Ⅲ</w:t>
            </w:r>
          </w:p>
        </w:tc>
        <w:tc>
          <w:tcPr>
            <w:tcW w:w="1757"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环境中度敏感区（E2）</w:t>
            </w:r>
          </w:p>
        </w:tc>
        <w:tc>
          <w:tcPr>
            <w:tcW w:w="1700"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Ⅳ</w:t>
            </w:r>
          </w:p>
        </w:tc>
        <w:tc>
          <w:tcPr>
            <w:tcW w:w="1562"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Ⅲ</w:t>
            </w:r>
          </w:p>
        </w:tc>
        <w:tc>
          <w:tcPr>
            <w:tcW w:w="1982"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Ⅲ</w:t>
            </w:r>
          </w:p>
        </w:tc>
        <w:tc>
          <w:tcPr>
            <w:tcW w:w="1757"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环境低度敏感区（E3）</w:t>
            </w:r>
          </w:p>
        </w:tc>
        <w:tc>
          <w:tcPr>
            <w:tcW w:w="1700"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Ⅲ</w:t>
            </w:r>
          </w:p>
        </w:tc>
        <w:tc>
          <w:tcPr>
            <w:tcW w:w="1562"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Ⅲ</w:t>
            </w:r>
          </w:p>
        </w:tc>
        <w:tc>
          <w:tcPr>
            <w:tcW w:w="1982"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Ⅱ</w:t>
            </w:r>
          </w:p>
        </w:tc>
        <w:tc>
          <w:tcPr>
            <w:tcW w:w="1757"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8" w:type="dxa"/>
            <w:gridSpan w:val="5"/>
            <w:vAlign w:val="center"/>
          </w:tcPr>
          <w:p>
            <w:pPr>
              <w:spacing w:line="240" w:lineRule="auto"/>
              <w:ind w:firstLine="0" w:firstLineChars="0"/>
              <w:jc w:val="center"/>
              <w:rPr>
                <w:rFonts w:cs="Times New Roman"/>
                <w:sz w:val="21"/>
                <w:szCs w:val="18"/>
                <w:u w:val="single"/>
              </w:rPr>
            </w:pPr>
            <w:r>
              <w:rPr>
                <w:rFonts w:cs="Times New Roman"/>
                <w:sz w:val="21"/>
                <w:szCs w:val="18"/>
                <w:u w:val="single"/>
              </w:rPr>
              <w:t>注：Ⅳ</w:t>
            </w:r>
            <w:r>
              <w:rPr>
                <w:rFonts w:cs="Times New Roman"/>
                <w:sz w:val="21"/>
                <w:szCs w:val="18"/>
                <w:u w:val="single"/>
                <w:vertAlign w:val="superscript"/>
              </w:rPr>
              <w:t>+</w:t>
            </w:r>
            <w:r>
              <w:rPr>
                <w:rFonts w:cs="Times New Roman"/>
                <w:sz w:val="21"/>
                <w:szCs w:val="18"/>
                <w:u w:val="single"/>
              </w:rPr>
              <w:t>为极高环境风险。</w:t>
            </w:r>
          </w:p>
        </w:tc>
      </w:tr>
    </w:tbl>
    <w:p>
      <w:pPr>
        <w:pStyle w:val="43"/>
        <w:spacing w:before="156" w:beforeLines="50"/>
        <w:ind w:firstLine="241"/>
        <w:jc w:val="center"/>
        <w:rPr>
          <w:rFonts w:ascii="Times New Roman" w:hAnsi="Times New Roman"/>
          <w:b/>
          <w:bCs/>
          <w:sz w:val="24"/>
          <w:szCs w:val="32"/>
          <w:u w:val="single"/>
        </w:rPr>
      </w:pPr>
      <w:r>
        <w:rPr>
          <w:rFonts w:ascii="Times New Roman" w:hAnsi="Times New Roman"/>
          <w:b/>
          <w:bCs/>
          <w:sz w:val="24"/>
          <w:szCs w:val="32"/>
          <w:u w:val="single"/>
        </w:rPr>
        <w:t>表2.3-10  风险评价工作级别划分</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7"/>
        <w:gridCol w:w="1700"/>
        <w:gridCol w:w="1562"/>
        <w:gridCol w:w="1982"/>
        <w:gridCol w:w="1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dxa"/>
            <w:vAlign w:val="center"/>
          </w:tcPr>
          <w:p>
            <w:pPr>
              <w:spacing w:line="240" w:lineRule="auto"/>
              <w:ind w:firstLine="0" w:firstLineChars="0"/>
              <w:jc w:val="center"/>
              <w:rPr>
                <w:rFonts w:cs="Times New Roman"/>
                <w:b/>
                <w:sz w:val="21"/>
                <w:szCs w:val="18"/>
                <w:u w:val="single"/>
              </w:rPr>
            </w:pPr>
            <w:r>
              <w:rPr>
                <w:rFonts w:cs="Times New Roman"/>
                <w:b/>
                <w:sz w:val="21"/>
                <w:szCs w:val="18"/>
                <w:u w:val="single"/>
              </w:rPr>
              <w:t>环境风险潜势</w:t>
            </w:r>
          </w:p>
        </w:tc>
        <w:tc>
          <w:tcPr>
            <w:tcW w:w="1700" w:type="dxa"/>
            <w:vAlign w:val="center"/>
          </w:tcPr>
          <w:p>
            <w:pPr>
              <w:spacing w:line="240" w:lineRule="auto"/>
              <w:ind w:firstLine="0" w:firstLineChars="0"/>
              <w:jc w:val="center"/>
              <w:rPr>
                <w:rFonts w:cs="Times New Roman"/>
                <w:b/>
                <w:sz w:val="21"/>
                <w:szCs w:val="18"/>
                <w:u w:val="single"/>
              </w:rPr>
            </w:pPr>
            <w:r>
              <w:rPr>
                <w:rFonts w:cs="Times New Roman"/>
                <w:b/>
                <w:sz w:val="21"/>
                <w:szCs w:val="18"/>
                <w:u w:val="single"/>
              </w:rPr>
              <w:t>Ⅳ</w:t>
            </w:r>
            <w:r>
              <w:rPr>
                <w:rFonts w:cs="Times New Roman"/>
                <w:b/>
                <w:sz w:val="21"/>
                <w:szCs w:val="18"/>
                <w:u w:val="single"/>
                <w:vertAlign w:val="superscript"/>
              </w:rPr>
              <w:t>+</w:t>
            </w:r>
            <w:r>
              <w:rPr>
                <w:rFonts w:cs="Times New Roman"/>
                <w:b/>
                <w:sz w:val="21"/>
                <w:szCs w:val="18"/>
                <w:u w:val="single"/>
              </w:rPr>
              <w:t>、Ⅳ</w:t>
            </w:r>
          </w:p>
        </w:tc>
        <w:tc>
          <w:tcPr>
            <w:tcW w:w="1562" w:type="dxa"/>
            <w:vAlign w:val="center"/>
          </w:tcPr>
          <w:p>
            <w:pPr>
              <w:spacing w:line="240" w:lineRule="auto"/>
              <w:ind w:firstLine="0" w:firstLineChars="0"/>
              <w:jc w:val="center"/>
              <w:rPr>
                <w:rFonts w:cs="Times New Roman"/>
                <w:b/>
                <w:sz w:val="21"/>
                <w:szCs w:val="18"/>
                <w:u w:val="single"/>
              </w:rPr>
            </w:pPr>
            <w:r>
              <w:rPr>
                <w:rFonts w:cs="Times New Roman"/>
                <w:b/>
                <w:sz w:val="21"/>
                <w:szCs w:val="18"/>
                <w:u w:val="single"/>
              </w:rPr>
              <w:t>Ⅲ</w:t>
            </w:r>
          </w:p>
        </w:tc>
        <w:tc>
          <w:tcPr>
            <w:tcW w:w="1982" w:type="dxa"/>
            <w:vAlign w:val="center"/>
          </w:tcPr>
          <w:p>
            <w:pPr>
              <w:spacing w:line="240" w:lineRule="auto"/>
              <w:ind w:firstLine="0" w:firstLineChars="0"/>
              <w:jc w:val="center"/>
              <w:rPr>
                <w:rFonts w:cs="Times New Roman"/>
                <w:b/>
                <w:sz w:val="21"/>
                <w:szCs w:val="18"/>
                <w:u w:val="single"/>
              </w:rPr>
            </w:pPr>
            <w:r>
              <w:rPr>
                <w:rFonts w:cs="Times New Roman"/>
                <w:b/>
                <w:sz w:val="21"/>
                <w:szCs w:val="18"/>
                <w:u w:val="single"/>
              </w:rPr>
              <w:t>Ⅱ</w:t>
            </w:r>
          </w:p>
        </w:tc>
        <w:tc>
          <w:tcPr>
            <w:tcW w:w="1757" w:type="dxa"/>
            <w:vAlign w:val="center"/>
          </w:tcPr>
          <w:p>
            <w:pPr>
              <w:spacing w:line="240" w:lineRule="auto"/>
              <w:ind w:firstLine="0" w:firstLineChars="0"/>
              <w:jc w:val="center"/>
              <w:rPr>
                <w:rFonts w:cs="Times New Roman"/>
                <w:b/>
                <w:sz w:val="21"/>
                <w:szCs w:val="18"/>
                <w:u w:val="single"/>
              </w:rPr>
            </w:pPr>
            <w:r>
              <w:rPr>
                <w:rFonts w:cs="Times New Roman"/>
                <w:b/>
                <w:sz w:val="21"/>
                <w:szCs w:val="18"/>
                <w:u w:val="single"/>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评价工作等级</w:t>
            </w:r>
          </w:p>
        </w:tc>
        <w:tc>
          <w:tcPr>
            <w:tcW w:w="1700"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一</w:t>
            </w:r>
          </w:p>
        </w:tc>
        <w:tc>
          <w:tcPr>
            <w:tcW w:w="1562"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二</w:t>
            </w:r>
          </w:p>
        </w:tc>
        <w:tc>
          <w:tcPr>
            <w:tcW w:w="1982"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三</w:t>
            </w:r>
          </w:p>
        </w:tc>
        <w:tc>
          <w:tcPr>
            <w:tcW w:w="1757" w:type="dxa"/>
            <w:vAlign w:val="center"/>
          </w:tcPr>
          <w:p>
            <w:pPr>
              <w:spacing w:line="240" w:lineRule="auto"/>
              <w:ind w:firstLine="0" w:firstLineChars="0"/>
              <w:jc w:val="center"/>
              <w:rPr>
                <w:rFonts w:cs="Times New Roman"/>
                <w:sz w:val="21"/>
                <w:szCs w:val="18"/>
                <w:u w:val="single"/>
              </w:rPr>
            </w:pPr>
            <w:r>
              <w:rPr>
                <w:rFonts w:cs="Times New Roman"/>
                <w:sz w:val="21"/>
                <w:szCs w:val="18"/>
                <w:u w:val="single"/>
              </w:rPr>
              <w:t>简单分析</w:t>
            </w:r>
            <w:r>
              <w:rPr>
                <w:rFonts w:cs="Times New Roman"/>
                <w:sz w:val="21"/>
                <w:szCs w:val="18"/>
                <w:u w:val="single"/>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8" w:type="dxa"/>
            <w:gridSpan w:val="5"/>
            <w:vAlign w:val="center"/>
          </w:tcPr>
          <w:p>
            <w:pPr>
              <w:autoSpaceDE w:val="0"/>
              <w:autoSpaceDN w:val="0"/>
              <w:adjustRightInd w:val="0"/>
              <w:spacing w:line="240" w:lineRule="auto"/>
              <w:ind w:firstLine="0" w:firstLineChars="0"/>
              <w:jc w:val="left"/>
              <w:rPr>
                <w:rFonts w:cs="Times New Roman"/>
                <w:sz w:val="21"/>
                <w:szCs w:val="18"/>
                <w:u w:val="single"/>
              </w:rPr>
            </w:pPr>
            <w:r>
              <w:rPr>
                <w:rFonts w:cs="Times New Roman"/>
                <w:kern w:val="0"/>
                <w:sz w:val="21"/>
                <w:szCs w:val="18"/>
                <w:u w:val="single"/>
                <w:vertAlign w:val="superscript"/>
              </w:rPr>
              <w:t>a</w:t>
            </w:r>
            <w:r>
              <w:rPr>
                <w:rFonts w:cs="Times New Roman"/>
                <w:kern w:val="0"/>
                <w:sz w:val="21"/>
                <w:szCs w:val="18"/>
                <w:u w:val="single"/>
              </w:rPr>
              <w:t>是相对于详细评价工作内容而言，在描述危险物质、环境影响途径、环境危害后果、风险防范措施等方面给出定性说明。见附录</w:t>
            </w:r>
            <w:r>
              <w:rPr>
                <w:rFonts w:eastAsia="TimesNewRomanPSMT" w:cs="Times New Roman"/>
                <w:kern w:val="0"/>
                <w:sz w:val="21"/>
                <w:szCs w:val="18"/>
                <w:u w:val="single"/>
              </w:rPr>
              <w:t>A</w:t>
            </w:r>
            <w:r>
              <w:rPr>
                <w:rFonts w:cs="Times New Roman"/>
                <w:kern w:val="0"/>
                <w:sz w:val="21"/>
                <w:szCs w:val="18"/>
                <w:u w:val="single"/>
              </w:rPr>
              <w:t>。</w:t>
            </w:r>
          </w:p>
        </w:tc>
      </w:tr>
    </w:tbl>
    <w:p>
      <w:pPr>
        <w:autoSpaceDE w:val="0"/>
        <w:autoSpaceDN w:val="0"/>
        <w:adjustRightInd w:val="0"/>
        <w:ind w:firstLine="480"/>
        <w:rPr>
          <w:rFonts w:cs="Times New Roman"/>
          <w:u w:val="single"/>
        </w:rPr>
      </w:pPr>
      <w:r>
        <w:rPr>
          <w:rFonts w:cs="Times New Roman"/>
          <w:u w:val="single"/>
        </w:rPr>
        <w:t>根据《建设项目环境风险评价技术导则》（HJ169-2018）中关于环境风险潜势初判方式首先按下式计算物质总量与临界量比值（Q）</w:t>
      </w:r>
    </w:p>
    <w:p>
      <w:pPr>
        <w:autoSpaceDE w:val="0"/>
        <w:autoSpaceDN w:val="0"/>
        <w:adjustRightInd w:val="0"/>
        <w:ind w:firstLine="480"/>
        <w:jc w:val="center"/>
        <w:rPr>
          <w:rFonts w:cs="Times New Roman"/>
          <w:u w:val="single"/>
        </w:rPr>
      </w:pPr>
      <w:r>
        <w:rPr>
          <w:rFonts w:cs="Times New Roman"/>
          <w:u w:val="single"/>
        </w:rPr>
        <w:drawing>
          <wp:inline distT="0" distB="0" distL="0" distR="0">
            <wp:extent cx="1733550" cy="485775"/>
            <wp:effectExtent l="19050" t="0" r="0" b="0"/>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noChangeArrowheads="1"/>
                    </pic:cNvPicPr>
                  </pic:nvPicPr>
                  <pic:blipFill>
                    <a:blip r:embed="rId16"/>
                    <a:srcRect/>
                    <a:stretch>
                      <a:fillRect/>
                    </a:stretch>
                  </pic:blipFill>
                  <pic:spPr>
                    <a:xfrm>
                      <a:off x="0" y="0"/>
                      <a:ext cx="1733550" cy="485775"/>
                    </a:xfrm>
                    <a:prstGeom prst="rect">
                      <a:avLst/>
                    </a:prstGeom>
                    <a:noFill/>
                    <a:ln w="9525">
                      <a:noFill/>
                      <a:miter lim="800000"/>
                      <a:headEnd/>
                      <a:tailEnd/>
                    </a:ln>
                  </pic:spPr>
                </pic:pic>
              </a:graphicData>
            </a:graphic>
          </wp:inline>
        </w:drawing>
      </w:r>
    </w:p>
    <w:p>
      <w:pPr>
        <w:autoSpaceDE w:val="0"/>
        <w:autoSpaceDN w:val="0"/>
        <w:adjustRightInd w:val="0"/>
        <w:ind w:firstLine="480"/>
        <w:rPr>
          <w:rFonts w:cs="Times New Roman"/>
          <w:u w:val="single"/>
        </w:rPr>
      </w:pPr>
      <w:r>
        <w:rPr>
          <w:rFonts w:cs="Times New Roman"/>
          <w:u w:val="single"/>
        </w:rPr>
        <w:t>式中：q</w:t>
      </w:r>
      <w:r>
        <w:rPr>
          <w:rFonts w:cs="Times New Roman"/>
          <w:u w:val="single"/>
          <w:vertAlign w:val="subscript"/>
        </w:rPr>
        <w:t>1</w:t>
      </w:r>
      <w:r>
        <w:rPr>
          <w:rFonts w:cs="Times New Roman"/>
          <w:u w:val="single"/>
        </w:rPr>
        <w:t>，q</w:t>
      </w:r>
      <w:r>
        <w:rPr>
          <w:rFonts w:cs="Times New Roman"/>
          <w:u w:val="single"/>
          <w:vertAlign w:val="subscript"/>
        </w:rPr>
        <w:t>2</w:t>
      </w:r>
      <w:r>
        <w:rPr>
          <w:rFonts w:cs="Times New Roman"/>
          <w:u w:val="single"/>
        </w:rPr>
        <w:t>，q</w:t>
      </w:r>
      <w:r>
        <w:rPr>
          <w:rFonts w:cs="Times New Roman"/>
          <w:u w:val="single"/>
          <w:vertAlign w:val="subscript"/>
        </w:rPr>
        <w:t>3</w:t>
      </w:r>
      <w:r>
        <w:rPr>
          <w:rFonts w:cs="Times New Roman"/>
          <w:u w:val="single"/>
        </w:rPr>
        <w:t>……q</w:t>
      </w:r>
      <w:r>
        <w:rPr>
          <w:rFonts w:cs="Times New Roman"/>
          <w:u w:val="single"/>
          <w:vertAlign w:val="subscript"/>
        </w:rPr>
        <w:t>n</w:t>
      </w:r>
      <w:r>
        <w:rPr>
          <w:rFonts w:cs="Times New Roman"/>
          <w:u w:val="single"/>
        </w:rPr>
        <w:t>——每种危险物质的最大存在量，t；</w:t>
      </w:r>
    </w:p>
    <w:p>
      <w:pPr>
        <w:autoSpaceDE w:val="0"/>
        <w:autoSpaceDN w:val="0"/>
        <w:adjustRightInd w:val="0"/>
        <w:ind w:firstLine="1200" w:firstLineChars="500"/>
        <w:rPr>
          <w:rFonts w:cs="Times New Roman"/>
          <w:u w:val="single"/>
        </w:rPr>
      </w:pPr>
      <w:r>
        <w:rPr>
          <w:rFonts w:cs="Times New Roman"/>
          <w:u w:val="single"/>
        </w:rPr>
        <w:t>Q</w:t>
      </w:r>
      <w:r>
        <w:rPr>
          <w:rFonts w:cs="Times New Roman"/>
          <w:u w:val="single"/>
          <w:vertAlign w:val="subscript"/>
        </w:rPr>
        <w:t>1</w:t>
      </w:r>
      <w:r>
        <w:rPr>
          <w:rFonts w:cs="Times New Roman"/>
          <w:u w:val="single"/>
        </w:rPr>
        <w:t>，Q</w:t>
      </w:r>
      <w:r>
        <w:rPr>
          <w:rFonts w:cs="Times New Roman"/>
          <w:u w:val="single"/>
          <w:vertAlign w:val="subscript"/>
        </w:rPr>
        <w:t>2</w:t>
      </w:r>
      <w:r>
        <w:rPr>
          <w:rFonts w:cs="Times New Roman"/>
          <w:u w:val="single"/>
        </w:rPr>
        <w:t>，Q</w:t>
      </w:r>
      <w:r>
        <w:rPr>
          <w:rFonts w:cs="Times New Roman"/>
          <w:u w:val="single"/>
          <w:vertAlign w:val="subscript"/>
        </w:rPr>
        <w:t>3</w:t>
      </w:r>
      <w:r>
        <w:rPr>
          <w:rFonts w:cs="Times New Roman"/>
          <w:u w:val="single"/>
        </w:rPr>
        <w:t>……Q</w:t>
      </w:r>
      <w:r>
        <w:rPr>
          <w:rFonts w:cs="Times New Roman"/>
          <w:u w:val="single"/>
          <w:vertAlign w:val="subscript"/>
        </w:rPr>
        <w:t>n</w:t>
      </w:r>
      <w:r>
        <w:rPr>
          <w:rFonts w:cs="Times New Roman"/>
          <w:u w:val="single"/>
        </w:rPr>
        <w:t>——每种危险物质的临界量，t；</w:t>
      </w:r>
    </w:p>
    <w:p>
      <w:pPr>
        <w:autoSpaceDE w:val="0"/>
        <w:autoSpaceDN w:val="0"/>
        <w:adjustRightInd w:val="0"/>
        <w:ind w:firstLine="1200" w:firstLineChars="500"/>
        <w:rPr>
          <w:rFonts w:cs="Times New Roman"/>
          <w:u w:val="single"/>
        </w:rPr>
      </w:pPr>
      <w:r>
        <w:rPr>
          <w:rFonts w:cs="Times New Roman"/>
          <w:u w:val="single"/>
        </w:rPr>
        <w:t>当Q＜1时，该项目环境风险潜势为Ⅰ。</w:t>
      </w:r>
    </w:p>
    <w:p>
      <w:pPr>
        <w:autoSpaceDE w:val="0"/>
        <w:autoSpaceDN w:val="0"/>
        <w:adjustRightInd w:val="0"/>
        <w:ind w:firstLine="1200" w:firstLineChars="500"/>
        <w:rPr>
          <w:rFonts w:cs="Times New Roman"/>
          <w:u w:val="single"/>
        </w:rPr>
      </w:pPr>
      <w:r>
        <w:rPr>
          <w:rFonts w:cs="Times New Roman"/>
          <w:u w:val="single"/>
        </w:rPr>
        <w:t>当Q≥1时，将Q值划分为：（1）1≤Q＜10；（2）10≤Q＜100；（3）Q≥100。</w:t>
      </w:r>
    </w:p>
    <w:p>
      <w:pPr>
        <w:ind w:firstLine="480"/>
        <w:rPr>
          <w:rFonts w:cs="Times New Roman"/>
          <w:u w:val="single"/>
        </w:rPr>
      </w:pPr>
      <w:r>
        <w:rPr>
          <w:rFonts w:cs="Times New Roman"/>
          <w:u w:val="single"/>
        </w:rPr>
        <w:t>本项目生产、使用、储存过程中涉及的有毒有害、易燃易爆物质为厂区内</w:t>
      </w:r>
      <w:r>
        <w:rPr>
          <w:rFonts w:hint="eastAsia" w:cs="Times New Roman"/>
          <w:u w:val="single"/>
        </w:rPr>
        <w:t>天然气</w:t>
      </w:r>
      <w:r>
        <w:rPr>
          <w:rFonts w:cs="Times New Roman"/>
          <w:u w:val="single"/>
        </w:rPr>
        <w:t>管道内的</w:t>
      </w:r>
      <w:r>
        <w:rPr>
          <w:rFonts w:hint="eastAsia" w:cs="Times New Roman"/>
          <w:u w:val="single"/>
        </w:rPr>
        <w:t>天然气</w:t>
      </w:r>
      <w:r>
        <w:rPr>
          <w:rFonts w:cs="Times New Roman"/>
          <w:u w:val="single"/>
        </w:rPr>
        <w:t>和危废暂存间暂存的废润滑油、矿物质油。项目所涉危险物质Q详见表2.3-11。</w:t>
      </w:r>
    </w:p>
    <w:p>
      <w:pPr>
        <w:pStyle w:val="43"/>
        <w:spacing w:before="156" w:beforeLines="50"/>
        <w:ind w:firstLine="241"/>
        <w:jc w:val="center"/>
        <w:rPr>
          <w:rFonts w:ascii="Times New Roman" w:hAnsi="Times New Roman"/>
          <w:b/>
          <w:bCs/>
          <w:sz w:val="24"/>
          <w:szCs w:val="32"/>
          <w:u w:val="single"/>
        </w:rPr>
      </w:pPr>
      <w:r>
        <w:rPr>
          <w:rFonts w:ascii="Times New Roman" w:hAnsi="Times New Roman"/>
          <w:b/>
          <w:bCs/>
          <w:sz w:val="24"/>
          <w:szCs w:val="32"/>
          <w:u w:val="single"/>
        </w:rPr>
        <w:t>表2.3-11  项目危险物质数量与临界量的比值（Q）</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2025"/>
        <w:gridCol w:w="1081"/>
        <w:gridCol w:w="1207"/>
        <w:gridCol w:w="7"/>
        <w:gridCol w:w="816"/>
        <w:gridCol w:w="1081"/>
        <w:gridCol w:w="1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406" w:type="pct"/>
            <w:vAlign w:val="center"/>
          </w:tcPr>
          <w:p>
            <w:pPr>
              <w:spacing w:line="240" w:lineRule="auto"/>
              <w:ind w:firstLine="0" w:firstLineChars="0"/>
              <w:jc w:val="center"/>
              <w:rPr>
                <w:rFonts w:cs="Times New Roman"/>
                <w:b/>
                <w:bCs/>
                <w:sz w:val="21"/>
                <w:szCs w:val="21"/>
                <w:u w:val="single"/>
              </w:rPr>
            </w:pPr>
            <w:r>
              <w:rPr>
                <w:rFonts w:cs="Times New Roman"/>
                <w:b/>
                <w:bCs/>
                <w:sz w:val="21"/>
                <w:szCs w:val="21"/>
                <w:u w:val="single"/>
              </w:rPr>
              <w:t>序号</w:t>
            </w:r>
          </w:p>
        </w:tc>
        <w:tc>
          <w:tcPr>
            <w:tcW w:w="1188" w:type="pct"/>
            <w:vAlign w:val="center"/>
          </w:tcPr>
          <w:p>
            <w:pPr>
              <w:spacing w:line="240" w:lineRule="auto"/>
              <w:ind w:firstLine="0" w:firstLineChars="0"/>
              <w:jc w:val="center"/>
              <w:rPr>
                <w:rFonts w:cs="Times New Roman"/>
                <w:b/>
                <w:bCs/>
                <w:sz w:val="21"/>
                <w:szCs w:val="21"/>
                <w:u w:val="single"/>
              </w:rPr>
            </w:pPr>
            <w:r>
              <w:rPr>
                <w:rFonts w:cs="Times New Roman"/>
                <w:b/>
                <w:bCs/>
                <w:sz w:val="21"/>
                <w:szCs w:val="21"/>
                <w:u w:val="single"/>
              </w:rPr>
              <w:t>危险物质类别</w:t>
            </w:r>
          </w:p>
        </w:tc>
        <w:tc>
          <w:tcPr>
            <w:tcW w:w="634" w:type="pct"/>
            <w:vAlign w:val="center"/>
          </w:tcPr>
          <w:p>
            <w:pPr>
              <w:spacing w:line="240" w:lineRule="auto"/>
              <w:ind w:firstLine="0" w:firstLineChars="0"/>
              <w:jc w:val="center"/>
              <w:rPr>
                <w:rFonts w:cs="Times New Roman"/>
                <w:b/>
                <w:bCs/>
                <w:sz w:val="21"/>
                <w:szCs w:val="21"/>
                <w:u w:val="single"/>
              </w:rPr>
            </w:pPr>
            <w:r>
              <w:rPr>
                <w:rFonts w:cs="Times New Roman"/>
                <w:b/>
                <w:bCs/>
                <w:sz w:val="21"/>
                <w:szCs w:val="21"/>
                <w:u w:val="single"/>
              </w:rPr>
              <w:t>CAS号</w:t>
            </w:r>
          </w:p>
        </w:tc>
        <w:tc>
          <w:tcPr>
            <w:tcW w:w="708" w:type="pct"/>
            <w:vAlign w:val="center"/>
          </w:tcPr>
          <w:p>
            <w:pPr>
              <w:spacing w:line="240" w:lineRule="auto"/>
              <w:ind w:firstLine="0" w:firstLineChars="0"/>
              <w:jc w:val="center"/>
              <w:rPr>
                <w:rFonts w:cs="Times New Roman"/>
                <w:b/>
                <w:bCs/>
                <w:sz w:val="21"/>
                <w:szCs w:val="21"/>
                <w:u w:val="single"/>
              </w:rPr>
            </w:pPr>
            <w:r>
              <w:rPr>
                <w:rFonts w:cs="Times New Roman"/>
                <w:b/>
                <w:bCs/>
                <w:sz w:val="21"/>
                <w:szCs w:val="21"/>
                <w:u w:val="single"/>
              </w:rPr>
              <w:t>最大存在总量q</w:t>
            </w:r>
            <w:r>
              <w:rPr>
                <w:rFonts w:cs="Times New Roman"/>
                <w:b/>
                <w:bCs/>
                <w:sz w:val="21"/>
                <w:szCs w:val="21"/>
                <w:u w:val="single"/>
                <w:vertAlign w:val="subscript"/>
              </w:rPr>
              <w:t>n</w:t>
            </w:r>
            <w:r>
              <w:rPr>
                <w:rFonts w:cs="Times New Roman"/>
                <w:b/>
                <w:bCs/>
                <w:sz w:val="21"/>
                <w:szCs w:val="21"/>
                <w:u w:val="single"/>
              </w:rPr>
              <w:t>/t</w:t>
            </w:r>
          </w:p>
        </w:tc>
        <w:tc>
          <w:tcPr>
            <w:tcW w:w="483" w:type="pct"/>
            <w:gridSpan w:val="2"/>
            <w:vAlign w:val="center"/>
          </w:tcPr>
          <w:p>
            <w:pPr>
              <w:spacing w:line="240" w:lineRule="auto"/>
              <w:ind w:firstLine="0" w:firstLineChars="0"/>
              <w:jc w:val="center"/>
              <w:rPr>
                <w:rFonts w:cs="Times New Roman"/>
                <w:b/>
                <w:bCs/>
                <w:sz w:val="21"/>
                <w:szCs w:val="21"/>
                <w:u w:val="single"/>
              </w:rPr>
            </w:pPr>
            <w:r>
              <w:rPr>
                <w:rFonts w:cs="Times New Roman"/>
                <w:b/>
                <w:bCs/>
                <w:sz w:val="21"/>
                <w:szCs w:val="21"/>
                <w:u w:val="single"/>
              </w:rPr>
              <w:t>临界量Q</w:t>
            </w:r>
            <w:r>
              <w:rPr>
                <w:rFonts w:cs="Times New Roman"/>
                <w:b/>
                <w:bCs/>
                <w:sz w:val="21"/>
                <w:szCs w:val="21"/>
                <w:u w:val="single"/>
                <w:vertAlign w:val="subscript"/>
              </w:rPr>
              <w:t>n</w:t>
            </w:r>
            <w:r>
              <w:rPr>
                <w:rFonts w:cs="Times New Roman"/>
                <w:b/>
                <w:bCs/>
                <w:sz w:val="21"/>
                <w:szCs w:val="21"/>
                <w:u w:val="single"/>
              </w:rPr>
              <w:t>/t</w:t>
            </w:r>
          </w:p>
        </w:tc>
        <w:tc>
          <w:tcPr>
            <w:tcW w:w="634" w:type="pct"/>
            <w:vAlign w:val="center"/>
          </w:tcPr>
          <w:p>
            <w:pPr>
              <w:spacing w:line="240" w:lineRule="auto"/>
              <w:ind w:firstLine="0" w:firstLineChars="0"/>
              <w:jc w:val="center"/>
              <w:rPr>
                <w:rFonts w:cs="Times New Roman"/>
                <w:b/>
                <w:bCs/>
                <w:sz w:val="21"/>
                <w:szCs w:val="21"/>
                <w:u w:val="single"/>
              </w:rPr>
            </w:pPr>
            <w:r>
              <w:rPr>
                <w:rFonts w:cs="Times New Roman"/>
                <w:b/>
                <w:bCs/>
                <w:sz w:val="21"/>
                <w:szCs w:val="21"/>
                <w:u w:val="single"/>
              </w:rPr>
              <w:t>该种危险物质Q值</w:t>
            </w:r>
          </w:p>
        </w:tc>
        <w:tc>
          <w:tcPr>
            <w:tcW w:w="947" w:type="pct"/>
            <w:vAlign w:val="center"/>
          </w:tcPr>
          <w:p>
            <w:pPr>
              <w:spacing w:line="240" w:lineRule="auto"/>
              <w:ind w:firstLine="0" w:firstLineChars="0"/>
              <w:jc w:val="center"/>
              <w:rPr>
                <w:rFonts w:cs="Times New Roman"/>
                <w:b/>
                <w:bCs/>
                <w:sz w:val="21"/>
                <w:szCs w:val="21"/>
                <w:u w:val="single"/>
              </w:rPr>
            </w:pPr>
            <w:r>
              <w:rPr>
                <w:rFonts w:cs="Times New Roman"/>
                <w:b/>
                <w:bCs/>
                <w:sz w:val="21"/>
                <w:szCs w:val="21"/>
                <w:u w:val="single"/>
              </w:rPr>
              <w:t>所在位置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0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1</w:t>
            </w:r>
          </w:p>
        </w:tc>
        <w:tc>
          <w:tcPr>
            <w:tcW w:w="1188"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天然气</w:t>
            </w:r>
          </w:p>
        </w:tc>
        <w:tc>
          <w:tcPr>
            <w:tcW w:w="634"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w:t>
            </w:r>
          </w:p>
        </w:tc>
        <w:tc>
          <w:tcPr>
            <w:tcW w:w="708"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9.347</w:t>
            </w:r>
          </w:p>
        </w:tc>
        <w:tc>
          <w:tcPr>
            <w:tcW w:w="483" w:type="pct"/>
            <w:gridSpan w:val="2"/>
            <w:vAlign w:val="center"/>
          </w:tcPr>
          <w:p>
            <w:pPr>
              <w:spacing w:line="240" w:lineRule="auto"/>
              <w:ind w:firstLine="0" w:firstLineChars="0"/>
              <w:jc w:val="center"/>
              <w:rPr>
                <w:rFonts w:cs="Times New Roman"/>
                <w:sz w:val="21"/>
                <w:szCs w:val="21"/>
                <w:u w:val="single"/>
              </w:rPr>
            </w:pPr>
            <w:r>
              <w:rPr>
                <w:rFonts w:cs="Times New Roman"/>
                <w:sz w:val="21"/>
                <w:szCs w:val="21"/>
                <w:u w:val="single"/>
              </w:rPr>
              <w:t>20</w:t>
            </w:r>
          </w:p>
        </w:tc>
        <w:tc>
          <w:tcPr>
            <w:tcW w:w="634"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0.467</w:t>
            </w:r>
          </w:p>
        </w:tc>
        <w:tc>
          <w:tcPr>
            <w:tcW w:w="947"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天然气</w:t>
            </w:r>
            <w:r>
              <w:rPr>
                <w:rFonts w:cs="Times New Roman"/>
                <w:sz w:val="21"/>
                <w:szCs w:val="21"/>
                <w:u w:val="single"/>
              </w:rPr>
              <w:t>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0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2</w:t>
            </w:r>
          </w:p>
        </w:tc>
        <w:tc>
          <w:tcPr>
            <w:tcW w:w="1188"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废润滑油、矿物质油</w:t>
            </w:r>
          </w:p>
        </w:tc>
        <w:tc>
          <w:tcPr>
            <w:tcW w:w="634"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w:t>
            </w:r>
          </w:p>
        </w:tc>
        <w:tc>
          <w:tcPr>
            <w:tcW w:w="708"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1</w:t>
            </w:r>
          </w:p>
        </w:tc>
        <w:tc>
          <w:tcPr>
            <w:tcW w:w="483" w:type="pct"/>
            <w:gridSpan w:val="2"/>
            <w:vAlign w:val="center"/>
          </w:tcPr>
          <w:p>
            <w:pPr>
              <w:spacing w:line="240" w:lineRule="auto"/>
              <w:ind w:firstLine="0" w:firstLineChars="0"/>
              <w:jc w:val="center"/>
              <w:rPr>
                <w:rFonts w:cs="Times New Roman"/>
                <w:sz w:val="21"/>
                <w:szCs w:val="21"/>
                <w:u w:val="single"/>
              </w:rPr>
            </w:pPr>
            <w:r>
              <w:rPr>
                <w:rFonts w:cs="Times New Roman"/>
                <w:sz w:val="21"/>
                <w:szCs w:val="21"/>
                <w:u w:val="single"/>
              </w:rPr>
              <w:t>2500</w:t>
            </w:r>
          </w:p>
        </w:tc>
        <w:tc>
          <w:tcPr>
            <w:tcW w:w="634"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0.0004</w:t>
            </w:r>
          </w:p>
        </w:tc>
        <w:tc>
          <w:tcPr>
            <w:tcW w:w="947"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0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3</w:t>
            </w:r>
          </w:p>
        </w:tc>
        <w:tc>
          <w:tcPr>
            <w:tcW w:w="1188"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油墨</w:t>
            </w:r>
          </w:p>
        </w:tc>
        <w:tc>
          <w:tcPr>
            <w:tcW w:w="634"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w:t>
            </w:r>
          </w:p>
        </w:tc>
        <w:tc>
          <w:tcPr>
            <w:tcW w:w="708"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3</w:t>
            </w:r>
            <w:r>
              <w:rPr>
                <w:rFonts w:cs="Times New Roman"/>
                <w:sz w:val="21"/>
                <w:szCs w:val="21"/>
                <w:u w:val="single"/>
              </w:rPr>
              <w:t>0</w:t>
            </w:r>
          </w:p>
        </w:tc>
        <w:tc>
          <w:tcPr>
            <w:tcW w:w="483" w:type="pct"/>
            <w:gridSpan w:val="2"/>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5</w:t>
            </w:r>
            <w:r>
              <w:rPr>
                <w:rFonts w:cs="Times New Roman"/>
                <w:sz w:val="21"/>
                <w:szCs w:val="21"/>
                <w:u w:val="single"/>
              </w:rPr>
              <w:t>0</w:t>
            </w:r>
          </w:p>
        </w:tc>
        <w:tc>
          <w:tcPr>
            <w:tcW w:w="634"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0</w:t>
            </w:r>
            <w:r>
              <w:rPr>
                <w:rFonts w:cs="Times New Roman"/>
                <w:sz w:val="21"/>
                <w:szCs w:val="21"/>
                <w:u w:val="single"/>
              </w:rPr>
              <w:t>.6</w:t>
            </w:r>
          </w:p>
        </w:tc>
        <w:tc>
          <w:tcPr>
            <w:tcW w:w="947"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原料仓库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0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小计</w:t>
            </w:r>
          </w:p>
        </w:tc>
        <w:tc>
          <w:tcPr>
            <w:tcW w:w="1188"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w:t>
            </w:r>
          </w:p>
        </w:tc>
        <w:tc>
          <w:tcPr>
            <w:tcW w:w="634"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w:t>
            </w:r>
          </w:p>
        </w:tc>
        <w:tc>
          <w:tcPr>
            <w:tcW w:w="712" w:type="pct"/>
            <w:gridSpan w:val="2"/>
            <w:vAlign w:val="center"/>
          </w:tcPr>
          <w:p>
            <w:pPr>
              <w:spacing w:line="240" w:lineRule="auto"/>
              <w:ind w:firstLine="0" w:firstLineChars="0"/>
              <w:jc w:val="center"/>
              <w:rPr>
                <w:rFonts w:cs="Times New Roman"/>
                <w:sz w:val="21"/>
                <w:szCs w:val="21"/>
                <w:u w:val="single"/>
              </w:rPr>
            </w:pPr>
            <w:r>
              <w:rPr>
                <w:rFonts w:cs="Times New Roman"/>
                <w:sz w:val="21"/>
                <w:szCs w:val="21"/>
                <w:u w:val="single"/>
              </w:rPr>
              <w:t>/</w:t>
            </w:r>
          </w:p>
        </w:tc>
        <w:tc>
          <w:tcPr>
            <w:tcW w:w="47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w:t>
            </w:r>
          </w:p>
        </w:tc>
        <w:tc>
          <w:tcPr>
            <w:tcW w:w="634"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1.406</w:t>
            </w:r>
          </w:p>
        </w:tc>
        <w:tc>
          <w:tcPr>
            <w:tcW w:w="947" w:type="pct"/>
            <w:vAlign w:val="center"/>
          </w:tcPr>
          <w:p>
            <w:pPr>
              <w:spacing w:line="240" w:lineRule="auto"/>
              <w:ind w:firstLine="0" w:firstLineChars="0"/>
              <w:jc w:val="center"/>
              <w:rPr>
                <w:rFonts w:cs="Times New Roman"/>
                <w:sz w:val="21"/>
                <w:szCs w:val="21"/>
                <w:u w:val="single"/>
              </w:rPr>
            </w:pPr>
          </w:p>
        </w:tc>
      </w:tr>
    </w:tbl>
    <w:p>
      <w:pPr>
        <w:pStyle w:val="69"/>
        <w:adjustRightInd w:val="0"/>
        <w:snapToGrid w:val="0"/>
        <w:rPr>
          <w:u w:val="single"/>
        </w:rPr>
      </w:pPr>
      <w:r>
        <w:rPr>
          <w:u w:val="single"/>
        </w:rPr>
        <w:t>由表2.3-11可知，本项目环境风险物质最大存在数量与临界量比值为1.406（</w:t>
      </w:r>
      <w:r>
        <w:rPr>
          <w:rFonts w:hint="eastAsia"/>
          <w:u w:val="single"/>
        </w:rPr>
        <w:t>1</w:t>
      </w:r>
      <w:r>
        <w:rPr>
          <w:u w:val="single"/>
        </w:rPr>
        <w:t>＜Q＜10）。</w:t>
      </w:r>
    </w:p>
    <w:p>
      <w:pPr>
        <w:pStyle w:val="69"/>
        <w:adjustRightInd w:val="0"/>
        <w:snapToGrid w:val="0"/>
        <w:rPr>
          <w:u w:val="single"/>
        </w:rPr>
      </w:pPr>
      <w:r>
        <w:rPr>
          <w:rFonts w:hint="eastAsia"/>
          <w:u w:val="single"/>
        </w:rPr>
        <w:t>本项目行业及生产工艺（M）确定如下：</w:t>
      </w:r>
    </w:p>
    <w:p>
      <w:pPr>
        <w:pStyle w:val="69"/>
        <w:adjustRightInd w:val="0"/>
        <w:snapToGrid w:val="0"/>
        <w:ind w:firstLine="0" w:firstLineChars="0"/>
        <w:jc w:val="center"/>
        <w:rPr>
          <w:u w:val="single"/>
        </w:rPr>
      </w:pPr>
      <w:r>
        <w:rPr>
          <w:rFonts w:hint="eastAsia"/>
          <w:u w:val="single"/>
        </w:rPr>
        <w:t>表2</w:t>
      </w:r>
      <w:r>
        <w:rPr>
          <w:u w:val="single"/>
        </w:rPr>
        <w:t>.3</w:t>
      </w:r>
      <w:r>
        <w:rPr>
          <w:rFonts w:hint="eastAsia"/>
          <w:u w:val="single"/>
        </w:rPr>
        <w:t>-</w:t>
      </w:r>
      <w:r>
        <w:rPr>
          <w:u w:val="single"/>
        </w:rPr>
        <w:t xml:space="preserve">12  </w:t>
      </w:r>
      <w:r>
        <w:rPr>
          <w:rFonts w:hint="eastAsia"/>
          <w:u w:val="single"/>
        </w:rPr>
        <w:t>项目行业及生产工艺（M）</w:t>
      </w:r>
    </w:p>
    <w:tbl>
      <w:tblPr>
        <w:tblStyle w:val="45"/>
        <w:tblW w:w="86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2"/>
        <w:gridCol w:w="3851"/>
        <w:gridCol w:w="702"/>
        <w:gridCol w:w="883"/>
        <w:gridCol w:w="686"/>
        <w:gridCol w:w="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14" w:hRule="atLeast"/>
          <w:jc w:val="center"/>
        </w:trPr>
        <w:tc>
          <w:tcPr>
            <w:tcW w:w="1682" w:type="dxa"/>
            <w:tcBorders>
              <w:tl2br w:val="nil"/>
              <w:tr2bl w:val="nil"/>
            </w:tcBorders>
            <w:vAlign w:val="center"/>
          </w:tcPr>
          <w:p>
            <w:pPr>
              <w:pStyle w:val="160"/>
              <w:rPr>
                <w:u w:val="single"/>
              </w:rPr>
            </w:pPr>
            <w:r>
              <w:rPr>
                <w:u w:val="single"/>
              </w:rPr>
              <w:t>评估指标</w:t>
            </w:r>
          </w:p>
        </w:tc>
        <w:tc>
          <w:tcPr>
            <w:tcW w:w="3851" w:type="dxa"/>
            <w:tcBorders>
              <w:tl2br w:val="nil"/>
              <w:tr2bl w:val="nil"/>
            </w:tcBorders>
            <w:vAlign w:val="center"/>
          </w:tcPr>
          <w:p>
            <w:pPr>
              <w:pStyle w:val="160"/>
              <w:rPr>
                <w:u w:val="single"/>
              </w:rPr>
            </w:pPr>
            <w:r>
              <w:rPr>
                <w:u w:val="single"/>
              </w:rPr>
              <w:t>评估依据</w:t>
            </w:r>
          </w:p>
        </w:tc>
        <w:tc>
          <w:tcPr>
            <w:tcW w:w="702" w:type="dxa"/>
            <w:tcBorders>
              <w:tl2br w:val="nil"/>
              <w:tr2bl w:val="nil"/>
            </w:tcBorders>
            <w:vAlign w:val="center"/>
          </w:tcPr>
          <w:p>
            <w:pPr>
              <w:pStyle w:val="160"/>
              <w:rPr>
                <w:u w:val="single"/>
              </w:rPr>
            </w:pPr>
            <w:r>
              <w:rPr>
                <w:u w:val="single"/>
              </w:rPr>
              <w:t>分值</w:t>
            </w:r>
          </w:p>
        </w:tc>
        <w:tc>
          <w:tcPr>
            <w:tcW w:w="883" w:type="dxa"/>
            <w:tcBorders>
              <w:tl2br w:val="nil"/>
              <w:tr2bl w:val="nil"/>
            </w:tcBorders>
            <w:vAlign w:val="center"/>
          </w:tcPr>
          <w:p>
            <w:pPr>
              <w:pStyle w:val="160"/>
              <w:rPr>
                <w:u w:val="single"/>
              </w:rPr>
            </w:pPr>
            <w:r>
              <w:rPr>
                <w:u w:val="single"/>
              </w:rPr>
              <w:t>企业实际情况</w:t>
            </w:r>
          </w:p>
        </w:tc>
        <w:tc>
          <w:tcPr>
            <w:tcW w:w="686" w:type="dxa"/>
            <w:tcBorders>
              <w:tl2br w:val="nil"/>
              <w:tr2bl w:val="nil"/>
            </w:tcBorders>
            <w:vAlign w:val="center"/>
          </w:tcPr>
          <w:p>
            <w:pPr>
              <w:pStyle w:val="160"/>
              <w:rPr>
                <w:u w:val="single"/>
              </w:rPr>
            </w:pPr>
            <w:r>
              <w:rPr>
                <w:u w:val="single"/>
              </w:rPr>
              <w:t>得分</w:t>
            </w:r>
          </w:p>
        </w:tc>
        <w:tc>
          <w:tcPr>
            <w:tcW w:w="813" w:type="dxa"/>
            <w:tcBorders>
              <w:tl2br w:val="nil"/>
              <w:tr2bl w:val="nil"/>
            </w:tcBorders>
            <w:vAlign w:val="center"/>
          </w:tcPr>
          <w:p>
            <w:pPr>
              <w:pStyle w:val="160"/>
              <w:rPr>
                <w:u w:val="single"/>
              </w:rPr>
            </w:pPr>
            <w:r>
              <w:rPr>
                <w:u w:val="single"/>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2" w:hRule="atLeast"/>
          <w:jc w:val="center"/>
        </w:trPr>
        <w:tc>
          <w:tcPr>
            <w:tcW w:w="1682" w:type="dxa"/>
            <w:vMerge w:val="restart"/>
            <w:tcBorders>
              <w:tl2br w:val="nil"/>
              <w:tr2bl w:val="nil"/>
            </w:tcBorders>
            <w:vAlign w:val="center"/>
          </w:tcPr>
          <w:p>
            <w:pPr>
              <w:pStyle w:val="160"/>
              <w:rPr>
                <w:u w:val="single"/>
              </w:rPr>
            </w:pPr>
            <w:r>
              <w:rPr>
                <w:u w:val="single"/>
              </w:rPr>
              <w:t>生产工艺过程（30分封顶）</w:t>
            </w:r>
          </w:p>
        </w:tc>
        <w:tc>
          <w:tcPr>
            <w:tcW w:w="3851" w:type="dxa"/>
            <w:tcBorders>
              <w:tl2br w:val="nil"/>
              <w:tr2bl w:val="nil"/>
            </w:tcBorders>
            <w:vAlign w:val="center"/>
          </w:tcPr>
          <w:p>
            <w:pPr>
              <w:pStyle w:val="160"/>
              <w:rPr>
                <w:u w:val="single"/>
              </w:rPr>
            </w:pPr>
            <w:r>
              <w:rPr>
                <w:u w:val="single"/>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702" w:type="dxa"/>
            <w:tcBorders>
              <w:tl2br w:val="nil"/>
              <w:tr2bl w:val="nil"/>
            </w:tcBorders>
            <w:vAlign w:val="center"/>
          </w:tcPr>
          <w:p>
            <w:pPr>
              <w:pStyle w:val="160"/>
              <w:rPr>
                <w:u w:val="single"/>
              </w:rPr>
            </w:pPr>
            <w:r>
              <w:rPr>
                <w:u w:val="single"/>
              </w:rPr>
              <w:t>10分/套</w:t>
            </w:r>
          </w:p>
        </w:tc>
        <w:tc>
          <w:tcPr>
            <w:tcW w:w="883" w:type="dxa"/>
            <w:tcBorders>
              <w:tl2br w:val="nil"/>
              <w:tr2bl w:val="nil"/>
            </w:tcBorders>
            <w:vAlign w:val="center"/>
          </w:tcPr>
          <w:p>
            <w:pPr>
              <w:pStyle w:val="160"/>
              <w:rPr>
                <w:u w:val="single"/>
              </w:rPr>
            </w:pPr>
            <w:r>
              <w:rPr>
                <w:u w:val="single"/>
              </w:rPr>
              <w:t>均不涉及</w:t>
            </w:r>
          </w:p>
        </w:tc>
        <w:tc>
          <w:tcPr>
            <w:tcW w:w="686" w:type="dxa"/>
            <w:tcBorders>
              <w:tl2br w:val="nil"/>
              <w:tr2bl w:val="nil"/>
            </w:tcBorders>
            <w:vAlign w:val="center"/>
          </w:tcPr>
          <w:p>
            <w:pPr>
              <w:pStyle w:val="160"/>
              <w:rPr>
                <w:u w:val="single"/>
              </w:rPr>
            </w:pPr>
            <w:r>
              <w:rPr>
                <w:u w:val="single"/>
              </w:rPr>
              <w:t>0</w:t>
            </w:r>
          </w:p>
        </w:tc>
        <w:tc>
          <w:tcPr>
            <w:tcW w:w="813" w:type="dxa"/>
            <w:vMerge w:val="restart"/>
            <w:tcBorders>
              <w:tl2br w:val="nil"/>
              <w:tr2bl w:val="nil"/>
            </w:tcBorders>
            <w:vAlign w:val="center"/>
          </w:tcPr>
          <w:p>
            <w:pPr>
              <w:pStyle w:val="160"/>
              <w:rPr>
                <w:u w:val="single"/>
              </w:rPr>
            </w:pPr>
            <w:r>
              <w:rPr>
                <w:u w:val="single"/>
              </w:rPr>
              <w:t>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682" w:type="dxa"/>
            <w:vMerge w:val="continue"/>
            <w:tcBorders>
              <w:tl2br w:val="nil"/>
              <w:tr2bl w:val="nil"/>
            </w:tcBorders>
            <w:vAlign w:val="center"/>
          </w:tcPr>
          <w:p>
            <w:pPr>
              <w:pStyle w:val="160"/>
              <w:rPr>
                <w:u w:val="single"/>
              </w:rPr>
            </w:pPr>
          </w:p>
        </w:tc>
        <w:tc>
          <w:tcPr>
            <w:tcW w:w="3851" w:type="dxa"/>
            <w:tcBorders>
              <w:tl2br w:val="nil"/>
              <w:tr2bl w:val="nil"/>
            </w:tcBorders>
            <w:vAlign w:val="center"/>
          </w:tcPr>
          <w:p>
            <w:pPr>
              <w:pStyle w:val="160"/>
              <w:rPr>
                <w:u w:val="single"/>
              </w:rPr>
            </w:pPr>
            <w:r>
              <w:rPr>
                <w:rFonts w:hint="eastAsia"/>
                <w:u w:val="single"/>
              </w:rPr>
              <w:t>无机酸制酸工艺、焦化工艺</w:t>
            </w:r>
          </w:p>
        </w:tc>
        <w:tc>
          <w:tcPr>
            <w:tcW w:w="702" w:type="dxa"/>
            <w:tcBorders>
              <w:tl2br w:val="nil"/>
              <w:tr2bl w:val="nil"/>
            </w:tcBorders>
            <w:vAlign w:val="center"/>
          </w:tcPr>
          <w:p>
            <w:pPr>
              <w:pStyle w:val="160"/>
              <w:rPr>
                <w:u w:val="single"/>
              </w:rPr>
            </w:pPr>
            <w:r>
              <w:rPr>
                <w:rFonts w:hint="eastAsia"/>
                <w:u w:val="single"/>
              </w:rPr>
              <w:t>5分/套</w:t>
            </w:r>
          </w:p>
        </w:tc>
        <w:tc>
          <w:tcPr>
            <w:tcW w:w="883" w:type="dxa"/>
            <w:tcBorders>
              <w:tl2br w:val="nil"/>
              <w:tr2bl w:val="nil"/>
            </w:tcBorders>
            <w:vAlign w:val="center"/>
          </w:tcPr>
          <w:p>
            <w:pPr>
              <w:pStyle w:val="160"/>
              <w:rPr>
                <w:u w:val="single"/>
              </w:rPr>
            </w:pPr>
            <w:r>
              <w:rPr>
                <w:rFonts w:hint="eastAsia"/>
                <w:u w:val="single"/>
              </w:rPr>
              <w:t>不涉及</w:t>
            </w:r>
          </w:p>
        </w:tc>
        <w:tc>
          <w:tcPr>
            <w:tcW w:w="686" w:type="dxa"/>
            <w:tcBorders>
              <w:tl2br w:val="nil"/>
              <w:tr2bl w:val="nil"/>
            </w:tcBorders>
            <w:vAlign w:val="center"/>
          </w:tcPr>
          <w:p>
            <w:pPr>
              <w:pStyle w:val="160"/>
              <w:rPr>
                <w:u w:val="single"/>
              </w:rPr>
            </w:pPr>
            <w:r>
              <w:rPr>
                <w:rFonts w:hint="eastAsia"/>
                <w:u w:val="single"/>
              </w:rPr>
              <w:t>0</w:t>
            </w:r>
          </w:p>
        </w:tc>
        <w:tc>
          <w:tcPr>
            <w:tcW w:w="813" w:type="dxa"/>
            <w:vMerge w:val="continue"/>
            <w:tcBorders>
              <w:tl2br w:val="nil"/>
              <w:tr2bl w:val="nil"/>
            </w:tcBorders>
            <w:vAlign w:val="center"/>
          </w:tcPr>
          <w:p>
            <w:pPr>
              <w:pStyle w:val="160"/>
              <w:rPr>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682" w:type="dxa"/>
            <w:vMerge w:val="continue"/>
            <w:tcBorders>
              <w:tl2br w:val="nil"/>
              <w:tr2bl w:val="nil"/>
            </w:tcBorders>
            <w:vAlign w:val="center"/>
          </w:tcPr>
          <w:p>
            <w:pPr>
              <w:pStyle w:val="160"/>
              <w:rPr>
                <w:u w:val="single"/>
              </w:rPr>
            </w:pPr>
          </w:p>
        </w:tc>
        <w:tc>
          <w:tcPr>
            <w:tcW w:w="3851" w:type="dxa"/>
            <w:tcBorders>
              <w:tl2br w:val="nil"/>
              <w:tr2bl w:val="nil"/>
            </w:tcBorders>
            <w:vAlign w:val="center"/>
          </w:tcPr>
          <w:p>
            <w:pPr>
              <w:pStyle w:val="160"/>
              <w:rPr>
                <w:u w:val="single"/>
              </w:rPr>
            </w:pPr>
            <w:r>
              <w:rPr>
                <w:u w:val="single"/>
              </w:rPr>
              <w:t>其他高温或高压</w:t>
            </w:r>
            <w:r>
              <w:rPr>
                <w:rFonts w:hint="eastAsia"/>
                <w:u w:val="single"/>
              </w:rPr>
              <w:t>，且涉及危险物质的工艺过程，危险物质贮存罐区</w:t>
            </w:r>
          </w:p>
        </w:tc>
        <w:tc>
          <w:tcPr>
            <w:tcW w:w="702" w:type="dxa"/>
            <w:tcBorders>
              <w:tl2br w:val="nil"/>
              <w:tr2bl w:val="nil"/>
            </w:tcBorders>
            <w:vAlign w:val="center"/>
          </w:tcPr>
          <w:p>
            <w:pPr>
              <w:pStyle w:val="160"/>
              <w:rPr>
                <w:u w:val="single"/>
              </w:rPr>
            </w:pPr>
            <w:r>
              <w:rPr>
                <w:u w:val="single"/>
              </w:rPr>
              <w:t>5分/套</w:t>
            </w:r>
          </w:p>
        </w:tc>
        <w:tc>
          <w:tcPr>
            <w:tcW w:w="883" w:type="dxa"/>
            <w:tcBorders>
              <w:tl2br w:val="nil"/>
              <w:tr2bl w:val="nil"/>
            </w:tcBorders>
            <w:vAlign w:val="center"/>
          </w:tcPr>
          <w:p>
            <w:pPr>
              <w:pStyle w:val="160"/>
              <w:rPr>
                <w:u w:val="single"/>
              </w:rPr>
            </w:pPr>
            <w:r>
              <w:rPr>
                <w:rFonts w:hint="eastAsia"/>
                <w:u w:val="single"/>
              </w:rPr>
              <w:t>烧成窑1</w:t>
            </w:r>
            <w:r>
              <w:rPr>
                <w:u w:val="single"/>
              </w:rPr>
              <w:t>2</w:t>
            </w:r>
            <w:r>
              <w:rPr>
                <w:rFonts w:hint="eastAsia"/>
                <w:u w:val="single"/>
              </w:rPr>
              <w:t>条；</w:t>
            </w:r>
          </w:p>
          <w:p>
            <w:pPr>
              <w:pStyle w:val="160"/>
              <w:rPr>
                <w:u w:val="single"/>
              </w:rPr>
            </w:pPr>
            <w:r>
              <w:rPr>
                <w:rFonts w:hint="eastAsia"/>
                <w:u w:val="single"/>
              </w:rPr>
              <w:t>喷雾塔1</w:t>
            </w:r>
            <w:r>
              <w:rPr>
                <w:u w:val="single"/>
              </w:rPr>
              <w:t>2</w:t>
            </w:r>
            <w:r>
              <w:rPr>
                <w:rFonts w:hint="eastAsia"/>
                <w:u w:val="single"/>
              </w:rPr>
              <w:t>座；</w:t>
            </w:r>
            <w:r>
              <w:rPr>
                <w:u w:val="single"/>
              </w:rPr>
              <w:t xml:space="preserve"> </w:t>
            </w:r>
          </w:p>
        </w:tc>
        <w:tc>
          <w:tcPr>
            <w:tcW w:w="686" w:type="dxa"/>
            <w:tcBorders>
              <w:tl2br w:val="nil"/>
              <w:tr2bl w:val="nil"/>
            </w:tcBorders>
            <w:vAlign w:val="center"/>
          </w:tcPr>
          <w:p>
            <w:pPr>
              <w:pStyle w:val="160"/>
              <w:rPr>
                <w:u w:val="single"/>
              </w:rPr>
            </w:pPr>
            <w:r>
              <w:rPr>
                <w:u w:val="single"/>
              </w:rPr>
              <w:t>185</w:t>
            </w:r>
          </w:p>
        </w:tc>
        <w:tc>
          <w:tcPr>
            <w:tcW w:w="813" w:type="dxa"/>
            <w:vMerge w:val="continue"/>
            <w:tcBorders>
              <w:tl2br w:val="nil"/>
              <w:tr2bl w:val="nil"/>
            </w:tcBorders>
            <w:vAlign w:val="center"/>
          </w:tcPr>
          <w:p>
            <w:pPr>
              <w:pStyle w:val="160"/>
              <w:rPr>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7804" w:type="dxa"/>
            <w:gridSpan w:val="5"/>
            <w:tcBorders>
              <w:tl2br w:val="nil"/>
              <w:tr2bl w:val="nil"/>
            </w:tcBorders>
            <w:vAlign w:val="center"/>
          </w:tcPr>
          <w:p>
            <w:pPr>
              <w:pStyle w:val="160"/>
              <w:rPr>
                <w:u w:val="single"/>
              </w:rPr>
            </w:pPr>
            <w:r>
              <w:rPr>
                <w:u w:val="single"/>
              </w:rPr>
              <w:t>企业M值</w:t>
            </w:r>
          </w:p>
        </w:tc>
        <w:tc>
          <w:tcPr>
            <w:tcW w:w="813" w:type="dxa"/>
            <w:tcBorders>
              <w:tl2br w:val="nil"/>
              <w:tr2bl w:val="nil"/>
            </w:tcBorders>
            <w:vAlign w:val="center"/>
          </w:tcPr>
          <w:p>
            <w:pPr>
              <w:pStyle w:val="160"/>
              <w:rPr>
                <w:u w:val="single"/>
              </w:rPr>
            </w:pPr>
            <w:r>
              <w:rPr>
                <w:u w:val="single"/>
              </w:rPr>
              <w:t>185</w:t>
            </w:r>
          </w:p>
        </w:tc>
      </w:tr>
    </w:tbl>
    <w:p>
      <w:pPr>
        <w:ind w:firstLine="480"/>
        <w:rPr>
          <w:u w:val="single"/>
        </w:rPr>
      </w:pPr>
      <w:r>
        <w:rPr>
          <w:rFonts w:hint="eastAsia"/>
          <w:u w:val="single"/>
        </w:rPr>
        <w:t>根据上表可知，企业M值为1</w:t>
      </w:r>
      <w:r>
        <w:rPr>
          <w:u w:val="single"/>
        </w:rPr>
        <w:t>85</w:t>
      </w:r>
      <w:r>
        <w:rPr>
          <w:rFonts w:hint="eastAsia"/>
          <w:u w:val="single"/>
        </w:rPr>
        <w:t>＞2</w:t>
      </w:r>
      <w:r>
        <w:rPr>
          <w:u w:val="single"/>
        </w:rPr>
        <w:t>0</w:t>
      </w:r>
      <w:r>
        <w:rPr>
          <w:rFonts w:hint="eastAsia"/>
          <w:u w:val="single"/>
        </w:rPr>
        <w:t>，M为M</w:t>
      </w:r>
      <w:r>
        <w:rPr>
          <w:u w:val="single"/>
        </w:rPr>
        <w:t>1</w:t>
      </w:r>
      <w:r>
        <w:rPr>
          <w:rFonts w:hint="eastAsia"/>
          <w:u w:val="single"/>
        </w:rPr>
        <w:t>。</w:t>
      </w:r>
    </w:p>
    <w:p>
      <w:pPr>
        <w:ind w:firstLine="480"/>
        <w:rPr>
          <w:u w:val="single"/>
        </w:rPr>
      </w:pPr>
      <w:r>
        <w:rPr>
          <w:rFonts w:hint="eastAsia"/>
          <w:u w:val="single"/>
        </w:rPr>
        <w:t>项目危险物质及工艺系统危险性等级判断P确定如下：</w:t>
      </w:r>
    </w:p>
    <w:p>
      <w:pPr>
        <w:ind w:firstLine="0" w:firstLineChars="0"/>
        <w:jc w:val="center"/>
        <w:rPr>
          <w:u w:val="single"/>
        </w:rPr>
      </w:pPr>
      <w:r>
        <w:rPr>
          <w:rFonts w:hint="eastAsia"/>
          <w:u w:val="single"/>
        </w:rPr>
        <w:t>表2</w:t>
      </w:r>
      <w:r>
        <w:rPr>
          <w:u w:val="single"/>
        </w:rPr>
        <w:t>.3</w:t>
      </w:r>
      <w:r>
        <w:rPr>
          <w:rFonts w:hint="eastAsia"/>
          <w:u w:val="single"/>
        </w:rPr>
        <w:t>-</w:t>
      </w:r>
      <w:r>
        <w:rPr>
          <w:u w:val="single"/>
        </w:rPr>
        <w:t xml:space="preserve">13  </w:t>
      </w:r>
      <w:r>
        <w:rPr>
          <w:rFonts w:hint="eastAsia"/>
          <w:u w:val="single"/>
        </w:rPr>
        <w:t>危险物质及工艺系统危险性等级判断P</w:t>
      </w:r>
    </w:p>
    <w:p>
      <w:pPr>
        <w:ind w:firstLine="0" w:firstLineChars="0"/>
        <w:rPr>
          <w:u w:val="single"/>
        </w:rPr>
      </w:pPr>
      <w:r>
        <w:rPr>
          <w:u w:val="single"/>
        </w:rPr>
        <w:drawing>
          <wp:inline distT="0" distB="0" distL="0" distR="0">
            <wp:extent cx="5274310" cy="1196340"/>
            <wp:effectExtent l="0" t="0" r="2540" b="38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7"/>
                    <a:stretch>
                      <a:fillRect/>
                    </a:stretch>
                  </pic:blipFill>
                  <pic:spPr>
                    <a:xfrm>
                      <a:off x="0" y="0"/>
                      <a:ext cx="5274310" cy="1196340"/>
                    </a:xfrm>
                    <a:prstGeom prst="rect">
                      <a:avLst/>
                    </a:prstGeom>
                  </pic:spPr>
                </pic:pic>
              </a:graphicData>
            </a:graphic>
          </wp:inline>
        </w:drawing>
      </w:r>
    </w:p>
    <w:p>
      <w:pPr>
        <w:ind w:firstLine="480"/>
        <w:rPr>
          <w:u w:val="single"/>
        </w:rPr>
      </w:pPr>
      <w:r>
        <w:rPr>
          <w:rFonts w:hint="eastAsia"/>
          <w:u w:val="single"/>
        </w:rPr>
        <w:t>根据上表可知，本项目P确定为P</w:t>
      </w:r>
      <w:r>
        <w:rPr>
          <w:u w:val="single"/>
        </w:rPr>
        <w:t>2</w:t>
      </w:r>
      <w:r>
        <w:rPr>
          <w:rFonts w:hint="eastAsia"/>
          <w:u w:val="single"/>
        </w:rPr>
        <w:t>。项目环境敏感度E判断如下：</w:t>
      </w:r>
    </w:p>
    <w:p>
      <w:pPr>
        <w:ind w:firstLine="0" w:firstLineChars="0"/>
        <w:jc w:val="center"/>
        <w:rPr>
          <w:u w:val="single"/>
        </w:rPr>
      </w:pPr>
      <w:r>
        <w:rPr>
          <w:rFonts w:hint="eastAsia"/>
          <w:u w:val="single"/>
        </w:rPr>
        <w:t>表2</w:t>
      </w:r>
      <w:r>
        <w:rPr>
          <w:u w:val="single"/>
        </w:rPr>
        <w:t>.3</w:t>
      </w:r>
      <w:r>
        <w:rPr>
          <w:rFonts w:hint="eastAsia"/>
          <w:u w:val="single"/>
        </w:rPr>
        <w:t>-</w:t>
      </w:r>
      <w:r>
        <w:rPr>
          <w:u w:val="single"/>
        </w:rPr>
        <w:t xml:space="preserve">14  </w:t>
      </w:r>
      <w:r>
        <w:rPr>
          <w:rFonts w:hint="eastAsia"/>
          <w:u w:val="single"/>
        </w:rPr>
        <w:t>大气环境敏感程度E</w:t>
      </w:r>
    </w:p>
    <w:p>
      <w:pPr>
        <w:ind w:firstLine="0" w:firstLineChars="0"/>
        <w:rPr>
          <w:u w:val="single"/>
        </w:rPr>
      </w:pPr>
      <w:r>
        <w:rPr>
          <w:u w:val="single"/>
        </w:rPr>
        <w:drawing>
          <wp:inline distT="0" distB="0" distL="0" distR="0">
            <wp:extent cx="5274310" cy="1453515"/>
            <wp:effectExtent l="0" t="0" r="2540" b="0"/>
            <wp:docPr id="1164" name="图片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图片 1164"/>
                    <pic:cNvPicPr>
                      <a:picLocks noChangeAspect="1"/>
                    </pic:cNvPicPr>
                  </pic:nvPicPr>
                  <pic:blipFill>
                    <a:blip r:embed="rId18"/>
                    <a:stretch>
                      <a:fillRect/>
                    </a:stretch>
                  </pic:blipFill>
                  <pic:spPr>
                    <a:xfrm>
                      <a:off x="0" y="0"/>
                      <a:ext cx="5274310" cy="1453515"/>
                    </a:xfrm>
                    <a:prstGeom prst="rect">
                      <a:avLst/>
                    </a:prstGeom>
                  </pic:spPr>
                </pic:pic>
              </a:graphicData>
            </a:graphic>
          </wp:inline>
        </w:drawing>
      </w:r>
    </w:p>
    <w:p>
      <w:pPr>
        <w:ind w:firstLine="480"/>
        <w:rPr>
          <w:u w:val="single"/>
        </w:rPr>
      </w:pPr>
      <w:r>
        <w:rPr>
          <w:rFonts w:hint="eastAsia"/>
          <w:u w:val="single"/>
        </w:rPr>
        <w:t>本项目周边5km内人口数小于1万人，周边5</w:t>
      </w:r>
      <w:r>
        <w:rPr>
          <w:u w:val="single"/>
        </w:rPr>
        <w:t>00</w:t>
      </w:r>
      <w:r>
        <w:rPr>
          <w:rFonts w:hint="eastAsia"/>
          <w:u w:val="single"/>
        </w:rPr>
        <w:t>m范围内人口数小于5</w:t>
      </w:r>
      <w:r>
        <w:rPr>
          <w:u w:val="single"/>
        </w:rPr>
        <w:t>00</w:t>
      </w:r>
      <w:r>
        <w:rPr>
          <w:rFonts w:hint="eastAsia"/>
          <w:u w:val="single"/>
        </w:rPr>
        <w:t>人，因此大气环境敏感程度为E</w:t>
      </w:r>
      <w:r>
        <w:rPr>
          <w:u w:val="single"/>
        </w:rPr>
        <w:t>1</w:t>
      </w:r>
      <w:r>
        <w:rPr>
          <w:rFonts w:hint="eastAsia"/>
          <w:u w:val="single"/>
        </w:rPr>
        <w:t>。</w:t>
      </w:r>
    </w:p>
    <w:p>
      <w:pPr>
        <w:ind w:firstLine="480"/>
        <w:jc w:val="center"/>
        <w:rPr>
          <w:u w:val="single"/>
        </w:rPr>
      </w:pPr>
      <w:r>
        <w:rPr>
          <w:rFonts w:hint="eastAsia"/>
          <w:u w:val="single"/>
        </w:rPr>
        <w:t>表2</w:t>
      </w:r>
      <w:r>
        <w:rPr>
          <w:u w:val="single"/>
        </w:rPr>
        <w:t>.3</w:t>
      </w:r>
      <w:r>
        <w:rPr>
          <w:rFonts w:hint="eastAsia"/>
          <w:u w:val="single"/>
        </w:rPr>
        <w:t>-</w:t>
      </w:r>
      <w:r>
        <w:rPr>
          <w:u w:val="single"/>
        </w:rPr>
        <w:t xml:space="preserve">15  </w:t>
      </w:r>
      <w:r>
        <w:rPr>
          <w:rFonts w:hint="eastAsia"/>
          <w:u w:val="single"/>
        </w:rPr>
        <w:t>地表水环境敏感性分区</w:t>
      </w:r>
    </w:p>
    <w:p>
      <w:pPr>
        <w:ind w:firstLine="0" w:firstLineChars="0"/>
        <w:rPr>
          <w:u w:val="single"/>
        </w:rPr>
      </w:pPr>
      <w:r>
        <w:rPr>
          <w:u w:val="single"/>
        </w:rPr>
        <w:drawing>
          <wp:inline distT="0" distB="0" distL="0" distR="0">
            <wp:extent cx="5274310" cy="1129030"/>
            <wp:effectExtent l="0" t="0" r="2540" b="0"/>
            <wp:docPr id="1165" name="图片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图片 1165"/>
                    <pic:cNvPicPr>
                      <a:picLocks noChangeAspect="1"/>
                    </pic:cNvPicPr>
                  </pic:nvPicPr>
                  <pic:blipFill>
                    <a:blip r:embed="rId19"/>
                    <a:stretch>
                      <a:fillRect/>
                    </a:stretch>
                  </pic:blipFill>
                  <pic:spPr>
                    <a:xfrm>
                      <a:off x="0" y="0"/>
                      <a:ext cx="5274310" cy="1129030"/>
                    </a:xfrm>
                    <a:prstGeom prst="rect">
                      <a:avLst/>
                    </a:prstGeom>
                  </pic:spPr>
                </pic:pic>
              </a:graphicData>
            </a:graphic>
          </wp:inline>
        </w:drawing>
      </w:r>
    </w:p>
    <w:p>
      <w:pPr>
        <w:ind w:firstLine="480"/>
        <w:rPr>
          <w:u w:val="single"/>
        </w:rPr>
      </w:pPr>
      <w:r>
        <w:rPr>
          <w:rFonts w:hint="eastAsia"/>
          <w:u w:val="single"/>
        </w:rPr>
        <w:t>本项目受纳水体为白象河，水环境功能为Ⅲ类，因此地表水环境敏感程度为F</w:t>
      </w:r>
      <w:r>
        <w:rPr>
          <w:u w:val="single"/>
        </w:rPr>
        <w:t>2</w:t>
      </w:r>
      <w:r>
        <w:rPr>
          <w:rFonts w:hint="eastAsia"/>
          <w:u w:val="single"/>
        </w:rPr>
        <w:t>。</w:t>
      </w:r>
    </w:p>
    <w:p>
      <w:pPr>
        <w:ind w:firstLine="0" w:firstLineChars="0"/>
        <w:jc w:val="center"/>
        <w:rPr>
          <w:u w:val="single"/>
        </w:rPr>
      </w:pPr>
      <w:r>
        <w:rPr>
          <w:rFonts w:hint="eastAsia"/>
          <w:u w:val="single"/>
        </w:rPr>
        <w:t>表2</w:t>
      </w:r>
      <w:r>
        <w:rPr>
          <w:u w:val="single"/>
        </w:rPr>
        <w:t>.3</w:t>
      </w:r>
      <w:r>
        <w:rPr>
          <w:rFonts w:hint="eastAsia"/>
          <w:u w:val="single"/>
        </w:rPr>
        <w:t>-</w:t>
      </w:r>
      <w:r>
        <w:rPr>
          <w:u w:val="single"/>
        </w:rPr>
        <w:t xml:space="preserve">15  </w:t>
      </w:r>
      <w:r>
        <w:rPr>
          <w:rFonts w:hint="eastAsia"/>
          <w:u w:val="single"/>
        </w:rPr>
        <w:t>地表水环境敏感程度分级</w:t>
      </w:r>
    </w:p>
    <w:p>
      <w:pPr>
        <w:ind w:firstLine="0" w:firstLineChars="0"/>
        <w:rPr>
          <w:u w:val="single"/>
        </w:rPr>
      </w:pPr>
      <w:r>
        <w:rPr>
          <w:u w:val="single"/>
        </w:rPr>
        <w:drawing>
          <wp:inline distT="0" distB="0" distL="0" distR="0">
            <wp:extent cx="5274310" cy="1792605"/>
            <wp:effectExtent l="0" t="0" r="2540" b="0"/>
            <wp:docPr id="1166" name="图片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图片 1166"/>
                    <pic:cNvPicPr>
                      <a:picLocks noChangeAspect="1"/>
                    </pic:cNvPicPr>
                  </pic:nvPicPr>
                  <pic:blipFill>
                    <a:blip r:embed="rId20"/>
                    <a:stretch>
                      <a:fillRect/>
                    </a:stretch>
                  </pic:blipFill>
                  <pic:spPr>
                    <a:xfrm>
                      <a:off x="0" y="0"/>
                      <a:ext cx="5274310" cy="1792605"/>
                    </a:xfrm>
                    <a:prstGeom prst="rect">
                      <a:avLst/>
                    </a:prstGeom>
                  </pic:spPr>
                </pic:pic>
              </a:graphicData>
            </a:graphic>
          </wp:inline>
        </w:drawing>
      </w:r>
    </w:p>
    <w:p>
      <w:pPr>
        <w:ind w:firstLine="480"/>
        <w:rPr>
          <w:u w:val="single"/>
        </w:rPr>
      </w:pPr>
      <w:r>
        <w:rPr>
          <w:rFonts w:hint="eastAsia"/>
          <w:u w:val="single"/>
        </w:rPr>
        <w:t>本项目排放点下游1</w:t>
      </w:r>
      <w:r>
        <w:rPr>
          <w:u w:val="single"/>
        </w:rPr>
        <w:t>0</w:t>
      </w:r>
      <w:r>
        <w:rPr>
          <w:rFonts w:hint="eastAsia"/>
          <w:u w:val="single"/>
        </w:rPr>
        <w:t>km范围内无类型1和类型2包括的敏感目标，因此属于S</w:t>
      </w:r>
      <w:r>
        <w:rPr>
          <w:u w:val="single"/>
        </w:rPr>
        <w:t>3</w:t>
      </w:r>
      <w:r>
        <w:rPr>
          <w:rFonts w:hint="eastAsia"/>
          <w:u w:val="single"/>
        </w:rPr>
        <w:t>。</w:t>
      </w:r>
    </w:p>
    <w:p>
      <w:pPr>
        <w:ind w:firstLine="0" w:firstLineChars="0"/>
        <w:jc w:val="center"/>
        <w:rPr>
          <w:u w:val="single"/>
        </w:rPr>
      </w:pPr>
      <w:r>
        <w:rPr>
          <w:rFonts w:hint="eastAsia"/>
          <w:u w:val="single"/>
        </w:rPr>
        <w:t>表2</w:t>
      </w:r>
      <w:r>
        <w:rPr>
          <w:u w:val="single"/>
        </w:rPr>
        <w:t>.3</w:t>
      </w:r>
      <w:r>
        <w:rPr>
          <w:rFonts w:hint="eastAsia"/>
          <w:u w:val="single"/>
        </w:rPr>
        <w:t>-</w:t>
      </w:r>
      <w:r>
        <w:rPr>
          <w:u w:val="single"/>
        </w:rPr>
        <w:t xml:space="preserve">16  </w:t>
      </w:r>
      <w:r>
        <w:rPr>
          <w:rFonts w:hint="eastAsia"/>
          <w:u w:val="single"/>
        </w:rPr>
        <w:t>地表水环境敏感程度分级E</w:t>
      </w:r>
    </w:p>
    <w:p>
      <w:pPr>
        <w:ind w:firstLine="0" w:firstLineChars="0"/>
        <w:rPr>
          <w:u w:val="single"/>
        </w:rPr>
      </w:pPr>
      <w:r>
        <w:rPr>
          <w:u w:val="single"/>
        </w:rPr>
        <w:drawing>
          <wp:inline distT="0" distB="0" distL="0" distR="0">
            <wp:extent cx="5274310" cy="690245"/>
            <wp:effectExtent l="0" t="0" r="2540" b="0"/>
            <wp:docPr id="1167" name="图片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图片 1167"/>
                    <pic:cNvPicPr>
                      <a:picLocks noChangeAspect="1"/>
                    </pic:cNvPicPr>
                  </pic:nvPicPr>
                  <pic:blipFill>
                    <a:blip r:embed="rId21"/>
                    <a:stretch>
                      <a:fillRect/>
                    </a:stretch>
                  </pic:blipFill>
                  <pic:spPr>
                    <a:xfrm>
                      <a:off x="0" y="0"/>
                      <a:ext cx="5274310" cy="690245"/>
                    </a:xfrm>
                    <a:prstGeom prst="rect">
                      <a:avLst/>
                    </a:prstGeom>
                  </pic:spPr>
                </pic:pic>
              </a:graphicData>
            </a:graphic>
          </wp:inline>
        </w:drawing>
      </w:r>
    </w:p>
    <w:p>
      <w:pPr>
        <w:ind w:firstLine="480"/>
        <w:rPr>
          <w:u w:val="single"/>
        </w:rPr>
      </w:pPr>
      <w:r>
        <w:rPr>
          <w:rFonts w:hint="eastAsia"/>
          <w:u w:val="single"/>
        </w:rPr>
        <w:t>本项目地表水环境敏感程度为F</w:t>
      </w:r>
      <w:r>
        <w:rPr>
          <w:u w:val="single"/>
        </w:rPr>
        <w:t>2</w:t>
      </w:r>
      <w:r>
        <w:rPr>
          <w:rFonts w:hint="eastAsia"/>
          <w:u w:val="single"/>
        </w:rPr>
        <w:t>、S</w:t>
      </w:r>
      <w:r>
        <w:rPr>
          <w:u w:val="single"/>
        </w:rPr>
        <w:t>3</w:t>
      </w:r>
      <w:r>
        <w:rPr>
          <w:rFonts w:hint="eastAsia"/>
          <w:u w:val="single"/>
        </w:rPr>
        <w:t>，因此敏感程度为E</w:t>
      </w:r>
      <w:r>
        <w:rPr>
          <w:u w:val="single"/>
        </w:rPr>
        <w:t>2</w:t>
      </w:r>
      <w:r>
        <w:rPr>
          <w:rFonts w:hint="eastAsia"/>
          <w:u w:val="single"/>
        </w:rPr>
        <w:t>。</w:t>
      </w:r>
    </w:p>
    <w:p>
      <w:pPr>
        <w:ind w:firstLine="480"/>
        <w:rPr>
          <w:u w:val="single"/>
        </w:rPr>
      </w:pPr>
      <w:r>
        <w:rPr>
          <w:rFonts w:hint="eastAsia"/>
          <w:u w:val="single"/>
        </w:rPr>
        <w:t>因此确定本项目风险潜势为Ⅲ，确定评价等级为二级评价。</w:t>
      </w:r>
    </w:p>
    <w:p>
      <w:pPr>
        <w:pStyle w:val="4"/>
        <w:adjustRightInd w:val="0"/>
        <w:snapToGrid w:val="0"/>
        <w:jc w:val="left"/>
        <w:rPr>
          <w:rFonts w:cs="Times New Roman"/>
          <w:szCs w:val="24"/>
        </w:rPr>
      </w:pPr>
      <w:bookmarkStart w:id="59" w:name="_Toc86611240"/>
      <w:r>
        <w:rPr>
          <w:rFonts w:cs="Times New Roman"/>
          <w:szCs w:val="24"/>
        </w:rPr>
        <w:t>2.3.7 土壤环境评价等级</w:t>
      </w:r>
      <w:bookmarkEnd w:id="59"/>
    </w:p>
    <w:p>
      <w:pPr>
        <w:ind w:firstLine="480"/>
        <w:rPr>
          <w:rFonts w:cs="Times New Roman"/>
          <w:szCs w:val="20"/>
        </w:rPr>
      </w:pPr>
      <w:r>
        <w:rPr>
          <w:rFonts w:cs="Times New Roman"/>
          <w:szCs w:val="20"/>
        </w:rPr>
        <w:t>根据《环境影响评价技术导则 土壤环境</w:t>
      </w:r>
      <w:r>
        <w:rPr>
          <w:rFonts w:cs="Times New Roman"/>
        </w:rPr>
        <w:t>（试行）</w:t>
      </w:r>
      <w:r>
        <w:rPr>
          <w:rFonts w:cs="Times New Roman"/>
          <w:szCs w:val="20"/>
        </w:rPr>
        <w:t>》</w:t>
      </w:r>
      <w:r>
        <w:rPr>
          <w:rFonts w:cs="Times New Roman"/>
        </w:rPr>
        <w:t>（HJ964-2018），土壤环境评价工作等级由土壤环境影响类型、影响途径、影响源及影响因子确定。</w:t>
      </w:r>
    </w:p>
    <w:p>
      <w:pPr>
        <w:ind w:firstLine="480"/>
        <w:rPr>
          <w:rFonts w:cs="Times New Roman"/>
        </w:rPr>
      </w:pPr>
      <w:r>
        <w:rPr>
          <w:rFonts w:cs="Times New Roman"/>
          <w:szCs w:val="20"/>
        </w:rPr>
        <w:t>根据《环境影响评价技术导则土壤环境（试行）》（HJ964-2018）附表A.1，本项目属于</w:t>
      </w:r>
      <w:r>
        <w:rPr>
          <w:rFonts w:cs="Times New Roman" w:eastAsiaTheme="majorEastAsia"/>
          <w:szCs w:val="20"/>
        </w:rPr>
        <w:t>“</w:t>
      </w:r>
      <w:r>
        <w:rPr>
          <w:rFonts w:cs="Times New Roman"/>
          <w:szCs w:val="20"/>
        </w:rPr>
        <w:t>金属冶炼和压延加工及非金属矿物制品”行业中“其他”，项目类别为Ⅲ类；本项目建设项目占地面积约1093333.33m</w:t>
      </w:r>
      <w:r>
        <w:rPr>
          <w:rFonts w:cs="Times New Roman"/>
          <w:szCs w:val="20"/>
          <w:vertAlign w:val="superscript"/>
        </w:rPr>
        <w:t>2</w:t>
      </w:r>
      <w:r>
        <w:rPr>
          <w:rFonts w:cs="Times New Roman"/>
          <w:szCs w:val="20"/>
        </w:rPr>
        <w:t>，占地规模为大型（≥50hm</w:t>
      </w:r>
      <w:r>
        <w:rPr>
          <w:rFonts w:cs="Times New Roman"/>
          <w:szCs w:val="20"/>
          <w:vertAlign w:val="superscript"/>
        </w:rPr>
        <w:t>2；</w:t>
      </w:r>
      <w:r>
        <w:rPr>
          <w:rFonts w:cs="Times New Roman"/>
          <w:szCs w:val="20"/>
        </w:rPr>
        <w:t>项目周边</w:t>
      </w:r>
      <w:r>
        <w:rPr>
          <w:rFonts w:cs="Times New Roman"/>
          <w:bCs/>
        </w:rPr>
        <w:t>存在居民和耕地，故项目所在地周边土壤环境敏感程度为敏感；</w:t>
      </w:r>
      <w:r>
        <w:rPr>
          <w:rFonts w:cs="Times New Roman"/>
        </w:rPr>
        <w:t>根据《环境影响评价技术导则土壤环境（试行）》（HJ964-2018）污染影响型评价工作等级划分表，本项目土壤环境影响评价等级为三级。</w:t>
      </w:r>
    </w:p>
    <w:p>
      <w:pPr>
        <w:ind w:firstLine="480"/>
        <w:rPr>
          <w:rFonts w:cs="Times New Roman"/>
        </w:rPr>
      </w:pPr>
      <w:r>
        <w:rPr>
          <w:rFonts w:cs="Times New Roman"/>
        </w:rPr>
        <w:t>其评价等级划分情况详见表2.3-12。</w:t>
      </w:r>
    </w:p>
    <w:p>
      <w:pPr>
        <w:pStyle w:val="43"/>
        <w:spacing w:before="156" w:beforeLines="50"/>
        <w:ind w:firstLine="241"/>
        <w:jc w:val="center"/>
        <w:rPr>
          <w:rFonts w:ascii="Times New Roman" w:hAnsi="Times New Roman"/>
          <w:b/>
          <w:bCs/>
          <w:sz w:val="24"/>
          <w:szCs w:val="32"/>
        </w:rPr>
      </w:pPr>
      <w:r>
        <w:rPr>
          <w:rFonts w:ascii="Times New Roman" w:hAnsi="Times New Roman"/>
          <w:b/>
          <w:bCs/>
          <w:sz w:val="24"/>
          <w:szCs w:val="32"/>
        </w:rPr>
        <w:t>表2.3-12  污染影响型评价工作等级划分表</w:t>
      </w:r>
    </w:p>
    <w:p>
      <w:pPr>
        <w:ind w:firstLine="0" w:firstLineChars="0"/>
        <w:rPr>
          <w:rFonts w:cs="Times New Roman"/>
        </w:rPr>
      </w:pPr>
      <w:r>
        <w:rPr>
          <w:rFonts w:cs="Times New Roman"/>
          <w:kern w:val="0"/>
        </w:rPr>
        <w:drawing>
          <wp:inline distT="0" distB="0" distL="0" distR="0">
            <wp:extent cx="5229225" cy="1400175"/>
            <wp:effectExtent l="19050" t="0" r="9525" b="0"/>
            <wp:docPr id="15"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descr="IMG_256"/>
                    <pic:cNvPicPr>
                      <a:picLocks noChangeAspect="1" noChangeArrowheads="1"/>
                    </pic:cNvPicPr>
                  </pic:nvPicPr>
                  <pic:blipFill>
                    <a:blip r:embed="rId22"/>
                    <a:srcRect l="903" t="14535"/>
                    <a:stretch>
                      <a:fillRect/>
                    </a:stretch>
                  </pic:blipFill>
                  <pic:spPr>
                    <a:xfrm>
                      <a:off x="0" y="0"/>
                      <a:ext cx="5229225" cy="1400175"/>
                    </a:xfrm>
                    <a:prstGeom prst="rect">
                      <a:avLst/>
                    </a:prstGeom>
                    <a:noFill/>
                    <a:ln w="9525" cmpd="sng">
                      <a:noFill/>
                      <a:miter lim="800000"/>
                      <a:headEnd/>
                      <a:tailEnd/>
                    </a:ln>
                  </pic:spPr>
                </pic:pic>
              </a:graphicData>
            </a:graphic>
          </wp:inline>
        </w:drawing>
      </w:r>
    </w:p>
    <w:p>
      <w:pPr>
        <w:pStyle w:val="3"/>
        <w:rPr>
          <w:rFonts w:cs="Times New Roman"/>
        </w:rPr>
      </w:pPr>
      <w:bookmarkStart w:id="60" w:name="_Toc86611241"/>
      <w:r>
        <w:rPr>
          <w:rFonts w:cs="Times New Roman"/>
        </w:rPr>
        <w:t>2.4环境功能区划</w:t>
      </w:r>
      <w:bookmarkEnd w:id="60"/>
    </w:p>
    <w:p>
      <w:pPr>
        <w:pStyle w:val="4"/>
        <w:rPr>
          <w:rFonts w:cs="Times New Roman"/>
        </w:rPr>
      </w:pPr>
      <w:bookmarkStart w:id="61" w:name="_Toc86611242"/>
      <w:r>
        <w:rPr>
          <w:rFonts w:cs="Times New Roman"/>
        </w:rPr>
        <w:t>2.4.1大气环境功能区划</w:t>
      </w:r>
      <w:bookmarkEnd w:id="61"/>
    </w:p>
    <w:p>
      <w:pPr>
        <w:ind w:firstLine="480"/>
        <w:rPr>
          <w:rFonts w:cs="Times New Roman"/>
        </w:rPr>
      </w:pPr>
      <w:r>
        <w:rPr>
          <w:rFonts w:cs="Times New Roman"/>
        </w:rPr>
        <w:t>本项目选址于</w:t>
      </w:r>
      <w:r>
        <w:rPr>
          <w:rFonts w:cs="Times New Roman"/>
          <w:bCs/>
        </w:rPr>
        <w:t>衡阳界牌陶瓷循环经济特色工业园区</w:t>
      </w:r>
      <w:r>
        <w:rPr>
          <w:rFonts w:cs="Times New Roman"/>
        </w:rPr>
        <w:t>，中心地理坐标为：</w:t>
      </w:r>
      <w:r>
        <w:rPr>
          <w:rFonts w:cs="Times New Roman"/>
          <w:kern w:val="0"/>
        </w:rPr>
        <w:t>东经112°29′55.37″，北纬27°11′08.82″</w:t>
      </w:r>
      <w:r>
        <w:rPr>
          <w:rFonts w:cs="Times New Roman"/>
        </w:rPr>
        <w:t>，本项目场区所在地区属于工业园区，根据《环境空气质量标准》中环境空气质量功能区分类，属于二类区，执行《环境空气质量标准》（GB3095-2012）（2018 年修改单）中二级标准。</w:t>
      </w:r>
    </w:p>
    <w:p>
      <w:pPr>
        <w:pStyle w:val="4"/>
        <w:rPr>
          <w:rFonts w:cs="Times New Roman"/>
        </w:rPr>
      </w:pPr>
      <w:bookmarkStart w:id="62" w:name="_Toc86611243"/>
      <w:r>
        <w:rPr>
          <w:rFonts w:cs="Times New Roman"/>
        </w:rPr>
        <w:t>2.4.2地表水环境功能区划</w:t>
      </w:r>
      <w:bookmarkEnd w:id="62"/>
    </w:p>
    <w:p>
      <w:pPr>
        <w:ind w:firstLine="480"/>
        <w:rPr>
          <w:rFonts w:cs="Times New Roman"/>
          <w:color w:val="FF0000"/>
        </w:rPr>
      </w:pPr>
      <w:r>
        <w:rPr>
          <w:rFonts w:cs="Times New Roman"/>
        </w:rPr>
        <w:t>本项目选址于</w:t>
      </w:r>
      <w:r>
        <w:rPr>
          <w:rFonts w:cs="Times New Roman"/>
          <w:bCs/>
        </w:rPr>
        <w:t>衡阳界牌陶瓷循环经济特色工业园区</w:t>
      </w:r>
      <w:r>
        <w:rPr>
          <w:rFonts w:cs="Times New Roman"/>
        </w:rPr>
        <w:t>，中心地理坐标为：</w:t>
      </w:r>
      <w:r>
        <w:rPr>
          <w:rFonts w:cs="Times New Roman"/>
          <w:kern w:val="0"/>
        </w:rPr>
        <w:t>东经112°29′55.37″，北纬27°11′08.82″</w:t>
      </w:r>
      <w:r>
        <w:rPr>
          <w:rFonts w:cs="Times New Roman"/>
        </w:rPr>
        <w:t>，</w:t>
      </w:r>
      <w:r>
        <w:rPr>
          <w:rFonts w:cs="Times New Roman"/>
          <w:szCs w:val="20"/>
        </w:rPr>
        <w:t>界牌镇境内水源充沛，有银溪河（又称“龙头河”）、车子河、水碓河、界牌河、界江河、王冲河、三十六湾河等6条河流，源近流短，总流量达6700万立方米，最后均流入衡阳县最大的水库——斜陂堰水库。斜陂堰水库属于饮用水源保护区，一级保护区范围内水质执行Ⅱ类水质标准，其余水域水质执行Ⅲ类水质标准。</w:t>
      </w:r>
    </w:p>
    <w:p>
      <w:pPr>
        <w:pStyle w:val="4"/>
        <w:rPr>
          <w:rFonts w:cs="Times New Roman"/>
        </w:rPr>
      </w:pPr>
      <w:bookmarkStart w:id="63" w:name="_Toc86611244"/>
      <w:r>
        <w:rPr>
          <w:rFonts w:cs="Times New Roman"/>
        </w:rPr>
        <w:t>2.4.3地下水环境功能区划</w:t>
      </w:r>
      <w:bookmarkEnd w:id="63"/>
    </w:p>
    <w:p>
      <w:pPr>
        <w:ind w:firstLine="480"/>
        <w:rPr>
          <w:rFonts w:cs="Times New Roman"/>
        </w:rPr>
      </w:pPr>
      <w:r>
        <w:rPr>
          <w:rFonts w:cs="Times New Roman"/>
        </w:rPr>
        <w:t>本项目区域地下水尚未规划其水环境功能，目前其主要使用功能为分散式饮水取水、农业用水及其他生活用水，本次执行《地下水质量标准》（GB/T14848-2017）中的Ⅲ类标准。</w:t>
      </w:r>
    </w:p>
    <w:p>
      <w:pPr>
        <w:pStyle w:val="4"/>
        <w:rPr>
          <w:rFonts w:cs="Times New Roman"/>
        </w:rPr>
      </w:pPr>
      <w:bookmarkStart w:id="64" w:name="_Toc86611245"/>
      <w:r>
        <w:rPr>
          <w:rFonts w:cs="Times New Roman"/>
        </w:rPr>
        <w:t>2.4.4声环境功能区划</w:t>
      </w:r>
      <w:bookmarkEnd w:id="64"/>
    </w:p>
    <w:p>
      <w:pPr>
        <w:ind w:firstLine="480"/>
        <w:rPr>
          <w:rFonts w:cs="Times New Roman"/>
        </w:rPr>
      </w:pPr>
      <w:r>
        <w:rPr>
          <w:rFonts w:cs="Times New Roman"/>
        </w:rPr>
        <w:t>本项目所在位置属于工业园区，声环境质量执行声环境执行《声环境质量标准》（GB3096-2008）中3类标准。</w:t>
      </w:r>
    </w:p>
    <w:p>
      <w:pPr>
        <w:pStyle w:val="4"/>
        <w:rPr>
          <w:rFonts w:cs="Times New Roman"/>
        </w:rPr>
      </w:pPr>
      <w:bookmarkStart w:id="65" w:name="_Toc86611246"/>
      <w:r>
        <w:rPr>
          <w:rFonts w:cs="Times New Roman"/>
        </w:rPr>
        <w:t>2.4.5土壤环境功能区划</w:t>
      </w:r>
      <w:bookmarkEnd w:id="65"/>
    </w:p>
    <w:p>
      <w:pPr>
        <w:ind w:firstLine="480"/>
        <w:rPr>
          <w:rFonts w:cs="Times New Roman"/>
        </w:rPr>
      </w:pPr>
      <w:r>
        <w:rPr>
          <w:rFonts w:cs="Times New Roman"/>
        </w:rPr>
        <w:t>本项目用地现状为工业用地，土壤环境质量执行《土壤环境质量  建设用地土壤污染风险管控标准（试行）》（GB36600-2018）中标准限值。</w:t>
      </w:r>
    </w:p>
    <w:p>
      <w:pPr>
        <w:pStyle w:val="3"/>
        <w:rPr>
          <w:rFonts w:cs="Times New Roman"/>
        </w:rPr>
      </w:pPr>
      <w:bookmarkStart w:id="66" w:name="_Toc86611247"/>
      <w:r>
        <w:rPr>
          <w:rFonts w:cs="Times New Roman"/>
        </w:rPr>
        <w:t>2.5主要环境保护目标</w:t>
      </w:r>
      <w:bookmarkEnd w:id="66"/>
    </w:p>
    <w:p>
      <w:pPr>
        <w:ind w:firstLine="480"/>
        <w:rPr>
          <w:rFonts w:cs="Times New Roman"/>
          <w:kern w:val="0"/>
        </w:rPr>
      </w:pPr>
      <w:r>
        <w:rPr>
          <w:rFonts w:cs="Times New Roman"/>
          <w:bCs/>
          <w:kern w:val="0"/>
        </w:rPr>
        <w:t>根据本次评价对现场进行的实地踏勘，项目</w:t>
      </w:r>
      <w:r>
        <w:rPr>
          <w:rFonts w:cs="Times New Roman"/>
        </w:rPr>
        <w:t>环境保护目标见表2.5-1~2.5-3，项目环境保护目标图见附图3</w:t>
      </w:r>
      <w:r>
        <w:rPr>
          <w:rFonts w:cs="Times New Roman"/>
          <w:kern w:val="0"/>
        </w:rPr>
        <w:t>。</w:t>
      </w:r>
    </w:p>
    <w:p>
      <w:pPr>
        <w:ind w:firstLine="480"/>
        <w:rPr>
          <w:rFonts w:cs="Times New Roman"/>
        </w:rPr>
        <w:sectPr>
          <w:pgSz w:w="11906" w:h="16838"/>
          <w:pgMar w:top="1440" w:right="1800" w:bottom="1440" w:left="1800" w:header="851" w:footer="992" w:gutter="0"/>
          <w:cols w:space="425" w:num="1"/>
          <w:docGrid w:type="lines" w:linePitch="312" w:charSpace="0"/>
        </w:sectPr>
      </w:pPr>
    </w:p>
    <w:p>
      <w:pPr>
        <w:pStyle w:val="43"/>
        <w:spacing w:before="163" w:beforeLines="50"/>
        <w:ind w:firstLine="241"/>
        <w:jc w:val="center"/>
        <w:rPr>
          <w:rFonts w:ascii="Times New Roman" w:hAnsi="Times New Roman"/>
          <w:b/>
          <w:bCs/>
          <w:sz w:val="24"/>
        </w:rPr>
      </w:pPr>
      <w:r>
        <w:rPr>
          <w:rFonts w:ascii="Times New Roman" w:hAnsi="Times New Roman"/>
          <w:b/>
          <w:bCs/>
          <w:sz w:val="24"/>
        </w:rPr>
        <w:t>表2.5-1  大气环境主要保护目标</w:t>
      </w:r>
    </w:p>
    <w:tbl>
      <w:tblPr>
        <w:tblStyle w:val="4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59"/>
        <w:gridCol w:w="1555"/>
        <w:gridCol w:w="882"/>
        <w:gridCol w:w="1012"/>
        <w:gridCol w:w="1233"/>
        <w:gridCol w:w="1004"/>
        <w:gridCol w:w="1004"/>
        <w:gridCol w:w="1296"/>
        <w:gridCol w:w="1273"/>
        <w:gridCol w:w="992"/>
        <w:gridCol w:w="856"/>
        <w:gridCol w:w="1154"/>
        <w:gridCol w:w="115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Merge w:val="restart"/>
            <w:vAlign w:val="center"/>
          </w:tcPr>
          <w:p>
            <w:pPr>
              <w:adjustRightInd w:val="0"/>
              <w:snapToGrid w:val="0"/>
              <w:spacing w:line="240" w:lineRule="auto"/>
              <w:ind w:firstLine="0" w:firstLineChars="0"/>
              <w:jc w:val="center"/>
              <w:rPr>
                <w:rFonts w:cs="Times New Roman"/>
                <w:b/>
                <w:sz w:val="21"/>
              </w:rPr>
            </w:pPr>
            <w:r>
              <w:rPr>
                <w:rFonts w:cs="Times New Roman"/>
                <w:b/>
                <w:sz w:val="21"/>
              </w:rPr>
              <w:t>序号</w:t>
            </w:r>
          </w:p>
        </w:tc>
        <w:tc>
          <w:tcPr>
            <w:tcW w:w="549" w:type="pct"/>
            <w:vMerge w:val="restart"/>
            <w:vAlign w:val="center"/>
          </w:tcPr>
          <w:p>
            <w:pPr>
              <w:adjustRightInd w:val="0"/>
              <w:snapToGrid w:val="0"/>
              <w:spacing w:line="240" w:lineRule="auto"/>
              <w:ind w:firstLine="0" w:firstLineChars="0"/>
              <w:jc w:val="center"/>
              <w:rPr>
                <w:rFonts w:cs="Times New Roman"/>
                <w:b/>
                <w:sz w:val="21"/>
              </w:rPr>
            </w:pPr>
            <w:r>
              <w:rPr>
                <w:rFonts w:cs="Times New Roman"/>
                <w:b/>
                <w:sz w:val="21"/>
              </w:rPr>
              <w:t>名称</w:t>
            </w:r>
          </w:p>
        </w:tc>
        <w:tc>
          <w:tcPr>
            <w:tcW w:w="668" w:type="pct"/>
            <w:gridSpan w:val="2"/>
            <w:vAlign w:val="center"/>
          </w:tcPr>
          <w:p>
            <w:pPr>
              <w:adjustRightInd w:val="0"/>
              <w:snapToGrid w:val="0"/>
              <w:spacing w:line="240" w:lineRule="auto"/>
              <w:ind w:firstLine="0" w:firstLineChars="0"/>
              <w:jc w:val="center"/>
              <w:rPr>
                <w:rFonts w:cs="Times New Roman"/>
                <w:b/>
                <w:sz w:val="21"/>
              </w:rPr>
            </w:pPr>
            <w:r>
              <w:rPr>
                <w:rFonts w:cs="Times New Roman"/>
                <w:b/>
                <w:sz w:val="21"/>
              </w:rPr>
              <w:t>坐标/m</w:t>
            </w:r>
          </w:p>
        </w:tc>
        <w:tc>
          <w:tcPr>
            <w:tcW w:w="435" w:type="pct"/>
            <w:vMerge w:val="restart"/>
            <w:vAlign w:val="center"/>
          </w:tcPr>
          <w:p>
            <w:pPr>
              <w:adjustRightInd w:val="0"/>
              <w:snapToGrid w:val="0"/>
              <w:spacing w:line="240" w:lineRule="auto"/>
              <w:ind w:firstLine="0" w:firstLineChars="0"/>
              <w:jc w:val="center"/>
              <w:rPr>
                <w:rFonts w:cs="Times New Roman"/>
                <w:b/>
                <w:sz w:val="21"/>
              </w:rPr>
            </w:pPr>
            <w:r>
              <w:rPr>
                <w:rFonts w:cs="Times New Roman"/>
                <w:b/>
                <w:sz w:val="21"/>
              </w:rPr>
              <w:t>保护对象</w:t>
            </w:r>
          </w:p>
        </w:tc>
        <w:tc>
          <w:tcPr>
            <w:tcW w:w="354" w:type="pct"/>
            <w:vMerge w:val="restart"/>
            <w:vAlign w:val="center"/>
          </w:tcPr>
          <w:p>
            <w:pPr>
              <w:adjustRightInd w:val="0"/>
              <w:snapToGrid w:val="0"/>
              <w:spacing w:line="240" w:lineRule="auto"/>
              <w:ind w:firstLine="0" w:firstLineChars="0"/>
              <w:jc w:val="center"/>
              <w:rPr>
                <w:rFonts w:cs="Times New Roman"/>
                <w:b/>
                <w:sz w:val="21"/>
              </w:rPr>
            </w:pPr>
            <w:r>
              <w:rPr>
                <w:rFonts w:cs="Times New Roman"/>
                <w:b/>
                <w:sz w:val="21"/>
              </w:rPr>
              <w:t>保护内容</w:t>
            </w:r>
          </w:p>
        </w:tc>
        <w:tc>
          <w:tcPr>
            <w:tcW w:w="354" w:type="pct"/>
            <w:vMerge w:val="restart"/>
            <w:vAlign w:val="center"/>
          </w:tcPr>
          <w:p>
            <w:pPr>
              <w:adjustRightInd w:val="0"/>
              <w:snapToGrid w:val="0"/>
              <w:spacing w:line="240" w:lineRule="auto"/>
              <w:ind w:firstLine="0" w:firstLineChars="0"/>
              <w:jc w:val="center"/>
              <w:rPr>
                <w:rFonts w:cs="Times New Roman"/>
                <w:b/>
                <w:sz w:val="21"/>
              </w:rPr>
            </w:pPr>
            <w:r>
              <w:rPr>
                <w:rFonts w:cs="Times New Roman"/>
                <w:b/>
                <w:sz w:val="21"/>
              </w:rPr>
              <w:t>环境功能区</w:t>
            </w:r>
          </w:p>
        </w:tc>
        <w:tc>
          <w:tcPr>
            <w:tcW w:w="457" w:type="pct"/>
            <w:vMerge w:val="restart"/>
            <w:vAlign w:val="center"/>
          </w:tcPr>
          <w:p>
            <w:pPr>
              <w:adjustRightInd w:val="0"/>
              <w:snapToGrid w:val="0"/>
              <w:spacing w:line="240" w:lineRule="auto"/>
              <w:ind w:firstLine="0" w:firstLineChars="0"/>
              <w:jc w:val="center"/>
              <w:rPr>
                <w:rFonts w:cs="Times New Roman"/>
                <w:b/>
                <w:sz w:val="21"/>
              </w:rPr>
            </w:pPr>
            <w:r>
              <w:rPr>
                <w:rFonts w:cs="Times New Roman"/>
                <w:b/>
                <w:sz w:val="21"/>
              </w:rPr>
              <w:t>规模人数</w:t>
            </w:r>
          </w:p>
        </w:tc>
        <w:tc>
          <w:tcPr>
            <w:tcW w:w="449" w:type="pct"/>
            <w:vMerge w:val="restart"/>
            <w:vAlign w:val="center"/>
          </w:tcPr>
          <w:p>
            <w:pPr>
              <w:adjustRightInd w:val="0"/>
              <w:snapToGrid w:val="0"/>
              <w:spacing w:line="240" w:lineRule="auto"/>
              <w:ind w:firstLine="0" w:firstLineChars="0"/>
              <w:jc w:val="center"/>
              <w:rPr>
                <w:rFonts w:cs="Times New Roman"/>
                <w:b/>
                <w:sz w:val="21"/>
              </w:rPr>
            </w:pPr>
            <w:r>
              <w:rPr>
                <w:rFonts w:cs="Times New Roman"/>
                <w:b/>
                <w:sz w:val="21"/>
              </w:rPr>
              <w:t>相对厂址方位</w:t>
            </w:r>
          </w:p>
        </w:tc>
        <w:tc>
          <w:tcPr>
            <w:tcW w:w="350" w:type="pct"/>
            <w:vMerge w:val="restart"/>
            <w:vAlign w:val="center"/>
          </w:tcPr>
          <w:p>
            <w:pPr>
              <w:adjustRightInd w:val="0"/>
              <w:snapToGrid w:val="0"/>
              <w:spacing w:line="240" w:lineRule="auto"/>
              <w:ind w:firstLine="0" w:firstLineChars="0"/>
              <w:jc w:val="center"/>
              <w:rPr>
                <w:rFonts w:cs="Times New Roman"/>
                <w:b/>
                <w:sz w:val="21"/>
              </w:rPr>
            </w:pPr>
            <w:r>
              <w:rPr>
                <w:rFonts w:cs="Times New Roman"/>
                <w:b/>
                <w:sz w:val="21"/>
              </w:rPr>
              <w:t>相对厂址距离/m</w:t>
            </w:r>
          </w:p>
        </w:tc>
        <w:tc>
          <w:tcPr>
            <w:tcW w:w="302" w:type="pct"/>
            <w:vMerge w:val="restart"/>
            <w:vAlign w:val="center"/>
          </w:tcPr>
          <w:p>
            <w:pPr>
              <w:adjustRightInd w:val="0"/>
              <w:snapToGrid w:val="0"/>
              <w:spacing w:line="240" w:lineRule="auto"/>
              <w:ind w:firstLine="0" w:firstLineChars="0"/>
              <w:jc w:val="center"/>
              <w:rPr>
                <w:rFonts w:cs="Times New Roman"/>
                <w:b/>
                <w:sz w:val="21"/>
              </w:rPr>
            </w:pPr>
            <w:r>
              <w:rPr>
                <w:rFonts w:cs="Times New Roman"/>
                <w:b/>
                <w:sz w:val="21"/>
              </w:rPr>
              <w:t>高差</w:t>
            </w:r>
          </w:p>
        </w:tc>
        <w:tc>
          <w:tcPr>
            <w:tcW w:w="407" w:type="pct"/>
            <w:vMerge w:val="restart"/>
            <w:vAlign w:val="center"/>
          </w:tcPr>
          <w:p>
            <w:pPr>
              <w:adjustRightInd w:val="0"/>
              <w:snapToGrid w:val="0"/>
              <w:spacing w:line="240" w:lineRule="auto"/>
              <w:ind w:firstLine="0" w:firstLineChars="0"/>
              <w:jc w:val="center"/>
              <w:rPr>
                <w:rFonts w:cs="Times New Roman"/>
                <w:b/>
                <w:sz w:val="21"/>
              </w:rPr>
            </w:pPr>
            <w:r>
              <w:rPr>
                <w:rFonts w:cs="Times New Roman"/>
                <w:b/>
                <w:sz w:val="21"/>
              </w:rPr>
              <w:t>是否有山体阻隔</w:t>
            </w:r>
          </w:p>
        </w:tc>
        <w:tc>
          <w:tcPr>
            <w:tcW w:w="407" w:type="pct"/>
            <w:vMerge w:val="restart"/>
            <w:vAlign w:val="center"/>
          </w:tcPr>
          <w:p>
            <w:pPr>
              <w:adjustRightInd w:val="0"/>
              <w:snapToGrid w:val="0"/>
              <w:spacing w:line="240" w:lineRule="auto"/>
              <w:ind w:firstLine="0" w:firstLineChars="0"/>
              <w:jc w:val="center"/>
              <w:rPr>
                <w:rFonts w:cs="Times New Roman"/>
                <w:b/>
                <w:sz w:val="21"/>
              </w:rPr>
            </w:pPr>
            <w:r>
              <w:rPr>
                <w:rFonts w:cs="Times New Roman"/>
                <w:b/>
                <w:sz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268" w:type="pct"/>
            <w:vMerge w:val="continue"/>
            <w:vAlign w:val="center"/>
          </w:tcPr>
          <w:p>
            <w:pPr>
              <w:adjustRightInd w:val="0"/>
              <w:snapToGrid w:val="0"/>
              <w:spacing w:line="240" w:lineRule="auto"/>
              <w:ind w:firstLine="0" w:firstLineChars="0"/>
              <w:jc w:val="center"/>
              <w:rPr>
                <w:rFonts w:cs="Times New Roman"/>
                <w:b/>
                <w:sz w:val="21"/>
              </w:rPr>
            </w:pPr>
          </w:p>
        </w:tc>
        <w:tc>
          <w:tcPr>
            <w:tcW w:w="549" w:type="pct"/>
            <w:vMerge w:val="continue"/>
            <w:vAlign w:val="center"/>
          </w:tcPr>
          <w:p>
            <w:pPr>
              <w:adjustRightInd w:val="0"/>
              <w:snapToGrid w:val="0"/>
              <w:spacing w:line="240" w:lineRule="auto"/>
              <w:ind w:firstLine="0" w:firstLineChars="0"/>
              <w:jc w:val="center"/>
              <w:rPr>
                <w:rFonts w:cs="Times New Roman"/>
                <w:b/>
                <w:sz w:val="21"/>
              </w:rPr>
            </w:pPr>
          </w:p>
        </w:tc>
        <w:tc>
          <w:tcPr>
            <w:tcW w:w="311" w:type="pct"/>
            <w:vAlign w:val="center"/>
          </w:tcPr>
          <w:p>
            <w:pPr>
              <w:adjustRightInd w:val="0"/>
              <w:snapToGrid w:val="0"/>
              <w:spacing w:line="240" w:lineRule="auto"/>
              <w:ind w:firstLine="0" w:firstLineChars="0"/>
              <w:jc w:val="center"/>
              <w:rPr>
                <w:rFonts w:cs="Times New Roman"/>
                <w:b/>
                <w:sz w:val="21"/>
              </w:rPr>
            </w:pPr>
            <w:r>
              <w:rPr>
                <w:rFonts w:cs="Times New Roman"/>
                <w:b/>
                <w:sz w:val="21"/>
              </w:rPr>
              <w:t>X</w:t>
            </w:r>
          </w:p>
        </w:tc>
        <w:tc>
          <w:tcPr>
            <w:tcW w:w="356" w:type="pct"/>
            <w:vAlign w:val="center"/>
          </w:tcPr>
          <w:p>
            <w:pPr>
              <w:adjustRightInd w:val="0"/>
              <w:snapToGrid w:val="0"/>
              <w:spacing w:line="240" w:lineRule="auto"/>
              <w:ind w:firstLine="0" w:firstLineChars="0"/>
              <w:jc w:val="center"/>
              <w:rPr>
                <w:rFonts w:cs="Times New Roman"/>
                <w:b/>
                <w:sz w:val="21"/>
              </w:rPr>
            </w:pPr>
            <w:r>
              <w:rPr>
                <w:rFonts w:cs="Times New Roman"/>
                <w:b/>
                <w:sz w:val="21"/>
              </w:rPr>
              <w:t>Y</w:t>
            </w:r>
          </w:p>
        </w:tc>
        <w:tc>
          <w:tcPr>
            <w:tcW w:w="435" w:type="pct"/>
            <w:vMerge w:val="continue"/>
            <w:vAlign w:val="center"/>
          </w:tcPr>
          <w:p>
            <w:pPr>
              <w:adjustRightInd w:val="0"/>
              <w:snapToGrid w:val="0"/>
              <w:spacing w:line="240" w:lineRule="auto"/>
              <w:ind w:firstLine="0" w:firstLineChars="0"/>
              <w:jc w:val="center"/>
              <w:rPr>
                <w:rFonts w:cs="Times New Roman"/>
                <w:b/>
                <w:sz w:val="21"/>
              </w:rPr>
            </w:pPr>
          </w:p>
        </w:tc>
        <w:tc>
          <w:tcPr>
            <w:tcW w:w="354" w:type="pct"/>
            <w:vMerge w:val="continue"/>
            <w:vAlign w:val="center"/>
          </w:tcPr>
          <w:p>
            <w:pPr>
              <w:adjustRightInd w:val="0"/>
              <w:snapToGrid w:val="0"/>
              <w:spacing w:line="240" w:lineRule="auto"/>
              <w:ind w:firstLine="0" w:firstLineChars="0"/>
              <w:jc w:val="center"/>
              <w:rPr>
                <w:rFonts w:cs="Times New Roman"/>
                <w:b/>
                <w:sz w:val="21"/>
              </w:rPr>
            </w:pPr>
          </w:p>
        </w:tc>
        <w:tc>
          <w:tcPr>
            <w:tcW w:w="354" w:type="pct"/>
            <w:vMerge w:val="continue"/>
            <w:vAlign w:val="center"/>
          </w:tcPr>
          <w:p>
            <w:pPr>
              <w:adjustRightInd w:val="0"/>
              <w:snapToGrid w:val="0"/>
              <w:spacing w:line="240" w:lineRule="auto"/>
              <w:ind w:firstLine="0" w:firstLineChars="0"/>
              <w:jc w:val="center"/>
              <w:rPr>
                <w:rFonts w:cs="Times New Roman"/>
                <w:b/>
                <w:sz w:val="21"/>
              </w:rPr>
            </w:pPr>
          </w:p>
        </w:tc>
        <w:tc>
          <w:tcPr>
            <w:tcW w:w="457" w:type="pct"/>
            <w:vMerge w:val="continue"/>
            <w:vAlign w:val="center"/>
          </w:tcPr>
          <w:p>
            <w:pPr>
              <w:adjustRightInd w:val="0"/>
              <w:snapToGrid w:val="0"/>
              <w:spacing w:line="240" w:lineRule="auto"/>
              <w:ind w:firstLine="0" w:firstLineChars="0"/>
              <w:jc w:val="center"/>
              <w:rPr>
                <w:rFonts w:cs="Times New Roman"/>
                <w:b/>
                <w:sz w:val="21"/>
              </w:rPr>
            </w:pPr>
          </w:p>
        </w:tc>
        <w:tc>
          <w:tcPr>
            <w:tcW w:w="449" w:type="pct"/>
            <w:vMerge w:val="continue"/>
            <w:vAlign w:val="center"/>
          </w:tcPr>
          <w:p>
            <w:pPr>
              <w:adjustRightInd w:val="0"/>
              <w:snapToGrid w:val="0"/>
              <w:spacing w:line="240" w:lineRule="auto"/>
              <w:ind w:firstLine="0" w:firstLineChars="0"/>
              <w:jc w:val="center"/>
              <w:rPr>
                <w:rFonts w:cs="Times New Roman"/>
                <w:b/>
                <w:sz w:val="21"/>
              </w:rPr>
            </w:pPr>
          </w:p>
        </w:tc>
        <w:tc>
          <w:tcPr>
            <w:tcW w:w="350" w:type="pct"/>
            <w:vMerge w:val="continue"/>
            <w:vAlign w:val="center"/>
          </w:tcPr>
          <w:p>
            <w:pPr>
              <w:adjustRightInd w:val="0"/>
              <w:snapToGrid w:val="0"/>
              <w:spacing w:line="240" w:lineRule="auto"/>
              <w:ind w:firstLine="0" w:firstLineChars="0"/>
              <w:jc w:val="center"/>
              <w:rPr>
                <w:rFonts w:cs="Times New Roman"/>
                <w:b/>
                <w:sz w:val="21"/>
              </w:rPr>
            </w:pPr>
          </w:p>
        </w:tc>
        <w:tc>
          <w:tcPr>
            <w:tcW w:w="302" w:type="pct"/>
            <w:vMerge w:val="continue"/>
            <w:vAlign w:val="center"/>
          </w:tcPr>
          <w:p>
            <w:pPr>
              <w:adjustRightInd w:val="0"/>
              <w:snapToGrid w:val="0"/>
              <w:spacing w:line="240" w:lineRule="auto"/>
              <w:ind w:firstLine="0" w:firstLineChars="0"/>
              <w:jc w:val="center"/>
              <w:rPr>
                <w:rFonts w:cs="Times New Roman"/>
                <w:b/>
                <w:sz w:val="21"/>
              </w:rPr>
            </w:pPr>
          </w:p>
        </w:tc>
        <w:tc>
          <w:tcPr>
            <w:tcW w:w="407" w:type="pct"/>
            <w:vMerge w:val="continue"/>
            <w:vAlign w:val="center"/>
          </w:tcPr>
          <w:p>
            <w:pPr>
              <w:adjustRightInd w:val="0"/>
              <w:snapToGrid w:val="0"/>
              <w:spacing w:line="240" w:lineRule="auto"/>
              <w:ind w:firstLine="0" w:firstLineChars="0"/>
              <w:jc w:val="center"/>
              <w:rPr>
                <w:rFonts w:cs="Times New Roman"/>
                <w:b/>
                <w:sz w:val="21"/>
              </w:rPr>
            </w:pPr>
          </w:p>
        </w:tc>
        <w:tc>
          <w:tcPr>
            <w:tcW w:w="407" w:type="pct"/>
            <w:vMerge w:val="continue"/>
            <w:vAlign w:val="center"/>
          </w:tcPr>
          <w:p>
            <w:pPr>
              <w:adjustRightInd w:val="0"/>
              <w:snapToGrid w:val="0"/>
              <w:spacing w:line="240" w:lineRule="auto"/>
              <w:ind w:firstLine="0" w:firstLineChars="0"/>
              <w:jc w:val="center"/>
              <w:rPr>
                <w:rFonts w:cs="Times New Roman"/>
                <w:b/>
                <w:sz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1</w:t>
            </w:r>
          </w:p>
        </w:tc>
        <w:tc>
          <w:tcPr>
            <w:tcW w:w="549" w:type="pct"/>
            <w:vAlign w:val="center"/>
          </w:tcPr>
          <w:p>
            <w:pPr>
              <w:spacing w:line="240" w:lineRule="auto"/>
              <w:ind w:firstLine="0" w:firstLineChars="0"/>
              <w:jc w:val="center"/>
              <w:rPr>
                <w:rFonts w:cs="Times New Roman"/>
                <w:sz w:val="22"/>
              </w:rPr>
            </w:pPr>
            <w:r>
              <w:rPr>
                <w:rFonts w:cs="Times New Roman"/>
                <w:sz w:val="22"/>
              </w:rPr>
              <w:t>方坳</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3</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439</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约30人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西北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15</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7.12</w:t>
            </w:r>
          </w:p>
        </w:tc>
        <w:tc>
          <w:tcPr>
            <w:tcW w:w="407" w:type="pct"/>
            <w:vAlign w:val="center"/>
          </w:tcPr>
          <w:p>
            <w:pPr>
              <w:spacing w:line="240" w:lineRule="auto"/>
              <w:ind w:firstLine="0" w:firstLineChars="0"/>
              <w:jc w:val="center"/>
              <w:rPr>
                <w:rFonts w:cs="Times New Roman"/>
              </w:rPr>
            </w:pPr>
            <w:r>
              <w:rPr>
                <w:rFonts w:cs="Times New Roman"/>
              </w:rPr>
              <w:t>是</w:t>
            </w:r>
          </w:p>
        </w:tc>
        <w:tc>
          <w:tcPr>
            <w:tcW w:w="407" w:type="pct"/>
            <w:vAlign w:val="center"/>
          </w:tcPr>
          <w:p>
            <w:pPr>
              <w:spacing w:line="240" w:lineRule="auto"/>
              <w:ind w:firstLine="0" w:firstLineChars="0"/>
              <w:jc w:val="center"/>
              <w:rPr>
                <w:rFonts w:cs="Times New Roman"/>
              </w:rPr>
            </w:pPr>
            <w:r>
              <w:rPr>
                <w:rFonts w:cs="Times New Roman"/>
              </w:rPr>
              <w:t>园区内，</w:t>
            </w:r>
            <w:r>
              <w:rPr>
                <w:rFonts w:cs="Times New Roman"/>
                <w:szCs w:val="21"/>
              </w:rPr>
              <w:t>近期搬迁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2</w:t>
            </w:r>
          </w:p>
        </w:tc>
        <w:tc>
          <w:tcPr>
            <w:tcW w:w="549" w:type="pct"/>
            <w:vAlign w:val="center"/>
          </w:tcPr>
          <w:p>
            <w:pPr>
              <w:spacing w:line="240" w:lineRule="auto"/>
              <w:ind w:firstLine="0" w:firstLineChars="0"/>
              <w:jc w:val="center"/>
              <w:rPr>
                <w:rFonts w:cs="Times New Roman"/>
                <w:sz w:val="22"/>
              </w:rPr>
            </w:pPr>
            <w:r>
              <w:rPr>
                <w:rFonts w:cs="Times New Roman"/>
                <w:sz w:val="22"/>
              </w:rPr>
              <w:t>南塘</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-188</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-97</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约4人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100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-17.65</w:t>
            </w:r>
          </w:p>
        </w:tc>
        <w:tc>
          <w:tcPr>
            <w:tcW w:w="407" w:type="pct"/>
            <w:vAlign w:val="center"/>
          </w:tcPr>
          <w:p>
            <w:pPr>
              <w:spacing w:line="240" w:lineRule="auto"/>
              <w:ind w:firstLine="0" w:firstLineChars="0"/>
              <w:jc w:val="center"/>
              <w:rPr>
                <w:rFonts w:cs="Times New Roman"/>
              </w:rPr>
            </w:pPr>
            <w:r>
              <w:rPr>
                <w:rFonts w:cs="Times New Roman"/>
              </w:rPr>
              <w:t>是</w:t>
            </w:r>
          </w:p>
        </w:tc>
        <w:tc>
          <w:tcPr>
            <w:tcW w:w="407" w:type="pct"/>
            <w:vAlign w:val="center"/>
          </w:tcPr>
          <w:p>
            <w:pPr>
              <w:spacing w:line="240" w:lineRule="auto"/>
              <w:ind w:firstLine="0" w:firstLineChars="0"/>
              <w:jc w:val="center"/>
              <w:rPr>
                <w:rFonts w:cs="Times New Roman"/>
              </w:rPr>
            </w:pPr>
            <w:r>
              <w:rPr>
                <w:rFonts w:cs="Times New Roman"/>
              </w:rPr>
              <w:t>园区内，</w:t>
            </w:r>
            <w:r>
              <w:rPr>
                <w:rFonts w:cs="Times New Roman"/>
                <w:szCs w:val="21"/>
              </w:rPr>
              <w:t>近期搬迁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3</w:t>
            </w:r>
          </w:p>
        </w:tc>
        <w:tc>
          <w:tcPr>
            <w:tcW w:w="549" w:type="pct"/>
            <w:vAlign w:val="center"/>
          </w:tcPr>
          <w:p>
            <w:pPr>
              <w:spacing w:line="240" w:lineRule="auto"/>
              <w:ind w:firstLine="0" w:firstLineChars="0"/>
              <w:jc w:val="center"/>
              <w:rPr>
                <w:rFonts w:cs="Times New Roman"/>
                <w:sz w:val="22"/>
              </w:rPr>
            </w:pPr>
            <w:r>
              <w:rPr>
                <w:rFonts w:cs="Times New Roman"/>
                <w:sz w:val="22"/>
              </w:rPr>
              <w:t>宝划堂</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-123</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850</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约79人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西北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425</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12.66</w:t>
            </w:r>
          </w:p>
        </w:tc>
        <w:tc>
          <w:tcPr>
            <w:tcW w:w="407" w:type="pct"/>
            <w:vAlign w:val="center"/>
          </w:tcPr>
          <w:p>
            <w:pPr>
              <w:spacing w:line="240" w:lineRule="auto"/>
              <w:ind w:firstLine="0" w:firstLineChars="0"/>
              <w:jc w:val="center"/>
              <w:rPr>
                <w:rFonts w:cs="Times New Roman"/>
              </w:rPr>
            </w:pPr>
            <w:r>
              <w:rPr>
                <w:rFonts w:cs="Times New Roman"/>
              </w:rPr>
              <w:t>是</w:t>
            </w:r>
          </w:p>
        </w:tc>
        <w:tc>
          <w:tcPr>
            <w:tcW w:w="407" w:type="pct"/>
            <w:vAlign w:val="center"/>
          </w:tcPr>
          <w:p>
            <w:pPr>
              <w:spacing w:line="240" w:lineRule="auto"/>
              <w:ind w:firstLine="0" w:firstLineChars="0"/>
              <w:jc w:val="center"/>
              <w:rPr>
                <w:rFonts w:cs="Times New Roman"/>
              </w:rPr>
            </w:pPr>
            <w:r>
              <w:rPr>
                <w:rFonts w:cs="Times New Roman"/>
              </w:rPr>
              <w:t>园区内，</w:t>
            </w:r>
            <w:r>
              <w:rPr>
                <w:rFonts w:cs="Times New Roman"/>
                <w:szCs w:val="21"/>
              </w:rPr>
              <w:t>近期搬迁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4</w:t>
            </w:r>
          </w:p>
        </w:tc>
        <w:tc>
          <w:tcPr>
            <w:tcW w:w="549" w:type="pct"/>
            <w:vAlign w:val="center"/>
          </w:tcPr>
          <w:p>
            <w:pPr>
              <w:spacing w:line="240" w:lineRule="auto"/>
              <w:ind w:firstLine="0" w:firstLineChars="0"/>
              <w:jc w:val="center"/>
              <w:rPr>
                <w:rFonts w:cs="Times New Roman"/>
                <w:sz w:val="22"/>
              </w:rPr>
            </w:pPr>
            <w:r>
              <w:rPr>
                <w:rFonts w:cs="Times New Roman"/>
                <w:sz w:val="22"/>
              </w:rPr>
              <w:t>白象村</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2354</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15</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约405人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东</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600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26.5</w:t>
            </w:r>
          </w:p>
        </w:tc>
        <w:tc>
          <w:tcPr>
            <w:tcW w:w="407" w:type="pct"/>
            <w:vAlign w:val="center"/>
          </w:tcPr>
          <w:p>
            <w:pPr>
              <w:spacing w:line="240" w:lineRule="auto"/>
              <w:ind w:firstLine="0" w:firstLineChars="0"/>
              <w:jc w:val="center"/>
              <w:rPr>
                <w:rFonts w:cs="Times New Roman"/>
              </w:rPr>
            </w:pPr>
            <w:r>
              <w:rPr>
                <w:rFonts w:cs="Times New Roman"/>
              </w:rPr>
              <w:t>是</w:t>
            </w:r>
          </w:p>
        </w:tc>
        <w:tc>
          <w:tcPr>
            <w:tcW w:w="407" w:type="pct"/>
            <w:vAlign w:val="center"/>
          </w:tcPr>
          <w:p>
            <w:pPr>
              <w:spacing w:line="240" w:lineRule="auto"/>
              <w:ind w:firstLine="0" w:firstLineChars="0"/>
              <w:jc w:val="center"/>
              <w:rPr>
                <w:rFonts w:cs="Times New Roman"/>
              </w:rPr>
            </w:pPr>
            <w:r>
              <w:rPr>
                <w:rFonts w:cs="Times New Roman"/>
              </w:rPr>
              <w:t>园区内，</w:t>
            </w:r>
            <w:r>
              <w:rPr>
                <w:rFonts w:cs="Times New Roman"/>
                <w:szCs w:val="21"/>
              </w:rPr>
              <w:t>近期搬迁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5</w:t>
            </w:r>
          </w:p>
        </w:tc>
        <w:tc>
          <w:tcPr>
            <w:tcW w:w="549" w:type="pct"/>
            <w:vAlign w:val="center"/>
          </w:tcPr>
          <w:p>
            <w:pPr>
              <w:spacing w:line="240" w:lineRule="auto"/>
              <w:ind w:firstLine="0" w:firstLineChars="0"/>
              <w:jc w:val="center"/>
              <w:rPr>
                <w:rFonts w:cs="Times New Roman"/>
                <w:sz w:val="22"/>
              </w:rPr>
            </w:pPr>
            <w:r>
              <w:rPr>
                <w:rFonts w:cs="Times New Roman"/>
                <w:sz w:val="22"/>
              </w:rPr>
              <w:t>荷雅堂</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1946</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-140</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约50人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东南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250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31.58</w:t>
            </w:r>
          </w:p>
        </w:tc>
        <w:tc>
          <w:tcPr>
            <w:tcW w:w="407" w:type="pct"/>
            <w:vAlign w:val="center"/>
          </w:tcPr>
          <w:p>
            <w:pPr>
              <w:spacing w:line="240" w:lineRule="auto"/>
              <w:ind w:firstLine="0" w:firstLineChars="0"/>
              <w:jc w:val="center"/>
              <w:rPr>
                <w:rFonts w:cs="Times New Roman"/>
              </w:rPr>
            </w:pPr>
            <w:r>
              <w:rPr>
                <w:rFonts w:cs="Times New Roman"/>
              </w:rPr>
              <w:t>否</w:t>
            </w:r>
          </w:p>
        </w:tc>
        <w:tc>
          <w:tcPr>
            <w:tcW w:w="407" w:type="pct"/>
            <w:vAlign w:val="center"/>
          </w:tcPr>
          <w:p>
            <w:pPr>
              <w:spacing w:line="240" w:lineRule="auto"/>
              <w:ind w:firstLine="0" w:firstLineChars="0"/>
              <w:jc w:val="center"/>
              <w:rPr>
                <w:rFonts w:cs="Times New Roman"/>
              </w:rPr>
            </w:pPr>
            <w:r>
              <w:rPr>
                <w:rFonts w:cs="Times New Roman"/>
              </w:rPr>
              <w:t>园区内，</w:t>
            </w:r>
            <w:r>
              <w:rPr>
                <w:rFonts w:cs="Times New Roman"/>
                <w:szCs w:val="21"/>
              </w:rPr>
              <w:t>近期搬迁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6</w:t>
            </w:r>
          </w:p>
        </w:tc>
        <w:tc>
          <w:tcPr>
            <w:tcW w:w="549" w:type="pct"/>
            <w:vAlign w:val="center"/>
          </w:tcPr>
          <w:p>
            <w:pPr>
              <w:spacing w:line="240" w:lineRule="auto"/>
              <w:ind w:firstLine="0" w:firstLineChars="0"/>
              <w:jc w:val="center"/>
              <w:rPr>
                <w:rFonts w:cs="Times New Roman"/>
                <w:sz w:val="22"/>
              </w:rPr>
            </w:pPr>
            <w:r>
              <w:rPr>
                <w:rFonts w:cs="Times New Roman"/>
                <w:sz w:val="22"/>
              </w:rPr>
              <w:t>高阳村</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-101</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1655</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pStyle w:val="76"/>
              <w:snapToGrid/>
              <w:spacing w:line="240" w:lineRule="auto"/>
              <w:ind w:firstLine="0"/>
              <w:rPr>
                <w:rFonts w:cs="Times New Roman"/>
                <w:sz w:val="21"/>
                <w:szCs w:val="21"/>
              </w:rPr>
            </w:pPr>
            <w:r>
              <w:rPr>
                <w:rFonts w:cs="Times New Roman"/>
                <w:sz w:val="21"/>
                <w:szCs w:val="21"/>
              </w:rPr>
              <w:t>约150人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西北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1250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-8.14</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7</w:t>
            </w:r>
          </w:p>
        </w:tc>
        <w:tc>
          <w:tcPr>
            <w:tcW w:w="549" w:type="pct"/>
            <w:vAlign w:val="center"/>
          </w:tcPr>
          <w:p>
            <w:pPr>
              <w:spacing w:line="240" w:lineRule="auto"/>
              <w:ind w:firstLine="0" w:firstLineChars="0"/>
              <w:jc w:val="center"/>
              <w:rPr>
                <w:rFonts w:cs="Times New Roman"/>
                <w:sz w:val="22"/>
              </w:rPr>
            </w:pPr>
            <w:r>
              <w:rPr>
                <w:rFonts w:cs="Times New Roman"/>
                <w:sz w:val="22"/>
              </w:rPr>
              <w:t>太清村</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805</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1327</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pStyle w:val="76"/>
              <w:snapToGrid/>
              <w:spacing w:line="240" w:lineRule="auto"/>
              <w:ind w:firstLine="0"/>
              <w:rPr>
                <w:rFonts w:cs="Times New Roman"/>
                <w:sz w:val="21"/>
                <w:szCs w:val="21"/>
              </w:rPr>
            </w:pPr>
            <w:r>
              <w:rPr>
                <w:rFonts w:cs="Times New Roman"/>
                <w:sz w:val="21"/>
                <w:szCs w:val="21"/>
              </w:rPr>
              <w:t>约120人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940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-2.85</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8</w:t>
            </w:r>
          </w:p>
        </w:tc>
        <w:tc>
          <w:tcPr>
            <w:tcW w:w="549" w:type="pct"/>
            <w:vAlign w:val="center"/>
          </w:tcPr>
          <w:p>
            <w:pPr>
              <w:spacing w:line="240" w:lineRule="auto"/>
              <w:ind w:firstLine="0" w:firstLineChars="0"/>
              <w:jc w:val="center"/>
              <w:rPr>
                <w:rFonts w:cs="Times New Roman"/>
                <w:sz w:val="22"/>
              </w:rPr>
            </w:pPr>
            <w:r>
              <w:rPr>
                <w:rFonts w:cs="Times New Roman"/>
                <w:sz w:val="22"/>
              </w:rPr>
              <w:t>高桥村</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392</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1948</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约50人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1550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-2.02</w:t>
            </w:r>
          </w:p>
        </w:tc>
        <w:tc>
          <w:tcPr>
            <w:tcW w:w="407" w:type="pct"/>
            <w:vAlign w:val="center"/>
          </w:tcPr>
          <w:p>
            <w:pPr>
              <w:spacing w:line="240" w:lineRule="auto"/>
              <w:ind w:firstLine="0" w:firstLineChars="0"/>
              <w:jc w:val="center"/>
              <w:rPr>
                <w:rFonts w:cs="Times New Roman"/>
              </w:rPr>
            </w:pPr>
            <w:r>
              <w:rPr>
                <w:rFonts w:cs="Times New Roman"/>
              </w:rPr>
              <w:t>是</w:t>
            </w:r>
          </w:p>
        </w:tc>
        <w:tc>
          <w:tcPr>
            <w:tcW w:w="407" w:type="pct"/>
            <w:vAlign w:val="center"/>
          </w:tcPr>
          <w:p>
            <w:pPr>
              <w:spacing w:line="240" w:lineRule="auto"/>
              <w:ind w:firstLine="0" w:firstLineChars="0"/>
              <w:jc w:val="center"/>
              <w:rPr>
                <w:rFonts w:cs="Times New Roman"/>
              </w:rPr>
            </w:pPr>
            <w:r>
              <w:rPr>
                <w:rFonts w:cs="Times New Roman"/>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9</w:t>
            </w:r>
          </w:p>
        </w:tc>
        <w:tc>
          <w:tcPr>
            <w:tcW w:w="549" w:type="pct"/>
            <w:vAlign w:val="center"/>
          </w:tcPr>
          <w:p>
            <w:pPr>
              <w:spacing w:line="240" w:lineRule="auto"/>
              <w:ind w:firstLine="0" w:firstLineChars="0"/>
              <w:jc w:val="center"/>
              <w:rPr>
                <w:rFonts w:cs="Times New Roman"/>
                <w:sz w:val="22"/>
              </w:rPr>
            </w:pPr>
            <w:r>
              <w:rPr>
                <w:rFonts w:cs="Times New Roman"/>
                <w:sz w:val="22"/>
              </w:rPr>
              <w:t>高湾村</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324</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2459</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约20人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2050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-8.85</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10</w:t>
            </w:r>
          </w:p>
        </w:tc>
        <w:tc>
          <w:tcPr>
            <w:tcW w:w="549" w:type="pct"/>
            <w:vAlign w:val="center"/>
          </w:tcPr>
          <w:p>
            <w:pPr>
              <w:spacing w:line="240" w:lineRule="auto"/>
              <w:ind w:firstLine="0" w:firstLineChars="0"/>
              <w:jc w:val="center"/>
              <w:rPr>
                <w:rFonts w:cs="Times New Roman"/>
                <w:sz w:val="22"/>
              </w:rPr>
            </w:pPr>
            <w:r>
              <w:rPr>
                <w:rFonts w:cs="Times New Roman"/>
                <w:sz w:val="22"/>
              </w:rPr>
              <w:t>富家塘</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-744</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1157</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约40人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西北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950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-13.71</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11</w:t>
            </w:r>
          </w:p>
        </w:tc>
        <w:tc>
          <w:tcPr>
            <w:tcW w:w="549" w:type="pct"/>
            <w:vAlign w:val="center"/>
          </w:tcPr>
          <w:p>
            <w:pPr>
              <w:spacing w:line="240" w:lineRule="auto"/>
              <w:ind w:firstLine="0" w:firstLineChars="0"/>
              <w:jc w:val="center"/>
              <w:rPr>
                <w:rFonts w:cs="Times New Roman"/>
                <w:sz w:val="22"/>
              </w:rPr>
            </w:pPr>
            <w:r>
              <w:rPr>
                <w:rFonts w:cs="Times New Roman"/>
                <w:sz w:val="22"/>
              </w:rPr>
              <w:t>畔塘</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-1212</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876</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约20人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西北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1250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6.08</w:t>
            </w:r>
          </w:p>
        </w:tc>
        <w:tc>
          <w:tcPr>
            <w:tcW w:w="407" w:type="pct"/>
            <w:vAlign w:val="center"/>
          </w:tcPr>
          <w:p>
            <w:pPr>
              <w:spacing w:line="240" w:lineRule="auto"/>
              <w:ind w:firstLine="0" w:firstLineChars="0"/>
              <w:jc w:val="center"/>
              <w:rPr>
                <w:rFonts w:cs="Times New Roman"/>
              </w:rPr>
            </w:pPr>
            <w:r>
              <w:rPr>
                <w:rFonts w:cs="Times New Roman"/>
              </w:rPr>
              <w:t>是</w:t>
            </w:r>
          </w:p>
        </w:tc>
        <w:tc>
          <w:tcPr>
            <w:tcW w:w="407" w:type="pct"/>
            <w:vAlign w:val="center"/>
          </w:tcPr>
          <w:p>
            <w:pPr>
              <w:spacing w:line="240" w:lineRule="auto"/>
              <w:ind w:firstLine="0" w:firstLineChars="0"/>
              <w:jc w:val="center"/>
              <w:rPr>
                <w:rFonts w:cs="Times New Roman"/>
              </w:rPr>
            </w:pPr>
            <w:r>
              <w:rPr>
                <w:rFonts w:cs="Times New Roman"/>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12</w:t>
            </w:r>
          </w:p>
        </w:tc>
        <w:tc>
          <w:tcPr>
            <w:tcW w:w="549" w:type="pct"/>
            <w:vAlign w:val="center"/>
          </w:tcPr>
          <w:p>
            <w:pPr>
              <w:spacing w:line="240" w:lineRule="auto"/>
              <w:ind w:firstLine="0" w:firstLineChars="0"/>
              <w:jc w:val="center"/>
              <w:rPr>
                <w:rFonts w:cs="Times New Roman"/>
                <w:sz w:val="22"/>
              </w:rPr>
            </w:pPr>
            <w:r>
              <w:rPr>
                <w:rFonts w:cs="Times New Roman"/>
                <w:sz w:val="22"/>
              </w:rPr>
              <w:t>纱帽山</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-637</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791</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约120人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西北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650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-3.00</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13</w:t>
            </w:r>
          </w:p>
        </w:tc>
        <w:tc>
          <w:tcPr>
            <w:tcW w:w="549" w:type="pct"/>
            <w:vAlign w:val="center"/>
          </w:tcPr>
          <w:p>
            <w:pPr>
              <w:spacing w:line="240" w:lineRule="auto"/>
              <w:ind w:firstLine="0" w:firstLineChars="0"/>
              <w:jc w:val="center"/>
              <w:rPr>
                <w:rFonts w:cs="Times New Roman"/>
                <w:sz w:val="22"/>
              </w:rPr>
            </w:pPr>
            <w:r>
              <w:rPr>
                <w:rFonts w:cs="Times New Roman"/>
                <w:sz w:val="22"/>
              </w:rPr>
              <w:t>童知</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-260</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879</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约30人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西北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500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12.02</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14</w:t>
            </w:r>
          </w:p>
        </w:tc>
        <w:tc>
          <w:tcPr>
            <w:tcW w:w="549" w:type="pct"/>
            <w:vAlign w:val="center"/>
          </w:tcPr>
          <w:p>
            <w:pPr>
              <w:spacing w:line="240" w:lineRule="auto"/>
              <w:ind w:firstLine="0" w:firstLineChars="0"/>
              <w:jc w:val="center"/>
              <w:rPr>
                <w:rFonts w:cs="Times New Roman"/>
                <w:sz w:val="22"/>
              </w:rPr>
            </w:pPr>
            <w:r>
              <w:rPr>
                <w:rFonts w:cs="Times New Roman"/>
                <w:sz w:val="22"/>
              </w:rPr>
              <w:t>裁冲</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1512</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509</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约50人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115</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-3.59</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15</w:t>
            </w:r>
          </w:p>
        </w:tc>
        <w:tc>
          <w:tcPr>
            <w:tcW w:w="549" w:type="pct"/>
            <w:vAlign w:val="center"/>
          </w:tcPr>
          <w:p>
            <w:pPr>
              <w:spacing w:line="240" w:lineRule="auto"/>
              <w:ind w:firstLine="0" w:firstLineChars="0"/>
              <w:jc w:val="center"/>
              <w:rPr>
                <w:rFonts w:cs="Times New Roman"/>
                <w:sz w:val="22"/>
              </w:rPr>
            </w:pPr>
            <w:r>
              <w:rPr>
                <w:rFonts w:cs="Times New Roman"/>
                <w:sz w:val="22"/>
              </w:rPr>
              <w:t>老槽门</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1718</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638</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约60人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250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-7.06</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16</w:t>
            </w:r>
          </w:p>
        </w:tc>
        <w:tc>
          <w:tcPr>
            <w:tcW w:w="549" w:type="pct"/>
            <w:vAlign w:val="center"/>
          </w:tcPr>
          <w:p>
            <w:pPr>
              <w:spacing w:line="240" w:lineRule="auto"/>
              <w:ind w:firstLine="0" w:firstLineChars="0"/>
              <w:jc w:val="center"/>
              <w:rPr>
                <w:rFonts w:cs="Times New Roman"/>
                <w:sz w:val="22"/>
              </w:rPr>
            </w:pPr>
            <w:r>
              <w:rPr>
                <w:rFonts w:cs="Times New Roman"/>
                <w:sz w:val="22"/>
              </w:rPr>
              <w:t>上如堂</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2312</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479</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约80人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东北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650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-6.23</w:t>
            </w:r>
          </w:p>
        </w:tc>
        <w:tc>
          <w:tcPr>
            <w:tcW w:w="407" w:type="pct"/>
            <w:vAlign w:val="center"/>
          </w:tcPr>
          <w:p>
            <w:pPr>
              <w:spacing w:line="240" w:lineRule="auto"/>
              <w:ind w:firstLine="0" w:firstLineChars="0"/>
              <w:jc w:val="center"/>
              <w:rPr>
                <w:rFonts w:cs="Times New Roman"/>
              </w:rPr>
            </w:pPr>
            <w:r>
              <w:rPr>
                <w:rFonts w:cs="Times New Roman"/>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17</w:t>
            </w:r>
          </w:p>
        </w:tc>
        <w:tc>
          <w:tcPr>
            <w:tcW w:w="549" w:type="pct"/>
            <w:vAlign w:val="center"/>
          </w:tcPr>
          <w:p>
            <w:pPr>
              <w:spacing w:line="240" w:lineRule="auto"/>
              <w:ind w:firstLine="0" w:firstLineChars="0"/>
              <w:jc w:val="center"/>
              <w:rPr>
                <w:rFonts w:cs="Times New Roman"/>
                <w:sz w:val="22"/>
              </w:rPr>
            </w:pPr>
            <w:r>
              <w:rPr>
                <w:rFonts w:cs="Times New Roman"/>
                <w:sz w:val="22"/>
              </w:rPr>
              <w:t>芳玉堂</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1729</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52</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约100人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东</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29.65</w:t>
            </w:r>
          </w:p>
        </w:tc>
        <w:tc>
          <w:tcPr>
            <w:tcW w:w="407" w:type="pct"/>
            <w:vAlign w:val="center"/>
          </w:tcPr>
          <w:p>
            <w:pPr>
              <w:spacing w:line="240" w:lineRule="auto"/>
              <w:ind w:firstLine="0" w:firstLineChars="0"/>
              <w:jc w:val="center"/>
              <w:rPr>
                <w:rFonts w:cs="Times New Roman"/>
              </w:rPr>
            </w:pPr>
            <w:r>
              <w:rPr>
                <w:rFonts w:cs="Times New Roman"/>
              </w:rPr>
              <w:t>否</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18</w:t>
            </w:r>
          </w:p>
        </w:tc>
        <w:tc>
          <w:tcPr>
            <w:tcW w:w="549" w:type="pct"/>
            <w:vAlign w:val="center"/>
          </w:tcPr>
          <w:p>
            <w:pPr>
              <w:spacing w:line="240" w:lineRule="auto"/>
              <w:ind w:firstLine="0" w:firstLineChars="0"/>
              <w:jc w:val="center"/>
              <w:rPr>
                <w:rFonts w:cs="Times New Roman"/>
                <w:sz w:val="22"/>
              </w:rPr>
            </w:pPr>
            <w:r>
              <w:rPr>
                <w:rFonts w:cs="Times New Roman"/>
                <w:sz w:val="22"/>
              </w:rPr>
              <w:t>众拱村</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1235</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-381</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约125人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400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9.91</w:t>
            </w:r>
          </w:p>
        </w:tc>
        <w:tc>
          <w:tcPr>
            <w:tcW w:w="407" w:type="pct"/>
            <w:vAlign w:val="center"/>
          </w:tcPr>
          <w:p>
            <w:pPr>
              <w:spacing w:line="240" w:lineRule="auto"/>
              <w:ind w:firstLine="0" w:firstLineChars="0"/>
              <w:jc w:val="center"/>
              <w:rPr>
                <w:rFonts w:cs="Times New Roman"/>
              </w:rPr>
            </w:pPr>
            <w:r>
              <w:rPr>
                <w:rFonts w:cs="Times New Roman"/>
              </w:rPr>
              <w:t>是</w:t>
            </w:r>
          </w:p>
        </w:tc>
        <w:tc>
          <w:tcPr>
            <w:tcW w:w="407" w:type="pct"/>
            <w:vAlign w:val="center"/>
          </w:tcPr>
          <w:p>
            <w:pPr>
              <w:spacing w:line="240" w:lineRule="auto"/>
              <w:ind w:firstLine="0" w:firstLineChars="0"/>
              <w:jc w:val="center"/>
              <w:rPr>
                <w:rFonts w:cs="Times New Roman"/>
              </w:rPr>
            </w:pPr>
            <w:r>
              <w:rPr>
                <w:rFonts w:cs="Times New Roman"/>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19</w:t>
            </w:r>
          </w:p>
        </w:tc>
        <w:tc>
          <w:tcPr>
            <w:tcW w:w="549" w:type="pct"/>
            <w:vAlign w:val="center"/>
          </w:tcPr>
          <w:p>
            <w:pPr>
              <w:spacing w:line="240" w:lineRule="auto"/>
              <w:ind w:firstLine="0" w:firstLineChars="0"/>
              <w:jc w:val="center"/>
              <w:rPr>
                <w:rFonts w:cs="Times New Roman"/>
                <w:sz w:val="22"/>
              </w:rPr>
            </w:pPr>
            <w:r>
              <w:rPr>
                <w:rFonts w:cs="Times New Roman"/>
                <w:sz w:val="22"/>
              </w:rPr>
              <w:t>唐福村</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-243</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-1043</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约150人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西南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1100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-20.48</w:t>
            </w:r>
          </w:p>
        </w:tc>
        <w:tc>
          <w:tcPr>
            <w:tcW w:w="407" w:type="pct"/>
            <w:vAlign w:val="center"/>
          </w:tcPr>
          <w:p>
            <w:pPr>
              <w:spacing w:line="240" w:lineRule="auto"/>
              <w:ind w:firstLine="0" w:firstLineChars="0"/>
              <w:jc w:val="center"/>
              <w:rPr>
                <w:rFonts w:cs="Times New Roman"/>
              </w:rPr>
            </w:pPr>
            <w:r>
              <w:rPr>
                <w:rFonts w:cs="Times New Roman"/>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20</w:t>
            </w:r>
          </w:p>
        </w:tc>
        <w:tc>
          <w:tcPr>
            <w:tcW w:w="549" w:type="pct"/>
            <w:vAlign w:val="center"/>
          </w:tcPr>
          <w:p>
            <w:pPr>
              <w:spacing w:line="240" w:lineRule="auto"/>
              <w:ind w:firstLine="0" w:firstLineChars="0"/>
              <w:jc w:val="center"/>
              <w:rPr>
                <w:rFonts w:cs="Times New Roman"/>
                <w:sz w:val="22"/>
              </w:rPr>
            </w:pPr>
            <w:r>
              <w:rPr>
                <w:rFonts w:cs="Times New Roman"/>
                <w:sz w:val="22"/>
              </w:rPr>
              <w:t>慈荫堂</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-869</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-569</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约120人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西南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1050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-15.52</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21</w:t>
            </w:r>
          </w:p>
        </w:tc>
        <w:tc>
          <w:tcPr>
            <w:tcW w:w="549" w:type="pct"/>
            <w:vAlign w:val="center"/>
          </w:tcPr>
          <w:p>
            <w:pPr>
              <w:spacing w:line="240" w:lineRule="auto"/>
              <w:ind w:firstLine="0" w:firstLineChars="0"/>
              <w:jc w:val="center"/>
              <w:rPr>
                <w:rFonts w:cs="Times New Roman"/>
                <w:sz w:val="22"/>
              </w:rPr>
            </w:pPr>
            <w:r>
              <w:rPr>
                <w:rFonts w:cs="Times New Roman"/>
                <w:sz w:val="22"/>
              </w:rPr>
              <w:t>曾老屋</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-996</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-1712</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约30人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西南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1980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-24.08</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22</w:t>
            </w:r>
          </w:p>
        </w:tc>
        <w:tc>
          <w:tcPr>
            <w:tcW w:w="549" w:type="pct"/>
            <w:vAlign w:val="center"/>
          </w:tcPr>
          <w:p>
            <w:pPr>
              <w:spacing w:line="240" w:lineRule="auto"/>
              <w:ind w:firstLine="0" w:firstLineChars="0"/>
              <w:jc w:val="center"/>
              <w:rPr>
                <w:rFonts w:cs="Times New Roman"/>
                <w:sz w:val="22"/>
              </w:rPr>
            </w:pPr>
            <w:r>
              <w:rPr>
                <w:rFonts w:cs="Times New Roman"/>
                <w:sz w:val="22"/>
              </w:rPr>
              <w:t>陈家堰</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858</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-1009</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约20人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1000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17.7</w:t>
            </w:r>
          </w:p>
        </w:tc>
        <w:tc>
          <w:tcPr>
            <w:tcW w:w="407" w:type="pct"/>
            <w:vAlign w:val="center"/>
          </w:tcPr>
          <w:p>
            <w:pPr>
              <w:spacing w:line="240" w:lineRule="auto"/>
              <w:ind w:firstLine="0" w:firstLineChars="0"/>
              <w:jc w:val="center"/>
              <w:rPr>
                <w:rFonts w:cs="Times New Roman"/>
              </w:rPr>
            </w:pPr>
            <w:r>
              <w:rPr>
                <w:rFonts w:cs="Times New Roman"/>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23</w:t>
            </w:r>
          </w:p>
        </w:tc>
        <w:tc>
          <w:tcPr>
            <w:tcW w:w="549" w:type="pct"/>
            <w:vAlign w:val="center"/>
          </w:tcPr>
          <w:p>
            <w:pPr>
              <w:spacing w:line="240" w:lineRule="auto"/>
              <w:ind w:firstLine="0" w:firstLineChars="0"/>
              <w:jc w:val="center"/>
              <w:rPr>
                <w:rFonts w:cs="Times New Roman"/>
                <w:sz w:val="22"/>
              </w:rPr>
            </w:pPr>
            <w:r>
              <w:rPr>
                <w:rFonts w:cs="Times New Roman"/>
                <w:sz w:val="22"/>
              </w:rPr>
              <w:t>横木塘</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731</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-1348</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约60人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1350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18.74</w:t>
            </w:r>
          </w:p>
        </w:tc>
        <w:tc>
          <w:tcPr>
            <w:tcW w:w="407" w:type="pct"/>
            <w:vAlign w:val="center"/>
          </w:tcPr>
          <w:p>
            <w:pPr>
              <w:spacing w:line="240" w:lineRule="auto"/>
              <w:ind w:firstLine="0" w:firstLineChars="0"/>
              <w:jc w:val="center"/>
              <w:rPr>
                <w:rFonts w:cs="Times New Roman"/>
              </w:rPr>
            </w:pPr>
            <w:r>
              <w:rPr>
                <w:rFonts w:cs="Times New Roman"/>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24</w:t>
            </w:r>
          </w:p>
        </w:tc>
        <w:tc>
          <w:tcPr>
            <w:tcW w:w="549" w:type="pct"/>
            <w:vAlign w:val="center"/>
          </w:tcPr>
          <w:p>
            <w:pPr>
              <w:spacing w:line="240" w:lineRule="auto"/>
              <w:ind w:firstLine="0" w:firstLineChars="0"/>
              <w:jc w:val="center"/>
              <w:rPr>
                <w:rFonts w:cs="Times New Roman"/>
                <w:sz w:val="22"/>
              </w:rPr>
            </w:pPr>
            <w:r>
              <w:rPr>
                <w:rFonts w:cs="Times New Roman"/>
                <w:sz w:val="22"/>
              </w:rPr>
              <w:t>曹家塘</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231</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-1797</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约40人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1900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-6.98</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8" w:type="pct"/>
            <w:vAlign w:val="center"/>
          </w:tcPr>
          <w:p>
            <w:pPr>
              <w:adjustRightInd w:val="0"/>
              <w:snapToGrid w:val="0"/>
              <w:spacing w:line="240" w:lineRule="auto"/>
              <w:ind w:firstLine="0" w:firstLineChars="0"/>
              <w:jc w:val="center"/>
              <w:rPr>
                <w:rFonts w:cs="Times New Roman"/>
                <w:sz w:val="21"/>
              </w:rPr>
            </w:pPr>
            <w:r>
              <w:rPr>
                <w:rFonts w:cs="Times New Roman"/>
                <w:sz w:val="21"/>
              </w:rPr>
              <w:t>25</w:t>
            </w:r>
          </w:p>
        </w:tc>
        <w:tc>
          <w:tcPr>
            <w:tcW w:w="549" w:type="pct"/>
            <w:vAlign w:val="center"/>
          </w:tcPr>
          <w:p>
            <w:pPr>
              <w:spacing w:line="240" w:lineRule="auto"/>
              <w:ind w:firstLine="0" w:firstLineChars="0"/>
              <w:jc w:val="center"/>
              <w:rPr>
                <w:rFonts w:cs="Times New Roman"/>
                <w:sz w:val="22"/>
              </w:rPr>
            </w:pPr>
            <w:r>
              <w:rPr>
                <w:rFonts w:cs="Times New Roman"/>
                <w:sz w:val="22"/>
              </w:rPr>
              <w:t>高碧塘</w:t>
            </w:r>
          </w:p>
        </w:tc>
        <w:tc>
          <w:tcPr>
            <w:tcW w:w="311" w:type="pct"/>
            <w:vAlign w:val="center"/>
          </w:tcPr>
          <w:p>
            <w:pPr>
              <w:adjustRightInd w:val="0"/>
              <w:snapToGrid w:val="0"/>
              <w:spacing w:line="240" w:lineRule="auto"/>
              <w:ind w:firstLine="0" w:firstLineChars="0"/>
              <w:jc w:val="center"/>
              <w:rPr>
                <w:rFonts w:cs="Times New Roman"/>
                <w:sz w:val="21"/>
              </w:rPr>
            </w:pPr>
            <w:r>
              <w:rPr>
                <w:rFonts w:cs="Times New Roman"/>
                <w:sz w:val="21"/>
              </w:rPr>
              <w:t>-395</w:t>
            </w:r>
          </w:p>
        </w:tc>
        <w:tc>
          <w:tcPr>
            <w:tcW w:w="356" w:type="pct"/>
            <w:vAlign w:val="center"/>
          </w:tcPr>
          <w:p>
            <w:pPr>
              <w:adjustRightInd w:val="0"/>
              <w:snapToGrid w:val="0"/>
              <w:spacing w:line="240" w:lineRule="auto"/>
              <w:ind w:firstLine="0" w:firstLineChars="0"/>
              <w:jc w:val="center"/>
              <w:rPr>
                <w:rFonts w:cs="Times New Roman"/>
                <w:sz w:val="21"/>
              </w:rPr>
            </w:pPr>
            <w:r>
              <w:rPr>
                <w:rFonts w:cs="Times New Roman"/>
                <w:sz w:val="21"/>
              </w:rPr>
              <w:t>-239</w:t>
            </w:r>
          </w:p>
        </w:tc>
        <w:tc>
          <w:tcPr>
            <w:tcW w:w="435" w:type="pct"/>
            <w:vAlign w:val="center"/>
          </w:tcPr>
          <w:p>
            <w:pPr>
              <w:adjustRightInd w:val="0"/>
              <w:snapToGrid w:val="0"/>
              <w:spacing w:line="240" w:lineRule="auto"/>
              <w:ind w:firstLine="0" w:firstLineChars="0"/>
              <w:jc w:val="center"/>
              <w:rPr>
                <w:rFonts w:cs="Times New Roman"/>
                <w:sz w:val="21"/>
              </w:rPr>
            </w:pPr>
            <w:r>
              <w:rPr>
                <w:rFonts w:cs="Times New Roman"/>
                <w:sz w:val="21"/>
              </w:rPr>
              <w:t>居住区</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人群</w:t>
            </w:r>
          </w:p>
        </w:tc>
        <w:tc>
          <w:tcPr>
            <w:tcW w:w="354" w:type="pct"/>
            <w:vAlign w:val="center"/>
          </w:tcPr>
          <w:p>
            <w:pPr>
              <w:adjustRightInd w:val="0"/>
              <w:snapToGrid w:val="0"/>
              <w:spacing w:line="240" w:lineRule="auto"/>
              <w:ind w:firstLine="0" w:firstLineChars="0"/>
              <w:jc w:val="center"/>
              <w:rPr>
                <w:rFonts w:cs="Times New Roman"/>
                <w:sz w:val="21"/>
              </w:rPr>
            </w:pPr>
            <w:r>
              <w:rPr>
                <w:rFonts w:cs="Times New Roman"/>
                <w:sz w:val="21"/>
              </w:rPr>
              <w:t>二类区</w:t>
            </w:r>
          </w:p>
        </w:tc>
        <w:tc>
          <w:tcPr>
            <w:tcW w:w="457" w:type="pct"/>
            <w:vAlign w:val="center"/>
          </w:tcPr>
          <w:p>
            <w:pPr>
              <w:spacing w:line="240" w:lineRule="auto"/>
              <w:ind w:firstLine="0" w:firstLineChars="0"/>
              <w:jc w:val="center"/>
              <w:rPr>
                <w:rFonts w:cs="Times New Roman"/>
              </w:rPr>
            </w:pPr>
            <w:r>
              <w:rPr>
                <w:rFonts w:cs="Times New Roman"/>
                <w:szCs w:val="21"/>
              </w:rPr>
              <w:t>约20人</w:t>
            </w:r>
          </w:p>
        </w:tc>
        <w:tc>
          <w:tcPr>
            <w:tcW w:w="449" w:type="pct"/>
            <w:vAlign w:val="center"/>
          </w:tcPr>
          <w:p>
            <w:pPr>
              <w:pStyle w:val="76"/>
              <w:snapToGrid/>
              <w:spacing w:line="240" w:lineRule="auto"/>
              <w:ind w:firstLine="0"/>
              <w:rPr>
                <w:rFonts w:cs="Times New Roman"/>
                <w:sz w:val="21"/>
                <w:szCs w:val="21"/>
              </w:rPr>
            </w:pPr>
            <w:r>
              <w:rPr>
                <w:rFonts w:cs="Times New Roman"/>
                <w:sz w:val="21"/>
                <w:szCs w:val="21"/>
              </w:rPr>
              <w:t>西南</w:t>
            </w:r>
          </w:p>
        </w:tc>
        <w:tc>
          <w:tcPr>
            <w:tcW w:w="350" w:type="pct"/>
            <w:vAlign w:val="center"/>
          </w:tcPr>
          <w:p>
            <w:pPr>
              <w:adjustRightInd w:val="0"/>
              <w:snapToGrid w:val="0"/>
              <w:spacing w:line="240" w:lineRule="auto"/>
              <w:ind w:firstLine="0" w:firstLineChars="0"/>
              <w:jc w:val="center"/>
              <w:rPr>
                <w:rFonts w:cs="Times New Roman"/>
                <w:sz w:val="21"/>
              </w:rPr>
            </w:pPr>
            <w:r>
              <w:rPr>
                <w:rFonts w:cs="Times New Roman"/>
                <w:sz w:val="21"/>
              </w:rPr>
              <w:t>470</w:t>
            </w:r>
          </w:p>
        </w:tc>
        <w:tc>
          <w:tcPr>
            <w:tcW w:w="302" w:type="pct"/>
            <w:vAlign w:val="center"/>
          </w:tcPr>
          <w:p>
            <w:pPr>
              <w:adjustRightInd w:val="0"/>
              <w:snapToGrid w:val="0"/>
              <w:spacing w:line="240" w:lineRule="auto"/>
              <w:ind w:firstLine="0" w:firstLineChars="0"/>
              <w:jc w:val="center"/>
              <w:rPr>
                <w:rFonts w:cs="Times New Roman"/>
                <w:sz w:val="21"/>
              </w:rPr>
            </w:pPr>
            <w:r>
              <w:rPr>
                <w:rFonts w:cs="Times New Roman"/>
                <w:sz w:val="21"/>
              </w:rPr>
              <w:t>-7.99</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是</w:t>
            </w:r>
          </w:p>
        </w:tc>
        <w:tc>
          <w:tcPr>
            <w:tcW w:w="407" w:type="pct"/>
            <w:vAlign w:val="center"/>
          </w:tcPr>
          <w:p>
            <w:pPr>
              <w:adjustRightInd w:val="0"/>
              <w:snapToGrid w:val="0"/>
              <w:spacing w:line="240" w:lineRule="auto"/>
              <w:ind w:firstLine="0" w:firstLineChars="0"/>
              <w:jc w:val="center"/>
              <w:rPr>
                <w:rFonts w:cs="Times New Roman"/>
                <w:sz w:val="21"/>
              </w:rPr>
            </w:pPr>
            <w:r>
              <w:rPr>
                <w:rFonts w:cs="Times New Roman"/>
                <w:sz w:val="21"/>
              </w:rPr>
              <w:t>园区外</w:t>
            </w:r>
          </w:p>
        </w:tc>
      </w:tr>
    </w:tbl>
    <w:p>
      <w:pPr>
        <w:pStyle w:val="43"/>
        <w:ind w:firstLineChars="200"/>
        <w:rPr>
          <w:rFonts w:ascii="Times New Roman" w:hAnsi="Times New Roman"/>
          <w:sz w:val="21"/>
        </w:rPr>
      </w:pPr>
      <w:r>
        <w:rPr>
          <w:rFonts w:ascii="Times New Roman" w:hAnsi="Times New Roman"/>
          <w:sz w:val="21"/>
        </w:rPr>
        <w:t>注：以项目西、南边界交汇点为坐标零点。</w:t>
      </w:r>
    </w:p>
    <w:p>
      <w:pPr>
        <w:ind w:firstLine="480"/>
        <w:rPr>
          <w:rFonts w:cs="Times New Roman"/>
        </w:rPr>
      </w:pPr>
    </w:p>
    <w:p>
      <w:pPr>
        <w:ind w:firstLine="480"/>
        <w:rPr>
          <w:rFonts w:cs="Times New Roman"/>
        </w:rPr>
      </w:pPr>
    </w:p>
    <w:p>
      <w:pPr>
        <w:pStyle w:val="43"/>
        <w:spacing w:before="163" w:beforeLines="50"/>
        <w:ind w:firstLine="241"/>
        <w:jc w:val="center"/>
        <w:rPr>
          <w:rFonts w:ascii="Times New Roman" w:hAnsi="Times New Roman"/>
          <w:b/>
          <w:bCs/>
          <w:sz w:val="24"/>
        </w:rPr>
      </w:pPr>
      <w:r>
        <w:rPr>
          <w:rFonts w:ascii="Times New Roman" w:hAnsi="Times New Roman"/>
          <w:b/>
          <w:bCs/>
          <w:sz w:val="24"/>
        </w:rPr>
        <w:t>表2.5-2  水环境主要保护目标</w:t>
      </w:r>
    </w:p>
    <w:tbl>
      <w:tblPr>
        <w:tblStyle w:val="4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83"/>
        <w:gridCol w:w="896"/>
        <w:gridCol w:w="1210"/>
        <w:gridCol w:w="1040"/>
        <w:gridCol w:w="944"/>
        <w:gridCol w:w="1131"/>
        <w:gridCol w:w="2194"/>
        <w:gridCol w:w="52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23" w:type="pct"/>
            <w:vMerge w:val="restart"/>
            <w:vAlign w:val="center"/>
          </w:tcPr>
          <w:p>
            <w:pPr>
              <w:spacing w:line="240" w:lineRule="auto"/>
              <w:ind w:firstLine="0" w:firstLineChars="0"/>
              <w:jc w:val="center"/>
              <w:rPr>
                <w:rFonts w:cs="Times New Roman"/>
                <w:b/>
                <w:sz w:val="21"/>
                <w:szCs w:val="20"/>
              </w:rPr>
            </w:pPr>
            <w:r>
              <w:rPr>
                <w:rFonts w:cs="Times New Roman"/>
                <w:b/>
                <w:sz w:val="21"/>
                <w:szCs w:val="20"/>
              </w:rPr>
              <w:t>保护对象</w:t>
            </w:r>
          </w:p>
        </w:tc>
        <w:tc>
          <w:tcPr>
            <w:tcW w:w="316" w:type="pct"/>
            <w:vMerge w:val="restart"/>
            <w:vAlign w:val="center"/>
          </w:tcPr>
          <w:p>
            <w:pPr>
              <w:spacing w:line="240" w:lineRule="auto"/>
              <w:ind w:firstLine="0" w:firstLineChars="0"/>
              <w:jc w:val="center"/>
              <w:rPr>
                <w:rFonts w:cs="Times New Roman"/>
                <w:b/>
                <w:sz w:val="21"/>
                <w:szCs w:val="20"/>
              </w:rPr>
            </w:pPr>
            <w:r>
              <w:rPr>
                <w:rFonts w:cs="Times New Roman"/>
                <w:b/>
                <w:sz w:val="21"/>
                <w:szCs w:val="20"/>
              </w:rPr>
              <w:t>保护内容</w:t>
            </w:r>
          </w:p>
        </w:tc>
        <w:tc>
          <w:tcPr>
            <w:tcW w:w="1526" w:type="pct"/>
            <w:gridSpan w:val="4"/>
            <w:vAlign w:val="center"/>
          </w:tcPr>
          <w:p>
            <w:pPr>
              <w:spacing w:line="240" w:lineRule="auto"/>
              <w:ind w:firstLine="0" w:firstLineChars="0"/>
              <w:jc w:val="center"/>
              <w:rPr>
                <w:rFonts w:cs="Times New Roman"/>
                <w:b/>
                <w:sz w:val="21"/>
                <w:szCs w:val="20"/>
              </w:rPr>
            </w:pPr>
            <w:r>
              <w:rPr>
                <w:rFonts w:cs="Times New Roman"/>
                <w:b/>
                <w:sz w:val="21"/>
                <w:szCs w:val="20"/>
              </w:rPr>
              <w:t>相对厂界/m</w:t>
            </w:r>
          </w:p>
        </w:tc>
        <w:tc>
          <w:tcPr>
            <w:tcW w:w="774" w:type="pct"/>
            <w:vMerge w:val="restart"/>
            <w:vAlign w:val="center"/>
          </w:tcPr>
          <w:p>
            <w:pPr>
              <w:spacing w:line="240" w:lineRule="auto"/>
              <w:ind w:firstLine="0" w:firstLineChars="0"/>
              <w:jc w:val="center"/>
              <w:rPr>
                <w:rFonts w:cs="Times New Roman"/>
                <w:b/>
                <w:sz w:val="21"/>
                <w:szCs w:val="20"/>
              </w:rPr>
            </w:pPr>
            <w:r>
              <w:rPr>
                <w:rFonts w:cs="Times New Roman"/>
                <w:b/>
                <w:sz w:val="21"/>
                <w:szCs w:val="20"/>
              </w:rPr>
              <w:t>与本项目的水利联系</w:t>
            </w:r>
          </w:p>
        </w:tc>
        <w:tc>
          <w:tcPr>
            <w:tcW w:w="1861" w:type="pct"/>
            <w:vMerge w:val="restart"/>
            <w:vAlign w:val="center"/>
          </w:tcPr>
          <w:p>
            <w:pPr>
              <w:spacing w:line="240" w:lineRule="auto"/>
              <w:ind w:firstLine="0" w:firstLineChars="0"/>
              <w:jc w:val="center"/>
              <w:rPr>
                <w:rFonts w:cs="Times New Roman"/>
                <w:b/>
                <w:sz w:val="21"/>
                <w:szCs w:val="20"/>
              </w:rPr>
            </w:pPr>
            <w:r>
              <w:rPr>
                <w:rFonts w:cs="Times New Roman"/>
                <w:b/>
                <w:sz w:val="21"/>
                <w:szCs w:val="20"/>
              </w:rPr>
              <w:t>保护级别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23" w:type="pct"/>
            <w:vMerge w:val="continue"/>
            <w:vAlign w:val="center"/>
          </w:tcPr>
          <w:p>
            <w:pPr>
              <w:spacing w:line="240" w:lineRule="auto"/>
              <w:ind w:firstLine="0" w:firstLineChars="0"/>
              <w:jc w:val="center"/>
              <w:rPr>
                <w:rFonts w:cs="Times New Roman"/>
                <w:sz w:val="21"/>
                <w:szCs w:val="20"/>
              </w:rPr>
            </w:pPr>
          </w:p>
        </w:tc>
        <w:tc>
          <w:tcPr>
            <w:tcW w:w="316" w:type="pct"/>
            <w:vMerge w:val="continue"/>
            <w:vAlign w:val="center"/>
          </w:tcPr>
          <w:p>
            <w:pPr>
              <w:spacing w:line="240" w:lineRule="auto"/>
              <w:ind w:firstLine="0" w:firstLineChars="0"/>
              <w:jc w:val="center"/>
              <w:rPr>
                <w:rFonts w:cs="Times New Roman"/>
                <w:sz w:val="21"/>
                <w:szCs w:val="20"/>
              </w:rPr>
            </w:pPr>
          </w:p>
        </w:tc>
        <w:tc>
          <w:tcPr>
            <w:tcW w:w="427" w:type="pct"/>
            <w:vAlign w:val="center"/>
          </w:tcPr>
          <w:p>
            <w:pPr>
              <w:spacing w:line="240" w:lineRule="auto"/>
              <w:ind w:firstLine="0" w:firstLineChars="0"/>
              <w:jc w:val="center"/>
              <w:rPr>
                <w:rFonts w:cs="Times New Roman"/>
                <w:b/>
                <w:sz w:val="21"/>
                <w:szCs w:val="20"/>
              </w:rPr>
            </w:pPr>
            <w:r>
              <w:rPr>
                <w:rFonts w:cs="Times New Roman"/>
                <w:b/>
                <w:sz w:val="21"/>
                <w:szCs w:val="20"/>
              </w:rPr>
              <w:t>距离</w:t>
            </w:r>
          </w:p>
        </w:tc>
        <w:tc>
          <w:tcPr>
            <w:tcW w:w="367" w:type="pct"/>
            <w:vAlign w:val="center"/>
          </w:tcPr>
          <w:p>
            <w:pPr>
              <w:spacing w:line="240" w:lineRule="auto"/>
              <w:ind w:firstLine="0" w:firstLineChars="0"/>
              <w:jc w:val="center"/>
              <w:rPr>
                <w:rFonts w:cs="Times New Roman"/>
                <w:b/>
                <w:sz w:val="21"/>
                <w:szCs w:val="20"/>
              </w:rPr>
            </w:pPr>
            <w:r>
              <w:rPr>
                <w:rFonts w:cs="Times New Roman"/>
                <w:b/>
                <w:sz w:val="21"/>
                <w:szCs w:val="20"/>
              </w:rPr>
              <w:t>X</w:t>
            </w:r>
          </w:p>
        </w:tc>
        <w:tc>
          <w:tcPr>
            <w:tcW w:w="333" w:type="pct"/>
            <w:vAlign w:val="center"/>
          </w:tcPr>
          <w:p>
            <w:pPr>
              <w:spacing w:line="240" w:lineRule="auto"/>
              <w:ind w:firstLine="0" w:firstLineChars="0"/>
              <w:jc w:val="center"/>
              <w:rPr>
                <w:rFonts w:cs="Times New Roman"/>
                <w:b/>
                <w:sz w:val="21"/>
                <w:szCs w:val="20"/>
              </w:rPr>
            </w:pPr>
            <w:r>
              <w:rPr>
                <w:rFonts w:cs="Times New Roman"/>
                <w:b/>
                <w:sz w:val="21"/>
                <w:szCs w:val="20"/>
              </w:rPr>
              <w:t>Y</w:t>
            </w:r>
          </w:p>
        </w:tc>
        <w:tc>
          <w:tcPr>
            <w:tcW w:w="399" w:type="pct"/>
            <w:vAlign w:val="center"/>
          </w:tcPr>
          <w:p>
            <w:pPr>
              <w:spacing w:line="240" w:lineRule="auto"/>
              <w:ind w:firstLine="0" w:firstLineChars="0"/>
              <w:jc w:val="center"/>
              <w:rPr>
                <w:rFonts w:cs="Times New Roman"/>
                <w:b/>
                <w:sz w:val="21"/>
                <w:szCs w:val="20"/>
              </w:rPr>
            </w:pPr>
            <w:r>
              <w:rPr>
                <w:rFonts w:cs="Times New Roman"/>
                <w:b/>
                <w:sz w:val="21"/>
                <w:szCs w:val="20"/>
              </w:rPr>
              <w:t>高差</w:t>
            </w:r>
          </w:p>
        </w:tc>
        <w:tc>
          <w:tcPr>
            <w:tcW w:w="774" w:type="pct"/>
            <w:vMerge w:val="continue"/>
            <w:vAlign w:val="center"/>
          </w:tcPr>
          <w:p>
            <w:pPr>
              <w:spacing w:line="240" w:lineRule="auto"/>
              <w:ind w:firstLine="0" w:firstLineChars="0"/>
              <w:jc w:val="center"/>
              <w:rPr>
                <w:rFonts w:cs="Times New Roman"/>
                <w:sz w:val="21"/>
                <w:szCs w:val="20"/>
              </w:rPr>
            </w:pPr>
          </w:p>
        </w:tc>
        <w:tc>
          <w:tcPr>
            <w:tcW w:w="1861" w:type="pct"/>
            <w:vMerge w:val="continue"/>
            <w:vAlign w:val="center"/>
          </w:tcPr>
          <w:p>
            <w:pPr>
              <w:spacing w:line="240" w:lineRule="auto"/>
              <w:ind w:firstLine="0" w:firstLineChars="0"/>
              <w:jc w:val="center"/>
              <w:rPr>
                <w:rFonts w:cs="Times New Roman"/>
                <w:sz w:val="21"/>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23" w:type="pct"/>
            <w:vAlign w:val="center"/>
          </w:tcPr>
          <w:p>
            <w:pPr>
              <w:spacing w:line="240" w:lineRule="auto"/>
              <w:ind w:firstLine="0" w:firstLineChars="0"/>
              <w:jc w:val="center"/>
              <w:rPr>
                <w:rFonts w:cs="Times New Roman"/>
                <w:sz w:val="21"/>
                <w:szCs w:val="20"/>
              </w:rPr>
            </w:pPr>
            <w:r>
              <w:rPr>
                <w:rFonts w:cs="Times New Roman"/>
                <w:sz w:val="21"/>
                <w:szCs w:val="20"/>
              </w:rPr>
              <w:t>白象河</w:t>
            </w:r>
          </w:p>
        </w:tc>
        <w:tc>
          <w:tcPr>
            <w:tcW w:w="316" w:type="pct"/>
            <w:vAlign w:val="center"/>
          </w:tcPr>
          <w:p>
            <w:pPr>
              <w:spacing w:line="240" w:lineRule="auto"/>
              <w:ind w:firstLine="0" w:firstLineChars="0"/>
              <w:jc w:val="center"/>
              <w:rPr>
                <w:rFonts w:cs="Times New Roman"/>
                <w:sz w:val="21"/>
                <w:szCs w:val="20"/>
              </w:rPr>
            </w:pPr>
            <w:r>
              <w:rPr>
                <w:rFonts w:cs="Times New Roman"/>
                <w:sz w:val="21"/>
                <w:szCs w:val="20"/>
              </w:rPr>
              <w:t>水体</w:t>
            </w:r>
          </w:p>
        </w:tc>
        <w:tc>
          <w:tcPr>
            <w:tcW w:w="427" w:type="pct"/>
            <w:vAlign w:val="center"/>
          </w:tcPr>
          <w:p>
            <w:pPr>
              <w:spacing w:line="240" w:lineRule="auto"/>
              <w:ind w:firstLine="0" w:firstLineChars="0"/>
              <w:jc w:val="center"/>
              <w:rPr>
                <w:rFonts w:cs="Times New Roman"/>
                <w:sz w:val="21"/>
                <w:szCs w:val="20"/>
              </w:rPr>
            </w:pPr>
            <w:r>
              <w:rPr>
                <w:rFonts w:cs="Times New Roman"/>
                <w:sz w:val="21"/>
                <w:szCs w:val="20"/>
              </w:rPr>
              <w:t>165</w:t>
            </w:r>
          </w:p>
        </w:tc>
        <w:tc>
          <w:tcPr>
            <w:tcW w:w="367" w:type="pct"/>
            <w:vAlign w:val="center"/>
          </w:tcPr>
          <w:p>
            <w:pPr>
              <w:spacing w:line="240" w:lineRule="auto"/>
              <w:ind w:firstLine="0" w:firstLineChars="0"/>
              <w:jc w:val="center"/>
              <w:rPr>
                <w:rFonts w:cs="Times New Roman"/>
                <w:sz w:val="21"/>
                <w:szCs w:val="20"/>
              </w:rPr>
            </w:pPr>
            <w:r>
              <w:rPr>
                <w:rFonts w:cs="Times New Roman"/>
                <w:sz w:val="21"/>
                <w:szCs w:val="20"/>
              </w:rPr>
              <w:t>1757</w:t>
            </w:r>
          </w:p>
        </w:tc>
        <w:tc>
          <w:tcPr>
            <w:tcW w:w="333" w:type="pct"/>
            <w:vAlign w:val="center"/>
          </w:tcPr>
          <w:p>
            <w:pPr>
              <w:spacing w:line="240" w:lineRule="auto"/>
              <w:ind w:firstLine="0" w:firstLineChars="0"/>
              <w:jc w:val="center"/>
              <w:rPr>
                <w:rFonts w:cs="Times New Roman"/>
                <w:sz w:val="21"/>
                <w:szCs w:val="20"/>
              </w:rPr>
            </w:pPr>
            <w:r>
              <w:rPr>
                <w:rFonts w:cs="Times New Roman"/>
                <w:sz w:val="21"/>
                <w:szCs w:val="20"/>
              </w:rPr>
              <w:t>-169</w:t>
            </w:r>
          </w:p>
        </w:tc>
        <w:tc>
          <w:tcPr>
            <w:tcW w:w="399" w:type="pct"/>
            <w:vAlign w:val="center"/>
          </w:tcPr>
          <w:p>
            <w:pPr>
              <w:spacing w:line="240" w:lineRule="auto"/>
              <w:ind w:firstLine="0" w:firstLineChars="0"/>
              <w:jc w:val="center"/>
              <w:rPr>
                <w:rFonts w:cs="Times New Roman"/>
                <w:sz w:val="21"/>
                <w:szCs w:val="20"/>
              </w:rPr>
            </w:pPr>
            <w:r>
              <w:rPr>
                <w:rFonts w:cs="Times New Roman"/>
                <w:sz w:val="21"/>
                <w:szCs w:val="20"/>
              </w:rPr>
              <w:t>29.45</w:t>
            </w:r>
          </w:p>
        </w:tc>
        <w:tc>
          <w:tcPr>
            <w:tcW w:w="774" w:type="pct"/>
            <w:vAlign w:val="center"/>
          </w:tcPr>
          <w:p>
            <w:pPr>
              <w:spacing w:line="240" w:lineRule="auto"/>
              <w:ind w:firstLine="0" w:firstLineChars="0"/>
              <w:jc w:val="center"/>
              <w:rPr>
                <w:rFonts w:cs="Times New Roman"/>
                <w:sz w:val="21"/>
                <w:szCs w:val="20"/>
              </w:rPr>
            </w:pPr>
            <w:r>
              <w:rPr>
                <w:rFonts w:cs="Times New Roman"/>
                <w:sz w:val="21"/>
                <w:szCs w:val="20"/>
              </w:rPr>
              <w:t>有（纳污水体）</w:t>
            </w:r>
          </w:p>
        </w:tc>
        <w:tc>
          <w:tcPr>
            <w:tcW w:w="1861" w:type="pct"/>
            <w:vAlign w:val="center"/>
          </w:tcPr>
          <w:p>
            <w:pPr>
              <w:spacing w:line="240" w:lineRule="auto"/>
              <w:ind w:firstLine="0" w:firstLineChars="0"/>
              <w:jc w:val="center"/>
              <w:rPr>
                <w:rFonts w:cs="Times New Roman"/>
                <w:sz w:val="21"/>
                <w:szCs w:val="20"/>
              </w:rPr>
            </w:pPr>
            <w:r>
              <w:rPr>
                <w:rFonts w:cs="Times New Roman"/>
                <w:sz w:val="21"/>
                <w:szCs w:val="20"/>
              </w:rPr>
              <w:t>《地表水环境质量标准》（GB3838-2002）表Ⅲ类标准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23" w:type="pct"/>
            <w:vAlign w:val="center"/>
          </w:tcPr>
          <w:p>
            <w:pPr>
              <w:spacing w:line="240" w:lineRule="auto"/>
              <w:ind w:firstLine="0" w:firstLineChars="0"/>
              <w:jc w:val="center"/>
              <w:rPr>
                <w:rFonts w:cs="Times New Roman"/>
                <w:sz w:val="21"/>
                <w:szCs w:val="20"/>
              </w:rPr>
            </w:pPr>
            <w:r>
              <w:rPr>
                <w:rFonts w:cs="Times New Roman"/>
                <w:sz w:val="21"/>
                <w:szCs w:val="20"/>
              </w:rPr>
              <w:t>岳沙河</w:t>
            </w:r>
          </w:p>
        </w:tc>
        <w:tc>
          <w:tcPr>
            <w:tcW w:w="316" w:type="pct"/>
            <w:vAlign w:val="center"/>
          </w:tcPr>
          <w:p>
            <w:pPr>
              <w:spacing w:line="240" w:lineRule="auto"/>
              <w:ind w:firstLine="0" w:firstLineChars="0"/>
              <w:jc w:val="center"/>
              <w:rPr>
                <w:rFonts w:cs="Times New Roman"/>
                <w:sz w:val="21"/>
                <w:szCs w:val="20"/>
              </w:rPr>
            </w:pPr>
            <w:r>
              <w:rPr>
                <w:rFonts w:cs="Times New Roman"/>
                <w:sz w:val="21"/>
                <w:szCs w:val="20"/>
              </w:rPr>
              <w:t>水体</w:t>
            </w:r>
          </w:p>
        </w:tc>
        <w:tc>
          <w:tcPr>
            <w:tcW w:w="427" w:type="pct"/>
            <w:vAlign w:val="center"/>
          </w:tcPr>
          <w:p>
            <w:pPr>
              <w:spacing w:line="240" w:lineRule="auto"/>
              <w:ind w:firstLine="0" w:firstLineChars="0"/>
              <w:jc w:val="center"/>
              <w:rPr>
                <w:rFonts w:cs="Times New Roman"/>
                <w:sz w:val="21"/>
                <w:szCs w:val="20"/>
              </w:rPr>
            </w:pPr>
            <w:r>
              <w:rPr>
                <w:rFonts w:cs="Times New Roman"/>
                <w:sz w:val="21"/>
                <w:szCs w:val="20"/>
              </w:rPr>
              <w:t>1500</w:t>
            </w:r>
          </w:p>
        </w:tc>
        <w:tc>
          <w:tcPr>
            <w:tcW w:w="367" w:type="pct"/>
            <w:vAlign w:val="center"/>
          </w:tcPr>
          <w:p>
            <w:pPr>
              <w:spacing w:line="240" w:lineRule="auto"/>
              <w:ind w:firstLine="0" w:firstLineChars="0"/>
              <w:jc w:val="center"/>
              <w:rPr>
                <w:rFonts w:cs="Times New Roman"/>
                <w:sz w:val="21"/>
                <w:szCs w:val="20"/>
              </w:rPr>
            </w:pPr>
            <w:r>
              <w:rPr>
                <w:rFonts w:cs="Times New Roman"/>
                <w:sz w:val="21"/>
                <w:szCs w:val="20"/>
              </w:rPr>
              <w:t>-1336</w:t>
            </w:r>
          </w:p>
        </w:tc>
        <w:tc>
          <w:tcPr>
            <w:tcW w:w="333" w:type="pct"/>
            <w:vAlign w:val="center"/>
          </w:tcPr>
          <w:p>
            <w:pPr>
              <w:spacing w:line="240" w:lineRule="auto"/>
              <w:ind w:firstLine="0" w:firstLineChars="0"/>
              <w:jc w:val="center"/>
              <w:rPr>
                <w:rFonts w:cs="Times New Roman"/>
                <w:sz w:val="21"/>
                <w:szCs w:val="20"/>
              </w:rPr>
            </w:pPr>
            <w:r>
              <w:rPr>
                <w:rFonts w:cs="Times New Roman"/>
                <w:sz w:val="21"/>
                <w:szCs w:val="20"/>
              </w:rPr>
              <w:t>-2026</w:t>
            </w:r>
          </w:p>
        </w:tc>
        <w:tc>
          <w:tcPr>
            <w:tcW w:w="399" w:type="pct"/>
            <w:vAlign w:val="center"/>
          </w:tcPr>
          <w:p>
            <w:pPr>
              <w:spacing w:line="240" w:lineRule="auto"/>
              <w:ind w:firstLine="0" w:firstLineChars="0"/>
              <w:jc w:val="center"/>
              <w:rPr>
                <w:rFonts w:cs="Times New Roman"/>
                <w:sz w:val="21"/>
                <w:szCs w:val="20"/>
              </w:rPr>
            </w:pPr>
            <w:r>
              <w:rPr>
                <w:rFonts w:cs="Times New Roman"/>
                <w:sz w:val="21"/>
                <w:szCs w:val="20"/>
              </w:rPr>
              <w:t>-15.9</w:t>
            </w:r>
          </w:p>
        </w:tc>
        <w:tc>
          <w:tcPr>
            <w:tcW w:w="774" w:type="pct"/>
            <w:vAlign w:val="center"/>
          </w:tcPr>
          <w:p>
            <w:pPr>
              <w:spacing w:line="240" w:lineRule="auto"/>
              <w:ind w:firstLine="0" w:firstLineChars="0"/>
              <w:jc w:val="center"/>
              <w:rPr>
                <w:rFonts w:cs="Times New Roman"/>
                <w:sz w:val="21"/>
                <w:szCs w:val="20"/>
              </w:rPr>
            </w:pPr>
            <w:r>
              <w:rPr>
                <w:rFonts w:cs="Times New Roman"/>
                <w:sz w:val="21"/>
                <w:szCs w:val="20"/>
              </w:rPr>
              <w:t>无</w:t>
            </w:r>
          </w:p>
        </w:tc>
        <w:tc>
          <w:tcPr>
            <w:tcW w:w="1861" w:type="pct"/>
            <w:vAlign w:val="center"/>
          </w:tcPr>
          <w:p>
            <w:pPr>
              <w:spacing w:line="240" w:lineRule="auto"/>
              <w:ind w:firstLine="0" w:firstLineChars="0"/>
              <w:jc w:val="center"/>
              <w:rPr>
                <w:rFonts w:cs="Times New Roman"/>
                <w:sz w:val="21"/>
                <w:szCs w:val="20"/>
              </w:rPr>
            </w:pPr>
            <w:r>
              <w:rPr>
                <w:rFonts w:cs="Times New Roman"/>
                <w:sz w:val="21"/>
                <w:szCs w:val="20"/>
              </w:rPr>
              <w:t>《地表水环境质量标准》（GB3838-2002）表Ⅲ类标准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23" w:type="pct"/>
            <w:vAlign w:val="center"/>
          </w:tcPr>
          <w:p>
            <w:pPr>
              <w:spacing w:line="240" w:lineRule="auto"/>
              <w:ind w:firstLine="0" w:firstLineChars="0"/>
              <w:jc w:val="center"/>
              <w:rPr>
                <w:rFonts w:cs="Times New Roman"/>
                <w:sz w:val="21"/>
                <w:szCs w:val="20"/>
              </w:rPr>
            </w:pPr>
            <w:r>
              <w:rPr>
                <w:rFonts w:cs="Times New Roman"/>
                <w:sz w:val="21"/>
                <w:szCs w:val="20"/>
              </w:rPr>
              <w:t>斜陂堰水库</w:t>
            </w:r>
          </w:p>
        </w:tc>
        <w:tc>
          <w:tcPr>
            <w:tcW w:w="316" w:type="pct"/>
            <w:vAlign w:val="center"/>
          </w:tcPr>
          <w:p>
            <w:pPr>
              <w:spacing w:line="240" w:lineRule="auto"/>
              <w:ind w:firstLine="0" w:firstLineChars="0"/>
              <w:jc w:val="center"/>
              <w:rPr>
                <w:rFonts w:cs="Times New Roman"/>
                <w:sz w:val="21"/>
                <w:szCs w:val="20"/>
              </w:rPr>
            </w:pPr>
            <w:r>
              <w:rPr>
                <w:rFonts w:cs="Times New Roman"/>
                <w:sz w:val="21"/>
                <w:szCs w:val="20"/>
              </w:rPr>
              <w:t>水体</w:t>
            </w:r>
          </w:p>
        </w:tc>
        <w:tc>
          <w:tcPr>
            <w:tcW w:w="427" w:type="pct"/>
            <w:vAlign w:val="center"/>
          </w:tcPr>
          <w:p>
            <w:pPr>
              <w:spacing w:line="240" w:lineRule="auto"/>
              <w:ind w:firstLine="0" w:firstLineChars="0"/>
              <w:jc w:val="center"/>
              <w:rPr>
                <w:rFonts w:cs="Times New Roman"/>
                <w:sz w:val="21"/>
                <w:szCs w:val="20"/>
              </w:rPr>
            </w:pPr>
            <w:r>
              <w:rPr>
                <w:rFonts w:cs="Times New Roman"/>
                <w:sz w:val="21"/>
                <w:szCs w:val="20"/>
              </w:rPr>
              <w:t>650</w:t>
            </w:r>
          </w:p>
        </w:tc>
        <w:tc>
          <w:tcPr>
            <w:tcW w:w="367" w:type="pct"/>
            <w:vAlign w:val="center"/>
          </w:tcPr>
          <w:p>
            <w:pPr>
              <w:spacing w:line="240" w:lineRule="auto"/>
              <w:ind w:firstLine="0" w:firstLineChars="0"/>
              <w:jc w:val="center"/>
              <w:rPr>
                <w:rFonts w:cs="Times New Roman"/>
                <w:sz w:val="21"/>
                <w:szCs w:val="20"/>
              </w:rPr>
            </w:pPr>
            <w:r>
              <w:rPr>
                <w:rFonts w:cs="Times New Roman"/>
                <w:sz w:val="21"/>
                <w:szCs w:val="20"/>
              </w:rPr>
              <w:t>1953</w:t>
            </w:r>
          </w:p>
        </w:tc>
        <w:tc>
          <w:tcPr>
            <w:tcW w:w="333" w:type="pct"/>
            <w:vAlign w:val="center"/>
          </w:tcPr>
          <w:p>
            <w:pPr>
              <w:spacing w:line="240" w:lineRule="auto"/>
              <w:ind w:firstLine="0" w:firstLineChars="0"/>
              <w:jc w:val="center"/>
              <w:rPr>
                <w:rFonts w:cs="Times New Roman"/>
                <w:sz w:val="21"/>
                <w:szCs w:val="20"/>
              </w:rPr>
            </w:pPr>
            <w:r>
              <w:rPr>
                <w:rFonts w:cs="Times New Roman"/>
                <w:sz w:val="21"/>
                <w:szCs w:val="20"/>
              </w:rPr>
              <w:t>1297</w:t>
            </w:r>
          </w:p>
        </w:tc>
        <w:tc>
          <w:tcPr>
            <w:tcW w:w="399" w:type="pct"/>
            <w:vAlign w:val="center"/>
          </w:tcPr>
          <w:p>
            <w:pPr>
              <w:spacing w:line="240" w:lineRule="auto"/>
              <w:ind w:firstLine="0" w:firstLineChars="0"/>
              <w:jc w:val="center"/>
              <w:rPr>
                <w:rFonts w:cs="Times New Roman"/>
                <w:sz w:val="21"/>
                <w:szCs w:val="20"/>
              </w:rPr>
            </w:pPr>
            <w:r>
              <w:rPr>
                <w:rFonts w:cs="Times New Roman"/>
                <w:sz w:val="21"/>
                <w:szCs w:val="20"/>
              </w:rPr>
              <w:t>+0.91</w:t>
            </w:r>
          </w:p>
        </w:tc>
        <w:tc>
          <w:tcPr>
            <w:tcW w:w="774" w:type="pct"/>
            <w:vAlign w:val="center"/>
          </w:tcPr>
          <w:p>
            <w:pPr>
              <w:spacing w:line="240" w:lineRule="auto"/>
              <w:ind w:firstLine="0" w:firstLineChars="0"/>
              <w:jc w:val="center"/>
              <w:rPr>
                <w:rFonts w:cs="Times New Roman"/>
                <w:sz w:val="21"/>
                <w:szCs w:val="20"/>
              </w:rPr>
            </w:pPr>
            <w:r>
              <w:rPr>
                <w:rFonts w:cs="Times New Roman"/>
                <w:sz w:val="21"/>
                <w:szCs w:val="20"/>
              </w:rPr>
              <w:t>无</w:t>
            </w:r>
          </w:p>
        </w:tc>
        <w:tc>
          <w:tcPr>
            <w:tcW w:w="1861" w:type="pct"/>
            <w:vAlign w:val="center"/>
          </w:tcPr>
          <w:p>
            <w:pPr>
              <w:spacing w:line="240" w:lineRule="auto"/>
              <w:ind w:firstLine="0" w:firstLineChars="0"/>
              <w:jc w:val="center"/>
              <w:rPr>
                <w:rFonts w:cs="Times New Roman"/>
                <w:sz w:val="21"/>
                <w:szCs w:val="20"/>
              </w:rPr>
            </w:pPr>
            <w:r>
              <w:rPr>
                <w:rFonts w:cs="Times New Roman"/>
                <w:sz w:val="21"/>
                <w:szCs w:val="20"/>
              </w:rPr>
              <w:t>《地表水环境质量标准》（GB3838-2002）表Ⅲ类标准</w:t>
            </w:r>
          </w:p>
        </w:tc>
      </w:tr>
    </w:tbl>
    <w:p>
      <w:pPr>
        <w:adjustRightInd w:val="0"/>
        <w:snapToGrid w:val="0"/>
        <w:spacing w:before="163" w:beforeLines="50"/>
        <w:ind w:firstLine="482"/>
        <w:jc w:val="center"/>
        <w:rPr>
          <w:rFonts w:cs="Times New Roman"/>
          <w:b/>
          <w:kern w:val="0"/>
          <w:szCs w:val="21"/>
        </w:rPr>
      </w:pPr>
      <w:r>
        <w:rPr>
          <w:rFonts w:cs="Times New Roman"/>
          <w:b/>
          <w:kern w:val="0"/>
          <w:szCs w:val="21"/>
        </w:rPr>
        <w:t>表2.6-3  其他要素环境保护目标一览表</w:t>
      </w:r>
    </w:p>
    <w:tbl>
      <w:tblPr>
        <w:tblStyle w:val="4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75"/>
        <w:gridCol w:w="1945"/>
        <w:gridCol w:w="998"/>
        <w:gridCol w:w="1417"/>
        <w:gridCol w:w="3263"/>
        <w:gridCol w:w="52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Align w:val="center"/>
          </w:tcPr>
          <w:p>
            <w:pPr>
              <w:spacing w:line="240" w:lineRule="auto"/>
              <w:ind w:firstLine="0" w:firstLineChars="0"/>
              <w:jc w:val="center"/>
              <w:rPr>
                <w:rFonts w:cs="Times New Roman"/>
                <w:b/>
                <w:sz w:val="21"/>
                <w:szCs w:val="21"/>
              </w:rPr>
            </w:pPr>
            <w:r>
              <w:rPr>
                <w:rFonts w:cs="Times New Roman"/>
                <w:b/>
                <w:sz w:val="21"/>
                <w:szCs w:val="21"/>
              </w:rPr>
              <w:t>项目</w:t>
            </w:r>
          </w:p>
        </w:tc>
        <w:tc>
          <w:tcPr>
            <w:tcW w:w="686" w:type="pct"/>
            <w:vAlign w:val="center"/>
          </w:tcPr>
          <w:p>
            <w:pPr>
              <w:pStyle w:val="14"/>
              <w:rPr>
                <w:b/>
              </w:rPr>
            </w:pPr>
            <w:r>
              <w:t>环境保护目标</w:t>
            </w:r>
          </w:p>
        </w:tc>
        <w:tc>
          <w:tcPr>
            <w:tcW w:w="352" w:type="pct"/>
            <w:vAlign w:val="center"/>
          </w:tcPr>
          <w:p>
            <w:pPr>
              <w:pStyle w:val="14"/>
              <w:rPr>
                <w:b/>
              </w:rPr>
            </w:pPr>
            <w:r>
              <w:t>方位</w:t>
            </w:r>
          </w:p>
        </w:tc>
        <w:tc>
          <w:tcPr>
            <w:tcW w:w="500" w:type="pct"/>
            <w:vAlign w:val="center"/>
          </w:tcPr>
          <w:p>
            <w:pPr>
              <w:pStyle w:val="14"/>
              <w:rPr>
                <w:b/>
              </w:rPr>
            </w:pPr>
            <w:r>
              <w:t>与厂界距离</w:t>
            </w:r>
          </w:p>
        </w:tc>
        <w:tc>
          <w:tcPr>
            <w:tcW w:w="1151" w:type="pct"/>
            <w:vAlign w:val="center"/>
          </w:tcPr>
          <w:p>
            <w:pPr>
              <w:pStyle w:val="14"/>
              <w:rPr>
                <w:b/>
              </w:rPr>
            </w:pPr>
            <w:r>
              <w:t>规模/功能</w:t>
            </w:r>
          </w:p>
        </w:tc>
        <w:tc>
          <w:tcPr>
            <w:tcW w:w="1861" w:type="pct"/>
            <w:vAlign w:val="center"/>
          </w:tcPr>
          <w:p>
            <w:pPr>
              <w:pStyle w:val="14"/>
              <w:rPr>
                <w:b/>
              </w:rPr>
            </w:pPr>
            <w:r>
              <w:t>保护级别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restart"/>
            <w:vAlign w:val="center"/>
          </w:tcPr>
          <w:p>
            <w:pPr>
              <w:spacing w:line="240" w:lineRule="auto"/>
              <w:ind w:firstLine="0" w:firstLineChars="0"/>
              <w:jc w:val="center"/>
              <w:rPr>
                <w:rFonts w:cs="Times New Roman"/>
                <w:sz w:val="21"/>
                <w:szCs w:val="21"/>
              </w:rPr>
            </w:pPr>
            <w:r>
              <w:rPr>
                <w:rFonts w:cs="Times New Roman"/>
                <w:sz w:val="21"/>
                <w:szCs w:val="21"/>
              </w:rPr>
              <w:t>声环境</w:t>
            </w: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方坳</w:t>
            </w:r>
          </w:p>
        </w:tc>
        <w:tc>
          <w:tcPr>
            <w:tcW w:w="352" w:type="pct"/>
            <w:vAlign w:val="center"/>
          </w:tcPr>
          <w:p>
            <w:pPr>
              <w:pStyle w:val="14"/>
            </w:pPr>
            <w:r>
              <w:t>西北</w:t>
            </w:r>
          </w:p>
        </w:tc>
        <w:tc>
          <w:tcPr>
            <w:tcW w:w="500" w:type="pct"/>
            <w:vAlign w:val="center"/>
          </w:tcPr>
          <w:p>
            <w:pPr>
              <w:pStyle w:val="14"/>
            </w:pPr>
            <w:r>
              <w:t>15~200</w:t>
            </w:r>
          </w:p>
        </w:tc>
        <w:tc>
          <w:tcPr>
            <w:tcW w:w="1151" w:type="pct"/>
            <w:vAlign w:val="center"/>
          </w:tcPr>
          <w:p>
            <w:pPr>
              <w:pStyle w:val="14"/>
            </w:pPr>
            <w:r>
              <w:t>约30人</w:t>
            </w:r>
          </w:p>
        </w:tc>
        <w:tc>
          <w:tcPr>
            <w:tcW w:w="1861" w:type="pct"/>
            <w:vMerge w:val="restart"/>
            <w:vAlign w:val="center"/>
          </w:tcPr>
          <w:p>
            <w:pPr>
              <w:pStyle w:val="14"/>
            </w:pPr>
            <w:r>
              <w:t>《声环境质量标准》（GB3096-2008）中3类标准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南塘</w:t>
            </w:r>
          </w:p>
        </w:tc>
        <w:tc>
          <w:tcPr>
            <w:tcW w:w="352" w:type="pct"/>
            <w:vAlign w:val="center"/>
          </w:tcPr>
          <w:p>
            <w:pPr>
              <w:pStyle w:val="14"/>
            </w:pPr>
            <w:r>
              <w:t>南</w:t>
            </w:r>
          </w:p>
        </w:tc>
        <w:tc>
          <w:tcPr>
            <w:tcW w:w="500" w:type="pct"/>
            <w:vAlign w:val="center"/>
          </w:tcPr>
          <w:p>
            <w:pPr>
              <w:pStyle w:val="14"/>
            </w:pPr>
            <w:r>
              <w:t>100~200</w:t>
            </w:r>
          </w:p>
        </w:tc>
        <w:tc>
          <w:tcPr>
            <w:tcW w:w="1151" w:type="pct"/>
            <w:vAlign w:val="center"/>
          </w:tcPr>
          <w:p>
            <w:pPr>
              <w:pStyle w:val="14"/>
            </w:pPr>
            <w:r>
              <w:t>约4人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裁冲</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115~200</w:t>
            </w:r>
          </w:p>
        </w:tc>
        <w:tc>
          <w:tcPr>
            <w:tcW w:w="1151" w:type="pct"/>
            <w:vAlign w:val="center"/>
          </w:tcPr>
          <w:p>
            <w:pPr>
              <w:pStyle w:val="14"/>
            </w:pPr>
            <w:r>
              <w:t>约50人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芳玉堂</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东</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50~200</w:t>
            </w:r>
          </w:p>
        </w:tc>
        <w:tc>
          <w:tcPr>
            <w:tcW w:w="1151" w:type="pct"/>
            <w:vAlign w:val="center"/>
          </w:tcPr>
          <w:p>
            <w:pPr>
              <w:pStyle w:val="14"/>
            </w:pPr>
            <w:r>
              <w:t>约100人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Align w:val="center"/>
          </w:tcPr>
          <w:p>
            <w:pPr>
              <w:spacing w:line="240" w:lineRule="auto"/>
              <w:ind w:firstLine="0" w:firstLineChars="0"/>
              <w:jc w:val="center"/>
              <w:rPr>
                <w:rFonts w:cs="Times New Roman"/>
                <w:sz w:val="21"/>
                <w:szCs w:val="21"/>
              </w:rPr>
            </w:pPr>
            <w:r>
              <w:rPr>
                <w:rFonts w:cs="Times New Roman"/>
                <w:sz w:val="21"/>
                <w:szCs w:val="21"/>
              </w:rPr>
              <w:t>地下水</w:t>
            </w: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区域地下水</w:t>
            </w:r>
          </w:p>
        </w:tc>
        <w:tc>
          <w:tcPr>
            <w:tcW w:w="352" w:type="pct"/>
            <w:vAlign w:val="center"/>
          </w:tcPr>
          <w:p>
            <w:pPr>
              <w:pStyle w:val="14"/>
            </w:pPr>
            <w:r>
              <w:t>/</w:t>
            </w:r>
          </w:p>
        </w:tc>
        <w:tc>
          <w:tcPr>
            <w:tcW w:w="500" w:type="pct"/>
            <w:vAlign w:val="center"/>
          </w:tcPr>
          <w:p>
            <w:pPr>
              <w:pStyle w:val="14"/>
            </w:pPr>
            <w:r>
              <w:t>/</w:t>
            </w:r>
          </w:p>
        </w:tc>
        <w:tc>
          <w:tcPr>
            <w:tcW w:w="1151" w:type="pct"/>
            <w:vAlign w:val="center"/>
          </w:tcPr>
          <w:p>
            <w:pPr>
              <w:pStyle w:val="14"/>
            </w:pPr>
            <w:r>
              <w:t>12km</w:t>
            </w:r>
            <w:r>
              <w:rPr>
                <w:vertAlign w:val="superscript"/>
              </w:rPr>
              <w:t>2</w:t>
            </w:r>
          </w:p>
        </w:tc>
        <w:tc>
          <w:tcPr>
            <w:tcW w:w="1861" w:type="pct"/>
            <w:vAlign w:val="center"/>
          </w:tcPr>
          <w:p>
            <w:pPr>
              <w:pStyle w:val="14"/>
            </w:pPr>
            <w:r>
              <w:t>《地下水质量标准》（GB/T14848-2017）中的Ⅲ类标准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Align w:val="center"/>
          </w:tcPr>
          <w:p>
            <w:pPr>
              <w:spacing w:line="240" w:lineRule="auto"/>
              <w:ind w:firstLine="0" w:firstLineChars="0"/>
              <w:jc w:val="center"/>
              <w:rPr>
                <w:rFonts w:cs="Times New Roman"/>
                <w:sz w:val="21"/>
                <w:szCs w:val="21"/>
              </w:rPr>
            </w:pPr>
            <w:r>
              <w:rPr>
                <w:rFonts w:cs="Times New Roman"/>
                <w:sz w:val="21"/>
                <w:szCs w:val="21"/>
              </w:rPr>
              <w:t>生态环境</w:t>
            </w: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周边200m</w:t>
            </w:r>
          </w:p>
        </w:tc>
        <w:tc>
          <w:tcPr>
            <w:tcW w:w="352" w:type="pct"/>
            <w:vAlign w:val="center"/>
          </w:tcPr>
          <w:p>
            <w:pPr>
              <w:pStyle w:val="14"/>
            </w:pPr>
            <w:r>
              <w:t>/</w:t>
            </w:r>
          </w:p>
        </w:tc>
        <w:tc>
          <w:tcPr>
            <w:tcW w:w="500" w:type="pct"/>
            <w:vAlign w:val="center"/>
          </w:tcPr>
          <w:p>
            <w:pPr>
              <w:pStyle w:val="14"/>
            </w:pPr>
            <w:r>
              <w:t>/</w:t>
            </w:r>
          </w:p>
        </w:tc>
        <w:tc>
          <w:tcPr>
            <w:tcW w:w="1151" w:type="pct"/>
            <w:vAlign w:val="center"/>
          </w:tcPr>
          <w:p>
            <w:pPr>
              <w:pStyle w:val="14"/>
            </w:pPr>
            <w:r>
              <w:t>/</w:t>
            </w:r>
          </w:p>
        </w:tc>
        <w:tc>
          <w:tcPr>
            <w:tcW w:w="1861" w:type="pct"/>
            <w:vAlign w:val="center"/>
          </w:tcPr>
          <w:p>
            <w:pPr>
              <w:pStyle w:val="14"/>
            </w:pPr>
            <w:r>
              <w:t>不造成新的水土流失、土壤侵蚀及生态破坏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restart"/>
            <w:vAlign w:val="center"/>
          </w:tcPr>
          <w:p>
            <w:pPr>
              <w:spacing w:line="240" w:lineRule="auto"/>
              <w:ind w:firstLine="0" w:firstLineChars="0"/>
              <w:jc w:val="center"/>
              <w:rPr>
                <w:rFonts w:cs="Times New Roman"/>
                <w:sz w:val="21"/>
                <w:szCs w:val="21"/>
              </w:rPr>
            </w:pPr>
            <w:r>
              <w:rPr>
                <w:rFonts w:cs="Times New Roman"/>
                <w:sz w:val="21"/>
                <w:szCs w:val="21"/>
              </w:rPr>
              <w:t>环境风险</w:t>
            </w:r>
          </w:p>
        </w:tc>
        <w:tc>
          <w:tcPr>
            <w:tcW w:w="686" w:type="pct"/>
            <w:vAlign w:val="center"/>
          </w:tcPr>
          <w:p>
            <w:pPr>
              <w:pStyle w:val="14"/>
              <w:rPr>
                <w:b/>
              </w:rPr>
            </w:pPr>
            <w:r>
              <w:t>环境保护目标</w:t>
            </w:r>
          </w:p>
        </w:tc>
        <w:tc>
          <w:tcPr>
            <w:tcW w:w="352" w:type="pct"/>
            <w:vAlign w:val="center"/>
          </w:tcPr>
          <w:p>
            <w:pPr>
              <w:pStyle w:val="14"/>
              <w:rPr>
                <w:b/>
              </w:rPr>
            </w:pPr>
            <w:r>
              <w:t>方位</w:t>
            </w:r>
          </w:p>
        </w:tc>
        <w:tc>
          <w:tcPr>
            <w:tcW w:w="500" w:type="pct"/>
            <w:vAlign w:val="center"/>
          </w:tcPr>
          <w:p>
            <w:pPr>
              <w:pStyle w:val="14"/>
              <w:rPr>
                <w:b/>
              </w:rPr>
            </w:pPr>
            <w:r>
              <w:t>与</w:t>
            </w:r>
            <w:r>
              <w:rPr>
                <w:rFonts w:hint="eastAsia"/>
              </w:rPr>
              <w:t>厂界</w:t>
            </w:r>
            <w:r>
              <w:t>距离/m</w:t>
            </w:r>
          </w:p>
        </w:tc>
        <w:tc>
          <w:tcPr>
            <w:tcW w:w="1151" w:type="pct"/>
            <w:vAlign w:val="center"/>
          </w:tcPr>
          <w:p>
            <w:pPr>
              <w:pStyle w:val="14"/>
              <w:rPr>
                <w:b/>
              </w:rPr>
            </w:pPr>
            <w:r>
              <w:t>规模/功能</w:t>
            </w:r>
          </w:p>
        </w:tc>
        <w:tc>
          <w:tcPr>
            <w:tcW w:w="1861" w:type="pct"/>
            <w:vMerge w:val="restart"/>
            <w:vAlign w:val="center"/>
          </w:tcPr>
          <w:p>
            <w:pPr>
              <w:pStyle w:val="14"/>
            </w:pPr>
            <w:r>
              <w:t>《环境空气质量标准》（GB3095-2012）二级标准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方坳</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1350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约30人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南塘</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1100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约4人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宝划堂</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1750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约79人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白象村</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东</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820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约405人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荷雅堂</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东南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450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约50人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高阳村</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2150</w:t>
            </w:r>
          </w:p>
        </w:tc>
        <w:tc>
          <w:tcPr>
            <w:tcW w:w="1151"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约150人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太清村</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1350</w:t>
            </w:r>
          </w:p>
        </w:tc>
        <w:tc>
          <w:tcPr>
            <w:tcW w:w="1151"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约120人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高桥村</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2050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约50人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高湾村</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2550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约20人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富家塘</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2400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约40人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畔塘</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2800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约20人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纱帽山</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2200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约120人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童知</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1900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约30人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裁冲</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300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约50人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老槽门</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480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约60人</w:t>
            </w:r>
          </w:p>
        </w:tc>
        <w:tc>
          <w:tcPr>
            <w:tcW w:w="1861" w:type="pct"/>
            <w:vMerge w:val="continue"/>
            <w:vAlign w:val="center"/>
          </w:tcPr>
          <w:p>
            <w:pPr>
              <w:pStyle w:val="14"/>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上如堂</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东北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850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约80人</w:t>
            </w:r>
          </w:p>
        </w:tc>
        <w:tc>
          <w:tcPr>
            <w:tcW w:w="1861"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芳玉堂</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东</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250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约100人</w:t>
            </w:r>
          </w:p>
        </w:tc>
        <w:tc>
          <w:tcPr>
            <w:tcW w:w="1861"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众拱村</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670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约125人</w:t>
            </w:r>
          </w:p>
        </w:tc>
        <w:tc>
          <w:tcPr>
            <w:tcW w:w="1861"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唐福村</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2250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约150人</w:t>
            </w:r>
          </w:p>
        </w:tc>
        <w:tc>
          <w:tcPr>
            <w:tcW w:w="1861"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慈荫堂</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2500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约120人</w:t>
            </w:r>
          </w:p>
        </w:tc>
        <w:tc>
          <w:tcPr>
            <w:tcW w:w="1861"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曾老屋</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3200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约30人</w:t>
            </w:r>
          </w:p>
        </w:tc>
        <w:tc>
          <w:tcPr>
            <w:tcW w:w="1861"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陈家堰</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1350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约20人</w:t>
            </w:r>
          </w:p>
        </w:tc>
        <w:tc>
          <w:tcPr>
            <w:tcW w:w="1861"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横木塘</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1650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约60人</w:t>
            </w:r>
          </w:p>
        </w:tc>
        <w:tc>
          <w:tcPr>
            <w:tcW w:w="1861"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曹家塘</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2350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约40人</w:t>
            </w:r>
          </w:p>
        </w:tc>
        <w:tc>
          <w:tcPr>
            <w:tcW w:w="1861"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高碧塘</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西南</w:t>
            </w:r>
          </w:p>
        </w:tc>
        <w:tc>
          <w:tcPr>
            <w:tcW w:w="500"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1930</w:t>
            </w:r>
          </w:p>
        </w:tc>
        <w:tc>
          <w:tcPr>
            <w:tcW w:w="1151" w:type="pct"/>
            <w:vAlign w:val="center"/>
          </w:tcPr>
          <w:p>
            <w:pPr>
              <w:spacing w:line="240" w:lineRule="auto"/>
              <w:ind w:firstLine="0" w:firstLineChars="0"/>
              <w:jc w:val="center"/>
              <w:rPr>
                <w:rFonts w:cs="Times New Roman"/>
                <w:sz w:val="21"/>
                <w:szCs w:val="21"/>
              </w:rPr>
            </w:pPr>
            <w:r>
              <w:rPr>
                <w:rFonts w:cs="Times New Roman"/>
                <w:sz w:val="21"/>
                <w:szCs w:val="21"/>
              </w:rPr>
              <w:t>约20人</w:t>
            </w:r>
          </w:p>
        </w:tc>
        <w:tc>
          <w:tcPr>
            <w:tcW w:w="1861" w:type="pct"/>
            <w:vMerge w:val="continue"/>
            <w:vAlign w:val="center"/>
          </w:tcPr>
          <w:p>
            <w:pPr>
              <w:spacing w:line="240" w:lineRule="auto"/>
              <w:ind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白象河</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东南</w:t>
            </w:r>
          </w:p>
        </w:tc>
        <w:tc>
          <w:tcPr>
            <w:tcW w:w="500" w:type="pct"/>
            <w:vAlign w:val="center"/>
          </w:tcPr>
          <w:p>
            <w:pPr>
              <w:spacing w:line="240" w:lineRule="auto"/>
              <w:ind w:firstLine="0" w:firstLineChars="0"/>
              <w:jc w:val="center"/>
              <w:rPr>
                <w:rFonts w:cs="Times New Roman"/>
                <w:sz w:val="21"/>
                <w:szCs w:val="21"/>
              </w:rPr>
            </w:pPr>
            <w:r>
              <w:rPr>
                <w:rFonts w:cs="Times New Roman"/>
                <w:sz w:val="21"/>
                <w:szCs w:val="21"/>
              </w:rPr>
              <w:t>430</w:t>
            </w:r>
          </w:p>
        </w:tc>
        <w:tc>
          <w:tcPr>
            <w:tcW w:w="1151"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污水排入白象河排放口上游0.5km、下游1.5km，共2km范围</w:t>
            </w:r>
          </w:p>
        </w:tc>
        <w:tc>
          <w:tcPr>
            <w:tcW w:w="1861" w:type="pct"/>
            <w:vAlign w:val="center"/>
          </w:tcPr>
          <w:p>
            <w:pPr>
              <w:spacing w:line="240" w:lineRule="auto"/>
              <w:ind w:firstLine="0" w:firstLineChars="0"/>
              <w:jc w:val="center"/>
              <w:rPr>
                <w:rFonts w:cs="Times New Roman"/>
                <w:sz w:val="21"/>
                <w:szCs w:val="21"/>
              </w:rPr>
            </w:pPr>
            <w:r>
              <w:rPr>
                <w:rFonts w:cs="Times New Roman"/>
                <w:sz w:val="21"/>
                <w:szCs w:val="21"/>
              </w:rPr>
              <w:t>《地表水环境质量标准》（GB3838-2002）表Ⅲ类标准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岳沙河</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西</w:t>
            </w:r>
          </w:p>
        </w:tc>
        <w:tc>
          <w:tcPr>
            <w:tcW w:w="500" w:type="pct"/>
            <w:vAlign w:val="center"/>
          </w:tcPr>
          <w:p>
            <w:pPr>
              <w:spacing w:line="240" w:lineRule="auto"/>
              <w:ind w:firstLine="0" w:firstLineChars="0"/>
              <w:jc w:val="center"/>
              <w:rPr>
                <w:rFonts w:cs="Times New Roman"/>
                <w:sz w:val="21"/>
                <w:szCs w:val="21"/>
              </w:rPr>
            </w:pPr>
            <w:r>
              <w:rPr>
                <w:rFonts w:cs="Times New Roman"/>
                <w:sz w:val="21"/>
                <w:szCs w:val="21"/>
              </w:rPr>
              <w:t>3000</w:t>
            </w:r>
          </w:p>
        </w:tc>
        <w:tc>
          <w:tcPr>
            <w:tcW w:w="1151"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w:t>
            </w:r>
          </w:p>
        </w:tc>
        <w:tc>
          <w:tcPr>
            <w:tcW w:w="1861" w:type="pct"/>
            <w:vAlign w:val="center"/>
          </w:tcPr>
          <w:p>
            <w:pPr>
              <w:spacing w:line="240" w:lineRule="auto"/>
              <w:ind w:firstLine="0" w:firstLineChars="0"/>
              <w:jc w:val="center"/>
              <w:rPr>
                <w:rFonts w:cs="Times New Roman"/>
                <w:sz w:val="21"/>
                <w:szCs w:val="21"/>
              </w:rPr>
            </w:pPr>
            <w:r>
              <w:rPr>
                <w:rFonts w:cs="Times New Roman"/>
                <w:sz w:val="21"/>
                <w:szCs w:val="21"/>
              </w:rPr>
              <w:t>《地表水环境质量标准》（GB3838-2002）表Ⅲ类标准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斜陂堰水库</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东北</w:t>
            </w:r>
          </w:p>
        </w:tc>
        <w:tc>
          <w:tcPr>
            <w:tcW w:w="500" w:type="pct"/>
            <w:vAlign w:val="center"/>
          </w:tcPr>
          <w:p>
            <w:pPr>
              <w:spacing w:line="240" w:lineRule="auto"/>
              <w:ind w:firstLine="0" w:firstLineChars="0"/>
              <w:jc w:val="center"/>
              <w:rPr>
                <w:rFonts w:cs="Times New Roman"/>
                <w:sz w:val="21"/>
                <w:szCs w:val="21"/>
              </w:rPr>
            </w:pPr>
            <w:r>
              <w:rPr>
                <w:rFonts w:cs="Times New Roman"/>
                <w:sz w:val="21"/>
                <w:szCs w:val="21"/>
              </w:rPr>
              <w:t>860</w:t>
            </w:r>
          </w:p>
        </w:tc>
        <w:tc>
          <w:tcPr>
            <w:tcW w:w="1151"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w:t>
            </w:r>
          </w:p>
        </w:tc>
        <w:tc>
          <w:tcPr>
            <w:tcW w:w="1861" w:type="pct"/>
            <w:vAlign w:val="center"/>
          </w:tcPr>
          <w:p>
            <w:pPr>
              <w:spacing w:line="240" w:lineRule="auto"/>
              <w:ind w:firstLine="0" w:firstLineChars="0"/>
              <w:jc w:val="center"/>
              <w:rPr>
                <w:rFonts w:cs="Times New Roman"/>
                <w:sz w:val="21"/>
                <w:szCs w:val="21"/>
              </w:rPr>
            </w:pPr>
            <w:r>
              <w:rPr>
                <w:rFonts w:cs="Times New Roman"/>
                <w:sz w:val="21"/>
                <w:szCs w:val="21"/>
              </w:rPr>
              <w:t>《地表水环境质量标准》（GB3838-2002）表Ⅲ类标准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0" w:type="pct"/>
            <w:vMerge w:val="continue"/>
            <w:vAlign w:val="center"/>
          </w:tcPr>
          <w:p>
            <w:pPr>
              <w:spacing w:line="240" w:lineRule="auto"/>
              <w:ind w:firstLine="0" w:firstLineChars="0"/>
              <w:jc w:val="center"/>
              <w:rPr>
                <w:rFonts w:cs="Times New Roman"/>
                <w:sz w:val="21"/>
                <w:szCs w:val="21"/>
              </w:rPr>
            </w:pPr>
          </w:p>
        </w:tc>
        <w:tc>
          <w:tcPr>
            <w:tcW w:w="686" w:type="pct"/>
            <w:vAlign w:val="center"/>
          </w:tcPr>
          <w:p>
            <w:pPr>
              <w:spacing w:line="240" w:lineRule="auto"/>
              <w:ind w:firstLine="0" w:firstLineChars="0"/>
              <w:jc w:val="center"/>
              <w:rPr>
                <w:rFonts w:cs="Times New Roman"/>
                <w:sz w:val="21"/>
                <w:szCs w:val="21"/>
              </w:rPr>
            </w:pPr>
            <w:r>
              <w:rPr>
                <w:rFonts w:cs="Times New Roman"/>
                <w:sz w:val="21"/>
                <w:szCs w:val="21"/>
              </w:rPr>
              <w:t>区域地下水</w:t>
            </w:r>
          </w:p>
        </w:tc>
        <w:tc>
          <w:tcPr>
            <w:tcW w:w="352"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w:t>
            </w:r>
          </w:p>
        </w:tc>
        <w:tc>
          <w:tcPr>
            <w:tcW w:w="500" w:type="pct"/>
            <w:vAlign w:val="center"/>
          </w:tcPr>
          <w:p>
            <w:pPr>
              <w:spacing w:line="240" w:lineRule="auto"/>
              <w:ind w:firstLine="0" w:firstLineChars="0"/>
              <w:jc w:val="center"/>
              <w:rPr>
                <w:rFonts w:cs="Times New Roman"/>
                <w:sz w:val="21"/>
                <w:szCs w:val="21"/>
              </w:rPr>
            </w:pPr>
            <w:r>
              <w:rPr>
                <w:rFonts w:cs="Times New Roman"/>
                <w:sz w:val="21"/>
                <w:szCs w:val="21"/>
              </w:rPr>
              <w:t>/</w:t>
            </w:r>
          </w:p>
        </w:tc>
        <w:tc>
          <w:tcPr>
            <w:tcW w:w="1151" w:type="pct"/>
            <w:vAlign w:val="center"/>
          </w:tcPr>
          <w:p>
            <w:pPr>
              <w:pStyle w:val="76"/>
              <w:snapToGrid/>
              <w:spacing w:line="240" w:lineRule="auto"/>
              <w:ind w:firstLine="0"/>
              <w:jc w:val="center"/>
              <w:rPr>
                <w:rFonts w:eastAsia="宋体" w:cs="Times New Roman"/>
                <w:sz w:val="21"/>
                <w:szCs w:val="21"/>
              </w:rPr>
            </w:pPr>
            <w:r>
              <w:rPr>
                <w:rFonts w:eastAsia="宋体" w:cs="Times New Roman"/>
                <w:sz w:val="21"/>
                <w:szCs w:val="21"/>
              </w:rPr>
              <w:t>12km</w:t>
            </w:r>
            <w:r>
              <w:rPr>
                <w:rFonts w:eastAsia="宋体" w:cs="Times New Roman"/>
                <w:sz w:val="21"/>
                <w:szCs w:val="21"/>
                <w:vertAlign w:val="superscript"/>
              </w:rPr>
              <w:t>2</w:t>
            </w:r>
          </w:p>
        </w:tc>
        <w:tc>
          <w:tcPr>
            <w:tcW w:w="1861" w:type="pct"/>
            <w:vAlign w:val="center"/>
          </w:tcPr>
          <w:p>
            <w:pPr>
              <w:spacing w:line="240" w:lineRule="auto"/>
              <w:ind w:firstLine="0" w:firstLineChars="0"/>
              <w:jc w:val="center"/>
              <w:rPr>
                <w:rFonts w:cs="Times New Roman"/>
                <w:sz w:val="21"/>
                <w:szCs w:val="21"/>
              </w:rPr>
            </w:pPr>
            <w:r>
              <w:rPr>
                <w:rFonts w:cs="Times New Roman"/>
                <w:sz w:val="21"/>
                <w:szCs w:val="21"/>
              </w:rPr>
              <w:t>《地下水质量标准》（GB/T14848-2017）中的Ⅲ类标准</w:t>
            </w:r>
          </w:p>
        </w:tc>
      </w:tr>
    </w:tbl>
    <w:p>
      <w:pPr>
        <w:ind w:firstLine="0" w:firstLineChars="0"/>
        <w:rPr>
          <w:rFonts w:cs="Times New Roman"/>
        </w:rPr>
      </w:pPr>
    </w:p>
    <w:p>
      <w:pPr>
        <w:ind w:firstLine="480"/>
        <w:rPr>
          <w:rFonts w:cs="Times New Roman"/>
        </w:rPr>
        <w:sectPr>
          <w:pgSz w:w="16838" w:h="11906" w:orient="landscape"/>
          <w:pgMar w:top="1800" w:right="1440" w:bottom="1800" w:left="1440" w:header="851" w:footer="992" w:gutter="0"/>
          <w:cols w:space="425" w:num="1"/>
          <w:docGrid w:type="lines" w:linePitch="326" w:charSpace="0"/>
        </w:sectPr>
      </w:pPr>
    </w:p>
    <w:p>
      <w:pPr>
        <w:pStyle w:val="2"/>
        <w:rPr>
          <w:rFonts w:cs="Times New Roman"/>
        </w:rPr>
      </w:pPr>
      <w:bookmarkStart w:id="67" w:name="_Toc86611248"/>
      <w:r>
        <w:rPr>
          <w:rFonts w:cs="Times New Roman"/>
        </w:rPr>
        <w:t>3建设项目工程分析</w:t>
      </w:r>
      <w:bookmarkEnd w:id="67"/>
    </w:p>
    <w:p>
      <w:pPr>
        <w:pStyle w:val="3"/>
        <w:rPr>
          <w:rFonts w:cs="Times New Roman"/>
        </w:rPr>
      </w:pPr>
      <w:bookmarkStart w:id="68" w:name="_Toc86611249"/>
      <w:r>
        <w:rPr>
          <w:rFonts w:cs="Times New Roman"/>
        </w:rPr>
        <w:t>3.1项目概况</w:t>
      </w:r>
      <w:bookmarkEnd w:id="68"/>
    </w:p>
    <w:p>
      <w:pPr>
        <w:pStyle w:val="4"/>
        <w:rPr>
          <w:rFonts w:cs="Times New Roman"/>
        </w:rPr>
      </w:pPr>
      <w:bookmarkStart w:id="69" w:name="_Toc86611250"/>
      <w:r>
        <w:rPr>
          <w:rFonts w:cs="Times New Roman"/>
        </w:rPr>
        <w:t>3.1.1项目基本情况</w:t>
      </w:r>
      <w:bookmarkEnd w:id="69"/>
    </w:p>
    <w:p>
      <w:pPr>
        <w:autoSpaceDE w:val="0"/>
        <w:autoSpaceDN w:val="0"/>
        <w:adjustRightInd w:val="0"/>
        <w:ind w:firstLine="480"/>
        <w:rPr>
          <w:rFonts w:cs="Times New Roman"/>
          <w:kern w:val="0"/>
        </w:rPr>
      </w:pPr>
      <w:r>
        <w:rPr>
          <w:rFonts w:cs="Times New Roman"/>
          <w:kern w:val="0"/>
        </w:rPr>
        <w:t>（1）项目名称：</w:t>
      </w:r>
      <w:bookmarkStart w:id="70" w:name="_Hlk90908275"/>
      <w:r>
        <w:rPr>
          <w:rFonts w:cs="Times New Roman"/>
        </w:rPr>
        <w:t>湖南将军新型建材生产项目</w:t>
      </w:r>
      <w:bookmarkEnd w:id="70"/>
    </w:p>
    <w:p>
      <w:pPr>
        <w:autoSpaceDE w:val="0"/>
        <w:autoSpaceDN w:val="0"/>
        <w:adjustRightInd w:val="0"/>
        <w:ind w:firstLine="480"/>
        <w:rPr>
          <w:rFonts w:cs="Times New Roman"/>
          <w:kern w:val="0"/>
        </w:rPr>
      </w:pPr>
      <w:r>
        <w:rPr>
          <w:rFonts w:cs="Times New Roman"/>
          <w:kern w:val="0"/>
        </w:rPr>
        <w:t>（2）建设单位：</w:t>
      </w:r>
      <w:bookmarkStart w:id="71" w:name="_Hlk90908310"/>
      <w:r>
        <w:rPr>
          <w:rFonts w:cs="Times New Roman"/>
        </w:rPr>
        <w:t>湖南将军新型建材有限公司</w:t>
      </w:r>
      <w:bookmarkEnd w:id="71"/>
    </w:p>
    <w:p>
      <w:pPr>
        <w:autoSpaceDE w:val="0"/>
        <w:autoSpaceDN w:val="0"/>
        <w:adjustRightInd w:val="0"/>
        <w:ind w:firstLine="480"/>
        <w:rPr>
          <w:rFonts w:cs="Times New Roman"/>
          <w:kern w:val="0"/>
        </w:rPr>
      </w:pPr>
      <w:r>
        <w:rPr>
          <w:rFonts w:cs="Times New Roman"/>
          <w:kern w:val="0"/>
        </w:rPr>
        <w:t>（3）建设地点：</w:t>
      </w:r>
      <w:bookmarkStart w:id="72" w:name="_Hlk90908320"/>
      <w:r>
        <w:rPr>
          <w:rFonts w:cs="Times New Roman"/>
          <w:bCs/>
        </w:rPr>
        <w:t>衡阳界牌陶瓷循环经济特色工业园区</w:t>
      </w:r>
      <w:bookmarkEnd w:id="72"/>
      <w:r>
        <w:rPr>
          <w:rFonts w:cs="Times New Roman"/>
        </w:rPr>
        <w:t>，中心地理坐标为：</w:t>
      </w:r>
      <w:r>
        <w:rPr>
          <w:rFonts w:cs="Times New Roman"/>
          <w:kern w:val="0"/>
        </w:rPr>
        <w:t>东经112°29′55.37″，北纬27°11′08.82″</w:t>
      </w:r>
    </w:p>
    <w:p>
      <w:pPr>
        <w:autoSpaceDE w:val="0"/>
        <w:autoSpaceDN w:val="0"/>
        <w:adjustRightInd w:val="0"/>
        <w:ind w:firstLine="480"/>
        <w:rPr>
          <w:rFonts w:cs="Times New Roman"/>
          <w:kern w:val="0"/>
        </w:rPr>
      </w:pPr>
      <w:r>
        <w:rPr>
          <w:rFonts w:cs="Times New Roman"/>
          <w:kern w:val="0"/>
        </w:rPr>
        <w:t>（4）项目性质：新建</w:t>
      </w:r>
    </w:p>
    <w:p>
      <w:pPr>
        <w:autoSpaceDE w:val="0"/>
        <w:autoSpaceDN w:val="0"/>
        <w:adjustRightInd w:val="0"/>
        <w:ind w:firstLine="480"/>
        <w:rPr>
          <w:rFonts w:cs="Times New Roman"/>
          <w:kern w:val="0"/>
        </w:rPr>
      </w:pPr>
      <w:r>
        <w:rPr>
          <w:rFonts w:cs="Times New Roman"/>
          <w:kern w:val="0"/>
        </w:rPr>
        <w:t>（5）项目总投资：本项目总投资为203022.30万元。</w:t>
      </w:r>
    </w:p>
    <w:p>
      <w:pPr>
        <w:ind w:firstLine="480"/>
        <w:rPr>
          <w:rFonts w:cs="Times New Roman"/>
        </w:rPr>
      </w:pPr>
      <w:r>
        <w:rPr>
          <w:rFonts w:cs="Times New Roman"/>
        </w:rPr>
        <w:t>（6）建设规模：项目全部建成后将达到年产12804万</w:t>
      </w:r>
      <w:r>
        <w:rPr>
          <w:rFonts w:hint="eastAsia" w:cs="Times New Roman"/>
        </w:rPr>
        <w:t>m</w:t>
      </w:r>
      <w:r>
        <w:rPr>
          <w:rFonts w:cs="Times New Roman"/>
          <w:vertAlign w:val="superscript"/>
        </w:rPr>
        <w:t>2</w:t>
      </w:r>
      <w:r>
        <w:rPr>
          <w:rFonts w:cs="Times New Roman"/>
        </w:rPr>
        <w:t>建筑陶瓷及120万件卫生洁具的生产规模。</w:t>
      </w:r>
    </w:p>
    <w:p>
      <w:pPr>
        <w:ind w:firstLine="480"/>
        <w:rPr>
          <w:rFonts w:cs="Times New Roman"/>
        </w:rPr>
      </w:pPr>
      <w:r>
        <w:rPr>
          <w:rFonts w:cs="Times New Roman"/>
        </w:rPr>
        <w:t>（7）占地面积：1165333.2m</w:t>
      </w:r>
      <w:r>
        <w:rPr>
          <w:rFonts w:cs="Times New Roman"/>
          <w:vertAlign w:val="superscript"/>
        </w:rPr>
        <w:t>2</w:t>
      </w:r>
      <w:r>
        <w:rPr>
          <w:rFonts w:cs="Times New Roman"/>
        </w:rPr>
        <w:t>（合1748亩），总建筑面积966703m</w:t>
      </w:r>
      <w:r>
        <w:rPr>
          <w:rFonts w:cs="Times New Roman"/>
          <w:vertAlign w:val="superscript"/>
        </w:rPr>
        <w:t>2</w:t>
      </w:r>
      <w:r>
        <w:rPr>
          <w:rFonts w:cs="Times New Roman"/>
        </w:rPr>
        <w:t>。</w:t>
      </w:r>
    </w:p>
    <w:p>
      <w:pPr>
        <w:pStyle w:val="4"/>
        <w:rPr>
          <w:rFonts w:cs="Times New Roman"/>
        </w:rPr>
      </w:pPr>
      <w:bookmarkStart w:id="73" w:name="_Toc86611251"/>
      <w:r>
        <w:rPr>
          <w:rFonts w:cs="Times New Roman"/>
        </w:rPr>
        <w:t>3.1.2主要建设内容与项目组成</w:t>
      </w:r>
      <w:bookmarkEnd w:id="73"/>
    </w:p>
    <w:p>
      <w:pPr>
        <w:ind w:firstLine="480"/>
        <w:rPr>
          <w:rFonts w:cs="Times New Roman"/>
        </w:rPr>
      </w:pPr>
      <w:r>
        <w:rPr>
          <w:rFonts w:cs="Times New Roman"/>
        </w:rPr>
        <w:t>项目拟在界牌陶瓷循环经济特色工业园区征地1165333.2m</w:t>
      </w:r>
      <w:r>
        <w:rPr>
          <w:rFonts w:cs="Times New Roman"/>
          <w:vertAlign w:val="superscript"/>
        </w:rPr>
        <w:t>2</w:t>
      </w:r>
      <w:r>
        <w:rPr>
          <w:rFonts w:cs="Times New Roman"/>
        </w:rPr>
        <w:t>（合1748亩），</w:t>
      </w:r>
      <w:r>
        <w:rPr>
          <w:rFonts w:hint="eastAsia" w:cs="Times New Roman"/>
        </w:rPr>
        <w:t>设置包装材料生产车间、深加工车间、四个生产车间、4个原料制粉车间、2个原矿处理车间、1个储气站、4个原料堆场及7个原矿堆场、1个智能仓储车间（成品仓储），受</w:t>
      </w:r>
      <w:r>
        <w:rPr>
          <w:rFonts w:cs="Times New Roman"/>
          <w:bCs/>
        </w:rPr>
        <w:t>衡阳界牌陶瓷循环经济特色工业园</w:t>
      </w:r>
      <w:r>
        <w:rPr>
          <w:rFonts w:hint="eastAsia" w:cs="Times New Roman"/>
          <w:bCs/>
        </w:rPr>
        <w:t>规模限值，本项目分两期进行建设，主体结构工程一期全部建成，炉窑生产线一期仅建设6条生产线，剩余</w:t>
      </w:r>
      <w:r>
        <w:rPr>
          <w:rFonts w:cs="Times New Roman"/>
          <w:bCs/>
        </w:rPr>
        <w:t>6</w:t>
      </w:r>
      <w:r>
        <w:rPr>
          <w:rFonts w:hint="eastAsia" w:cs="Times New Roman"/>
          <w:bCs/>
        </w:rPr>
        <w:t>条生产线待</w:t>
      </w:r>
      <w:r>
        <w:rPr>
          <w:rFonts w:cs="Times New Roman"/>
          <w:bCs/>
        </w:rPr>
        <w:t>衡阳界牌陶瓷循环经济特色工业园</w:t>
      </w:r>
      <w:r>
        <w:rPr>
          <w:rFonts w:hint="eastAsia" w:cs="Times New Roman"/>
          <w:bCs/>
        </w:rPr>
        <w:t>调扩区工作完成后建设。</w:t>
      </w:r>
    </w:p>
    <w:p>
      <w:pPr>
        <w:ind w:firstLine="480"/>
        <w:rPr>
          <w:rFonts w:cs="Times New Roman"/>
        </w:rPr>
      </w:pPr>
      <w:r>
        <w:rPr>
          <w:rFonts w:cs="Times New Roman"/>
        </w:rPr>
        <w:t>项目组成详见表3.1-1。</w:t>
      </w:r>
    </w:p>
    <w:p>
      <w:pPr>
        <w:ind w:firstLine="482"/>
        <w:jc w:val="center"/>
        <w:rPr>
          <w:rFonts w:cs="Times New Roman"/>
          <w:b/>
          <w:bCs/>
        </w:rPr>
      </w:pPr>
      <w:r>
        <w:rPr>
          <w:rFonts w:cs="Times New Roman"/>
          <w:b/>
          <w:bCs/>
        </w:rPr>
        <w:t>表3.1-1  项目组成表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2040"/>
        <w:gridCol w:w="4164"/>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Align w:val="center"/>
          </w:tcPr>
          <w:p>
            <w:pPr>
              <w:spacing w:line="240" w:lineRule="auto"/>
              <w:ind w:firstLine="0" w:firstLineChars="0"/>
              <w:jc w:val="center"/>
              <w:rPr>
                <w:sz w:val="21"/>
                <w:szCs w:val="16"/>
                <w:u w:val="single"/>
              </w:rPr>
            </w:pPr>
            <w:r>
              <w:rPr>
                <w:sz w:val="21"/>
                <w:szCs w:val="16"/>
                <w:u w:val="single"/>
              </w:rPr>
              <w:t>工程类型</w:t>
            </w:r>
          </w:p>
        </w:tc>
        <w:tc>
          <w:tcPr>
            <w:tcW w:w="3640" w:type="pct"/>
            <w:gridSpan w:val="2"/>
            <w:vAlign w:val="center"/>
          </w:tcPr>
          <w:p>
            <w:pPr>
              <w:spacing w:line="240" w:lineRule="auto"/>
              <w:ind w:firstLine="0" w:firstLineChars="0"/>
              <w:jc w:val="center"/>
              <w:rPr>
                <w:sz w:val="21"/>
                <w:szCs w:val="16"/>
                <w:u w:val="single"/>
              </w:rPr>
            </w:pPr>
            <w:r>
              <w:rPr>
                <w:sz w:val="21"/>
                <w:szCs w:val="16"/>
                <w:u w:val="single"/>
              </w:rPr>
              <w:t>主要建设内容</w:t>
            </w:r>
          </w:p>
        </w:tc>
        <w:tc>
          <w:tcPr>
            <w:tcW w:w="680" w:type="pct"/>
            <w:vAlign w:val="center"/>
          </w:tcPr>
          <w:p>
            <w:pPr>
              <w:spacing w:line="240" w:lineRule="auto"/>
              <w:ind w:firstLine="0" w:firstLineChars="0"/>
              <w:jc w:val="center"/>
              <w:rPr>
                <w:sz w:val="21"/>
                <w:szCs w:val="16"/>
                <w:u w:val="single"/>
              </w:rPr>
            </w:pPr>
            <w:r>
              <w:rPr>
                <w:sz w:val="21"/>
                <w:szCs w:val="16"/>
                <w:u w:val="singl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pPr>
              <w:spacing w:line="240" w:lineRule="auto"/>
              <w:ind w:firstLine="0" w:firstLineChars="0"/>
              <w:jc w:val="center"/>
              <w:rPr>
                <w:sz w:val="21"/>
                <w:szCs w:val="16"/>
                <w:u w:val="single"/>
              </w:rPr>
            </w:pPr>
            <w:r>
              <w:rPr>
                <w:sz w:val="21"/>
                <w:szCs w:val="16"/>
                <w:u w:val="single"/>
              </w:rPr>
              <w:t>主体工程</w:t>
            </w:r>
          </w:p>
        </w:tc>
        <w:tc>
          <w:tcPr>
            <w:tcW w:w="1197" w:type="pct"/>
            <w:vAlign w:val="center"/>
          </w:tcPr>
          <w:p>
            <w:pPr>
              <w:spacing w:line="240" w:lineRule="auto"/>
              <w:ind w:firstLine="0" w:firstLineChars="0"/>
              <w:jc w:val="center"/>
              <w:rPr>
                <w:sz w:val="21"/>
                <w:szCs w:val="16"/>
                <w:u w:val="single"/>
              </w:rPr>
            </w:pPr>
            <w:r>
              <w:rPr>
                <w:rFonts w:hint="eastAsia"/>
                <w:sz w:val="21"/>
                <w:szCs w:val="16"/>
                <w:u w:val="single"/>
              </w:rPr>
              <w:t>包装材料生产</w:t>
            </w:r>
            <w:r>
              <w:rPr>
                <w:sz w:val="21"/>
                <w:szCs w:val="16"/>
                <w:u w:val="single"/>
              </w:rPr>
              <w:t>车间</w:t>
            </w:r>
          </w:p>
        </w:tc>
        <w:tc>
          <w:tcPr>
            <w:tcW w:w="2443" w:type="pct"/>
            <w:vAlign w:val="center"/>
          </w:tcPr>
          <w:p>
            <w:pPr>
              <w:spacing w:line="240" w:lineRule="auto"/>
              <w:ind w:firstLine="0" w:firstLineChars="0"/>
              <w:jc w:val="center"/>
              <w:rPr>
                <w:sz w:val="21"/>
                <w:szCs w:val="16"/>
                <w:u w:val="single"/>
              </w:rPr>
            </w:pPr>
            <w:r>
              <w:rPr>
                <w:sz w:val="21"/>
                <w:szCs w:val="16"/>
                <w:u w:val="single"/>
              </w:rPr>
              <w:t>包装材料生产线，建筑面积28881m</w:t>
            </w:r>
            <w:r>
              <w:rPr>
                <w:sz w:val="21"/>
                <w:szCs w:val="16"/>
                <w:u w:val="single"/>
                <w:vertAlign w:val="superscript"/>
              </w:rPr>
              <w:t>2</w:t>
            </w:r>
            <w:r>
              <w:rPr>
                <w:rFonts w:hint="eastAsia"/>
                <w:sz w:val="21"/>
                <w:szCs w:val="16"/>
                <w:u w:val="single"/>
              </w:rPr>
              <w:t>，设置5条包装生产线</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p>
            <w:pPr>
              <w:spacing w:line="240" w:lineRule="auto"/>
              <w:ind w:firstLine="0" w:firstLineChars="0"/>
              <w:jc w:val="center"/>
              <w:rPr>
                <w:sz w:val="21"/>
                <w:szCs w:val="16"/>
                <w:u w:val="single"/>
              </w:rPr>
            </w:pPr>
            <w:r>
              <w:rPr>
                <w:rFonts w:hint="eastAsia"/>
                <w:sz w:val="21"/>
                <w:szCs w:val="16"/>
                <w:u w:val="single"/>
              </w:rPr>
              <w:t>一期建设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rFonts w:hint="eastAsia"/>
                <w:sz w:val="21"/>
                <w:szCs w:val="16"/>
                <w:u w:val="single"/>
              </w:rPr>
              <w:t>深加工车间</w:t>
            </w:r>
          </w:p>
        </w:tc>
        <w:tc>
          <w:tcPr>
            <w:tcW w:w="2443" w:type="pct"/>
            <w:vAlign w:val="center"/>
          </w:tcPr>
          <w:p>
            <w:pPr>
              <w:spacing w:line="240" w:lineRule="auto"/>
              <w:ind w:firstLine="0" w:firstLineChars="0"/>
              <w:jc w:val="center"/>
              <w:rPr>
                <w:sz w:val="21"/>
                <w:szCs w:val="16"/>
                <w:u w:val="single"/>
              </w:rPr>
            </w:pPr>
            <w:r>
              <w:rPr>
                <w:sz w:val="21"/>
                <w:szCs w:val="16"/>
                <w:u w:val="single"/>
              </w:rPr>
              <w:t>深加工车间，建筑面积17350m</w:t>
            </w:r>
            <w:r>
              <w:rPr>
                <w:sz w:val="21"/>
                <w:szCs w:val="16"/>
                <w:u w:val="single"/>
                <w:vertAlign w:val="superscript"/>
              </w:rPr>
              <w:t>2</w:t>
            </w:r>
            <w:r>
              <w:rPr>
                <w:rFonts w:hint="eastAsia"/>
                <w:sz w:val="21"/>
                <w:szCs w:val="16"/>
                <w:u w:val="single"/>
              </w:rPr>
              <w:t>，设置5条深加工生产线</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p>
            <w:pPr>
              <w:spacing w:line="240" w:lineRule="auto"/>
              <w:ind w:firstLine="0" w:firstLineChars="0"/>
              <w:jc w:val="center"/>
              <w:rPr>
                <w:sz w:val="21"/>
                <w:szCs w:val="16"/>
                <w:u w:val="single"/>
              </w:rPr>
            </w:pPr>
            <w:r>
              <w:rPr>
                <w:rFonts w:hint="eastAsia"/>
                <w:sz w:val="21"/>
                <w:szCs w:val="16"/>
                <w:u w:val="single"/>
              </w:rPr>
              <w:t>一期建设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rFonts w:hint="eastAsia"/>
                <w:sz w:val="21"/>
                <w:szCs w:val="16"/>
                <w:u w:val="single"/>
              </w:rPr>
              <w:t>生产四车间</w:t>
            </w:r>
          </w:p>
        </w:tc>
        <w:tc>
          <w:tcPr>
            <w:tcW w:w="2443" w:type="pct"/>
            <w:vAlign w:val="center"/>
          </w:tcPr>
          <w:p>
            <w:pPr>
              <w:spacing w:line="240" w:lineRule="auto"/>
              <w:ind w:firstLine="0" w:firstLineChars="0"/>
              <w:jc w:val="center"/>
              <w:rPr>
                <w:sz w:val="21"/>
                <w:szCs w:val="16"/>
                <w:u w:val="single"/>
              </w:rPr>
            </w:pPr>
            <w:r>
              <w:rPr>
                <w:sz w:val="21"/>
                <w:szCs w:val="16"/>
                <w:u w:val="single"/>
              </w:rPr>
              <w:t>120万件卫浴生产线，建筑面积85088m</w:t>
            </w:r>
            <w:r>
              <w:rPr>
                <w:sz w:val="21"/>
                <w:szCs w:val="16"/>
                <w:u w:val="single"/>
                <w:vertAlign w:val="superscript"/>
              </w:rPr>
              <w:t>2</w:t>
            </w:r>
            <w:r>
              <w:rPr>
                <w:rFonts w:hint="eastAsia"/>
                <w:sz w:val="21"/>
                <w:szCs w:val="16"/>
                <w:u w:val="single"/>
              </w:rPr>
              <w:t>，设置2条烧成窑、1条干燥窑、1个成型车间、1条工艺釉线</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p>
            <w:pPr>
              <w:spacing w:line="240" w:lineRule="auto"/>
              <w:ind w:firstLine="0" w:firstLineChars="0"/>
              <w:jc w:val="center"/>
              <w:rPr>
                <w:sz w:val="21"/>
                <w:szCs w:val="16"/>
                <w:u w:val="single"/>
              </w:rPr>
            </w:pPr>
            <w:r>
              <w:rPr>
                <w:rFonts w:hint="eastAsia"/>
                <w:sz w:val="21"/>
                <w:szCs w:val="16"/>
                <w:u w:val="single"/>
              </w:rPr>
              <w:t>一期建设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rFonts w:hint="eastAsia"/>
                <w:sz w:val="21"/>
                <w:szCs w:val="16"/>
                <w:u w:val="single"/>
              </w:rPr>
              <w:t>生产三车间</w:t>
            </w:r>
          </w:p>
        </w:tc>
        <w:tc>
          <w:tcPr>
            <w:tcW w:w="2443" w:type="pct"/>
            <w:vAlign w:val="center"/>
          </w:tcPr>
          <w:p>
            <w:pPr>
              <w:spacing w:line="240" w:lineRule="auto"/>
              <w:ind w:firstLine="0" w:firstLineChars="0"/>
              <w:jc w:val="center"/>
              <w:rPr>
                <w:sz w:val="21"/>
                <w:szCs w:val="16"/>
                <w:u w:val="single"/>
              </w:rPr>
            </w:pPr>
            <w:r>
              <w:rPr>
                <w:rFonts w:hint="eastAsia"/>
                <w:sz w:val="21"/>
                <w:szCs w:val="16"/>
                <w:u w:val="single"/>
              </w:rPr>
              <w:t>建筑面积1</w:t>
            </w:r>
            <w:r>
              <w:rPr>
                <w:sz w:val="21"/>
                <w:szCs w:val="16"/>
                <w:u w:val="single"/>
              </w:rPr>
              <w:t>28840</w:t>
            </w:r>
            <w:r>
              <w:rPr>
                <w:rFonts w:hint="eastAsia"/>
                <w:sz w:val="21"/>
                <w:szCs w:val="16"/>
                <w:u w:val="single"/>
              </w:rPr>
              <w:t>m</w:t>
            </w:r>
            <w:r>
              <w:rPr>
                <w:sz w:val="21"/>
                <w:szCs w:val="16"/>
                <w:u w:val="single"/>
                <w:vertAlign w:val="superscript"/>
              </w:rPr>
              <w:t>2</w:t>
            </w:r>
            <w:r>
              <w:rPr>
                <w:rFonts w:hint="eastAsia"/>
                <w:sz w:val="21"/>
                <w:szCs w:val="16"/>
                <w:u w:val="single"/>
              </w:rPr>
              <w:t>，设置9条工艺釉线、3条烧成窑、3条干燥窑、1个制釉车间、1个成型车间、1个化工仓库、6条只能抛光线、磨具区、智能半成品储砖线、抛光污水处理系统、智能储砖线、智能打包车间、产品转运区</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p>
            <w:pPr>
              <w:spacing w:line="240" w:lineRule="auto"/>
              <w:ind w:firstLine="0" w:firstLineChars="0"/>
              <w:jc w:val="center"/>
              <w:rPr>
                <w:sz w:val="21"/>
                <w:szCs w:val="16"/>
                <w:u w:val="single"/>
              </w:rPr>
            </w:pPr>
            <w:r>
              <w:rPr>
                <w:rFonts w:hint="eastAsia"/>
                <w:sz w:val="21"/>
                <w:szCs w:val="16"/>
                <w:u w:val="single"/>
              </w:rPr>
              <w:t>一期建设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rFonts w:hint="eastAsia"/>
                <w:sz w:val="21"/>
                <w:szCs w:val="16"/>
                <w:u w:val="single"/>
              </w:rPr>
              <w:t>生产二车间</w:t>
            </w:r>
          </w:p>
        </w:tc>
        <w:tc>
          <w:tcPr>
            <w:tcW w:w="2443" w:type="pct"/>
            <w:vAlign w:val="center"/>
          </w:tcPr>
          <w:p>
            <w:pPr>
              <w:spacing w:line="240" w:lineRule="auto"/>
              <w:ind w:firstLine="0" w:firstLineChars="0"/>
              <w:jc w:val="center"/>
              <w:rPr>
                <w:sz w:val="21"/>
                <w:szCs w:val="16"/>
                <w:u w:val="single"/>
              </w:rPr>
            </w:pPr>
            <w:r>
              <w:rPr>
                <w:rFonts w:hint="eastAsia"/>
                <w:sz w:val="21"/>
                <w:szCs w:val="16"/>
                <w:u w:val="single"/>
              </w:rPr>
              <w:t>建筑面积1</w:t>
            </w:r>
            <w:r>
              <w:rPr>
                <w:sz w:val="21"/>
                <w:szCs w:val="16"/>
                <w:u w:val="single"/>
              </w:rPr>
              <w:t>02948</w:t>
            </w:r>
            <w:r>
              <w:rPr>
                <w:rFonts w:hint="eastAsia"/>
                <w:sz w:val="21"/>
                <w:szCs w:val="16"/>
                <w:u w:val="single"/>
              </w:rPr>
              <w:t>m</w:t>
            </w:r>
            <w:r>
              <w:rPr>
                <w:sz w:val="21"/>
                <w:szCs w:val="16"/>
                <w:u w:val="single"/>
                <w:vertAlign w:val="superscript"/>
              </w:rPr>
              <w:t>2</w:t>
            </w:r>
            <w:r>
              <w:rPr>
                <w:rFonts w:hint="eastAsia"/>
                <w:sz w:val="21"/>
                <w:szCs w:val="16"/>
                <w:u w:val="single"/>
              </w:rPr>
              <w:t>，设置4条烧成窑，</w:t>
            </w:r>
            <w:r>
              <w:rPr>
                <w:sz w:val="21"/>
                <w:szCs w:val="16"/>
                <w:u w:val="single"/>
              </w:rPr>
              <w:t>4</w:t>
            </w:r>
            <w:r>
              <w:rPr>
                <w:rFonts w:hint="eastAsia"/>
                <w:sz w:val="21"/>
                <w:szCs w:val="16"/>
                <w:u w:val="single"/>
              </w:rPr>
              <w:t>条干燥窑、</w:t>
            </w:r>
            <w:r>
              <w:rPr>
                <w:sz w:val="21"/>
                <w:szCs w:val="16"/>
                <w:u w:val="single"/>
              </w:rPr>
              <w:t>8</w:t>
            </w:r>
            <w:r>
              <w:rPr>
                <w:rFonts w:hint="eastAsia"/>
                <w:sz w:val="21"/>
                <w:szCs w:val="16"/>
                <w:u w:val="single"/>
              </w:rPr>
              <w:t>条工艺釉线、1个成型车间、1条智能成品储砖线、循环水处理车间</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p>
            <w:pPr>
              <w:spacing w:line="240" w:lineRule="auto"/>
              <w:ind w:firstLine="0" w:firstLineChars="0"/>
              <w:jc w:val="center"/>
              <w:rPr>
                <w:sz w:val="21"/>
                <w:szCs w:val="16"/>
                <w:u w:val="single"/>
              </w:rPr>
            </w:pPr>
            <w:r>
              <w:rPr>
                <w:rFonts w:hint="eastAsia"/>
                <w:sz w:val="21"/>
                <w:szCs w:val="16"/>
                <w:u w:val="single"/>
              </w:rPr>
              <w:t>一期建设1条烧成窑，剩余3条烧成窑二期建设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rFonts w:hint="eastAsia"/>
                <w:sz w:val="21"/>
                <w:szCs w:val="16"/>
                <w:u w:val="single"/>
              </w:rPr>
              <w:t>生产一车间</w:t>
            </w:r>
          </w:p>
        </w:tc>
        <w:tc>
          <w:tcPr>
            <w:tcW w:w="2443" w:type="pct"/>
            <w:vAlign w:val="center"/>
          </w:tcPr>
          <w:p>
            <w:pPr>
              <w:spacing w:line="240" w:lineRule="auto"/>
              <w:ind w:firstLine="0" w:firstLineChars="0"/>
              <w:jc w:val="center"/>
              <w:rPr>
                <w:sz w:val="21"/>
                <w:szCs w:val="16"/>
                <w:u w:val="single"/>
              </w:rPr>
            </w:pPr>
            <w:r>
              <w:rPr>
                <w:rFonts w:hint="eastAsia"/>
                <w:sz w:val="21"/>
                <w:szCs w:val="16"/>
                <w:u w:val="single"/>
              </w:rPr>
              <w:t>建筑面积1</w:t>
            </w:r>
            <w:r>
              <w:rPr>
                <w:sz w:val="21"/>
                <w:szCs w:val="16"/>
                <w:u w:val="single"/>
              </w:rPr>
              <w:t>28840</w:t>
            </w:r>
            <w:r>
              <w:rPr>
                <w:rFonts w:hint="eastAsia"/>
                <w:sz w:val="21"/>
                <w:szCs w:val="16"/>
                <w:u w:val="single"/>
              </w:rPr>
              <w:t>m</w:t>
            </w:r>
            <w:r>
              <w:rPr>
                <w:sz w:val="21"/>
                <w:szCs w:val="16"/>
                <w:u w:val="single"/>
                <w:vertAlign w:val="superscript"/>
              </w:rPr>
              <w:t>2</w:t>
            </w:r>
            <w:r>
              <w:rPr>
                <w:rFonts w:hint="eastAsia"/>
                <w:sz w:val="21"/>
                <w:szCs w:val="16"/>
                <w:u w:val="single"/>
              </w:rPr>
              <w:t>，设置9条工艺釉线、3条烧成窑、3条干燥窑、6条只能抛光线、制釉车间、成型车间、智能半成品储砖线、智能成品储砖线、抛光污水处理区</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p>
            <w:pPr>
              <w:spacing w:line="240" w:lineRule="auto"/>
              <w:ind w:firstLine="0" w:firstLineChars="0"/>
              <w:jc w:val="center"/>
              <w:rPr>
                <w:sz w:val="21"/>
                <w:szCs w:val="16"/>
                <w:u w:val="single"/>
              </w:rPr>
            </w:pPr>
            <w:r>
              <w:rPr>
                <w:rFonts w:hint="eastAsia"/>
                <w:sz w:val="21"/>
                <w:szCs w:val="16"/>
                <w:u w:val="single"/>
              </w:rPr>
              <w:t>烧成窑、干燥窑二期建设，其余一期建设完成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pPr>
              <w:spacing w:line="240" w:lineRule="auto"/>
              <w:ind w:firstLine="0" w:firstLineChars="0"/>
              <w:jc w:val="center"/>
              <w:rPr>
                <w:sz w:val="21"/>
                <w:szCs w:val="16"/>
                <w:u w:val="single"/>
              </w:rPr>
            </w:pPr>
            <w:r>
              <w:rPr>
                <w:sz w:val="21"/>
                <w:szCs w:val="16"/>
                <w:u w:val="single"/>
              </w:rPr>
              <w:t>辅助工程</w:t>
            </w:r>
          </w:p>
          <w:p>
            <w:pPr>
              <w:spacing w:line="240" w:lineRule="auto"/>
              <w:ind w:firstLine="0" w:firstLineChars="0"/>
              <w:jc w:val="center"/>
              <w:rPr>
                <w:sz w:val="21"/>
                <w:szCs w:val="16"/>
                <w:u w:val="single"/>
              </w:rPr>
            </w:pPr>
            <w:r>
              <w:rPr>
                <w:rFonts w:hint="eastAsia"/>
                <w:sz w:val="21"/>
                <w:szCs w:val="16"/>
                <w:u w:val="single"/>
              </w:rPr>
              <w:t>（一期全部建成）</w:t>
            </w:r>
          </w:p>
        </w:tc>
        <w:tc>
          <w:tcPr>
            <w:tcW w:w="1197" w:type="pct"/>
            <w:vAlign w:val="center"/>
          </w:tcPr>
          <w:p>
            <w:pPr>
              <w:spacing w:line="240" w:lineRule="auto"/>
              <w:ind w:firstLine="0" w:firstLineChars="0"/>
              <w:jc w:val="center"/>
              <w:rPr>
                <w:sz w:val="21"/>
                <w:szCs w:val="16"/>
                <w:u w:val="single"/>
              </w:rPr>
            </w:pPr>
            <w:r>
              <w:rPr>
                <w:rFonts w:hint="eastAsia"/>
                <w:sz w:val="21"/>
                <w:szCs w:val="16"/>
                <w:u w:val="single"/>
              </w:rPr>
              <w:t>办公</w:t>
            </w:r>
            <w:r>
              <w:rPr>
                <w:sz w:val="21"/>
                <w:szCs w:val="16"/>
                <w:u w:val="single"/>
              </w:rPr>
              <w:t>生活区</w:t>
            </w:r>
          </w:p>
        </w:tc>
        <w:tc>
          <w:tcPr>
            <w:tcW w:w="2443" w:type="pct"/>
            <w:vAlign w:val="center"/>
          </w:tcPr>
          <w:p>
            <w:pPr>
              <w:spacing w:line="240" w:lineRule="auto"/>
              <w:ind w:firstLine="0" w:firstLineChars="0"/>
              <w:jc w:val="center"/>
              <w:rPr>
                <w:sz w:val="21"/>
                <w:szCs w:val="16"/>
                <w:u w:val="single"/>
              </w:rPr>
            </w:pPr>
            <w:r>
              <w:rPr>
                <w:sz w:val="21"/>
                <w:szCs w:val="16"/>
                <w:u w:val="single"/>
              </w:rPr>
              <w:t>占地面积38571m</w:t>
            </w:r>
            <w:r>
              <w:rPr>
                <w:sz w:val="21"/>
                <w:szCs w:val="16"/>
                <w:u w:val="single"/>
                <w:vertAlign w:val="superscript"/>
              </w:rPr>
              <w:t>2</w:t>
            </w:r>
          </w:p>
        </w:tc>
        <w:tc>
          <w:tcPr>
            <w:tcW w:w="680" w:type="pct"/>
            <w:vAlign w:val="center"/>
          </w:tcPr>
          <w:p>
            <w:pPr>
              <w:spacing w:line="240" w:lineRule="auto"/>
              <w:ind w:firstLine="0" w:firstLineChars="0"/>
              <w:jc w:val="center"/>
              <w:rPr>
                <w:sz w:val="21"/>
                <w:szCs w:val="16"/>
                <w:u w:val="single"/>
              </w:rPr>
            </w:pPr>
            <w:r>
              <w:rPr>
                <w:sz w:val="21"/>
                <w:szCs w:val="16"/>
                <w:u w:val="single"/>
              </w:rPr>
              <w:t>砖混结构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1#原料制粉车间</w:t>
            </w:r>
          </w:p>
        </w:tc>
        <w:tc>
          <w:tcPr>
            <w:tcW w:w="2443" w:type="pct"/>
            <w:vAlign w:val="center"/>
          </w:tcPr>
          <w:p>
            <w:pPr>
              <w:spacing w:line="240" w:lineRule="auto"/>
              <w:ind w:firstLine="0" w:firstLineChars="0"/>
              <w:jc w:val="center"/>
              <w:rPr>
                <w:sz w:val="21"/>
                <w:szCs w:val="16"/>
                <w:u w:val="single"/>
              </w:rPr>
            </w:pPr>
            <w:r>
              <w:rPr>
                <w:sz w:val="21"/>
                <w:szCs w:val="16"/>
                <w:u w:val="single"/>
              </w:rPr>
              <w:t>建筑面积28100m</w:t>
            </w:r>
            <w:r>
              <w:rPr>
                <w:sz w:val="21"/>
                <w:szCs w:val="16"/>
                <w:u w:val="single"/>
                <w:vertAlign w:val="superscript"/>
              </w:rPr>
              <w:t>2</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2#原料制粉车间</w:t>
            </w:r>
          </w:p>
        </w:tc>
        <w:tc>
          <w:tcPr>
            <w:tcW w:w="2443" w:type="pct"/>
            <w:vAlign w:val="center"/>
          </w:tcPr>
          <w:p>
            <w:pPr>
              <w:spacing w:line="240" w:lineRule="auto"/>
              <w:ind w:firstLine="0" w:firstLineChars="0"/>
              <w:jc w:val="center"/>
              <w:rPr>
                <w:sz w:val="21"/>
                <w:szCs w:val="16"/>
                <w:u w:val="single"/>
              </w:rPr>
            </w:pPr>
            <w:r>
              <w:rPr>
                <w:sz w:val="21"/>
                <w:szCs w:val="16"/>
                <w:u w:val="single"/>
              </w:rPr>
              <w:t>建筑面积21566m</w:t>
            </w:r>
            <w:r>
              <w:rPr>
                <w:sz w:val="21"/>
                <w:szCs w:val="16"/>
                <w:u w:val="single"/>
                <w:vertAlign w:val="superscript"/>
              </w:rPr>
              <w:t>2</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3#原料制粉车间</w:t>
            </w:r>
          </w:p>
        </w:tc>
        <w:tc>
          <w:tcPr>
            <w:tcW w:w="2443" w:type="pct"/>
            <w:vAlign w:val="center"/>
          </w:tcPr>
          <w:p>
            <w:pPr>
              <w:spacing w:line="240" w:lineRule="auto"/>
              <w:ind w:firstLine="0" w:firstLineChars="0"/>
              <w:jc w:val="center"/>
              <w:rPr>
                <w:sz w:val="21"/>
                <w:szCs w:val="16"/>
                <w:u w:val="single"/>
              </w:rPr>
            </w:pPr>
            <w:r>
              <w:rPr>
                <w:sz w:val="21"/>
                <w:szCs w:val="16"/>
                <w:u w:val="single"/>
              </w:rPr>
              <w:t>建筑面积24327m</w:t>
            </w:r>
            <w:r>
              <w:rPr>
                <w:sz w:val="21"/>
                <w:szCs w:val="16"/>
                <w:u w:val="single"/>
                <w:vertAlign w:val="superscript"/>
              </w:rPr>
              <w:t>2</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4#原料制粉车间</w:t>
            </w:r>
          </w:p>
        </w:tc>
        <w:tc>
          <w:tcPr>
            <w:tcW w:w="2443" w:type="pct"/>
            <w:vAlign w:val="center"/>
          </w:tcPr>
          <w:p>
            <w:pPr>
              <w:spacing w:line="240" w:lineRule="auto"/>
              <w:ind w:firstLine="0" w:firstLineChars="0"/>
              <w:jc w:val="center"/>
              <w:rPr>
                <w:sz w:val="21"/>
                <w:szCs w:val="16"/>
                <w:u w:val="single"/>
              </w:rPr>
            </w:pPr>
            <w:r>
              <w:rPr>
                <w:sz w:val="21"/>
                <w:szCs w:val="16"/>
                <w:u w:val="single"/>
              </w:rPr>
              <w:t>建筑面积23108m</w:t>
            </w:r>
            <w:r>
              <w:rPr>
                <w:sz w:val="21"/>
                <w:szCs w:val="16"/>
                <w:u w:val="single"/>
                <w:vertAlign w:val="superscript"/>
              </w:rPr>
              <w:t>2</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原矿预处理车间</w:t>
            </w:r>
          </w:p>
        </w:tc>
        <w:tc>
          <w:tcPr>
            <w:tcW w:w="2443" w:type="pct"/>
            <w:vAlign w:val="center"/>
          </w:tcPr>
          <w:p>
            <w:pPr>
              <w:spacing w:line="240" w:lineRule="auto"/>
              <w:ind w:firstLine="0" w:firstLineChars="0"/>
              <w:jc w:val="center"/>
              <w:rPr>
                <w:sz w:val="21"/>
                <w:szCs w:val="16"/>
                <w:u w:val="single"/>
              </w:rPr>
            </w:pPr>
            <w:r>
              <w:rPr>
                <w:sz w:val="21"/>
                <w:szCs w:val="16"/>
                <w:u w:val="single"/>
              </w:rPr>
              <w:t>建筑面积5058m</w:t>
            </w:r>
            <w:r>
              <w:rPr>
                <w:sz w:val="21"/>
                <w:szCs w:val="16"/>
                <w:u w:val="single"/>
                <w:vertAlign w:val="superscript"/>
              </w:rPr>
              <w:t>2</w:t>
            </w:r>
            <w:r>
              <w:rPr>
                <w:rFonts w:hint="eastAsia"/>
                <w:sz w:val="21"/>
                <w:szCs w:val="16"/>
                <w:u w:val="single"/>
              </w:rPr>
              <w:t>，主要用于原煤的破碎粉磨工段</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rFonts w:hint="eastAsia"/>
                <w:sz w:val="21"/>
                <w:szCs w:val="16"/>
                <w:u w:val="single"/>
              </w:rPr>
              <w:t>2#原矿预处理车间</w:t>
            </w:r>
          </w:p>
        </w:tc>
        <w:tc>
          <w:tcPr>
            <w:tcW w:w="2443" w:type="pct"/>
            <w:vAlign w:val="center"/>
          </w:tcPr>
          <w:p>
            <w:pPr>
              <w:spacing w:line="240" w:lineRule="auto"/>
              <w:ind w:firstLine="0" w:firstLineChars="0"/>
              <w:jc w:val="center"/>
              <w:rPr>
                <w:sz w:val="21"/>
                <w:szCs w:val="16"/>
                <w:u w:val="single"/>
              </w:rPr>
            </w:pPr>
            <w:r>
              <w:rPr>
                <w:sz w:val="21"/>
                <w:szCs w:val="16"/>
                <w:u w:val="single"/>
              </w:rPr>
              <w:t>建筑面积4368m</w:t>
            </w:r>
            <w:r>
              <w:rPr>
                <w:sz w:val="21"/>
                <w:szCs w:val="16"/>
                <w:u w:val="single"/>
                <w:vertAlign w:val="superscript"/>
              </w:rPr>
              <w:t>2</w:t>
            </w:r>
            <w:r>
              <w:rPr>
                <w:rFonts w:hint="eastAsia"/>
                <w:sz w:val="21"/>
                <w:szCs w:val="16"/>
                <w:u w:val="single"/>
              </w:rPr>
              <w:t>，主要用于瓷砂、石粒、瓷片熔块等破碎粉磨工段</w:t>
            </w:r>
          </w:p>
        </w:tc>
        <w:tc>
          <w:tcPr>
            <w:tcW w:w="680" w:type="pct"/>
            <w:vAlign w:val="center"/>
          </w:tcPr>
          <w:p>
            <w:pPr>
              <w:spacing w:line="240" w:lineRule="auto"/>
              <w:ind w:firstLine="0" w:firstLineChars="0"/>
              <w:jc w:val="center"/>
              <w:rPr>
                <w:sz w:val="21"/>
                <w:szCs w:val="16"/>
                <w:u w:val="single"/>
              </w:rPr>
            </w:pPr>
            <w:r>
              <w:rPr>
                <w:rFonts w:hint="eastAsia"/>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rFonts w:hint="eastAsia"/>
                <w:sz w:val="21"/>
                <w:szCs w:val="16"/>
                <w:u w:val="single"/>
              </w:rPr>
              <w:t>储气站</w:t>
            </w:r>
          </w:p>
        </w:tc>
        <w:tc>
          <w:tcPr>
            <w:tcW w:w="2443" w:type="pct"/>
            <w:vAlign w:val="center"/>
          </w:tcPr>
          <w:p>
            <w:pPr>
              <w:spacing w:line="240" w:lineRule="auto"/>
              <w:ind w:firstLine="0" w:firstLineChars="0"/>
              <w:jc w:val="center"/>
              <w:rPr>
                <w:sz w:val="21"/>
                <w:szCs w:val="16"/>
                <w:u w:val="single"/>
              </w:rPr>
            </w:pPr>
            <w:r>
              <w:rPr>
                <w:rFonts w:hint="eastAsia"/>
                <w:sz w:val="21"/>
                <w:szCs w:val="16"/>
                <w:u w:val="single"/>
              </w:rPr>
              <w:t>占地面积2</w:t>
            </w:r>
            <w:r>
              <w:rPr>
                <w:sz w:val="21"/>
                <w:szCs w:val="16"/>
                <w:u w:val="single"/>
              </w:rPr>
              <w:t>7035</w:t>
            </w:r>
            <w:r>
              <w:rPr>
                <w:rFonts w:hint="eastAsia"/>
                <w:sz w:val="21"/>
                <w:szCs w:val="16"/>
                <w:u w:val="single"/>
              </w:rPr>
              <w:t>m</w:t>
            </w:r>
            <w:r>
              <w:rPr>
                <w:sz w:val="21"/>
                <w:szCs w:val="16"/>
                <w:u w:val="single"/>
                <w:vertAlign w:val="superscript"/>
              </w:rPr>
              <w:t>2</w:t>
            </w:r>
            <w:r>
              <w:rPr>
                <w:rFonts w:hint="eastAsia"/>
                <w:sz w:val="21"/>
                <w:szCs w:val="16"/>
                <w:u w:val="single"/>
              </w:rPr>
              <w:t>，设置1个LNG储气站</w:t>
            </w:r>
          </w:p>
        </w:tc>
        <w:tc>
          <w:tcPr>
            <w:tcW w:w="680" w:type="pct"/>
            <w:vAlign w:val="center"/>
          </w:tcPr>
          <w:p>
            <w:pPr>
              <w:spacing w:line="240" w:lineRule="auto"/>
              <w:ind w:firstLine="0" w:firstLineChars="0"/>
              <w:jc w:val="center"/>
              <w:rPr>
                <w:sz w:val="21"/>
                <w:szCs w:val="16"/>
                <w:u w:val="single"/>
              </w:rPr>
            </w:pPr>
            <w:r>
              <w:rPr>
                <w:rFonts w:hint="eastAsia"/>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pPr>
              <w:spacing w:line="240" w:lineRule="auto"/>
              <w:ind w:firstLine="0" w:firstLineChars="0"/>
              <w:jc w:val="center"/>
              <w:rPr>
                <w:sz w:val="21"/>
                <w:szCs w:val="16"/>
                <w:u w:val="single"/>
              </w:rPr>
            </w:pPr>
            <w:r>
              <w:rPr>
                <w:sz w:val="21"/>
                <w:szCs w:val="16"/>
                <w:u w:val="single"/>
              </w:rPr>
              <w:t>仓储工程</w:t>
            </w:r>
          </w:p>
          <w:p>
            <w:pPr>
              <w:spacing w:line="240" w:lineRule="auto"/>
              <w:ind w:firstLine="0" w:firstLineChars="0"/>
              <w:jc w:val="center"/>
              <w:rPr>
                <w:sz w:val="21"/>
                <w:szCs w:val="16"/>
                <w:u w:val="single"/>
              </w:rPr>
            </w:pPr>
            <w:r>
              <w:rPr>
                <w:rFonts w:hint="eastAsia"/>
                <w:sz w:val="21"/>
                <w:szCs w:val="16"/>
                <w:u w:val="single"/>
              </w:rPr>
              <w:t>（一期全部建成）</w:t>
            </w:r>
          </w:p>
        </w:tc>
        <w:tc>
          <w:tcPr>
            <w:tcW w:w="1197" w:type="pct"/>
            <w:vAlign w:val="center"/>
          </w:tcPr>
          <w:p>
            <w:pPr>
              <w:spacing w:line="240" w:lineRule="auto"/>
              <w:ind w:firstLine="0" w:firstLineChars="0"/>
              <w:jc w:val="center"/>
              <w:rPr>
                <w:sz w:val="21"/>
                <w:szCs w:val="16"/>
                <w:u w:val="single"/>
              </w:rPr>
            </w:pPr>
            <w:r>
              <w:rPr>
                <w:sz w:val="21"/>
                <w:szCs w:val="16"/>
                <w:u w:val="single"/>
              </w:rPr>
              <w:t>1#原料堆场</w:t>
            </w:r>
          </w:p>
        </w:tc>
        <w:tc>
          <w:tcPr>
            <w:tcW w:w="2443" w:type="pct"/>
            <w:vAlign w:val="center"/>
          </w:tcPr>
          <w:p>
            <w:pPr>
              <w:spacing w:line="240" w:lineRule="auto"/>
              <w:ind w:firstLine="0" w:firstLineChars="0"/>
              <w:jc w:val="center"/>
              <w:rPr>
                <w:sz w:val="21"/>
                <w:szCs w:val="16"/>
                <w:u w:val="single"/>
              </w:rPr>
            </w:pPr>
            <w:r>
              <w:rPr>
                <w:sz w:val="21"/>
                <w:szCs w:val="16"/>
                <w:u w:val="single"/>
              </w:rPr>
              <w:t>占地面积11240m</w:t>
            </w:r>
            <w:r>
              <w:rPr>
                <w:sz w:val="21"/>
                <w:szCs w:val="16"/>
                <w:u w:val="single"/>
                <w:vertAlign w:val="superscript"/>
              </w:rPr>
              <w:t>2</w:t>
            </w:r>
            <w:r>
              <w:rPr>
                <w:rFonts w:hint="eastAsia"/>
                <w:sz w:val="21"/>
                <w:szCs w:val="16"/>
                <w:u w:val="single"/>
              </w:rPr>
              <w:t>，堆放已经预处理并调配好用于制粉车间制粉的原料，供1#制粉车间制粉</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2#原料堆场</w:t>
            </w:r>
          </w:p>
        </w:tc>
        <w:tc>
          <w:tcPr>
            <w:tcW w:w="2443" w:type="pct"/>
            <w:vAlign w:val="center"/>
          </w:tcPr>
          <w:p>
            <w:pPr>
              <w:spacing w:line="240" w:lineRule="auto"/>
              <w:ind w:firstLine="0" w:firstLineChars="0"/>
              <w:jc w:val="center"/>
              <w:rPr>
                <w:sz w:val="21"/>
                <w:szCs w:val="16"/>
                <w:u w:val="single"/>
              </w:rPr>
            </w:pPr>
            <w:r>
              <w:rPr>
                <w:sz w:val="21"/>
                <w:szCs w:val="16"/>
                <w:u w:val="single"/>
              </w:rPr>
              <w:t>占地面积10520m</w:t>
            </w:r>
            <w:r>
              <w:rPr>
                <w:sz w:val="21"/>
                <w:szCs w:val="16"/>
                <w:u w:val="single"/>
                <w:vertAlign w:val="superscript"/>
              </w:rPr>
              <w:t>2</w:t>
            </w:r>
            <w:r>
              <w:rPr>
                <w:rFonts w:hint="eastAsia"/>
                <w:sz w:val="21"/>
                <w:szCs w:val="16"/>
                <w:u w:val="single"/>
              </w:rPr>
              <w:t>，堆放已经预处理并调配好用于制粉车间制粉的原料，供</w:t>
            </w:r>
            <w:r>
              <w:rPr>
                <w:sz w:val="21"/>
                <w:szCs w:val="16"/>
                <w:u w:val="single"/>
              </w:rPr>
              <w:t>2</w:t>
            </w:r>
            <w:r>
              <w:rPr>
                <w:rFonts w:hint="eastAsia"/>
                <w:sz w:val="21"/>
                <w:szCs w:val="16"/>
                <w:u w:val="single"/>
              </w:rPr>
              <w:t>#制粉车间制粉</w:t>
            </w:r>
          </w:p>
        </w:tc>
        <w:tc>
          <w:tcPr>
            <w:tcW w:w="680" w:type="pct"/>
            <w:vAlign w:val="center"/>
          </w:tcPr>
          <w:p>
            <w:pPr>
              <w:spacing w:line="240" w:lineRule="auto"/>
              <w:ind w:firstLine="0" w:firstLineChars="0"/>
              <w:jc w:val="center"/>
              <w:rPr>
                <w:sz w:val="21"/>
                <w:szCs w:val="16"/>
                <w:u w:val="single"/>
              </w:rPr>
            </w:pPr>
            <w:r>
              <w:rPr>
                <w:rFonts w:hint="eastAsia"/>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3#原料堆场</w:t>
            </w:r>
          </w:p>
        </w:tc>
        <w:tc>
          <w:tcPr>
            <w:tcW w:w="2443" w:type="pct"/>
            <w:vAlign w:val="center"/>
          </w:tcPr>
          <w:p>
            <w:pPr>
              <w:spacing w:line="240" w:lineRule="auto"/>
              <w:ind w:firstLine="0" w:firstLineChars="0"/>
              <w:jc w:val="center"/>
              <w:rPr>
                <w:sz w:val="21"/>
                <w:szCs w:val="16"/>
                <w:u w:val="single"/>
              </w:rPr>
            </w:pPr>
            <w:r>
              <w:rPr>
                <w:sz w:val="21"/>
                <w:szCs w:val="16"/>
                <w:u w:val="single"/>
              </w:rPr>
              <w:t>占地面积9706m</w:t>
            </w:r>
            <w:r>
              <w:rPr>
                <w:sz w:val="21"/>
                <w:szCs w:val="16"/>
                <w:u w:val="single"/>
                <w:vertAlign w:val="superscript"/>
              </w:rPr>
              <w:t>2</w:t>
            </w:r>
            <w:r>
              <w:rPr>
                <w:rFonts w:hint="eastAsia"/>
                <w:sz w:val="21"/>
                <w:szCs w:val="16"/>
                <w:u w:val="single"/>
              </w:rPr>
              <w:t>，堆放已经预处理并调配好用于制粉车间制粉的原料，供</w:t>
            </w:r>
            <w:r>
              <w:rPr>
                <w:sz w:val="21"/>
                <w:szCs w:val="16"/>
                <w:u w:val="single"/>
              </w:rPr>
              <w:t>3</w:t>
            </w:r>
            <w:r>
              <w:rPr>
                <w:rFonts w:hint="eastAsia"/>
                <w:sz w:val="21"/>
                <w:szCs w:val="16"/>
                <w:u w:val="single"/>
              </w:rPr>
              <w:t>#制粉车间制粉</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rFonts w:hint="eastAsia"/>
                <w:sz w:val="21"/>
                <w:szCs w:val="16"/>
                <w:u w:val="single"/>
              </w:rPr>
              <w:t>4#原料堆场</w:t>
            </w:r>
          </w:p>
        </w:tc>
        <w:tc>
          <w:tcPr>
            <w:tcW w:w="2443" w:type="pct"/>
            <w:vAlign w:val="center"/>
          </w:tcPr>
          <w:p>
            <w:pPr>
              <w:spacing w:line="240" w:lineRule="auto"/>
              <w:ind w:firstLine="0" w:firstLineChars="0"/>
              <w:jc w:val="center"/>
              <w:rPr>
                <w:sz w:val="21"/>
                <w:szCs w:val="16"/>
                <w:u w:val="single"/>
              </w:rPr>
            </w:pPr>
            <w:r>
              <w:rPr>
                <w:sz w:val="21"/>
                <w:szCs w:val="16"/>
                <w:u w:val="single"/>
              </w:rPr>
              <w:t>占地面积11240m</w:t>
            </w:r>
            <w:r>
              <w:rPr>
                <w:sz w:val="21"/>
                <w:szCs w:val="16"/>
                <w:u w:val="single"/>
                <w:vertAlign w:val="superscript"/>
              </w:rPr>
              <w:t>2</w:t>
            </w:r>
            <w:r>
              <w:rPr>
                <w:rFonts w:hint="eastAsia"/>
                <w:sz w:val="21"/>
                <w:szCs w:val="16"/>
                <w:u w:val="single"/>
              </w:rPr>
              <w:t>，堆放已经预处理并调配好用于制粉车间制粉的原料，供</w:t>
            </w:r>
            <w:r>
              <w:rPr>
                <w:sz w:val="21"/>
                <w:szCs w:val="16"/>
                <w:u w:val="single"/>
              </w:rPr>
              <w:t>4</w:t>
            </w:r>
            <w:r>
              <w:rPr>
                <w:rFonts w:hint="eastAsia"/>
                <w:sz w:val="21"/>
                <w:szCs w:val="16"/>
                <w:u w:val="single"/>
              </w:rPr>
              <w:t>#制粉车间制粉</w:t>
            </w:r>
          </w:p>
        </w:tc>
        <w:tc>
          <w:tcPr>
            <w:tcW w:w="680" w:type="pct"/>
            <w:vAlign w:val="center"/>
          </w:tcPr>
          <w:p>
            <w:pPr>
              <w:spacing w:line="240" w:lineRule="auto"/>
              <w:ind w:firstLine="0" w:firstLineChars="0"/>
              <w:jc w:val="center"/>
              <w:rPr>
                <w:sz w:val="21"/>
                <w:szCs w:val="16"/>
                <w:u w:val="single"/>
              </w:rPr>
            </w:pPr>
            <w:r>
              <w:rPr>
                <w:rFonts w:hint="eastAsia"/>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1</w:t>
            </w:r>
            <w:r>
              <w:rPr>
                <w:rFonts w:hint="eastAsia"/>
                <w:sz w:val="21"/>
                <w:szCs w:val="16"/>
                <w:u w:val="single"/>
              </w:rPr>
              <w:t>#原矿堆场</w:t>
            </w:r>
          </w:p>
        </w:tc>
        <w:tc>
          <w:tcPr>
            <w:tcW w:w="2443" w:type="pct"/>
            <w:vAlign w:val="center"/>
          </w:tcPr>
          <w:p>
            <w:pPr>
              <w:spacing w:line="240" w:lineRule="auto"/>
              <w:ind w:firstLine="0" w:firstLineChars="0"/>
              <w:jc w:val="center"/>
              <w:rPr>
                <w:sz w:val="21"/>
                <w:szCs w:val="16"/>
                <w:u w:val="single"/>
              </w:rPr>
            </w:pPr>
            <w:r>
              <w:rPr>
                <w:sz w:val="21"/>
                <w:szCs w:val="16"/>
                <w:u w:val="single"/>
              </w:rPr>
              <w:t>占地面积12645m</w:t>
            </w:r>
            <w:r>
              <w:rPr>
                <w:sz w:val="21"/>
                <w:szCs w:val="16"/>
                <w:u w:val="single"/>
                <w:vertAlign w:val="superscript"/>
              </w:rPr>
              <w:t>2</w:t>
            </w:r>
            <w:r>
              <w:rPr>
                <w:rFonts w:hint="eastAsia"/>
                <w:sz w:val="21"/>
                <w:szCs w:val="16"/>
                <w:u w:val="single"/>
              </w:rPr>
              <w:t>，堆放原煤</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2</w:t>
            </w:r>
            <w:r>
              <w:rPr>
                <w:rFonts w:hint="eastAsia"/>
                <w:sz w:val="21"/>
                <w:szCs w:val="16"/>
                <w:u w:val="single"/>
              </w:rPr>
              <w:t>#原矿堆场</w:t>
            </w:r>
          </w:p>
        </w:tc>
        <w:tc>
          <w:tcPr>
            <w:tcW w:w="2443" w:type="pct"/>
            <w:vAlign w:val="center"/>
          </w:tcPr>
          <w:p>
            <w:pPr>
              <w:spacing w:line="240" w:lineRule="auto"/>
              <w:ind w:firstLine="0" w:firstLineChars="0"/>
              <w:jc w:val="center"/>
              <w:rPr>
                <w:sz w:val="21"/>
                <w:szCs w:val="16"/>
                <w:u w:val="single"/>
              </w:rPr>
            </w:pPr>
            <w:r>
              <w:rPr>
                <w:sz w:val="21"/>
                <w:szCs w:val="16"/>
                <w:u w:val="single"/>
              </w:rPr>
              <w:t>占地面积12645m</w:t>
            </w:r>
            <w:r>
              <w:rPr>
                <w:sz w:val="21"/>
                <w:szCs w:val="16"/>
                <w:u w:val="single"/>
                <w:vertAlign w:val="superscript"/>
              </w:rPr>
              <w:t>2</w:t>
            </w:r>
            <w:r>
              <w:rPr>
                <w:rFonts w:hint="eastAsia"/>
                <w:sz w:val="21"/>
                <w:szCs w:val="16"/>
                <w:u w:val="single"/>
              </w:rPr>
              <w:t>，堆放原煤</w:t>
            </w:r>
          </w:p>
        </w:tc>
        <w:tc>
          <w:tcPr>
            <w:tcW w:w="680" w:type="pct"/>
            <w:vAlign w:val="center"/>
          </w:tcPr>
          <w:p>
            <w:pPr>
              <w:spacing w:line="240" w:lineRule="auto"/>
              <w:ind w:firstLine="0" w:firstLineChars="0"/>
              <w:jc w:val="center"/>
              <w:rPr>
                <w:sz w:val="21"/>
                <w:szCs w:val="16"/>
                <w:u w:val="single"/>
              </w:rPr>
            </w:pPr>
            <w:r>
              <w:rPr>
                <w:rFonts w:hint="eastAsia"/>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3</w:t>
            </w:r>
            <w:r>
              <w:rPr>
                <w:rFonts w:hint="eastAsia"/>
                <w:sz w:val="21"/>
                <w:szCs w:val="16"/>
                <w:u w:val="single"/>
              </w:rPr>
              <w:t>#原矿堆场</w:t>
            </w:r>
          </w:p>
        </w:tc>
        <w:tc>
          <w:tcPr>
            <w:tcW w:w="2443" w:type="pct"/>
            <w:vAlign w:val="center"/>
          </w:tcPr>
          <w:p>
            <w:pPr>
              <w:spacing w:line="240" w:lineRule="auto"/>
              <w:ind w:firstLine="0" w:firstLineChars="0"/>
              <w:jc w:val="center"/>
              <w:rPr>
                <w:sz w:val="21"/>
                <w:szCs w:val="16"/>
                <w:u w:val="single"/>
              </w:rPr>
            </w:pPr>
            <w:r>
              <w:rPr>
                <w:sz w:val="21"/>
                <w:szCs w:val="16"/>
                <w:u w:val="single"/>
              </w:rPr>
              <w:t>建筑面积22693m</w:t>
            </w:r>
            <w:r>
              <w:rPr>
                <w:sz w:val="21"/>
                <w:szCs w:val="16"/>
                <w:u w:val="single"/>
                <w:vertAlign w:val="superscript"/>
              </w:rPr>
              <w:t>2</w:t>
            </w:r>
            <w:r>
              <w:rPr>
                <w:rFonts w:hint="eastAsia"/>
                <w:sz w:val="21"/>
                <w:szCs w:val="16"/>
                <w:u w:val="single"/>
              </w:rPr>
              <w:t>，堆放坭</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tcPr>
          <w:p>
            <w:pPr>
              <w:spacing w:line="240" w:lineRule="auto"/>
              <w:ind w:firstLine="0" w:firstLineChars="0"/>
              <w:jc w:val="center"/>
              <w:rPr>
                <w:sz w:val="21"/>
                <w:szCs w:val="16"/>
                <w:u w:val="single"/>
              </w:rPr>
            </w:pPr>
            <w:r>
              <w:rPr>
                <w:sz w:val="21"/>
                <w:szCs w:val="16"/>
                <w:u w:val="single"/>
              </w:rPr>
              <w:t>4</w:t>
            </w:r>
            <w:r>
              <w:rPr>
                <w:rFonts w:hint="eastAsia"/>
                <w:sz w:val="21"/>
                <w:szCs w:val="16"/>
                <w:u w:val="single"/>
              </w:rPr>
              <w:t>#原矿堆场</w:t>
            </w:r>
          </w:p>
        </w:tc>
        <w:tc>
          <w:tcPr>
            <w:tcW w:w="2443" w:type="pct"/>
            <w:vAlign w:val="center"/>
          </w:tcPr>
          <w:p>
            <w:pPr>
              <w:spacing w:line="240" w:lineRule="auto"/>
              <w:ind w:firstLine="0" w:firstLineChars="0"/>
              <w:jc w:val="center"/>
              <w:rPr>
                <w:sz w:val="21"/>
                <w:szCs w:val="16"/>
                <w:u w:val="single"/>
              </w:rPr>
            </w:pPr>
            <w:r>
              <w:rPr>
                <w:sz w:val="21"/>
                <w:szCs w:val="16"/>
                <w:u w:val="single"/>
              </w:rPr>
              <w:t>占地面积16569m</w:t>
            </w:r>
            <w:r>
              <w:rPr>
                <w:sz w:val="21"/>
                <w:szCs w:val="16"/>
                <w:u w:val="single"/>
                <w:vertAlign w:val="superscript"/>
              </w:rPr>
              <w:t>2</w:t>
            </w:r>
            <w:r>
              <w:rPr>
                <w:rFonts w:hint="eastAsia"/>
                <w:sz w:val="21"/>
                <w:szCs w:val="16"/>
                <w:u w:val="single"/>
              </w:rPr>
              <w:t>，堆放釉用化工料</w:t>
            </w:r>
          </w:p>
        </w:tc>
        <w:tc>
          <w:tcPr>
            <w:tcW w:w="680" w:type="pct"/>
            <w:vAlign w:val="center"/>
          </w:tcPr>
          <w:p>
            <w:pPr>
              <w:spacing w:line="240" w:lineRule="auto"/>
              <w:ind w:firstLine="0" w:firstLineChars="0"/>
              <w:jc w:val="center"/>
              <w:rPr>
                <w:sz w:val="21"/>
                <w:szCs w:val="16"/>
                <w:u w:val="single"/>
              </w:rPr>
            </w:pPr>
            <w:r>
              <w:rPr>
                <w:rFonts w:hint="eastAsia"/>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tcPr>
          <w:p>
            <w:pPr>
              <w:spacing w:line="240" w:lineRule="auto"/>
              <w:ind w:firstLine="0" w:firstLineChars="0"/>
              <w:jc w:val="center"/>
              <w:rPr>
                <w:sz w:val="21"/>
                <w:szCs w:val="16"/>
                <w:u w:val="single"/>
              </w:rPr>
            </w:pPr>
            <w:r>
              <w:rPr>
                <w:sz w:val="21"/>
                <w:szCs w:val="16"/>
                <w:u w:val="single"/>
              </w:rPr>
              <w:t>5</w:t>
            </w:r>
            <w:r>
              <w:rPr>
                <w:rFonts w:hint="eastAsia"/>
                <w:sz w:val="21"/>
                <w:szCs w:val="16"/>
                <w:u w:val="single"/>
              </w:rPr>
              <w:t>#原矿堆场</w:t>
            </w:r>
          </w:p>
        </w:tc>
        <w:tc>
          <w:tcPr>
            <w:tcW w:w="2443" w:type="pct"/>
            <w:vAlign w:val="center"/>
          </w:tcPr>
          <w:p>
            <w:pPr>
              <w:spacing w:line="240" w:lineRule="auto"/>
              <w:ind w:firstLine="0" w:firstLineChars="0"/>
              <w:jc w:val="center"/>
              <w:rPr>
                <w:sz w:val="21"/>
                <w:szCs w:val="16"/>
                <w:u w:val="single"/>
              </w:rPr>
            </w:pPr>
            <w:r>
              <w:rPr>
                <w:sz w:val="21"/>
                <w:szCs w:val="16"/>
                <w:u w:val="single"/>
              </w:rPr>
              <w:t>占地面积</w:t>
            </w:r>
            <w:r>
              <w:rPr>
                <w:rFonts w:hint="eastAsia"/>
                <w:sz w:val="21"/>
                <w:szCs w:val="16"/>
                <w:u w:val="single"/>
              </w:rPr>
              <w:t>1</w:t>
            </w:r>
            <w:r>
              <w:rPr>
                <w:sz w:val="21"/>
                <w:szCs w:val="16"/>
                <w:u w:val="single"/>
              </w:rPr>
              <w:t>1835m</w:t>
            </w:r>
            <w:r>
              <w:rPr>
                <w:sz w:val="21"/>
                <w:szCs w:val="16"/>
                <w:u w:val="single"/>
                <w:vertAlign w:val="superscript"/>
              </w:rPr>
              <w:t>2</w:t>
            </w:r>
            <w:r>
              <w:rPr>
                <w:rFonts w:hint="eastAsia"/>
                <w:sz w:val="21"/>
                <w:szCs w:val="16"/>
                <w:u w:val="single"/>
              </w:rPr>
              <w:t>，堆放瓷砂</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tcPr>
          <w:p>
            <w:pPr>
              <w:spacing w:line="240" w:lineRule="auto"/>
              <w:ind w:firstLine="0" w:firstLineChars="0"/>
              <w:jc w:val="center"/>
              <w:rPr>
                <w:sz w:val="21"/>
                <w:szCs w:val="16"/>
                <w:u w:val="single"/>
              </w:rPr>
            </w:pPr>
            <w:r>
              <w:rPr>
                <w:sz w:val="21"/>
                <w:szCs w:val="16"/>
                <w:u w:val="single"/>
              </w:rPr>
              <w:t>6</w:t>
            </w:r>
            <w:r>
              <w:rPr>
                <w:rFonts w:hint="eastAsia"/>
                <w:sz w:val="21"/>
                <w:szCs w:val="16"/>
                <w:u w:val="single"/>
              </w:rPr>
              <w:t>#原矿堆场</w:t>
            </w:r>
          </w:p>
        </w:tc>
        <w:tc>
          <w:tcPr>
            <w:tcW w:w="2443" w:type="pct"/>
            <w:vAlign w:val="center"/>
          </w:tcPr>
          <w:p>
            <w:pPr>
              <w:spacing w:line="240" w:lineRule="auto"/>
              <w:ind w:firstLine="0" w:firstLineChars="0"/>
              <w:jc w:val="center"/>
              <w:rPr>
                <w:sz w:val="21"/>
                <w:szCs w:val="16"/>
                <w:u w:val="single"/>
              </w:rPr>
            </w:pPr>
            <w:r>
              <w:rPr>
                <w:sz w:val="21"/>
                <w:szCs w:val="16"/>
                <w:u w:val="single"/>
              </w:rPr>
              <w:t>建筑面积10985m</w:t>
            </w:r>
            <w:r>
              <w:rPr>
                <w:sz w:val="21"/>
                <w:szCs w:val="16"/>
                <w:u w:val="single"/>
                <w:vertAlign w:val="superscript"/>
              </w:rPr>
              <w:t>2</w:t>
            </w:r>
            <w:r>
              <w:rPr>
                <w:rFonts w:hint="eastAsia"/>
                <w:sz w:val="21"/>
                <w:szCs w:val="16"/>
                <w:u w:val="single"/>
              </w:rPr>
              <w:t>，堆放石粒</w:t>
            </w:r>
          </w:p>
        </w:tc>
        <w:tc>
          <w:tcPr>
            <w:tcW w:w="680" w:type="pct"/>
            <w:vAlign w:val="center"/>
          </w:tcPr>
          <w:p>
            <w:pPr>
              <w:spacing w:line="240" w:lineRule="auto"/>
              <w:ind w:firstLine="0" w:firstLineChars="0"/>
              <w:jc w:val="center"/>
              <w:rPr>
                <w:sz w:val="21"/>
                <w:szCs w:val="16"/>
                <w:u w:val="single"/>
              </w:rPr>
            </w:pPr>
            <w:r>
              <w:rPr>
                <w:rFonts w:hint="eastAsia"/>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tcPr>
          <w:p>
            <w:pPr>
              <w:spacing w:line="240" w:lineRule="auto"/>
              <w:ind w:firstLine="0" w:firstLineChars="0"/>
              <w:jc w:val="center"/>
              <w:rPr>
                <w:sz w:val="21"/>
                <w:szCs w:val="16"/>
                <w:u w:val="single"/>
              </w:rPr>
            </w:pPr>
            <w:r>
              <w:rPr>
                <w:sz w:val="21"/>
                <w:szCs w:val="16"/>
                <w:u w:val="single"/>
              </w:rPr>
              <w:t>7</w:t>
            </w:r>
            <w:r>
              <w:rPr>
                <w:rFonts w:hint="eastAsia"/>
                <w:sz w:val="21"/>
                <w:szCs w:val="16"/>
                <w:u w:val="single"/>
              </w:rPr>
              <w:t>#原矿堆场</w:t>
            </w:r>
          </w:p>
        </w:tc>
        <w:tc>
          <w:tcPr>
            <w:tcW w:w="2443" w:type="pct"/>
            <w:vAlign w:val="center"/>
          </w:tcPr>
          <w:p>
            <w:pPr>
              <w:spacing w:line="240" w:lineRule="auto"/>
              <w:ind w:firstLine="0" w:firstLineChars="0"/>
              <w:jc w:val="center"/>
              <w:rPr>
                <w:sz w:val="21"/>
                <w:szCs w:val="16"/>
                <w:u w:val="single"/>
              </w:rPr>
            </w:pPr>
            <w:r>
              <w:rPr>
                <w:sz w:val="21"/>
                <w:szCs w:val="16"/>
                <w:u w:val="single"/>
              </w:rPr>
              <w:t>建筑面积9576m</w:t>
            </w:r>
            <w:r>
              <w:rPr>
                <w:sz w:val="21"/>
                <w:szCs w:val="16"/>
                <w:u w:val="single"/>
                <w:vertAlign w:val="superscript"/>
              </w:rPr>
              <w:t>2</w:t>
            </w:r>
            <w:r>
              <w:rPr>
                <w:rFonts w:hint="eastAsia"/>
                <w:sz w:val="21"/>
                <w:szCs w:val="16"/>
                <w:u w:val="single"/>
              </w:rPr>
              <w:t>，堆放瓷片熔块</w:t>
            </w:r>
          </w:p>
        </w:tc>
        <w:tc>
          <w:tcPr>
            <w:tcW w:w="680" w:type="pct"/>
            <w:vAlign w:val="center"/>
          </w:tcPr>
          <w:p>
            <w:pPr>
              <w:spacing w:line="240" w:lineRule="auto"/>
              <w:ind w:firstLine="0" w:firstLineChars="0"/>
              <w:jc w:val="center"/>
              <w:rPr>
                <w:sz w:val="21"/>
                <w:szCs w:val="16"/>
                <w:u w:val="single"/>
              </w:rPr>
            </w:pPr>
            <w:r>
              <w:rPr>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tcPr>
          <w:p>
            <w:pPr>
              <w:spacing w:line="240" w:lineRule="auto"/>
              <w:ind w:firstLine="0" w:firstLineChars="0"/>
              <w:jc w:val="center"/>
              <w:rPr>
                <w:sz w:val="21"/>
                <w:szCs w:val="16"/>
                <w:u w:val="single"/>
              </w:rPr>
            </w:pPr>
            <w:r>
              <w:rPr>
                <w:rFonts w:hint="eastAsia"/>
                <w:sz w:val="21"/>
                <w:szCs w:val="16"/>
                <w:u w:val="single"/>
              </w:rPr>
              <w:t>智能仓储</w:t>
            </w:r>
          </w:p>
        </w:tc>
        <w:tc>
          <w:tcPr>
            <w:tcW w:w="2443" w:type="pct"/>
            <w:vAlign w:val="center"/>
          </w:tcPr>
          <w:p>
            <w:pPr>
              <w:spacing w:line="240" w:lineRule="auto"/>
              <w:ind w:firstLine="0" w:firstLineChars="0"/>
              <w:jc w:val="center"/>
              <w:rPr>
                <w:sz w:val="21"/>
                <w:szCs w:val="16"/>
                <w:u w:val="single"/>
              </w:rPr>
            </w:pPr>
            <w:r>
              <w:rPr>
                <w:rFonts w:hint="eastAsia"/>
                <w:sz w:val="21"/>
                <w:szCs w:val="16"/>
                <w:u w:val="single"/>
              </w:rPr>
              <w:t>建筑面积1</w:t>
            </w:r>
            <w:r>
              <w:rPr>
                <w:sz w:val="21"/>
                <w:szCs w:val="16"/>
                <w:u w:val="single"/>
              </w:rPr>
              <w:t>15496</w:t>
            </w:r>
            <w:r>
              <w:rPr>
                <w:rFonts w:hint="eastAsia"/>
                <w:sz w:val="21"/>
                <w:szCs w:val="16"/>
                <w:u w:val="single"/>
              </w:rPr>
              <w:t>m</w:t>
            </w:r>
            <w:r>
              <w:rPr>
                <w:sz w:val="21"/>
                <w:szCs w:val="16"/>
                <w:u w:val="single"/>
                <w:vertAlign w:val="superscript"/>
              </w:rPr>
              <w:t>2</w:t>
            </w:r>
            <w:r>
              <w:rPr>
                <w:rFonts w:hint="eastAsia"/>
                <w:sz w:val="21"/>
                <w:szCs w:val="16"/>
                <w:u w:val="single"/>
              </w:rPr>
              <w:t>，成品仓储</w:t>
            </w:r>
          </w:p>
        </w:tc>
        <w:tc>
          <w:tcPr>
            <w:tcW w:w="680" w:type="pct"/>
            <w:vAlign w:val="center"/>
          </w:tcPr>
          <w:p>
            <w:pPr>
              <w:spacing w:line="240" w:lineRule="auto"/>
              <w:ind w:firstLine="0" w:firstLineChars="0"/>
              <w:jc w:val="center"/>
              <w:rPr>
                <w:sz w:val="21"/>
                <w:szCs w:val="16"/>
                <w:u w:val="single"/>
              </w:rPr>
            </w:pPr>
            <w:r>
              <w:rPr>
                <w:rFonts w:hint="eastAsia"/>
                <w:sz w:val="21"/>
                <w:szCs w:val="16"/>
                <w:u w:val="single"/>
              </w:rPr>
              <w:t>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pPr>
              <w:spacing w:line="240" w:lineRule="auto"/>
              <w:ind w:firstLine="0" w:firstLineChars="0"/>
              <w:jc w:val="center"/>
              <w:rPr>
                <w:sz w:val="21"/>
                <w:szCs w:val="16"/>
                <w:u w:val="single"/>
              </w:rPr>
            </w:pPr>
            <w:r>
              <w:rPr>
                <w:sz w:val="21"/>
                <w:szCs w:val="16"/>
                <w:u w:val="single"/>
              </w:rPr>
              <w:t>公用工程</w:t>
            </w:r>
          </w:p>
          <w:p>
            <w:pPr>
              <w:spacing w:line="240" w:lineRule="auto"/>
              <w:ind w:firstLine="0" w:firstLineChars="0"/>
              <w:jc w:val="center"/>
              <w:rPr>
                <w:sz w:val="21"/>
                <w:szCs w:val="16"/>
                <w:u w:val="single"/>
              </w:rPr>
            </w:pPr>
            <w:r>
              <w:rPr>
                <w:rFonts w:hint="eastAsia"/>
                <w:sz w:val="21"/>
                <w:szCs w:val="16"/>
                <w:u w:val="single"/>
              </w:rPr>
              <w:t>（一期全部建成）</w:t>
            </w:r>
          </w:p>
        </w:tc>
        <w:tc>
          <w:tcPr>
            <w:tcW w:w="1197" w:type="pct"/>
            <w:vAlign w:val="center"/>
          </w:tcPr>
          <w:p>
            <w:pPr>
              <w:spacing w:line="240" w:lineRule="auto"/>
              <w:ind w:firstLine="0" w:firstLineChars="0"/>
              <w:jc w:val="center"/>
              <w:rPr>
                <w:sz w:val="21"/>
                <w:szCs w:val="16"/>
                <w:u w:val="single"/>
              </w:rPr>
            </w:pPr>
            <w:r>
              <w:rPr>
                <w:sz w:val="21"/>
                <w:szCs w:val="16"/>
                <w:u w:val="single"/>
              </w:rPr>
              <w:t>给水</w:t>
            </w:r>
          </w:p>
        </w:tc>
        <w:tc>
          <w:tcPr>
            <w:tcW w:w="2443" w:type="pct"/>
            <w:vAlign w:val="center"/>
          </w:tcPr>
          <w:p>
            <w:pPr>
              <w:spacing w:line="240" w:lineRule="auto"/>
              <w:ind w:firstLine="0" w:firstLineChars="0"/>
              <w:jc w:val="center"/>
              <w:rPr>
                <w:sz w:val="21"/>
                <w:szCs w:val="16"/>
                <w:u w:val="single"/>
              </w:rPr>
            </w:pPr>
            <w:r>
              <w:rPr>
                <w:sz w:val="21"/>
                <w:szCs w:val="16"/>
                <w:u w:val="single"/>
              </w:rPr>
              <w:t>园区自来水管网给水</w:t>
            </w:r>
          </w:p>
        </w:tc>
        <w:tc>
          <w:tcPr>
            <w:tcW w:w="680" w:type="pct"/>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排水</w:t>
            </w:r>
          </w:p>
        </w:tc>
        <w:tc>
          <w:tcPr>
            <w:tcW w:w="2443" w:type="pct"/>
            <w:vAlign w:val="center"/>
          </w:tcPr>
          <w:p>
            <w:pPr>
              <w:spacing w:line="240" w:lineRule="auto"/>
              <w:ind w:firstLine="0" w:firstLineChars="0"/>
              <w:jc w:val="center"/>
              <w:rPr>
                <w:sz w:val="21"/>
                <w:szCs w:val="16"/>
                <w:u w:val="single"/>
              </w:rPr>
            </w:pPr>
            <w:r>
              <w:rPr>
                <w:sz w:val="21"/>
                <w:szCs w:val="16"/>
                <w:u w:val="single"/>
              </w:rPr>
              <w:t>雨水排入市政雨水管道，</w:t>
            </w:r>
          </w:p>
          <w:p>
            <w:pPr>
              <w:spacing w:line="240" w:lineRule="auto"/>
              <w:ind w:firstLine="0" w:firstLineChars="0"/>
              <w:jc w:val="center"/>
              <w:rPr>
                <w:sz w:val="21"/>
                <w:szCs w:val="16"/>
                <w:u w:val="single"/>
              </w:rPr>
            </w:pPr>
            <w:r>
              <w:rPr>
                <w:sz w:val="21"/>
                <w:szCs w:val="16"/>
                <w:u w:val="single"/>
              </w:rPr>
              <w:t>污水排入市政污水管道</w:t>
            </w:r>
          </w:p>
        </w:tc>
        <w:tc>
          <w:tcPr>
            <w:tcW w:w="680" w:type="pct"/>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供电</w:t>
            </w:r>
          </w:p>
        </w:tc>
        <w:tc>
          <w:tcPr>
            <w:tcW w:w="2443" w:type="pct"/>
            <w:vAlign w:val="center"/>
          </w:tcPr>
          <w:p>
            <w:pPr>
              <w:spacing w:line="240" w:lineRule="auto"/>
              <w:ind w:firstLine="0" w:firstLineChars="0"/>
              <w:jc w:val="center"/>
              <w:rPr>
                <w:sz w:val="21"/>
                <w:szCs w:val="16"/>
                <w:u w:val="single"/>
              </w:rPr>
            </w:pPr>
            <w:r>
              <w:rPr>
                <w:sz w:val="21"/>
                <w:szCs w:val="16"/>
                <w:u w:val="single"/>
              </w:rPr>
              <w:t>国家电网供电，厂区内设置配电室</w:t>
            </w:r>
          </w:p>
        </w:tc>
        <w:tc>
          <w:tcPr>
            <w:tcW w:w="680" w:type="pct"/>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pPr>
              <w:spacing w:line="240" w:lineRule="auto"/>
              <w:ind w:firstLine="0" w:firstLineChars="0"/>
              <w:jc w:val="center"/>
              <w:rPr>
                <w:sz w:val="21"/>
                <w:szCs w:val="16"/>
                <w:u w:val="single"/>
              </w:rPr>
            </w:pPr>
            <w:r>
              <w:rPr>
                <w:sz w:val="21"/>
                <w:szCs w:val="16"/>
                <w:u w:val="single"/>
              </w:rPr>
              <w:t>环保工程</w:t>
            </w:r>
          </w:p>
          <w:p>
            <w:pPr>
              <w:spacing w:line="240" w:lineRule="auto"/>
              <w:ind w:firstLine="0" w:firstLineChars="0"/>
              <w:jc w:val="center"/>
              <w:rPr>
                <w:sz w:val="21"/>
                <w:szCs w:val="16"/>
                <w:u w:val="single"/>
              </w:rPr>
            </w:pPr>
            <w:r>
              <w:rPr>
                <w:rFonts w:hint="eastAsia"/>
                <w:sz w:val="21"/>
                <w:szCs w:val="16"/>
                <w:u w:val="single"/>
              </w:rPr>
              <w:t>（一期全部建成）</w:t>
            </w:r>
          </w:p>
        </w:tc>
        <w:tc>
          <w:tcPr>
            <w:tcW w:w="1197" w:type="pct"/>
            <w:vMerge w:val="restart"/>
            <w:vAlign w:val="center"/>
          </w:tcPr>
          <w:p>
            <w:pPr>
              <w:spacing w:line="240" w:lineRule="auto"/>
              <w:ind w:firstLine="0" w:firstLineChars="0"/>
              <w:jc w:val="center"/>
              <w:rPr>
                <w:sz w:val="21"/>
                <w:szCs w:val="16"/>
                <w:u w:val="single"/>
              </w:rPr>
            </w:pPr>
            <w:r>
              <w:rPr>
                <w:sz w:val="21"/>
                <w:szCs w:val="16"/>
                <w:u w:val="single"/>
              </w:rPr>
              <w:t>废气</w:t>
            </w:r>
          </w:p>
        </w:tc>
        <w:tc>
          <w:tcPr>
            <w:tcW w:w="2443" w:type="pct"/>
            <w:vAlign w:val="center"/>
          </w:tcPr>
          <w:p>
            <w:pPr>
              <w:spacing w:line="240" w:lineRule="auto"/>
              <w:ind w:firstLine="0" w:firstLineChars="0"/>
              <w:jc w:val="center"/>
              <w:rPr>
                <w:sz w:val="21"/>
                <w:szCs w:val="16"/>
                <w:u w:val="single"/>
              </w:rPr>
            </w:pPr>
            <w:r>
              <w:rPr>
                <w:sz w:val="21"/>
                <w:szCs w:val="16"/>
                <w:u w:val="single"/>
              </w:rPr>
              <w:t>1#环保设施区，建筑面积1720m</w:t>
            </w:r>
            <w:r>
              <w:rPr>
                <w:sz w:val="21"/>
                <w:szCs w:val="16"/>
                <w:u w:val="single"/>
                <w:vertAlign w:val="superscript"/>
              </w:rPr>
              <w:t>2</w:t>
            </w:r>
          </w:p>
        </w:tc>
        <w:tc>
          <w:tcPr>
            <w:tcW w:w="680" w:type="pct"/>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Merge w:val="continue"/>
            <w:vAlign w:val="center"/>
          </w:tcPr>
          <w:p>
            <w:pPr>
              <w:spacing w:line="240" w:lineRule="auto"/>
              <w:ind w:firstLine="0" w:firstLineChars="0"/>
              <w:jc w:val="center"/>
              <w:rPr>
                <w:sz w:val="21"/>
                <w:szCs w:val="16"/>
                <w:u w:val="single"/>
              </w:rPr>
            </w:pPr>
          </w:p>
        </w:tc>
        <w:tc>
          <w:tcPr>
            <w:tcW w:w="2443" w:type="pct"/>
            <w:vAlign w:val="center"/>
          </w:tcPr>
          <w:p>
            <w:pPr>
              <w:spacing w:line="240" w:lineRule="auto"/>
              <w:ind w:firstLine="0" w:firstLineChars="0"/>
              <w:jc w:val="center"/>
              <w:rPr>
                <w:sz w:val="21"/>
                <w:szCs w:val="16"/>
                <w:u w:val="single"/>
              </w:rPr>
            </w:pPr>
            <w:r>
              <w:rPr>
                <w:sz w:val="21"/>
                <w:szCs w:val="16"/>
                <w:u w:val="single"/>
              </w:rPr>
              <w:t>2#环保设施区，建筑面积1980m</w:t>
            </w:r>
            <w:r>
              <w:rPr>
                <w:sz w:val="21"/>
                <w:szCs w:val="16"/>
                <w:u w:val="single"/>
                <w:vertAlign w:val="superscript"/>
              </w:rPr>
              <w:t>2</w:t>
            </w:r>
          </w:p>
        </w:tc>
        <w:tc>
          <w:tcPr>
            <w:tcW w:w="680" w:type="pct"/>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Merge w:val="continue"/>
            <w:vAlign w:val="center"/>
          </w:tcPr>
          <w:p>
            <w:pPr>
              <w:spacing w:line="240" w:lineRule="auto"/>
              <w:ind w:firstLine="0" w:firstLineChars="0"/>
              <w:jc w:val="center"/>
              <w:rPr>
                <w:sz w:val="21"/>
                <w:szCs w:val="16"/>
                <w:u w:val="single"/>
              </w:rPr>
            </w:pPr>
          </w:p>
        </w:tc>
        <w:tc>
          <w:tcPr>
            <w:tcW w:w="2443" w:type="pct"/>
            <w:vAlign w:val="center"/>
          </w:tcPr>
          <w:p>
            <w:pPr>
              <w:spacing w:line="240" w:lineRule="auto"/>
              <w:ind w:firstLine="0" w:firstLineChars="0"/>
              <w:jc w:val="center"/>
              <w:rPr>
                <w:sz w:val="21"/>
                <w:szCs w:val="16"/>
                <w:u w:val="single"/>
              </w:rPr>
            </w:pPr>
            <w:r>
              <w:rPr>
                <w:sz w:val="21"/>
                <w:szCs w:val="16"/>
                <w:u w:val="single"/>
              </w:rPr>
              <w:t>3#环保设施区，建筑面积1100m</w:t>
            </w:r>
            <w:r>
              <w:rPr>
                <w:sz w:val="21"/>
                <w:szCs w:val="16"/>
                <w:u w:val="single"/>
                <w:vertAlign w:val="superscript"/>
              </w:rPr>
              <w:t>2</w:t>
            </w:r>
          </w:p>
        </w:tc>
        <w:tc>
          <w:tcPr>
            <w:tcW w:w="680" w:type="pct"/>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废水</w:t>
            </w:r>
          </w:p>
        </w:tc>
        <w:tc>
          <w:tcPr>
            <w:tcW w:w="2443" w:type="pct"/>
            <w:vAlign w:val="center"/>
          </w:tcPr>
          <w:p>
            <w:pPr>
              <w:spacing w:line="240" w:lineRule="auto"/>
              <w:ind w:firstLine="0" w:firstLineChars="0"/>
              <w:jc w:val="center"/>
              <w:rPr>
                <w:sz w:val="21"/>
                <w:szCs w:val="16"/>
                <w:u w:val="single"/>
              </w:rPr>
            </w:pPr>
            <w:r>
              <w:rPr>
                <w:rFonts w:hint="eastAsia"/>
                <w:sz w:val="21"/>
                <w:szCs w:val="16"/>
                <w:u w:val="single"/>
              </w:rPr>
              <w:t>生产废水循环使用不外排，生活污水处理达标后外排</w:t>
            </w:r>
          </w:p>
        </w:tc>
        <w:tc>
          <w:tcPr>
            <w:tcW w:w="680" w:type="pct"/>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噪声</w:t>
            </w:r>
          </w:p>
        </w:tc>
        <w:tc>
          <w:tcPr>
            <w:tcW w:w="2443" w:type="pct"/>
            <w:vAlign w:val="center"/>
          </w:tcPr>
          <w:p>
            <w:pPr>
              <w:spacing w:line="240" w:lineRule="auto"/>
              <w:ind w:firstLine="0" w:firstLineChars="0"/>
              <w:jc w:val="center"/>
              <w:rPr>
                <w:sz w:val="21"/>
                <w:szCs w:val="16"/>
                <w:u w:val="single"/>
              </w:rPr>
            </w:pPr>
            <w:r>
              <w:rPr>
                <w:rFonts w:hint="eastAsia"/>
                <w:sz w:val="21"/>
                <w:szCs w:val="16"/>
                <w:u w:val="single"/>
              </w:rPr>
              <w:t>采用基础减振、建筑隔声等措施降噪</w:t>
            </w:r>
          </w:p>
        </w:tc>
        <w:tc>
          <w:tcPr>
            <w:tcW w:w="680" w:type="pct"/>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pPr>
              <w:spacing w:line="240" w:lineRule="auto"/>
              <w:ind w:firstLine="0" w:firstLineChars="0"/>
              <w:jc w:val="center"/>
              <w:rPr>
                <w:sz w:val="21"/>
                <w:szCs w:val="16"/>
                <w:u w:val="single"/>
              </w:rPr>
            </w:pPr>
          </w:p>
        </w:tc>
        <w:tc>
          <w:tcPr>
            <w:tcW w:w="1197" w:type="pct"/>
            <w:vAlign w:val="center"/>
          </w:tcPr>
          <w:p>
            <w:pPr>
              <w:spacing w:line="240" w:lineRule="auto"/>
              <w:ind w:firstLine="0" w:firstLineChars="0"/>
              <w:jc w:val="center"/>
              <w:rPr>
                <w:sz w:val="21"/>
                <w:szCs w:val="16"/>
                <w:u w:val="single"/>
              </w:rPr>
            </w:pPr>
            <w:r>
              <w:rPr>
                <w:sz w:val="21"/>
                <w:szCs w:val="16"/>
                <w:u w:val="single"/>
              </w:rPr>
              <w:t>固废</w:t>
            </w:r>
          </w:p>
        </w:tc>
        <w:tc>
          <w:tcPr>
            <w:tcW w:w="2443" w:type="pct"/>
            <w:vAlign w:val="center"/>
          </w:tcPr>
          <w:p>
            <w:pPr>
              <w:spacing w:line="240" w:lineRule="auto"/>
              <w:ind w:firstLine="0" w:firstLineChars="0"/>
              <w:jc w:val="center"/>
              <w:rPr>
                <w:sz w:val="21"/>
                <w:szCs w:val="16"/>
                <w:u w:val="single"/>
              </w:rPr>
            </w:pPr>
            <w:r>
              <w:rPr>
                <w:rFonts w:hint="eastAsia"/>
                <w:sz w:val="21"/>
                <w:szCs w:val="16"/>
                <w:u w:val="single"/>
              </w:rPr>
              <w:t>设置固废暂存间5</w:t>
            </w:r>
            <w:r>
              <w:rPr>
                <w:sz w:val="21"/>
                <w:szCs w:val="16"/>
                <w:u w:val="single"/>
              </w:rPr>
              <w:t>0</w:t>
            </w:r>
            <w:r>
              <w:rPr>
                <w:rFonts w:hint="eastAsia"/>
                <w:sz w:val="21"/>
                <w:szCs w:val="16"/>
                <w:u w:val="single"/>
              </w:rPr>
              <w:t>m</w:t>
            </w:r>
            <w:r>
              <w:rPr>
                <w:sz w:val="21"/>
                <w:szCs w:val="16"/>
                <w:u w:val="single"/>
                <w:vertAlign w:val="superscript"/>
              </w:rPr>
              <w:t>2</w:t>
            </w:r>
            <w:r>
              <w:rPr>
                <w:rFonts w:hint="eastAsia"/>
                <w:sz w:val="21"/>
                <w:szCs w:val="16"/>
                <w:u w:val="single"/>
              </w:rPr>
              <w:t>、危废暂存间3</w:t>
            </w:r>
            <w:r>
              <w:rPr>
                <w:sz w:val="21"/>
                <w:szCs w:val="16"/>
                <w:u w:val="single"/>
              </w:rPr>
              <w:t>0</w:t>
            </w:r>
            <w:r>
              <w:rPr>
                <w:rFonts w:hint="eastAsia"/>
                <w:sz w:val="21"/>
                <w:szCs w:val="16"/>
                <w:u w:val="single"/>
              </w:rPr>
              <w:t>m</w:t>
            </w:r>
            <w:r>
              <w:rPr>
                <w:sz w:val="21"/>
                <w:szCs w:val="16"/>
                <w:u w:val="single"/>
                <w:vertAlign w:val="superscript"/>
              </w:rPr>
              <w:t>2</w:t>
            </w:r>
          </w:p>
        </w:tc>
        <w:tc>
          <w:tcPr>
            <w:tcW w:w="680" w:type="pct"/>
            <w:vAlign w:val="center"/>
          </w:tcPr>
          <w:p>
            <w:pPr>
              <w:spacing w:line="240" w:lineRule="auto"/>
              <w:ind w:firstLine="0" w:firstLineChars="0"/>
              <w:jc w:val="center"/>
              <w:rPr>
                <w:sz w:val="21"/>
                <w:szCs w:val="16"/>
                <w:u w:val="single"/>
              </w:rPr>
            </w:pPr>
          </w:p>
        </w:tc>
      </w:tr>
    </w:tbl>
    <w:p>
      <w:pPr>
        <w:pStyle w:val="4"/>
        <w:rPr>
          <w:rFonts w:cs="Times New Roman"/>
          <w:u w:val="single"/>
        </w:rPr>
      </w:pPr>
      <w:bookmarkStart w:id="74" w:name="_Toc86611252"/>
      <w:r>
        <w:rPr>
          <w:rFonts w:cs="Times New Roman"/>
          <w:u w:val="single"/>
        </w:rPr>
        <w:t>3.1.3主要产品方案</w:t>
      </w:r>
      <w:bookmarkEnd w:id="74"/>
    </w:p>
    <w:p>
      <w:pPr>
        <w:ind w:firstLine="480"/>
        <w:rPr>
          <w:rFonts w:cs="Times New Roman"/>
          <w:u w:val="single"/>
        </w:rPr>
      </w:pPr>
      <w:r>
        <w:rPr>
          <w:rFonts w:cs="Times New Roman"/>
          <w:u w:val="single"/>
        </w:rPr>
        <w:t>项目拟建设12条高科技新型环保建材生产线</w:t>
      </w:r>
      <w:r>
        <w:rPr>
          <w:rFonts w:hint="eastAsia" w:cs="Times New Roman"/>
          <w:u w:val="single"/>
        </w:rPr>
        <w:t>（一期建设6条生产线，二期建设6条生产线）</w:t>
      </w:r>
      <w:r>
        <w:rPr>
          <w:rFonts w:cs="Times New Roman"/>
          <w:u w:val="single"/>
        </w:rPr>
        <w:t>，主产品方案为仿古/抛釉砖8613万m</w:t>
      </w:r>
      <w:r>
        <w:rPr>
          <w:rFonts w:cs="Times New Roman"/>
          <w:u w:val="single"/>
          <w:vertAlign w:val="superscript"/>
        </w:rPr>
        <w:t>2</w:t>
      </w:r>
      <w:r>
        <w:rPr>
          <w:rFonts w:cs="Times New Roman"/>
          <w:u w:val="single"/>
        </w:rPr>
        <w:t>，通体抛釉砖4026万m</w:t>
      </w:r>
      <w:r>
        <w:rPr>
          <w:rFonts w:cs="Times New Roman"/>
          <w:u w:val="single"/>
          <w:vertAlign w:val="superscript"/>
        </w:rPr>
        <w:t>2</w:t>
      </w:r>
      <w:r>
        <w:rPr>
          <w:rFonts w:cs="Times New Roman"/>
          <w:u w:val="single"/>
        </w:rPr>
        <w:t>，微晶大板165万m</w:t>
      </w:r>
      <w:r>
        <w:rPr>
          <w:rFonts w:cs="Times New Roman"/>
          <w:u w:val="single"/>
          <w:vertAlign w:val="superscript"/>
        </w:rPr>
        <w:t>2</w:t>
      </w:r>
      <w:r>
        <w:rPr>
          <w:rFonts w:cs="Times New Roman"/>
          <w:u w:val="single"/>
        </w:rPr>
        <w:t>，卫生洁具120万件。</w:t>
      </w:r>
    </w:p>
    <w:p>
      <w:pPr>
        <w:ind w:firstLine="480"/>
        <w:rPr>
          <w:rFonts w:cs="Times New Roman"/>
          <w:u w:val="single"/>
        </w:rPr>
      </w:pPr>
      <w:r>
        <w:rPr>
          <w:rFonts w:cs="Times New Roman"/>
          <w:u w:val="single"/>
        </w:rPr>
        <w:t>详细产品方案及生产规模见表3.1-2。</w:t>
      </w:r>
    </w:p>
    <w:p>
      <w:pPr>
        <w:ind w:firstLine="0" w:firstLineChars="0"/>
        <w:jc w:val="center"/>
        <w:rPr>
          <w:rFonts w:cs="Times New Roman"/>
          <w:b/>
          <w:bCs/>
          <w:u w:val="single"/>
        </w:rPr>
      </w:pPr>
      <w:r>
        <w:rPr>
          <w:rFonts w:cs="Times New Roman"/>
          <w:b/>
          <w:bCs/>
          <w:u w:val="single"/>
        </w:rPr>
        <w:t>表3.1-2  主要产品方案表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6"/>
        <w:gridCol w:w="1772"/>
        <w:gridCol w:w="2200"/>
        <w:gridCol w:w="1176"/>
        <w:gridCol w:w="1013"/>
        <w:gridCol w:w="811"/>
        <w:gridCol w:w="7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pct"/>
            <w:vMerge w:val="restart"/>
            <w:vAlign w:val="center"/>
          </w:tcPr>
          <w:p>
            <w:pPr>
              <w:spacing w:line="240" w:lineRule="auto"/>
              <w:ind w:firstLine="0" w:firstLineChars="0"/>
              <w:jc w:val="center"/>
              <w:rPr>
                <w:sz w:val="21"/>
                <w:szCs w:val="21"/>
                <w:u w:val="single"/>
              </w:rPr>
            </w:pPr>
            <w:r>
              <w:rPr>
                <w:sz w:val="21"/>
                <w:szCs w:val="21"/>
                <w:u w:val="single"/>
              </w:rPr>
              <w:t>序号</w:t>
            </w:r>
          </w:p>
        </w:tc>
        <w:tc>
          <w:tcPr>
            <w:tcW w:w="1043" w:type="pct"/>
            <w:vMerge w:val="restart"/>
            <w:vAlign w:val="center"/>
          </w:tcPr>
          <w:p>
            <w:pPr>
              <w:spacing w:line="240" w:lineRule="auto"/>
              <w:ind w:firstLine="0" w:firstLineChars="0"/>
              <w:jc w:val="center"/>
              <w:rPr>
                <w:sz w:val="21"/>
                <w:szCs w:val="21"/>
                <w:u w:val="single"/>
              </w:rPr>
            </w:pPr>
            <w:r>
              <w:rPr>
                <w:sz w:val="21"/>
                <w:szCs w:val="21"/>
                <w:u w:val="single"/>
              </w:rPr>
              <w:t>名称</w:t>
            </w:r>
          </w:p>
        </w:tc>
        <w:tc>
          <w:tcPr>
            <w:tcW w:w="1294" w:type="pct"/>
            <w:vMerge w:val="restart"/>
            <w:vAlign w:val="center"/>
          </w:tcPr>
          <w:p>
            <w:pPr>
              <w:spacing w:line="240" w:lineRule="auto"/>
              <w:ind w:firstLine="0" w:firstLineChars="0"/>
              <w:jc w:val="center"/>
              <w:rPr>
                <w:sz w:val="21"/>
                <w:szCs w:val="21"/>
                <w:u w:val="single"/>
              </w:rPr>
            </w:pPr>
            <w:r>
              <w:rPr>
                <w:sz w:val="21"/>
                <w:szCs w:val="21"/>
                <w:u w:val="single"/>
              </w:rPr>
              <w:t>规格</w:t>
            </w:r>
          </w:p>
        </w:tc>
        <w:tc>
          <w:tcPr>
            <w:tcW w:w="693" w:type="pct"/>
            <w:vMerge w:val="restart"/>
            <w:vAlign w:val="center"/>
          </w:tcPr>
          <w:p>
            <w:pPr>
              <w:spacing w:line="240" w:lineRule="auto"/>
              <w:ind w:firstLine="0" w:firstLineChars="0"/>
              <w:jc w:val="center"/>
              <w:rPr>
                <w:sz w:val="21"/>
                <w:szCs w:val="21"/>
                <w:u w:val="single"/>
              </w:rPr>
            </w:pPr>
            <w:r>
              <w:rPr>
                <w:sz w:val="21"/>
                <w:szCs w:val="21"/>
                <w:u w:val="single"/>
              </w:rPr>
              <w:t>单位</w:t>
            </w:r>
          </w:p>
        </w:tc>
        <w:tc>
          <w:tcPr>
            <w:tcW w:w="1523" w:type="pct"/>
            <w:gridSpan w:val="3"/>
            <w:vAlign w:val="center"/>
          </w:tcPr>
          <w:p>
            <w:pPr>
              <w:spacing w:line="240" w:lineRule="auto"/>
              <w:ind w:firstLine="0" w:firstLineChars="0"/>
              <w:jc w:val="center"/>
              <w:rPr>
                <w:sz w:val="21"/>
                <w:szCs w:val="21"/>
                <w:u w:val="single"/>
              </w:rPr>
            </w:pPr>
            <w:r>
              <w:rPr>
                <w:sz w:val="21"/>
                <w:szCs w:val="21"/>
                <w:u w:val="single"/>
              </w:rPr>
              <w:t>年产量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pct"/>
            <w:vMerge w:val="continue"/>
            <w:vAlign w:val="center"/>
          </w:tcPr>
          <w:p>
            <w:pPr>
              <w:spacing w:line="240" w:lineRule="auto"/>
              <w:ind w:firstLine="0" w:firstLineChars="0"/>
              <w:jc w:val="center"/>
              <w:rPr>
                <w:sz w:val="21"/>
                <w:szCs w:val="21"/>
                <w:u w:val="single"/>
              </w:rPr>
            </w:pPr>
          </w:p>
        </w:tc>
        <w:tc>
          <w:tcPr>
            <w:tcW w:w="1043" w:type="pct"/>
            <w:vMerge w:val="continue"/>
            <w:vAlign w:val="center"/>
          </w:tcPr>
          <w:p>
            <w:pPr>
              <w:spacing w:line="240" w:lineRule="auto"/>
              <w:ind w:firstLine="0" w:firstLineChars="0"/>
              <w:jc w:val="center"/>
              <w:rPr>
                <w:sz w:val="21"/>
                <w:szCs w:val="21"/>
                <w:u w:val="single"/>
              </w:rPr>
            </w:pPr>
          </w:p>
        </w:tc>
        <w:tc>
          <w:tcPr>
            <w:tcW w:w="1294" w:type="pct"/>
            <w:vMerge w:val="continue"/>
            <w:vAlign w:val="center"/>
          </w:tcPr>
          <w:p>
            <w:pPr>
              <w:spacing w:line="240" w:lineRule="auto"/>
              <w:ind w:firstLine="0" w:firstLineChars="0"/>
              <w:jc w:val="center"/>
              <w:rPr>
                <w:sz w:val="21"/>
                <w:szCs w:val="21"/>
                <w:u w:val="single"/>
              </w:rPr>
            </w:pPr>
          </w:p>
        </w:tc>
        <w:tc>
          <w:tcPr>
            <w:tcW w:w="693" w:type="pct"/>
            <w:vMerge w:val="continue"/>
            <w:vAlign w:val="center"/>
          </w:tcPr>
          <w:p>
            <w:pPr>
              <w:spacing w:line="240" w:lineRule="auto"/>
              <w:ind w:firstLine="0" w:firstLineChars="0"/>
              <w:jc w:val="center"/>
              <w:rPr>
                <w:sz w:val="21"/>
                <w:szCs w:val="21"/>
                <w:u w:val="single"/>
              </w:rPr>
            </w:pPr>
          </w:p>
        </w:tc>
        <w:tc>
          <w:tcPr>
            <w:tcW w:w="597" w:type="pct"/>
            <w:vAlign w:val="center"/>
          </w:tcPr>
          <w:p>
            <w:pPr>
              <w:spacing w:line="240" w:lineRule="auto"/>
              <w:ind w:firstLine="0" w:firstLineChars="0"/>
              <w:jc w:val="center"/>
              <w:rPr>
                <w:sz w:val="21"/>
                <w:szCs w:val="21"/>
                <w:u w:val="single"/>
              </w:rPr>
            </w:pPr>
            <w:r>
              <w:rPr>
                <w:rFonts w:hint="eastAsia"/>
                <w:sz w:val="21"/>
                <w:szCs w:val="21"/>
                <w:u w:val="single"/>
              </w:rPr>
              <w:t>总产量</w:t>
            </w:r>
          </w:p>
        </w:tc>
        <w:tc>
          <w:tcPr>
            <w:tcW w:w="479" w:type="pct"/>
            <w:vAlign w:val="center"/>
          </w:tcPr>
          <w:p>
            <w:pPr>
              <w:spacing w:line="240" w:lineRule="auto"/>
              <w:ind w:firstLine="0" w:firstLineChars="0"/>
              <w:jc w:val="center"/>
              <w:rPr>
                <w:sz w:val="21"/>
                <w:szCs w:val="21"/>
                <w:u w:val="single"/>
              </w:rPr>
            </w:pPr>
            <w:r>
              <w:rPr>
                <w:rFonts w:hint="eastAsia"/>
                <w:sz w:val="21"/>
                <w:szCs w:val="21"/>
                <w:u w:val="single"/>
              </w:rPr>
              <w:t>一期</w:t>
            </w:r>
          </w:p>
        </w:tc>
        <w:tc>
          <w:tcPr>
            <w:tcW w:w="448" w:type="pct"/>
            <w:vAlign w:val="center"/>
          </w:tcPr>
          <w:p>
            <w:pPr>
              <w:spacing w:line="240" w:lineRule="auto"/>
              <w:ind w:firstLine="0" w:firstLineChars="0"/>
              <w:jc w:val="center"/>
              <w:rPr>
                <w:sz w:val="21"/>
                <w:szCs w:val="21"/>
                <w:u w:val="single"/>
              </w:rPr>
            </w:pPr>
            <w:r>
              <w:rPr>
                <w:rFonts w:hint="eastAsia"/>
                <w:sz w:val="21"/>
                <w:szCs w:val="21"/>
                <w:u w:val="single"/>
              </w:rPr>
              <w:t>二期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pct"/>
            <w:vAlign w:val="center"/>
          </w:tcPr>
          <w:p>
            <w:pPr>
              <w:spacing w:line="240" w:lineRule="auto"/>
              <w:ind w:firstLine="0" w:firstLineChars="0"/>
              <w:jc w:val="center"/>
              <w:rPr>
                <w:sz w:val="21"/>
                <w:szCs w:val="21"/>
                <w:u w:val="single"/>
              </w:rPr>
            </w:pPr>
            <w:r>
              <w:rPr>
                <w:sz w:val="21"/>
                <w:szCs w:val="21"/>
                <w:u w:val="single"/>
              </w:rPr>
              <w:t>1</w:t>
            </w:r>
          </w:p>
        </w:tc>
        <w:tc>
          <w:tcPr>
            <w:tcW w:w="1043" w:type="pct"/>
            <w:vAlign w:val="center"/>
          </w:tcPr>
          <w:p>
            <w:pPr>
              <w:spacing w:line="240" w:lineRule="auto"/>
              <w:ind w:firstLine="0" w:firstLineChars="0"/>
              <w:jc w:val="center"/>
              <w:rPr>
                <w:sz w:val="21"/>
                <w:szCs w:val="21"/>
                <w:u w:val="single"/>
              </w:rPr>
            </w:pPr>
            <w:r>
              <w:rPr>
                <w:sz w:val="21"/>
                <w:szCs w:val="21"/>
                <w:u w:val="single"/>
              </w:rPr>
              <w:t>仿古/抛釉砖</w:t>
            </w:r>
          </w:p>
        </w:tc>
        <w:tc>
          <w:tcPr>
            <w:tcW w:w="1294" w:type="pct"/>
            <w:vAlign w:val="center"/>
          </w:tcPr>
          <w:p>
            <w:pPr>
              <w:spacing w:line="240" w:lineRule="auto"/>
              <w:ind w:firstLine="0" w:firstLineChars="0"/>
              <w:jc w:val="center"/>
              <w:rPr>
                <w:sz w:val="21"/>
                <w:szCs w:val="21"/>
                <w:u w:val="single"/>
              </w:rPr>
            </w:pPr>
            <w:r>
              <w:rPr>
                <w:sz w:val="21"/>
                <w:szCs w:val="21"/>
                <w:u w:val="single"/>
              </w:rPr>
              <w:t>400mm×800mm</w:t>
            </w:r>
          </w:p>
          <w:p>
            <w:pPr>
              <w:spacing w:line="240" w:lineRule="auto"/>
              <w:ind w:firstLine="0" w:firstLineChars="0"/>
              <w:jc w:val="center"/>
              <w:rPr>
                <w:sz w:val="21"/>
                <w:szCs w:val="21"/>
                <w:u w:val="single"/>
              </w:rPr>
            </w:pPr>
            <w:r>
              <w:rPr>
                <w:sz w:val="21"/>
                <w:szCs w:val="21"/>
                <w:u w:val="single"/>
              </w:rPr>
              <w:t>600mm×600mm</w:t>
            </w:r>
          </w:p>
          <w:p>
            <w:pPr>
              <w:spacing w:line="240" w:lineRule="auto"/>
              <w:ind w:firstLine="0" w:firstLineChars="0"/>
              <w:jc w:val="center"/>
              <w:rPr>
                <w:sz w:val="21"/>
                <w:szCs w:val="21"/>
                <w:u w:val="single"/>
              </w:rPr>
            </w:pPr>
            <w:r>
              <w:rPr>
                <w:sz w:val="21"/>
                <w:szCs w:val="21"/>
                <w:u w:val="single"/>
              </w:rPr>
              <w:t>800mm×800mm</w:t>
            </w:r>
          </w:p>
          <w:p>
            <w:pPr>
              <w:spacing w:line="240" w:lineRule="auto"/>
              <w:ind w:firstLine="0" w:firstLineChars="0"/>
              <w:jc w:val="center"/>
              <w:rPr>
                <w:sz w:val="21"/>
                <w:szCs w:val="21"/>
                <w:u w:val="single"/>
              </w:rPr>
            </w:pPr>
            <w:r>
              <w:rPr>
                <w:sz w:val="21"/>
                <w:szCs w:val="21"/>
                <w:u w:val="single"/>
              </w:rPr>
              <w:t>600mm×1200mm</w:t>
            </w:r>
          </w:p>
          <w:p>
            <w:pPr>
              <w:spacing w:line="240" w:lineRule="auto"/>
              <w:ind w:firstLine="0" w:firstLineChars="0"/>
              <w:jc w:val="center"/>
              <w:rPr>
                <w:sz w:val="21"/>
                <w:szCs w:val="21"/>
                <w:u w:val="single"/>
              </w:rPr>
            </w:pPr>
            <w:r>
              <w:rPr>
                <w:sz w:val="21"/>
                <w:szCs w:val="21"/>
                <w:u w:val="single"/>
              </w:rPr>
              <w:t>900mm×1800mm</w:t>
            </w:r>
          </w:p>
        </w:tc>
        <w:tc>
          <w:tcPr>
            <w:tcW w:w="693" w:type="pct"/>
            <w:vAlign w:val="center"/>
          </w:tcPr>
          <w:p>
            <w:pPr>
              <w:spacing w:line="240" w:lineRule="auto"/>
              <w:ind w:firstLine="0" w:firstLineChars="0"/>
              <w:jc w:val="center"/>
              <w:rPr>
                <w:sz w:val="21"/>
                <w:szCs w:val="21"/>
                <w:u w:val="single"/>
              </w:rPr>
            </w:pPr>
            <w:r>
              <w:rPr>
                <w:sz w:val="21"/>
                <w:szCs w:val="21"/>
                <w:u w:val="single"/>
              </w:rPr>
              <w:t>万m</w:t>
            </w:r>
            <w:r>
              <w:rPr>
                <w:sz w:val="21"/>
                <w:szCs w:val="21"/>
                <w:u w:val="single"/>
                <w:vertAlign w:val="superscript"/>
              </w:rPr>
              <w:t>2</w:t>
            </w:r>
            <w:r>
              <w:rPr>
                <w:sz w:val="21"/>
                <w:szCs w:val="21"/>
                <w:u w:val="single"/>
              </w:rPr>
              <w:t>/a</w:t>
            </w:r>
          </w:p>
        </w:tc>
        <w:tc>
          <w:tcPr>
            <w:tcW w:w="597" w:type="pct"/>
            <w:vAlign w:val="center"/>
          </w:tcPr>
          <w:p>
            <w:pPr>
              <w:spacing w:line="240" w:lineRule="auto"/>
              <w:ind w:firstLine="0" w:firstLineChars="0"/>
              <w:jc w:val="center"/>
              <w:rPr>
                <w:sz w:val="21"/>
                <w:szCs w:val="21"/>
                <w:u w:val="single"/>
              </w:rPr>
            </w:pPr>
            <w:r>
              <w:rPr>
                <w:sz w:val="21"/>
                <w:szCs w:val="21"/>
                <w:u w:val="single"/>
              </w:rPr>
              <w:t>8613</w:t>
            </w:r>
          </w:p>
        </w:tc>
        <w:tc>
          <w:tcPr>
            <w:tcW w:w="479" w:type="pct"/>
            <w:vAlign w:val="center"/>
          </w:tcPr>
          <w:p>
            <w:pPr>
              <w:spacing w:line="240" w:lineRule="auto"/>
              <w:ind w:firstLine="0" w:firstLineChars="0"/>
              <w:jc w:val="center"/>
              <w:rPr>
                <w:sz w:val="21"/>
                <w:szCs w:val="21"/>
                <w:u w:val="single"/>
              </w:rPr>
            </w:pPr>
            <w:r>
              <w:rPr>
                <w:rFonts w:hint="eastAsia"/>
                <w:sz w:val="21"/>
                <w:szCs w:val="21"/>
                <w:u w:val="single"/>
              </w:rPr>
              <w:t>4</w:t>
            </w:r>
            <w:r>
              <w:rPr>
                <w:sz w:val="21"/>
                <w:szCs w:val="21"/>
                <w:u w:val="single"/>
              </w:rPr>
              <w:t>306</w:t>
            </w:r>
            <w:r>
              <w:rPr>
                <w:rFonts w:hint="eastAsia"/>
                <w:sz w:val="21"/>
                <w:szCs w:val="21"/>
                <w:u w:val="single"/>
              </w:rPr>
              <w:t>.</w:t>
            </w:r>
            <w:r>
              <w:rPr>
                <w:sz w:val="21"/>
                <w:szCs w:val="21"/>
                <w:u w:val="single"/>
              </w:rPr>
              <w:t>5</w:t>
            </w:r>
          </w:p>
        </w:tc>
        <w:tc>
          <w:tcPr>
            <w:tcW w:w="448" w:type="pct"/>
            <w:vAlign w:val="center"/>
          </w:tcPr>
          <w:p>
            <w:pPr>
              <w:spacing w:line="240" w:lineRule="auto"/>
              <w:ind w:firstLine="0" w:firstLineChars="0"/>
              <w:jc w:val="center"/>
              <w:rPr>
                <w:sz w:val="21"/>
                <w:szCs w:val="21"/>
                <w:u w:val="single"/>
              </w:rPr>
            </w:pPr>
            <w:r>
              <w:rPr>
                <w:rFonts w:hint="eastAsia"/>
                <w:sz w:val="21"/>
                <w:szCs w:val="21"/>
                <w:u w:val="single"/>
              </w:rPr>
              <w:t>4</w:t>
            </w:r>
            <w:r>
              <w:rPr>
                <w:sz w:val="21"/>
                <w:szCs w:val="21"/>
                <w:u w:val="single"/>
              </w:rPr>
              <w:t>306</w:t>
            </w:r>
            <w:r>
              <w:rPr>
                <w:rFonts w:hint="eastAsia"/>
                <w:sz w:val="21"/>
                <w:szCs w:val="21"/>
                <w:u w:val="single"/>
              </w:rPr>
              <w:t>.</w:t>
            </w:r>
            <w:r>
              <w:rPr>
                <w:sz w:val="21"/>
                <w:szCs w:val="21"/>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pct"/>
            <w:vAlign w:val="center"/>
          </w:tcPr>
          <w:p>
            <w:pPr>
              <w:spacing w:line="240" w:lineRule="auto"/>
              <w:ind w:firstLine="0" w:firstLineChars="0"/>
              <w:jc w:val="center"/>
              <w:rPr>
                <w:sz w:val="21"/>
                <w:szCs w:val="21"/>
                <w:u w:val="single"/>
              </w:rPr>
            </w:pPr>
            <w:r>
              <w:rPr>
                <w:sz w:val="21"/>
                <w:szCs w:val="21"/>
                <w:u w:val="single"/>
              </w:rPr>
              <w:t>2</w:t>
            </w:r>
          </w:p>
        </w:tc>
        <w:tc>
          <w:tcPr>
            <w:tcW w:w="1043" w:type="pct"/>
            <w:vAlign w:val="center"/>
          </w:tcPr>
          <w:p>
            <w:pPr>
              <w:spacing w:line="240" w:lineRule="auto"/>
              <w:ind w:firstLine="0" w:firstLineChars="0"/>
              <w:jc w:val="center"/>
              <w:rPr>
                <w:sz w:val="21"/>
                <w:szCs w:val="21"/>
                <w:u w:val="single"/>
              </w:rPr>
            </w:pPr>
            <w:r>
              <w:rPr>
                <w:sz w:val="21"/>
                <w:szCs w:val="21"/>
                <w:u w:val="single"/>
              </w:rPr>
              <w:t>通体抛釉砖</w:t>
            </w:r>
          </w:p>
        </w:tc>
        <w:tc>
          <w:tcPr>
            <w:tcW w:w="1294" w:type="pct"/>
            <w:vAlign w:val="center"/>
          </w:tcPr>
          <w:p>
            <w:pPr>
              <w:spacing w:line="240" w:lineRule="auto"/>
              <w:ind w:firstLine="0" w:firstLineChars="0"/>
              <w:jc w:val="center"/>
              <w:rPr>
                <w:sz w:val="21"/>
                <w:szCs w:val="21"/>
                <w:u w:val="single"/>
              </w:rPr>
            </w:pPr>
            <w:r>
              <w:rPr>
                <w:sz w:val="21"/>
                <w:szCs w:val="21"/>
                <w:u w:val="single"/>
              </w:rPr>
              <w:t>600mm×600mm</w:t>
            </w:r>
          </w:p>
          <w:p>
            <w:pPr>
              <w:spacing w:line="240" w:lineRule="auto"/>
              <w:ind w:firstLine="0" w:firstLineChars="0"/>
              <w:jc w:val="center"/>
              <w:rPr>
                <w:sz w:val="21"/>
                <w:szCs w:val="21"/>
                <w:u w:val="single"/>
              </w:rPr>
            </w:pPr>
            <w:r>
              <w:rPr>
                <w:sz w:val="21"/>
                <w:szCs w:val="21"/>
                <w:u w:val="single"/>
              </w:rPr>
              <w:t>800mm×800mm</w:t>
            </w:r>
          </w:p>
          <w:p>
            <w:pPr>
              <w:spacing w:line="240" w:lineRule="auto"/>
              <w:ind w:firstLine="0" w:firstLineChars="0"/>
              <w:jc w:val="center"/>
              <w:rPr>
                <w:sz w:val="21"/>
                <w:szCs w:val="21"/>
                <w:u w:val="single"/>
              </w:rPr>
            </w:pPr>
            <w:r>
              <w:rPr>
                <w:sz w:val="21"/>
                <w:szCs w:val="21"/>
                <w:u w:val="single"/>
              </w:rPr>
              <w:t>600mm×1200mm</w:t>
            </w:r>
          </w:p>
          <w:p>
            <w:pPr>
              <w:spacing w:line="240" w:lineRule="auto"/>
              <w:ind w:firstLine="0" w:firstLineChars="0"/>
              <w:jc w:val="center"/>
              <w:rPr>
                <w:sz w:val="21"/>
                <w:szCs w:val="21"/>
                <w:u w:val="single"/>
              </w:rPr>
            </w:pPr>
            <w:r>
              <w:rPr>
                <w:sz w:val="21"/>
                <w:szCs w:val="21"/>
                <w:u w:val="single"/>
              </w:rPr>
              <w:t>900mm×1800mm</w:t>
            </w:r>
          </w:p>
        </w:tc>
        <w:tc>
          <w:tcPr>
            <w:tcW w:w="693" w:type="pct"/>
            <w:vAlign w:val="center"/>
          </w:tcPr>
          <w:p>
            <w:pPr>
              <w:spacing w:line="240" w:lineRule="auto"/>
              <w:ind w:firstLine="0" w:firstLineChars="0"/>
              <w:jc w:val="center"/>
              <w:rPr>
                <w:sz w:val="21"/>
                <w:szCs w:val="21"/>
                <w:u w:val="single"/>
              </w:rPr>
            </w:pPr>
            <w:r>
              <w:rPr>
                <w:sz w:val="21"/>
                <w:szCs w:val="21"/>
                <w:u w:val="single"/>
              </w:rPr>
              <w:t>万m</w:t>
            </w:r>
            <w:r>
              <w:rPr>
                <w:sz w:val="21"/>
                <w:szCs w:val="21"/>
                <w:u w:val="single"/>
                <w:vertAlign w:val="superscript"/>
              </w:rPr>
              <w:t>2</w:t>
            </w:r>
            <w:r>
              <w:rPr>
                <w:sz w:val="21"/>
                <w:szCs w:val="21"/>
                <w:u w:val="single"/>
              </w:rPr>
              <w:t>/a</w:t>
            </w:r>
          </w:p>
        </w:tc>
        <w:tc>
          <w:tcPr>
            <w:tcW w:w="597" w:type="pct"/>
            <w:vAlign w:val="center"/>
          </w:tcPr>
          <w:p>
            <w:pPr>
              <w:spacing w:line="240" w:lineRule="auto"/>
              <w:ind w:firstLine="0" w:firstLineChars="0"/>
              <w:jc w:val="center"/>
              <w:rPr>
                <w:sz w:val="21"/>
                <w:szCs w:val="21"/>
                <w:u w:val="single"/>
              </w:rPr>
            </w:pPr>
            <w:r>
              <w:rPr>
                <w:sz w:val="21"/>
                <w:szCs w:val="21"/>
                <w:u w:val="single"/>
              </w:rPr>
              <w:t>2376</w:t>
            </w:r>
          </w:p>
        </w:tc>
        <w:tc>
          <w:tcPr>
            <w:tcW w:w="479"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188</w:t>
            </w:r>
          </w:p>
        </w:tc>
        <w:tc>
          <w:tcPr>
            <w:tcW w:w="448"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pct"/>
            <w:vAlign w:val="center"/>
          </w:tcPr>
          <w:p>
            <w:pPr>
              <w:spacing w:line="240" w:lineRule="auto"/>
              <w:ind w:firstLine="0" w:firstLineChars="0"/>
              <w:jc w:val="center"/>
              <w:rPr>
                <w:sz w:val="21"/>
                <w:szCs w:val="21"/>
                <w:u w:val="single"/>
              </w:rPr>
            </w:pPr>
            <w:r>
              <w:rPr>
                <w:sz w:val="21"/>
                <w:szCs w:val="21"/>
                <w:u w:val="single"/>
              </w:rPr>
              <w:t>3</w:t>
            </w:r>
          </w:p>
        </w:tc>
        <w:tc>
          <w:tcPr>
            <w:tcW w:w="1043" w:type="pct"/>
            <w:vAlign w:val="center"/>
          </w:tcPr>
          <w:p>
            <w:pPr>
              <w:spacing w:line="240" w:lineRule="auto"/>
              <w:ind w:firstLine="0" w:firstLineChars="0"/>
              <w:jc w:val="center"/>
              <w:rPr>
                <w:sz w:val="21"/>
                <w:szCs w:val="21"/>
                <w:u w:val="single"/>
              </w:rPr>
            </w:pPr>
            <w:r>
              <w:rPr>
                <w:sz w:val="21"/>
                <w:szCs w:val="21"/>
                <w:u w:val="single"/>
              </w:rPr>
              <w:t>通体抛光砖</w:t>
            </w:r>
          </w:p>
        </w:tc>
        <w:tc>
          <w:tcPr>
            <w:tcW w:w="1294" w:type="pct"/>
            <w:vAlign w:val="center"/>
          </w:tcPr>
          <w:p>
            <w:pPr>
              <w:spacing w:line="240" w:lineRule="auto"/>
              <w:ind w:firstLine="0" w:firstLineChars="0"/>
              <w:jc w:val="center"/>
              <w:rPr>
                <w:sz w:val="21"/>
                <w:szCs w:val="21"/>
                <w:u w:val="single"/>
              </w:rPr>
            </w:pPr>
            <w:r>
              <w:rPr>
                <w:sz w:val="21"/>
                <w:szCs w:val="21"/>
                <w:u w:val="single"/>
              </w:rPr>
              <w:t>600mm×600mm</w:t>
            </w:r>
          </w:p>
          <w:p>
            <w:pPr>
              <w:spacing w:line="240" w:lineRule="auto"/>
              <w:ind w:firstLine="0" w:firstLineChars="0"/>
              <w:jc w:val="center"/>
              <w:rPr>
                <w:sz w:val="21"/>
                <w:szCs w:val="21"/>
                <w:u w:val="single"/>
              </w:rPr>
            </w:pPr>
            <w:r>
              <w:rPr>
                <w:sz w:val="21"/>
                <w:szCs w:val="21"/>
                <w:u w:val="single"/>
              </w:rPr>
              <w:t>800mm×800mm</w:t>
            </w:r>
          </w:p>
          <w:p>
            <w:pPr>
              <w:spacing w:line="240" w:lineRule="auto"/>
              <w:ind w:firstLine="0" w:firstLineChars="0"/>
              <w:jc w:val="center"/>
              <w:rPr>
                <w:sz w:val="21"/>
                <w:szCs w:val="21"/>
                <w:u w:val="single"/>
              </w:rPr>
            </w:pPr>
            <w:r>
              <w:rPr>
                <w:sz w:val="21"/>
                <w:szCs w:val="21"/>
                <w:u w:val="single"/>
              </w:rPr>
              <w:t>600mm×1200mm</w:t>
            </w:r>
          </w:p>
          <w:p>
            <w:pPr>
              <w:spacing w:line="240" w:lineRule="auto"/>
              <w:ind w:firstLine="0" w:firstLineChars="0"/>
              <w:jc w:val="center"/>
              <w:rPr>
                <w:sz w:val="21"/>
                <w:szCs w:val="21"/>
                <w:u w:val="single"/>
              </w:rPr>
            </w:pPr>
            <w:r>
              <w:rPr>
                <w:sz w:val="21"/>
                <w:szCs w:val="21"/>
                <w:u w:val="single"/>
              </w:rPr>
              <w:t>900mm×1800mm</w:t>
            </w:r>
          </w:p>
        </w:tc>
        <w:tc>
          <w:tcPr>
            <w:tcW w:w="693" w:type="pct"/>
            <w:vAlign w:val="center"/>
          </w:tcPr>
          <w:p>
            <w:pPr>
              <w:spacing w:line="240" w:lineRule="auto"/>
              <w:ind w:firstLine="0" w:firstLineChars="0"/>
              <w:jc w:val="center"/>
              <w:rPr>
                <w:sz w:val="21"/>
                <w:szCs w:val="21"/>
                <w:u w:val="single"/>
              </w:rPr>
            </w:pPr>
            <w:r>
              <w:rPr>
                <w:sz w:val="21"/>
                <w:szCs w:val="21"/>
                <w:u w:val="single"/>
              </w:rPr>
              <w:t>万m</w:t>
            </w:r>
            <w:r>
              <w:rPr>
                <w:sz w:val="21"/>
                <w:szCs w:val="21"/>
                <w:u w:val="single"/>
                <w:vertAlign w:val="superscript"/>
              </w:rPr>
              <w:t>2</w:t>
            </w:r>
            <w:r>
              <w:rPr>
                <w:sz w:val="21"/>
                <w:szCs w:val="21"/>
                <w:u w:val="single"/>
              </w:rPr>
              <w:t>/a</w:t>
            </w:r>
          </w:p>
        </w:tc>
        <w:tc>
          <w:tcPr>
            <w:tcW w:w="597" w:type="pct"/>
            <w:vAlign w:val="center"/>
          </w:tcPr>
          <w:p>
            <w:pPr>
              <w:spacing w:line="240" w:lineRule="auto"/>
              <w:ind w:firstLine="0" w:firstLineChars="0"/>
              <w:jc w:val="center"/>
              <w:rPr>
                <w:sz w:val="21"/>
                <w:szCs w:val="21"/>
                <w:u w:val="single"/>
              </w:rPr>
            </w:pPr>
            <w:r>
              <w:rPr>
                <w:sz w:val="21"/>
                <w:szCs w:val="21"/>
                <w:u w:val="single"/>
              </w:rPr>
              <w:t>1650</w:t>
            </w:r>
          </w:p>
        </w:tc>
        <w:tc>
          <w:tcPr>
            <w:tcW w:w="479" w:type="pct"/>
            <w:vAlign w:val="center"/>
          </w:tcPr>
          <w:p>
            <w:pPr>
              <w:spacing w:line="240" w:lineRule="auto"/>
              <w:ind w:firstLine="0" w:firstLineChars="0"/>
              <w:jc w:val="center"/>
              <w:rPr>
                <w:sz w:val="21"/>
                <w:szCs w:val="21"/>
                <w:u w:val="single"/>
              </w:rPr>
            </w:pPr>
            <w:r>
              <w:rPr>
                <w:rFonts w:hint="eastAsia"/>
                <w:sz w:val="21"/>
                <w:szCs w:val="21"/>
                <w:u w:val="single"/>
              </w:rPr>
              <w:t>8</w:t>
            </w:r>
            <w:r>
              <w:rPr>
                <w:sz w:val="21"/>
                <w:szCs w:val="21"/>
                <w:u w:val="single"/>
              </w:rPr>
              <w:t>25</w:t>
            </w:r>
          </w:p>
        </w:tc>
        <w:tc>
          <w:tcPr>
            <w:tcW w:w="448" w:type="pct"/>
            <w:vAlign w:val="center"/>
          </w:tcPr>
          <w:p>
            <w:pPr>
              <w:spacing w:line="240" w:lineRule="auto"/>
              <w:ind w:firstLine="0" w:firstLineChars="0"/>
              <w:jc w:val="center"/>
              <w:rPr>
                <w:sz w:val="21"/>
                <w:szCs w:val="21"/>
                <w:u w:val="single"/>
              </w:rPr>
            </w:pPr>
            <w:r>
              <w:rPr>
                <w:rFonts w:hint="eastAsia"/>
                <w:sz w:val="21"/>
                <w:szCs w:val="21"/>
                <w:u w:val="single"/>
              </w:rPr>
              <w:t>8</w:t>
            </w:r>
            <w:r>
              <w:rPr>
                <w:sz w:val="21"/>
                <w:szCs w:val="21"/>
                <w:u w:val="single"/>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pct"/>
            <w:vAlign w:val="center"/>
          </w:tcPr>
          <w:p>
            <w:pPr>
              <w:spacing w:line="240" w:lineRule="auto"/>
              <w:ind w:firstLine="0" w:firstLineChars="0"/>
              <w:jc w:val="center"/>
              <w:rPr>
                <w:sz w:val="21"/>
                <w:szCs w:val="21"/>
                <w:u w:val="single"/>
              </w:rPr>
            </w:pPr>
            <w:r>
              <w:rPr>
                <w:sz w:val="21"/>
                <w:szCs w:val="21"/>
                <w:u w:val="single"/>
              </w:rPr>
              <w:t>4</w:t>
            </w:r>
          </w:p>
        </w:tc>
        <w:tc>
          <w:tcPr>
            <w:tcW w:w="1043" w:type="pct"/>
            <w:vAlign w:val="center"/>
          </w:tcPr>
          <w:p>
            <w:pPr>
              <w:spacing w:line="240" w:lineRule="auto"/>
              <w:ind w:firstLine="0" w:firstLineChars="0"/>
              <w:jc w:val="center"/>
              <w:rPr>
                <w:sz w:val="21"/>
                <w:szCs w:val="21"/>
                <w:u w:val="single"/>
              </w:rPr>
            </w:pPr>
            <w:r>
              <w:rPr>
                <w:sz w:val="21"/>
                <w:szCs w:val="21"/>
                <w:u w:val="single"/>
              </w:rPr>
              <w:t>陶瓷微晶大板</w:t>
            </w:r>
          </w:p>
        </w:tc>
        <w:tc>
          <w:tcPr>
            <w:tcW w:w="1294" w:type="pct"/>
            <w:vAlign w:val="center"/>
          </w:tcPr>
          <w:p>
            <w:pPr>
              <w:spacing w:line="240" w:lineRule="auto"/>
              <w:ind w:firstLine="0" w:firstLineChars="0"/>
              <w:jc w:val="center"/>
              <w:rPr>
                <w:sz w:val="21"/>
                <w:szCs w:val="21"/>
                <w:u w:val="single"/>
              </w:rPr>
            </w:pPr>
            <w:r>
              <w:rPr>
                <w:sz w:val="21"/>
                <w:szCs w:val="21"/>
                <w:u w:val="single"/>
              </w:rPr>
              <w:t>600mm×600mm</w:t>
            </w:r>
          </w:p>
          <w:p>
            <w:pPr>
              <w:spacing w:line="240" w:lineRule="auto"/>
              <w:ind w:firstLine="0" w:firstLineChars="0"/>
              <w:jc w:val="center"/>
              <w:rPr>
                <w:sz w:val="21"/>
                <w:szCs w:val="21"/>
                <w:u w:val="single"/>
              </w:rPr>
            </w:pPr>
            <w:r>
              <w:rPr>
                <w:sz w:val="21"/>
                <w:szCs w:val="21"/>
                <w:u w:val="single"/>
              </w:rPr>
              <w:t>800mm×800mm</w:t>
            </w:r>
          </w:p>
          <w:p>
            <w:pPr>
              <w:spacing w:line="240" w:lineRule="auto"/>
              <w:ind w:firstLine="0" w:firstLineChars="0"/>
              <w:jc w:val="center"/>
              <w:rPr>
                <w:sz w:val="21"/>
                <w:szCs w:val="21"/>
                <w:u w:val="single"/>
              </w:rPr>
            </w:pPr>
            <w:r>
              <w:rPr>
                <w:sz w:val="21"/>
                <w:szCs w:val="21"/>
                <w:u w:val="single"/>
              </w:rPr>
              <w:t>600mm×1200mm</w:t>
            </w:r>
          </w:p>
          <w:p>
            <w:pPr>
              <w:spacing w:line="240" w:lineRule="auto"/>
              <w:ind w:firstLine="0" w:firstLineChars="0"/>
              <w:jc w:val="center"/>
              <w:rPr>
                <w:sz w:val="21"/>
                <w:szCs w:val="21"/>
                <w:u w:val="single"/>
              </w:rPr>
            </w:pPr>
            <w:r>
              <w:rPr>
                <w:sz w:val="21"/>
                <w:szCs w:val="21"/>
                <w:u w:val="single"/>
              </w:rPr>
              <w:t>900mm×1800mm</w:t>
            </w:r>
          </w:p>
          <w:p>
            <w:pPr>
              <w:spacing w:line="240" w:lineRule="auto"/>
              <w:ind w:firstLine="0" w:firstLineChars="0"/>
              <w:jc w:val="center"/>
              <w:rPr>
                <w:sz w:val="21"/>
                <w:szCs w:val="21"/>
                <w:u w:val="single"/>
              </w:rPr>
            </w:pPr>
            <w:r>
              <w:rPr>
                <w:rFonts w:hint="eastAsia"/>
                <w:sz w:val="21"/>
                <w:szCs w:val="21"/>
                <w:u w:val="single"/>
              </w:rPr>
              <w:t>750mm</w:t>
            </w:r>
            <w:r>
              <w:rPr>
                <w:sz w:val="21"/>
                <w:szCs w:val="21"/>
                <w:u w:val="single"/>
              </w:rPr>
              <w:t>×</w:t>
            </w:r>
            <w:r>
              <w:rPr>
                <w:rFonts w:hint="eastAsia"/>
                <w:sz w:val="21"/>
                <w:szCs w:val="21"/>
                <w:u w:val="single"/>
              </w:rPr>
              <w:t>1500mm</w:t>
            </w:r>
          </w:p>
          <w:p>
            <w:pPr>
              <w:spacing w:line="240" w:lineRule="auto"/>
              <w:ind w:firstLine="0" w:firstLineChars="0"/>
              <w:jc w:val="center"/>
              <w:rPr>
                <w:sz w:val="21"/>
                <w:szCs w:val="21"/>
                <w:u w:val="single"/>
              </w:rPr>
            </w:pPr>
            <w:r>
              <w:rPr>
                <w:rFonts w:hint="eastAsia"/>
                <w:sz w:val="21"/>
                <w:szCs w:val="21"/>
                <w:u w:val="single"/>
              </w:rPr>
              <w:t>800mm</w:t>
            </w:r>
            <w:r>
              <w:rPr>
                <w:sz w:val="21"/>
                <w:szCs w:val="21"/>
                <w:u w:val="single"/>
              </w:rPr>
              <w:t>×</w:t>
            </w:r>
            <w:r>
              <w:rPr>
                <w:rFonts w:hint="eastAsia"/>
                <w:sz w:val="21"/>
                <w:szCs w:val="21"/>
                <w:u w:val="single"/>
              </w:rPr>
              <w:t>2000mm</w:t>
            </w:r>
          </w:p>
          <w:p>
            <w:pPr>
              <w:spacing w:line="240" w:lineRule="auto"/>
              <w:ind w:firstLine="0" w:firstLineChars="0"/>
              <w:jc w:val="center"/>
              <w:rPr>
                <w:sz w:val="21"/>
                <w:szCs w:val="21"/>
                <w:u w:val="single"/>
              </w:rPr>
            </w:pPr>
            <w:r>
              <w:rPr>
                <w:rFonts w:hint="eastAsia"/>
                <w:sz w:val="21"/>
                <w:szCs w:val="21"/>
                <w:u w:val="single"/>
              </w:rPr>
              <w:t>800mm</w:t>
            </w:r>
            <w:r>
              <w:rPr>
                <w:sz w:val="21"/>
                <w:szCs w:val="21"/>
                <w:u w:val="single"/>
              </w:rPr>
              <w:t>×</w:t>
            </w:r>
            <w:r>
              <w:rPr>
                <w:rFonts w:hint="eastAsia"/>
                <w:sz w:val="21"/>
                <w:szCs w:val="21"/>
                <w:u w:val="single"/>
              </w:rPr>
              <w:t>2600mm</w:t>
            </w:r>
          </w:p>
          <w:p>
            <w:pPr>
              <w:spacing w:line="240" w:lineRule="auto"/>
              <w:ind w:firstLine="0" w:firstLineChars="0"/>
              <w:jc w:val="center"/>
              <w:rPr>
                <w:sz w:val="21"/>
                <w:szCs w:val="21"/>
                <w:u w:val="single"/>
              </w:rPr>
            </w:pPr>
            <w:r>
              <w:rPr>
                <w:rFonts w:hint="eastAsia"/>
                <w:sz w:val="21"/>
                <w:szCs w:val="21"/>
                <w:u w:val="single"/>
              </w:rPr>
              <w:t>1600mm</w:t>
            </w:r>
            <w:r>
              <w:rPr>
                <w:sz w:val="21"/>
                <w:szCs w:val="21"/>
                <w:u w:val="single"/>
              </w:rPr>
              <w:t>×</w:t>
            </w:r>
            <w:r>
              <w:rPr>
                <w:rFonts w:hint="eastAsia"/>
                <w:sz w:val="21"/>
                <w:szCs w:val="21"/>
                <w:u w:val="single"/>
              </w:rPr>
              <w:t>3200mm</w:t>
            </w:r>
          </w:p>
        </w:tc>
        <w:tc>
          <w:tcPr>
            <w:tcW w:w="693" w:type="pct"/>
            <w:vAlign w:val="center"/>
          </w:tcPr>
          <w:p>
            <w:pPr>
              <w:spacing w:line="240" w:lineRule="auto"/>
              <w:ind w:firstLine="0" w:firstLineChars="0"/>
              <w:jc w:val="center"/>
              <w:rPr>
                <w:sz w:val="21"/>
                <w:szCs w:val="21"/>
                <w:u w:val="single"/>
              </w:rPr>
            </w:pPr>
            <w:r>
              <w:rPr>
                <w:sz w:val="21"/>
                <w:szCs w:val="21"/>
                <w:u w:val="single"/>
              </w:rPr>
              <w:t>万m</w:t>
            </w:r>
            <w:r>
              <w:rPr>
                <w:sz w:val="21"/>
                <w:szCs w:val="21"/>
                <w:u w:val="single"/>
                <w:vertAlign w:val="superscript"/>
              </w:rPr>
              <w:t>2</w:t>
            </w:r>
            <w:r>
              <w:rPr>
                <w:sz w:val="21"/>
                <w:szCs w:val="21"/>
                <w:u w:val="single"/>
              </w:rPr>
              <w:t>/a</w:t>
            </w:r>
          </w:p>
        </w:tc>
        <w:tc>
          <w:tcPr>
            <w:tcW w:w="597" w:type="pct"/>
            <w:vAlign w:val="center"/>
          </w:tcPr>
          <w:p>
            <w:pPr>
              <w:spacing w:line="240" w:lineRule="auto"/>
              <w:ind w:firstLine="0" w:firstLineChars="0"/>
              <w:jc w:val="center"/>
              <w:rPr>
                <w:sz w:val="21"/>
                <w:szCs w:val="21"/>
                <w:u w:val="single"/>
              </w:rPr>
            </w:pPr>
            <w:r>
              <w:rPr>
                <w:sz w:val="21"/>
                <w:szCs w:val="21"/>
                <w:u w:val="single"/>
              </w:rPr>
              <w:t>165</w:t>
            </w:r>
          </w:p>
        </w:tc>
        <w:tc>
          <w:tcPr>
            <w:tcW w:w="479" w:type="pct"/>
            <w:vAlign w:val="center"/>
          </w:tcPr>
          <w:p>
            <w:pPr>
              <w:spacing w:line="240" w:lineRule="auto"/>
              <w:ind w:firstLine="0" w:firstLineChars="0"/>
              <w:jc w:val="center"/>
              <w:rPr>
                <w:sz w:val="21"/>
                <w:szCs w:val="21"/>
                <w:u w:val="single"/>
              </w:rPr>
            </w:pPr>
            <w:r>
              <w:rPr>
                <w:rFonts w:hint="eastAsia"/>
                <w:sz w:val="21"/>
                <w:szCs w:val="21"/>
                <w:u w:val="single"/>
              </w:rPr>
              <w:t>8</w:t>
            </w:r>
            <w:r>
              <w:rPr>
                <w:sz w:val="21"/>
                <w:szCs w:val="21"/>
                <w:u w:val="single"/>
              </w:rPr>
              <w:t>2.5</w:t>
            </w:r>
          </w:p>
        </w:tc>
        <w:tc>
          <w:tcPr>
            <w:tcW w:w="448" w:type="pct"/>
            <w:vAlign w:val="center"/>
          </w:tcPr>
          <w:p>
            <w:pPr>
              <w:spacing w:line="240" w:lineRule="auto"/>
              <w:ind w:firstLine="0" w:firstLineChars="0"/>
              <w:jc w:val="center"/>
              <w:rPr>
                <w:sz w:val="21"/>
                <w:szCs w:val="21"/>
                <w:u w:val="single"/>
              </w:rPr>
            </w:pPr>
            <w:r>
              <w:rPr>
                <w:rFonts w:hint="eastAsia"/>
                <w:sz w:val="21"/>
                <w:szCs w:val="21"/>
                <w:u w:val="single"/>
              </w:rPr>
              <w:t>8</w:t>
            </w:r>
            <w:r>
              <w:rPr>
                <w:sz w:val="21"/>
                <w:szCs w:val="21"/>
                <w:u w:val="single"/>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pct"/>
            <w:vAlign w:val="center"/>
          </w:tcPr>
          <w:p>
            <w:pPr>
              <w:spacing w:line="240" w:lineRule="auto"/>
              <w:ind w:firstLine="0" w:firstLineChars="0"/>
              <w:jc w:val="center"/>
              <w:rPr>
                <w:sz w:val="21"/>
                <w:szCs w:val="21"/>
                <w:u w:val="single"/>
              </w:rPr>
            </w:pPr>
            <w:r>
              <w:rPr>
                <w:sz w:val="21"/>
                <w:szCs w:val="21"/>
                <w:u w:val="single"/>
              </w:rPr>
              <w:t>5</w:t>
            </w:r>
          </w:p>
        </w:tc>
        <w:tc>
          <w:tcPr>
            <w:tcW w:w="1043" w:type="pct"/>
            <w:vAlign w:val="center"/>
          </w:tcPr>
          <w:p>
            <w:pPr>
              <w:spacing w:line="240" w:lineRule="auto"/>
              <w:ind w:firstLine="0" w:firstLineChars="0"/>
              <w:jc w:val="center"/>
              <w:rPr>
                <w:sz w:val="21"/>
                <w:szCs w:val="21"/>
                <w:u w:val="single"/>
              </w:rPr>
            </w:pPr>
            <w:r>
              <w:rPr>
                <w:sz w:val="21"/>
                <w:szCs w:val="21"/>
                <w:u w:val="single"/>
              </w:rPr>
              <w:t>卫生洁具</w:t>
            </w:r>
          </w:p>
        </w:tc>
        <w:tc>
          <w:tcPr>
            <w:tcW w:w="1294" w:type="pct"/>
            <w:vAlign w:val="center"/>
          </w:tcPr>
          <w:p>
            <w:pPr>
              <w:spacing w:line="240" w:lineRule="auto"/>
              <w:ind w:firstLine="0" w:firstLineChars="0"/>
              <w:jc w:val="center"/>
              <w:rPr>
                <w:sz w:val="21"/>
                <w:szCs w:val="21"/>
                <w:u w:val="single"/>
              </w:rPr>
            </w:pPr>
            <w:r>
              <w:rPr>
                <w:sz w:val="21"/>
                <w:szCs w:val="21"/>
                <w:u w:val="single"/>
              </w:rPr>
              <w:t>/</w:t>
            </w:r>
          </w:p>
        </w:tc>
        <w:tc>
          <w:tcPr>
            <w:tcW w:w="693" w:type="pct"/>
            <w:vAlign w:val="center"/>
          </w:tcPr>
          <w:p>
            <w:pPr>
              <w:spacing w:line="240" w:lineRule="auto"/>
              <w:ind w:firstLine="0" w:firstLineChars="0"/>
              <w:jc w:val="center"/>
              <w:rPr>
                <w:sz w:val="21"/>
                <w:szCs w:val="21"/>
                <w:u w:val="single"/>
              </w:rPr>
            </w:pPr>
            <w:r>
              <w:rPr>
                <w:sz w:val="21"/>
                <w:szCs w:val="21"/>
                <w:u w:val="single"/>
              </w:rPr>
              <w:t>万件/年</w:t>
            </w:r>
          </w:p>
        </w:tc>
        <w:tc>
          <w:tcPr>
            <w:tcW w:w="597" w:type="pct"/>
            <w:vAlign w:val="center"/>
          </w:tcPr>
          <w:p>
            <w:pPr>
              <w:spacing w:line="240" w:lineRule="auto"/>
              <w:ind w:firstLine="0" w:firstLineChars="0"/>
              <w:jc w:val="center"/>
              <w:rPr>
                <w:sz w:val="21"/>
                <w:szCs w:val="21"/>
                <w:u w:val="single"/>
              </w:rPr>
            </w:pPr>
            <w:r>
              <w:rPr>
                <w:sz w:val="21"/>
                <w:szCs w:val="21"/>
                <w:u w:val="single"/>
              </w:rPr>
              <w:t>120</w:t>
            </w:r>
          </w:p>
        </w:tc>
        <w:tc>
          <w:tcPr>
            <w:tcW w:w="479" w:type="pct"/>
            <w:vAlign w:val="center"/>
          </w:tcPr>
          <w:p>
            <w:pPr>
              <w:spacing w:line="240" w:lineRule="auto"/>
              <w:ind w:firstLine="0" w:firstLineChars="0"/>
              <w:jc w:val="center"/>
              <w:rPr>
                <w:sz w:val="21"/>
                <w:szCs w:val="21"/>
                <w:u w:val="single"/>
              </w:rPr>
            </w:pPr>
            <w:r>
              <w:rPr>
                <w:rFonts w:hint="eastAsia"/>
                <w:sz w:val="21"/>
                <w:szCs w:val="21"/>
                <w:u w:val="single"/>
              </w:rPr>
              <w:t>6</w:t>
            </w:r>
            <w:r>
              <w:rPr>
                <w:sz w:val="21"/>
                <w:szCs w:val="21"/>
                <w:u w:val="single"/>
              </w:rPr>
              <w:t>0</w:t>
            </w:r>
          </w:p>
        </w:tc>
        <w:tc>
          <w:tcPr>
            <w:tcW w:w="448" w:type="pct"/>
            <w:vAlign w:val="center"/>
          </w:tcPr>
          <w:p>
            <w:pPr>
              <w:spacing w:line="240" w:lineRule="auto"/>
              <w:ind w:firstLine="0" w:firstLineChars="0"/>
              <w:jc w:val="center"/>
              <w:rPr>
                <w:sz w:val="21"/>
                <w:szCs w:val="21"/>
                <w:u w:val="single"/>
              </w:rPr>
            </w:pPr>
            <w:r>
              <w:rPr>
                <w:rFonts w:hint="eastAsia"/>
                <w:sz w:val="21"/>
                <w:szCs w:val="21"/>
                <w:u w:val="single"/>
              </w:rPr>
              <w:t>6</w:t>
            </w:r>
            <w:r>
              <w:rPr>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pct"/>
            <w:vAlign w:val="center"/>
          </w:tcPr>
          <w:p>
            <w:pPr>
              <w:spacing w:line="240" w:lineRule="auto"/>
              <w:ind w:firstLine="0" w:firstLineChars="0"/>
              <w:jc w:val="center"/>
              <w:rPr>
                <w:sz w:val="21"/>
                <w:szCs w:val="21"/>
                <w:u w:val="single"/>
              </w:rPr>
            </w:pPr>
            <w:r>
              <w:rPr>
                <w:sz w:val="21"/>
                <w:szCs w:val="21"/>
                <w:u w:val="single"/>
              </w:rPr>
              <w:t>6</w:t>
            </w:r>
          </w:p>
        </w:tc>
        <w:tc>
          <w:tcPr>
            <w:tcW w:w="1043" w:type="pct"/>
            <w:vAlign w:val="center"/>
          </w:tcPr>
          <w:p>
            <w:pPr>
              <w:spacing w:line="240" w:lineRule="auto"/>
              <w:ind w:firstLine="0" w:firstLineChars="0"/>
              <w:jc w:val="center"/>
              <w:rPr>
                <w:sz w:val="21"/>
                <w:szCs w:val="21"/>
                <w:u w:val="single"/>
              </w:rPr>
            </w:pPr>
            <w:r>
              <w:rPr>
                <w:sz w:val="21"/>
                <w:szCs w:val="21"/>
                <w:u w:val="single"/>
              </w:rPr>
              <w:t>包装纸箱</w:t>
            </w:r>
          </w:p>
        </w:tc>
        <w:tc>
          <w:tcPr>
            <w:tcW w:w="1294" w:type="pct"/>
            <w:vAlign w:val="center"/>
          </w:tcPr>
          <w:p>
            <w:pPr>
              <w:spacing w:line="240" w:lineRule="auto"/>
              <w:ind w:firstLine="0" w:firstLineChars="0"/>
              <w:jc w:val="center"/>
              <w:rPr>
                <w:sz w:val="21"/>
                <w:szCs w:val="21"/>
                <w:u w:val="single"/>
              </w:rPr>
            </w:pPr>
            <w:r>
              <w:rPr>
                <w:sz w:val="21"/>
                <w:szCs w:val="21"/>
                <w:u w:val="single"/>
              </w:rPr>
              <w:t>/</w:t>
            </w:r>
          </w:p>
        </w:tc>
        <w:tc>
          <w:tcPr>
            <w:tcW w:w="693" w:type="pct"/>
            <w:vAlign w:val="center"/>
          </w:tcPr>
          <w:p>
            <w:pPr>
              <w:spacing w:line="240" w:lineRule="auto"/>
              <w:ind w:firstLine="0" w:firstLineChars="0"/>
              <w:jc w:val="center"/>
              <w:rPr>
                <w:sz w:val="21"/>
                <w:szCs w:val="21"/>
                <w:u w:val="single"/>
              </w:rPr>
            </w:pPr>
            <w:r>
              <w:rPr>
                <w:sz w:val="21"/>
                <w:szCs w:val="21"/>
                <w:u w:val="single"/>
              </w:rPr>
              <w:t>万m</w:t>
            </w:r>
            <w:r>
              <w:rPr>
                <w:sz w:val="21"/>
                <w:szCs w:val="21"/>
                <w:u w:val="single"/>
                <w:vertAlign w:val="superscript"/>
              </w:rPr>
              <w:t>2</w:t>
            </w:r>
            <w:r>
              <w:rPr>
                <w:sz w:val="21"/>
                <w:szCs w:val="21"/>
                <w:u w:val="single"/>
              </w:rPr>
              <w:t>/年</w:t>
            </w:r>
          </w:p>
        </w:tc>
        <w:tc>
          <w:tcPr>
            <w:tcW w:w="597" w:type="pct"/>
            <w:vAlign w:val="center"/>
          </w:tcPr>
          <w:p>
            <w:pPr>
              <w:spacing w:line="240" w:lineRule="auto"/>
              <w:ind w:firstLine="0" w:firstLineChars="0"/>
              <w:jc w:val="center"/>
              <w:rPr>
                <w:sz w:val="21"/>
                <w:szCs w:val="21"/>
                <w:u w:val="single"/>
              </w:rPr>
            </w:pPr>
            <w:r>
              <w:rPr>
                <w:sz w:val="21"/>
                <w:szCs w:val="21"/>
                <w:u w:val="single"/>
              </w:rPr>
              <w:t>10000</w:t>
            </w:r>
          </w:p>
        </w:tc>
        <w:tc>
          <w:tcPr>
            <w:tcW w:w="479"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000</w:t>
            </w:r>
          </w:p>
        </w:tc>
        <w:tc>
          <w:tcPr>
            <w:tcW w:w="448"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000</w:t>
            </w:r>
          </w:p>
        </w:tc>
      </w:tr>
    </w:tbl>
    <w:p>
      <w:pPr>
        <w:pStyle w:val="4"/>
        <w:rPr>
          <w:rFonts w:cs="Times New Roman"/>
        </w:rPr>
      </w:pPr>
      <w:bookmarkStart w:id="75" w:name="_Toc86611253"/>
      <w:r>
        <w:rPr>
          <w:rFonts w:cs="Times New Roman"/>
        </w:rPr>
        <w:t>3.1.4主要原辅材料</w:t>
      </w:r>
      <w:bookmarkEnd w:id="75"/>
    </w:p>
    <w:p>
      <w:pPr>
        <w:ind w:firstLine="480"/>
        <w:rPr>
          <w:rFonts w:cs="Times New Roman"/>
        </w:rPr>
      </w:pPr>
      <w:r>
        <w:rPr>
          <w:rFonts w:cs="Times New Roman"/>
        </w:rPr>
        <w:t>项目拟建设12条高科技新型环保建材生产线</w:t>
      </w:r>
      <w:r>
        <w:rPr>
          <w:rFonts w:hint="eastAsia" w:cs="Times New Roman"/>
        </w:rPr>
        <w:t>（其中一期建设</w:t>
      </w:r>
      <w:r>
        <w:rPr>
          <w:rFonts w:cs="Times New Roman"/>
        </w:rPr>
        <w:t>6</w:t>
      </w:r>
      <w:r>
        <w:rPr>
          <w:rFonts w:hint="eastAsia" w:cs="Times New Roman"/>
        </w:rPr>
        <w:t>条生产线，二期建设6条生产线）</w:t>
      </w:r>
      <w:r>
        <w:rPr>
          <w:rFonts w:cs="Times New Roman"/>
        </w:rPr>
        <w:t>，物料消耗情况见表3.1-3。</w:t>
      </w:r>
    </w:p>
    <w:p>
      <w:pPr>
        <w:ind w:firstLine="482"/>
        <w:jc w:val="center"/>
        <w:rPr>
          <w:rFonts w:cs="Times New Roman"/>
          <w:b/>
          <w:bCs/>
        </w:rPr>
      </w:pPr>
      <w:r>
        <w:rPr>
          <w:rFonts w:cs="Times New Roman"/>
          <w:b/>
          <w:bCs/>
        </w:rPr>
        <w:t>表3.1-3  项目主要原辅材料消耗表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7"/>
        <w:gridCol w:w="1963"/>
        <w:gridCol w:w="1882"/>
        <w:gridCol w:w="1808"/>
        <w:gridCol w:w="1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序号</w:t>
            </w:r>
          </w:p>
        </w:tc>
        <w:tc>
          <w:tcPr>
            <w:tcW w:w="1152" w:type="pct"/>
          </w:tcPr>
          <w:p>
            <w:pPr>
              <w:spacing w:line="240" w:lineRule="auto"/>
              <w:ind w:firstLine="0" w:firstLineChars="0"/>
              <w:jc w:val="center"/>
              <w:rPr>
                <w:sz w:val="21"/>
                <w:szCs w:val="16"/>
                <w:u w:val="single"/>
              </w:rPr>
            </w:pPr>
            <w:r>
              <w:rPr>
                <w:sz w:val="21"/>
                <w:szCs w:val="16"/>
                <w:u w:val="single"/>
              </w:rPr>
              <w:t>名称</w:t>
            </w:r>
          </w:p>
        </w:tc>
        <w:tc>
          <w:tcPr>
            <w:tcW w:w="1104" w:type="pct"/>
          </w:tcPr>
          <w:p>
            <w:pPr>
              <w:spacing w:line="240" w:lineRule="auto"/>
              <w:ind w:firstLine="0" w:firstLineChars="0"/>
              <w:jc w:val="center"/>
              <w:rPr>
                <w:sz w:val="21"/>
                <w:szCs w:val="16"/>
                <w:u w:val="single"/>
              </w:rPr>
            </w:pPr>
            <w:r>
              <w:rPr>
                <w:sz w:val="21"/>
                <w:szCs w:val="16"/>
                <w:u w:val="single"/>
              </w:rPr>
              <w:t>年用量t/a</w:t>
            </w:r>
          </w:p>
        </w:tc>
        <w:tc>
          <w:tcPr>
            <w:tcW w:w="1061" w:type="pct"/>
          </w:tcPr>
          <w:p>
            <w:pPr>
              <w:spacing w:line="240" w:lineRule="auto"/>
              <w:ind w:firstLine="0" w:firstLineChars="0"/>
              <w:jc w:val="center"/>
              <w:rPr>
                <w:sz w:val="21"/>
                <w:szCs w:val="16"/>
                <w:u w:val="single"/>
              </w:rPr>
            </w:pPr>
            <w:r>
              <w:rPr>
                <w:sz w:val="21"/>
                <w:szCs w:val="16"/>
                <w:u w:val="single"/>
              </w:rPr>
              <w:t>最大储量t</w:t>
            </w:r>
          </w:p>
        </w:tc>
        <w:tc>
          <w:tcPr>
            <w:tcW w:w="1104" w:type="pct"/>
          </w:tcPr>
          <w:p>
            <w:pPr>
              <w:spacing w:line="240" w:lineRule="auto"/>
              <w:ind w:firstLine="0" w:firstLineChars="0"/>
              <w:jc w:val="center"/>
              <w:rPr>
                <w:sz w:val="21"/>
                <w:szCs w:val="16"/>
                <w:u w:val="single"/>
              </w:rPr>
            </w:pPr>
            <w:r>
              <w:rPr>
                <w:sz w:val="21"/>
                <w:szCs w:val="16"/>
                <w:u w:val="single"/>
              </w:rPr>
              <w:t>储存周期d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1</w:t>
            </w:r>
          </w:p>
        </w:tc>
        <w:tc>
          <w:tcPr>
            <w:tcW w:w="1152" w:type="pct"/>
          </w:tcPr>
          <w:p>
            <w:pPr>
              <w:spacing w:line="240" w:lineRule="auto"/>
              <w:ind w:firstLine="0" w:firstLineChars="0"/>
              <w:jc w:val="center"/>
              <w:rPr>
                <w:sz w:val="21"/>
                <w:szCs w:val="16"/>
                <w:u w:val="single"/>
              </w:rPr>
            </w:pPr>
            <w:r>
              <w:rPr>
                <w:sz w:val="21"/>
                <w:szCs w:val="16"/>
                <w:u w:val="single"/>
              </w:rPr>
              <w:t>瓷砂</w:t>
            </w:r>
          </w:p>
        </w:tc>
        <w:tc>
          <w:tcPr>
            <w:tcW w:w="1104" w:type="pct"/>
          </w:tcPr>
          <w:p>
            <w:pPr>
              <w:spacing w:line="240" w:lineRule="auto"/>
              <w:ind w:firstLine="0" w:firstLineChars="0"/>
              <w:jc w:val="center"/>
              <w:rPr>
                <w:sz w:val="21"/>
                <w:szCs w:val="16"/>
                <w:u w:val="single"/>
              </w:rPr>
            </w:pPr>
            <w:r>
              <w:rPr>
                <w:sz w:val="21"/>
                <w:szCs w:val="16"/>
                <w:u w:val="single"/>
              </w:rPr>
              <w:t>823609.02</w:t>
            </w:r>
          </w:p>
        </w:tc>
        <w:tc>
          <w:tcPr>
            <w:tcW w:w="1061" w:type="pct"/>
          </w:tcPr>
          <w:p>
            <w:pPr>
              <w:spacing w:line="240" w:lineRule="auto"/>
              <w:ind w:firstLine="0" w:firstLineChars="0"/>
              <w:jc w:val="center"/>
              <w:rPr>
                <w:sz w:val="21"/>
                <w:szCs w:val="16"/>
                <w:u w:val="single"/>
              </w:rPr>
            </w:pPr>
            <w:r>
              <w:rPr>
                <w:sz w:val="21"/>
                <w:szCs w:val="16"/>
                <w:u w:val="single"/>
              </w:rPr>
              <w:t>116299.75</w:t>
            </w:r>
          </w:p>
        </w:tc>
        <w:tc>
          <w:tcPr>
            <w:tcW w:w="1104" w:type="pct"/>
          </w:tcPr>
          <w:p>
            <w:pPr>
              <w:spacing w:line="240" w:lineRule="auto"/>
              <w:ind w:firstLine="0" w:firstLineChars="0"/>
              <w:jc w:val="center"/>
              <w:rPr>
                <w:sz w:val="21"/>
                <w:szCs w:val="16"/>
                <w:u w:val="single"/>
              </w:rPr>
            </w:pPr>
            <w:r>
              <w:rPr>
                <w:sz w:val="21"/>
                <w:szCs w:val="16"/>
                <w:u w:val="single"/>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2</w:t>
            </w:r>
          </w:p>
        </w:tc>
        <w:tc>
          <w:tcPr>
            <w:tcW w:w="1152" w:type="pct"/>
          </w:tcPr>
          <w:p>
            <w:pPr>
              <w:spacing w:line="240" w:lineRule="auto"/>
              <w:ind w:firstLine="0" w:firstLineChars="0"/>
              <w:jc w:val="center"/>
              <w:rPr>
                <w:sz w:val="21"/>
                <w:szCs w:val="16"/>
                <w:u w:val="single"/>
              </w:rPr>
            </w:pPr>
            <w:r>
              <w:rPr>
                <w:sz w:val="21"/>
                <w:szCs w:val="16"/>
                <w:u w:val="single"/>
              </w:rPr>
              <w:t>石粒</w:t>
            </w:r>
          </w:p>
        </w:tc>
        <w:tc>
          <w:tcPr>
            <w:tcW w:w="1104" w:type="pct"/>
          </w:tcPr>
          <w:p>
            <w:pPr>
              <w:spacing w:line="240" w:lineRule="auto"/>
              <w:ind w:firstLine="0" w:firstLineChars="0"/>
              <w:jc w:val="center"/>
              <w:rPr>
                <w:sz w:val="21"/>
                <w:szCs w:val="16"/>
                <w:u w:val="single"/>
              </w:rPr>
            </w:pPr>
            <w:r>
              <w:rPr>
                <w:sz w:val="21"/>
                <w:szCs w:val="16"/>
                <w:u w:val="single"/>
              </w:rPr>
              <w:t>1702153.82</w:t>
            </w:r>
          </w:p>
        </w:tc>
        <w:tc>
          <w:tcPr>
            <w:tcW w:w="1061" w:type="pct"/>
          </w:tcPr>
          <w:p>
            <w:pPr>
              <w:spacing w:line="240" w:lineRule="auto"/>
              <w:ind w:firstLine="0" w:firstLineChars="0"/>
              <w:jc w:val="center"/>
              <w:rPr>
                <w:sz w:val="21"/>
                <w:szCs w:val="16"/>
                <w:u w:val="single"/>
              </w:rPr>
            </w:pPr>
            <w:r>
              <w:rPr>
                <w:sz w:val="21"/>
                <w:szCs w:val="16"/>
                <w:u w:val="single"/>
              </w:rPr>
              <w:t>240352.41</w:t>
            </w:r>
          </w:p>
        </w:tc>
        <w:tc>
          <w:tcPr>
            <w:tcW w:w="1104" w:type="pct"/>
          </w:tcPr>
          <w:p>
            <w:pPr>
              <w:spacing w:line="240" w:lineRule="auto"/>
              <w:ind w:firstLine="0" w:firstLineChars="0"/>
              <w:jc w:val="center"/>
              <w:rPr>
                <w:sz w:val="21"/>
                <w:szCs w:val="16"/>
                <w:u w:val="single"/>
              </w:rPr>
            </w:pPr>
            <w:r>
              <w:rPr>
                <w:sz w:val="21"/>
                <w:szCs w:val="16"/>
                <w:u w:val="single"/>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3</w:t>
            </w:r>
          </w:p>
        </w:tc>
        <w:tc>
          <w:tcPr>
            <w:tcW w:w="1152" w:type="pct"/>
          </w:tcPr>
          <w:p>
            <w:pPr>
              <w:spacing w:line="240" w:lineRule="auto"/>
              <w:ind w:firstLine="0" w:firstLineChars="0"/>
              <w:jc w:val="center"/>
              <w:rPr>
                <w:sz w:val="21"/>
                <w:szCs w:val="16"/>
                <w:u w:val="single"/>
              </w:rPr>
            </w:pPr>
            <w:r>
              <w:rPr>
                <w:sz w:val="21"/>
                <w:szCs w:val="16"/>
                <w:u w:val="single"/>
              </w:rPr>
              <w:t>坭</w:t>
            </w:r>
          </w:p>
        </w:tc>
        <w:tc>
          <w:tcPr>
            <w:tcW w:w="1104" w:type="pct"/>
          </w:tcPr>
          <w:p>
            <w:pPr>
              <w:spacing w:line="240" w:lineRule="auto"/>
              <w:ind w:firstLine="0" w:firstLineChars="0"/>
              <w:jc w:val="center"/>
              <w:rPr>
                <w:sz w:val="21"/>
                <w:szCs w:val="16"/>
                <w:u w:val="single"/>
              </w:rPr>
            </w:pPr>
            <w:r>
              <w:rPr>
                <w:sz w:val="21"/>
                <w:szCs w:val="16"/>
                <w:u w:val="single"/>
              </w:rPr>
              <w:t>924090.6</w:t>
            </w:r>
          </w:p>
        </w:tc>
        <w:tc>
          <w:tcPr>
            <w:tcW w:w="1061" w:type="pct"/>
          </w:tcPr>
          <w:p>
            <w:pPr>
              <w:spacing w:line="240" w:lineRule="auto"/>
              <w:ind w:firstLine="0" w:firstLineChars="0"/>
              <w:jc w:val="center"/>
              <w:rPr>
                <w:sz w:val="21"/>
                <w:szCs w:val="16"/>
                <w:u w:val="single"/>
              </w:rPr>
            </w:pPr>
            <w:r>
              <w:rPr>
                <w:sz w:val="21"/>
                <w:szCs w:val="16"/>
                <w:u w:val="single"/>
              </w:rPr>
              <w:t>293582.45</w:t>
            </w:r>
          </w:p>
        </w:tc>
        <w:tc>
          <w:tcPr>
            <w:tcW w:w="1104" w:type="pct"/>
          </w:tcPr>
          <w:p>
            <w:pPr>
              <w:spacing w:line="240" w:lineRule="auto"/>
              <w:ind w:firstLine="0" w:firstLineChars="0"/>
              <w:jc w:val="center"/>
              <w:rPr>
                <w:sz w:val="21"/>
                <w:szCs w:val="16"/>
                <w:u w:val="single"/>
              </w:rPr>
            </w:pPr>
            <w:r>
              <w:rPr>
                <w:sz w:val="21"/>
                <w:szCs w:val="16"/>
                <w:u w:val="single"/>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4</w:t>
            </w:r>
          </w:p>
        </w:tc>
        <w:tc>
          <w:tcPr>
            <w:tcW w:w="1152" w:type="pct"/>
          </w:tcPr>
          <w:p>
            <w:pPr>
              <w:spacing w:line="240" w:lineRule="auto"/>
              <w:ind w:firstLine="0" w:firstLineChars="0"/>
              <w:jc w:val="center"/>
              <w:rPr>
                <w:sz w:val="21"/>
                <w:szCs w:val="16"/>
                <w:u w:val="single"/>
              </w:rPr>
            </w:pPr>
            <w:r>
              <w:rPr>
                <w:sz w:val="21"/>
                <w:szCs w:val="16"/>
                <w:u w:val="single"/>
              </w:rPr>
              <w:t>瓷片熔块</w:t>
            </w:r>
          </w:p>
        </w:tc>
        <w:tc>
          <w:tcPr>
            <w:tcW w:w="1104" w:type="pct"/>
          </w:tcPr>
          <w:p>
            <w:pPr>
              <w:spacing w:line="240" w:lineRule="auto"/>
              <w:ind w:firstLine="0" w:firstLineChars="0"/>
              <w:jc w:val="center"/>
              <w:rPr>
                <w:sz w:val="21"/>
                <w:szCs w:val="16"/>
                <w:u w:val="single"/>
              </w:rPr>
            </w:pPr>
            <w:r>
              <w:rPr>
                <w:sz w:val="21"/>
                <w:szCs w:val="16"/>
                <w:u w:val="single"/>
              </w:rPr>
              <w:t>68664.22</w:t>
            </w:r>
          </w:p>
        </w:tc>
        <w:tc>
          <w:tcPr>
            <w:tcW w:w="1061" w:type="pct"/>
          </w:tcPr>
          <w:p>
            <w:pPr>
              <w:spacing w:line="240" w:lineRule="auto"/>
              <w:ind w:firstLine="0" w:firstLineChars="0"/>
              <w:jc w:val="center"/>
              <w:rPr>
                <w:sz w:val="21"/>
                <w:szCs w:val="16"/>
                <w:u w:val="single"/>
              </w:rPr>
            </w:pPr>
            <w:r>
              <w:rPr>
                <w:sz w:val="21"/>
                <w:szCs w:val="16"/>
                <w:u w:val="single"/>
              </w:rPr>
              <w:t>4883.02</w:t>
            </w:r>
          </w:p>
        </w:tc>
        <w:tc>
          <w:tcPr>
            <w:tcW w:w="1104" w:type="pct"/>
          </w:tcPr>
          <w:p>
            <w:pPr>
              <w:spacing w:line="240" w:lineRule="auto"/>
              <w:ind w:firstLine="0" w:firstLineChars="0"/>
              <w:jc w:val="center"/>
              <w:rPr>
                <w:sz w:val="21"/>
                <w:szCs w:val="16"/>
                <w:u w:val="single"/>
              </w:rPr>
            </w:pPr>
            <w:r>
              <w:rPr>
                <w:sz w:val="21"/>
                <w:szCs w:val="16"/>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5</w:t>
            </w:r>
          </w:p>
        </w:tc>
        <w:tc>
          <w:tcPr>
            <w:tcW w:w="1152" w:type="pct"/>
          </w:tcPr>
          <w:p>
            <w:pPr>
              <w:spacing w:line="240" w:lineRule="auto"/>
              <w:ind w:firstLine="0" w:firstLineChars="0"/>
              <w:jc w:val="center"/>
              <w:rPr>
                <w:sz w:val="21"/>
                <w:szCs w:val="16"/>
                <w:u w:val="single"/>
              </w:rPr>
            </w:pPr>
            <w:r>
              <w:rPr>
                <w:sz w:val="21"/>
                <w:szCs w:val="16"/>
                <w:u w:val="single"/>
              </w:rPr>
              <w:t>陶瓷色料</w:t>
            </w:r>
          </w:p>
        </w:tc>
        <w:tc>
          <w:tcPr>
            <w:tcW w:w="1104" w:type="pct"/>
          </w:tcPr>
          <w:p>
            <w:pPr>
              <w:spacing w:line="240" w:lineRule="auto"/>
              <w:ind w:firstLine="0" w:firstLineChars="0"/>
              <w:jc w:val="center"/>
              <w:rPr>
                <w:sz w:val="21"/>
                <w:szCs w:val="16"/>
                <w:u w:val="single"/>
              </w:rPr>
            </w:pPr>
            <w:r>
              <w:rPr>
                <w:sz w:val="21"/>
                <w:szCs w:val="16"/>
                <w:u w:val="single"/>
              </w:rPr>
              <w:t>235.04</w:t>
            </w:r>
          </w:p>
        </w:tc>
        <w:tc>
          <w:tcPr>
            <w:tcW w:w="1061" w:type="pct"/>
          </w:tcPr>
          <w:p>
            <w:pPr>
              <w:spacing w:line="240" w:lineRule="auto"/>
              <w:ind w:firstLine="0" w:firstLineChars="0"/>
              <w:jc w:val="center"/>
              <w:rPr>
                <w:sz w:val="21"/>
                <w:szCs w:val="16"/>
                <w:u w:val="single"/>
              </w:rPr>
            </w:pPr>
            <w:r>
              <w:rPr>
                <w:sz w:val="21"/>
                <w:szCs w:val="16"/>
                <w:u w:val="single"/>
              </w:rPr>
              <w:t>0.77</w:t>
            </w:r>
          </w:p>
        </w:tc>
        <w:tc>
          <w:tcPr>
            <w:tcW w:w="1104" w:type="pct"/>
          </w:tcPr>
          <w:p>
            <w:pPr>
              <w:spacing w:line="240" w:lineRule="auto"/>
              <w:ind w:firstLine="0" w:firstLineChars="0"/>
              <w:jc w:val="center"/>
              <w:rPr>
                <w:sz w:val="21"/>
                <w:szCs w:val="16"/>
                <w:u w:val="single"/>
              </w:rPr>
            </w:pPr>
            <w:r>
              <w:rPr>
                <w:sz w:val="21"/>
                <w:szCs w:val="16"/>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6</w:t>
            </w:r>
          </w:p>
        </w:tc>
        <w:tc>
          <w:tcPr>
            <w:tcW w:w="1152" w:type="pct"/>
          </w:tcPr>
          <w:p>
            <w:pPr>
              <w:spacing w:line="240" w:lineRule="auto"/>
              <w:ind w:firstLine="0" w:firstLineChars="0"/>
              <w:jc w:val="center"/>
              <w:rPr>
                <w:sz w:val="21"/>
                <w:szCs w:val="16"/>
                <w:u w:val="single"/>
              </w:rPr>
            </w:pPr>
            <w:r>
              <w:rPr>
                <w:sz w:val="21"/>
                <w:szCs w:val="16"/>
                <w:u w:val="single"/>
              </w:rPr>
              <w:t>釉用化工料</w:t>
            </w:r>
          </w:p>
        </w:tc>
        <w:tc>
          <w:tcPr>
            <w:tcW w:w="1104" w:type="pct"/>
          </w:tcPr>
          <w:p>
            <w:pPr>
              <w:spacing w:line="240" w:lineRule="auto"/>
              <w:ind w:firstLine="0" w:firstLineChars="0"/>
              <w:jc w:val="center"/>
              <w:rPr>
                <w:sz w:val="21"/>
                <w:szCs w:val="16"/>
                <w:u w:val="single"/>
              </w:rPr>
            </w:pPr>
            <w:r>
              <w:rPr>
                <w:sz w:val="21"/>
                <w:szCs w:val="16"/>
                <w:u w:val="single"/>
              </w:rPr>
              <w:t>108904.19</w:t>
            </w:r>
          </w:p>
        </w:tc>
        <w:tc>
          <w:tcPr>
            <w:tcW w:w="1061" w:type="pct"/>
          </w:tcPr>
          <w:p>
            <w:pPr>
              <w:spacing w:line="240" w:lineRule="auto"/>
              <w:ind w:firstLine="0" w:firstLineChars="0"/>
              <w:jc w:val="center"/>
              <w:rPr>
                <w:sz w:val="21"/>
                <w:szCs w:val="16"/>
                <w:u w:val="single"/>
              </w:rPr>
            </w:pPr>
            <w:r>
              <w:rPr>
                <w:sz w:val="21"/>
                <w:szCs w:val="16"/>
                <w:u w:val="single"/>
              </w:rPr>
              <w:t>5591.29</w:t>
            </w:r>
          </w:p>
        </w:tc>
        <w:tc>
          <w:tcPr>
            <w:tcW w:w="1104" w:type="pct"/>
          </w:tcPr>
          <w:p>
            <w:pPr>
              <w:spacing w:line="240" w:lineRule="auto"/>
              <w:ind w:firstLine="0" w:firstLineChars="0"/>
              <w:jc w:val="center"/>
              <w:rPr>
                <w:sz w:val="21"/>
                <w:szCs w:val="16"/>
                <w:u w:val="single"/>
              </w:rPr>
            </w:pPr>
            <w:r>
              <w:rPr>
                <w:sz w:val="21"/>
                <w:szCs w:val="16"/>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7</w:t>
            </w:r>
          </w:p>
        </w:tc>
        <w:tc>
          <w:tcPr>
            <w:tcW w:w="1152" w:type="pct"/>
          </w:tcPr>
          <w:p>
            <w:pPr>
              <w:spacing w:line="240" w:lineRule="auto"/>
              <w:ind w:firstLine="0" w:firstLineChars="0"/>
              <w:jc w:val="center"/>
              <w:rPr>
                <w:sz w:val="21"/>
                <w:szCs w:val="16"/>
                <w:u w:val="single"/>
              </w:rPr>
            </w:pPr>
            <w:r>
              <w:rPr>
                <w:sz w:val="21"/>
                <w:szCs w:val="16"/>
                <w:u w:val="single"/>
              </w:rPr>
              <w:t>球磨稀释剂</w:t>
            </w:r>
          </w:p>
        </w:tc>
        <w:tc>
          <w:tcPr>
            <w:tcW w:w="1104" w:type="pct"/>
          </w:tcPr>
          <w:p>
            <w:pPr>
              <w:spacing w:line="240" w:lineRule="auto"/>
              <w:ind w:firstLine="0" w:firstLineChars="0"/>
              <w:jc w:val="center"/>
              <w:rPr>
                <w:sz w:val="21"/>
                <w:szCs w:val="16"/>
                <w:u w:val="single"/>
              </w:rPr>
            </w:pPr>
            <w:r>
              <w:rPr>
                <w:sz w:val="21"/>
                <w:szCs w:val="16"/>
                <w:u w:val="single"/>
              </w:rPr>
              <w:t>14938.25</w:t>
            </w:r>
          </w:p>
        </w:tc>
        <w:tc>
          <w:tcPr>
            <w:tcW w:w="1061" w:type="pct"/>
          </w:tcPr>
          <w:p>
            <w:pPr>
              <w:spacing w:line="240" w:lineRule="auto"/>
              <w:ind w:firstLine="0" w:firstLineChars="0"/>
              <w:jc w:val="center"/>
              <w:rPr>
                <w:sz w:val="21"/>
                <w:szCs w:val="16"/>
                <w:u w:val="single"/>
              </w:rPr>
            </w:pPr>
            <w:r>
              <w:rPr>
                <w:sz w:val="21"/>
                <w:szCs w:val="16"/>
                <w:u w:val="single"/>
              </w:rPr>
              <w:t>259.75</w:t>
            </w:r>
          </w:p>
        </w:tc>
        <w:tc>
          <w:tcPr>
            <w:tcW w:w="1104" w:type="pct"/>
          </w:tcPr>
          <w:p>
            <w:pPr>
              <w:spacing w:line="240" w:lineRule="auto"/>
              <w:ind w:firstLine="0" w:firstLineChars="0"/>
              <w:jc w:val="center"/>
              <w:rPr>
                <w:sz w:val="21"/>
                <w:szCs w:val="16"/>
                <w:u w:val="single"/>
              </w:rPr>
            </w:pPr>
            <w:r>
              <w:rPr>
                <w:sz w:val="21"/>
                <w:szCs w:val="16"/>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8</w:t>
            </w:r>
          </w:p>
        </w:tc>
        <w:tc>
          <w:tcPr>
            <w:tcW w:w="1152" w:type="pct"/>
          </w:tcPr>
          <w:p>
            <w:pPr>
              <w:spacing w:line="240" w:lineRule="auto"/>
              <w:ind w:firstLine="0" w:firstLineChars="0"/>
              <w:jc w:val="center"/>
              <w:rPr>
                <w:sz w:val="21"/>
                <w:szCs w:val="16"/>
                <w:u w:val="single"/>
              </w:rPr>
            </w:pPr>
            <w:r>
              <w:rPr>
                <w:sz w:val="21"/>
                <w:szCs w:val="16"/>
                <w:u w:val="single"/>
              </w:rPr>
              <w:t>瓦楞</w:t>
            </w:r>
          </w:p>
        </w:tc>
        <w:tc>
          <w:tcPr>
            <w:tcW w:w="1104" w:type="pct"/>
          </w:tcPr>
          <w:p>
            <w:pPr>
              <w:spacing w:line="240" w:lineRule="auto"/>
              <w:ind w:firstLine="0" w:firstLineChars="0"/>
              <w:jc w:val="center"/>
              <w:rPr>
                <w:sz w:val="21"/>
                <w:szCs w:val="16"/>
                <w:u w:val="single"/>
              </w:rPr>
            </w:pPr>
            <w:r>
              <w:rPr>
                <w:sz w:val="21"/>
                <w:szCs w:val="16"/>
                <w:u w:val="single"/>
              </w:rPr>
              <w:t>346800</w:t>
            </w:r>
          </w:p>
        </w:tc>
        <w:tc>
          <w:tcPr>
            <w:tcW w:w="1061" w:type="pct"/>
          </w:tcPr>
          <w:p>
            <w:pPr>
              <w:spacing w:line="240" w:lineRule="auto"/>
              <w:ind w:firstLine="0" w:firstLineChars="0"/>
              <w:jc w:val="center"/>
              <w:rPr>
                <w:sz w:val="21"/>
                <w:szCs w:val="16"/>
                <w:u w:val="single"/>
              </w:rPr>
            </w:pPr>
            <w:r>
              <w:rPr>
                <w:sz w:val="21"/>
                <w:szCs w:val="16"/>
                <w:u w:val="single"/>
              </w:rPr>
              <w:t>30000</w:t>
            </w:r>
          </w:p>
        </w:tc>
        <w:tc>
          <w:tcPr>
            <w:tcW w:w="1104" w:type="pct"/>
          </w:tcPr>
          <w:p>
            <w:pPr>
              <w:spacing w:line="240" w:lineRule="auto"/>
              <w:ind w:firstLine="0" w:firstLineChars="0"/>
              <w:jc w:val="center"/>
              <w:rPr>
                <w:sz w:val="21"/>
                <w:szCs w:val="16"/>
                <w:u w:val="single"/>
              </w:rPr>
            </w:pPr>
            <w:r>
              <w:rPr>
                <w:sz w:val="21"/>
                <w:szCs w:val="16"/>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9</w:t>
            </w:r>
          </w:p>
        </w:tc>
        <w:tc>
          <w:tcPr>
            <w:tcW w:w="1152" w:type="pct"/>
          </w:tcPr>
          <w:p>
            <w:pPr>
              <w:spacing w:line="240" w:lineRule="auto"/>
              <w:ind w:firstLine="0" w:firstLineChars="0"/>
              <w:jc w:val="center"/>
              <w:rPr>
                <w:sz w:val="21"/>
                <w:szCs w:val="16"/>
                <w:u w:val="single"/>
              </w:rPr>
            </w:pPr>
            <w:r>
              <w:rPr>
                <w:sz w:val="21"/>
                <w:szCs w:val="16"/>
                <w:u w:val="single"/>
              </w:rPr>
              <w:t>UV油墨</w:t>
            </w:r>
          </w:p>
        </w:tc>
        <w:tc>
          <w:tcPr>
            <w:tcW w:w="1104" w:type="pct"/>
          </w:tcPr>
          <w:p>
            <w:pPr>
              <w:spacing w:line="240" w:lineRule="auto"/>
              <w:ind w:firstLine="0" w:firstLineChars="0"/>
              <w:jc w:val="center"/>
              <w:rPr>
                <w:sz w:val="21"/>
                <w:szCs w:val="16"/>
                <w:u w:val="single"/>
              </w:rPr>
            </w:pPr>
            <w:r>
              <w:rPr>
                <w:sz w:val="21"/>
                <w:szCs w:val="16"/>
                <w:u w:val="single"/>
              </w:rPr>
              <w:t>300</w:t>
            </w:r>
          </w:p>
        </w:tc>
        <w:tc>
          <w:tcPr>
            <w:tcW w:w="1061" w:type="pct"/>
          </w:tcPr>
          <w:p>
            <w:pPr>
              <w:spacing w:line="240" w:lineRule="auto"/>
              <w:ind w:firstLine="0" w:firstLineChars="0"/>
              <w:jc w:val="center"/>
              <w:rPr>
                <w:sz w:val="21"/>
                <w:szCs w:val="16"/>
                <w:u w:val="single"/>
              </w:rPr>
            </w:pPr>
            <w:r>
              <w:rPr>
                <w:sz w:val="21"/>
                <w:szCs w:val="16"/>
                <w:u w:val="single"/>
              </w:rPr>
              <w:t>30</w:t>
            </w:r>
          </w:p>
        </w:tc>
        <w:tc>
          <w:tcPr>
            <w:tcW w:w="1104" w:type="pct"/>
          </w:tcPr>
          <w:p>
            <w:pPr>
              <w:spacing w:line="240" w:lineRule="auto"/>
              <w:ind w:firstLine="0" w:firstLineChars="0"/>
              <w:jc w:val="center"/>
              <w:rPr>
                <w:sz w:val="21"/>
                <w:szCs w:val="16"/>
                <w:u w:val="single"/>
              </w:rPr>
            </w:pPr>
            <w:r>
              <w:rPr>
                <w:sz w:val="21"/>
                <w:szCs w:val="16"/>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10</w:t>
            </w:r>
          </w:p>
        </w:tc>
        <w:tc>
          <w:tcPr>
            <w:tcW w:w="1152" w:type="pct"/>
          </w:tcPr>
          <w:p>
            <w:pPr>
              <w:spacing w:line="240" w:lineRule="auto"/>
              <w:ind w:firstLine="0" w:firstLineChars="0"/>
              <w:jc w:val="center"/>
              <w:rPr>
                <w:sz w:val="21"/>
                <w:szCs w:val="16"/>
                <w:u w:val="single"/>
              </w:rPr>
            </w:pPr>
            <w:r>
              <w:rPr>
                <w:sz w:val="21"/>
                <w:szCs w:val="16"/>
                <w:u w:val="single"/>
              </w:rPr>
              <w:t>石灰</w:t>
            </w:r>
          </w:p>
        </w:tc>
        <w:tc>
          <w:tcPr>
            <w:tcW w:w="1104" w:type="pct"/>
          </w:tcPr>
          <w:p>
            <w:pPr>
              <w:spacing w:line="240" w:lineRule="auto"/>
              <w:ind w:firstLine="0" w:firstLineChars="0"/>
              <w:jc w:val="center"/>
              <w:rPr>
                <w:sz w:val="21"/>
                <w:szCs w:val="16"/>
                <w:u w:val="single"/>
              </w:rPr>
            </w:pPr>
            <w:r>
              <w:rPr>
                <w:sz w:val="21"/>
                <w:szCs w:val="16"/>
                <w:u w:val="single"/>
              </w:rPr>
              <w:t>804.71</w:t>
            </w:r>
          </w:p>
        </w:tc>
        <w:tc>
          <w:tcPr>
            <w:tcW w:w="1061" w:type="pct"/>
          </w:tcPr>
          <w:p>
            <w:pPr>
              <w:spacing w:line="240" w:lineRule="auto"/>
              <w:ind w:firstLine="0" w:firstLineChars="0"/>
              <w:jc w:val="center"/>
              <w:rPr>
                <w:sz w:val="21"/>
                <w:szCs w:val="16"/>
                <w:u w:val="single"/>
              </w:rPr>
            </w:pPr>
            <w:r>
              <w:rPr>
                <w:sz w:val="21"/>
                <w:szCs w:val="16"/>
                <w:u w:val="single"/>
              </w:rPr>
              <w:t>67.06</w:t>
            </w:r>
          </w:p>
        </w:tc>
        <w:tc>
          <w:tcPr>
            <w:tcW w:w="1104" w:type="pct"/>
          </w:tcPr>
          <w:p>
            <w:pPr>
              <w:spacing w:line="240" w:lineRule="auto"/>
              <w:ind w:firstLine="0" w:firstLineChars="0"/>
              <w:jc w:val="center"/>
              <w:rPr>
                <w:sz w:val="21"/>
                <w:szCs w:val="16"/>
                <w:u w:val="single"/>
              </w:rPr>
            </w:pPr>
            <w:r>
              <w:rPr>
                <w:sz w:val="21"/>
                <w:szCs w:val="16"/>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11</w:t>
            </w:r>
          </w:p>
        </w:tc>
        <w:tc>
          <w:tcPr>
            <w:tcW w:w="1152" w:type="pct"/>
          </w:tcPr>
          <w:p>
            <w:pPr>
              <w:spacing w:line="240" w:lineRule="auto"/>
              <w:ind w:firstLine="0" w:firstLineChars="0"/>
              <w:jc w:val="center"/>
              <w:rPr>
                <w:sz w:val="21"/>
                <w:szCs w:val="16"/>
                <w:u w:val="single"/>
              </w:rPr>
            </w:pPr>
            <w:r>
              <w:rPr>
                <w:sz w:val="21"/>
                <w:szCs w:val="16"/>
                <w:u w:val="single"/>
              </w:rPr>
              <w:t>脱硫剂</w:t>
            </w:r>
          </w:p>
        </w:tc>
        <w:tc>
          <w:tcPr>
            <w:tcW w:w="1104" w:type="pct"/>
          </w:tcPr>
          <w:p>
            <w:pPr>
              <w:spacing w:line="240" w:lineRule="auto"/>
              <w:ind w:firstLine="0" w:firstLineChars="0"/>
              <w:jc w:val="center"/>
              <w:rPr>
                <w:sz w:val="21"/>
                <w:szCs w:val="16"/>
                <w:u w:val="single"/>
              </w:rPr>
            </w:pPr>
            <w:r>
              <w:rPr>
                <w:sz w:val="21"/>
                <w:szCs w:val="16"/>
                <w:u w:val="single"/>
              </w:rPr>
              <w:t>4000</w:t>
            </w:r>
          </w:p>
        </w:tc>
        <w:tc>
          <w:tcPr>
            <w:tcW w:w="1061" w:type="pct"/>
          </w:tcPr>
          <w:p>
            <w:pPr>
              <w:spacing w:line="240" w:lineRule="auto"/>
              <w:ind w:firstLine="0" w:firstLineChars="0"/>
              <w:jc w:val="center"/>
              <w:rPr>
                <w:sz w:val="21"/>
                <w:szCs w:val="16"/>
                <w:u w:val="single"/>
              </w:rPr>
            </w:pPr>
            <w:r>
              <w:rPr>
                <w:sz w:val="21"/>
                <w:szCs w:val="16"/>
                <w:u w:val="single"/>
              </w:rPr>
              <w:t>970</w:t>
            </w:r>
          </w:p>
        </w:tc>
        <w:tc>
          <w:tcPr>
            <w:tcW w:w="1104" w:type="pct"/>
          </w:tcPr>
          <w:p>
            <w:pPr>
              <w:spacing w:line="240" w:lineRule="auto"/>
              <w:ind w:firstLine="0" w:firstLineChars="0"/>
              <w:jc w:val="center"/>
              <w:rPr>
                <w:sz w:val="21"/>
                <w:szCs w:val="16"/>
                <w:u w:val="single"/>
              </w:rPr>
            </w:pPr>
            <w:r>
              <w:rPr>
                <w:sz w:val="21"/>
                <w:szCs w:val="16"/>
                <w:u w:val="single"/>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12</w:t>
            </w:r>
          </w:p>
        </w:tc>
        <w:tc>
          <w:tcPr>
            <w:tcW w:w="1152" w:type="pct"/>
          </w:tcPr>
          <w:p>
            <w:pPr>
              <w:spacing w:line="240" w:lineRule="auto"/>
              <w:ind w:firstLine="0" w:firstLineChars="0"/>
              <w:jc w:val="center"/>
              <w:rPr>
                <w:sz w:val="21"/>
                <w:szCs w:val="16"/>
                <w:u w:val="single"/>
              </w:rPr>
            </w:pPr>
            <w:r>
              <w:rPr>
                <w:sz w:val="21"/>
                <w:szCs w:val="16"/>
                <w:u w:val="single"/>
              </w:rPr>
              <w:t>脱硝剂</w:t>
            </w:r>
          </w:p>
        </w:tc>
        <w:tc>
          <w:tcPr>
            <w:tcW w:w="1104" w:type="pct"/>
          </w:tcPr>
          <w:p>
            <w:pPr>
              <w:spacing w:line="240" w:lineRule="auto"/>
              <w:ind w:firstLine="0" w:firstLineChars="0"/>
              <w:jc w:val="center"/>
              <w:rPr>
                <w:sz w:val="21"/>
                <w:szCs w:val="16"/>
                <w:u w:val="single"/>
              </w:rPr>
            </w:pPr>
            <w:r>
              <w:rPr>
                <w:sz w:val="21"/>
                <w:szCs w:val="16"/>
                <w:u w:val="single"/>
              </w:rPr>
              <w:t>2000</w:t>
            </w:r>
          </w:p>
        </w:tc>
        <w:tc>
          <w:tcPr>
            <w:tcW w:w="1061" w:type="pct"/>
          </w:tcPr>
          <w:p>
            <w:pPr>
              <w:spacing w:line="240" w:lineRule="auto"/>
              <w:ind w:firstLine="0" w:firstLineChars="0"/>
              <w:jc w:val="center"/>
              <w:rPr>
                <w:sz w:val="21"/>
                <w:szCs w:val="16"/>
                <w:u w:val="single"/>
              </w:rPr>
            </w:pPr>
            <w:r>
              <w:rPr>
                <w:sz w:val="21"/>
                <w:szCs w:val="16"/>
                <w:u w:val="single"/>
              </w:rPr>
              <w:t>485</w:t>
            </w:r>
          </w:p>
        </w:tc>
        <w:tc>
          <w:tcPr>
            <w:tcW w:w="1104" w:type="pct"/>
          </w:tcPr>
          <w:p>
            <w:pPr>
              <w:spacing w:line="240" w:lineRule="auto"/>
              <w:ind w:firstLine="0" w:firstLineChars="0"/>
              <w:jc w:val="center"/>
              <w:rPr>
                <w:sz w:val="21"/>
                <w:szCs w:val="16"/>
                <w:u w:val="single"/>
              </w:rPr>
            </w:pPr>
            <w:r>
              <w:rPr>
                <w:sz w:val="21"/>
                <w:szCs w:val="16"/>
                <w:u w:val="single"/>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13</w:t>
            </w:r>
          </w:p>
        </w:tc>
        <w:tc>
          <w:tcPr>
            <w:tcW w:w="1152" w:type="pct"/>
          </w:tcPr>
          <w:p>
            <w:pPr>
              <w:spacing w:line="240" w:lineRule="auto"/>
              <w:ind w:firstLine="0" w:firstLineChars="0"/>
              <w:jc w:val="center"/>
              <w:rPr>
                <w:sz w:val="21"/>
                <w:szCs w:val="16"/>
                <w:u w:val="single"/>
              </w:rPr>
            </w:pPr>
            <w:r>
              <w:rPr>
                <w:sz w:val="21"/>
                <w:szCs w:val="16"/>
                <w:u w:val="single"/>
              </w:rPr>
              <w:t>絮凝沉淀剂</w:t>
            </w:r>
          </w:p>
        </w:tc>
        <w:tc>
          <w:tcPr>
            <w:tcW w:w="1104" w:type="pct"/>
          </w:tcPr>
          <w:p>
            <w:pPr>
              <w:spacing w:line="240" w:lineRule="auto"/>
              <w:ind w:firstLine="0" w:firstLineChars="0"/>
              <w:jc w:val="center"/>
              <w:rPr>
                <w:sz w:val="21"/>
                <w:szCs w:val="16"/>
                <w:u w:val="single"/>
              </w:rPr>
            </w:pPr>
            <w:r>
              <w:rPr>
                <w:sz w:val="21"/>
                <w:szCs w:val="16"/>
                <w:u w:val="single"/>
              </w:rPr>
              <w:t>6000</w:t>
            </w:r>
          </w:p>
        </w:tc>
        <w:tc>
          <w:tcPr>
            <w:tcW w:w="1061" w:type="pct"/>
          </w:tcPr>
          <w:p>
            <w:pPr>
              <w:spacing w:line="240" w:lineRule="auto"/>
              <w:ind w:firstLine="0" w:firstLineChars="0"/>
              <w:jc w:val="center"/>
              <w:rPr>
                <w:sz w:val="21"/>
                <w:szCs w:val="16"/>
                <w:u w:val="single"/>
              </w:rPr>
            </w:pPr>
            <w:r>
              <w:rPr>
                <w:sz w:val="21"/>
                <w:szCs w:val="16"/>
                <w:u w:val="single"/>
              </w:rPr>
              <w:t>1455</w:t>
            </w:r>
          </w:p>
        </w:tc>
        <w:tc>
          <w:tcPr>
            <w:tcW w:w="1104" w:type="pct"/>
          </w:tcPr>
          <w:p>
            <w:pPr>
              <w:spacing w:line="240" w:lineRule="auto"/>
              <w:ind w:firstLine="0" w:firstLineChars="0"/>
              <w:jc w:val="center"/>
              <w:rPr>
                <w:sz w:val="21"/>
                <w:szCs w:val="16"/>
                <w:u w:val="single"/>
              </w:rPr>
            </w:pPr>
            <w:r>
              <w:rPr>
                <w:sz w:val="21"/>
                <w:szCs w:val="16"/>
                <w:u w:val="single"/>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sz w:val="21"/>
                <w:szCs w:val="16"/>
                <w:u w:val="single"/>
              </w:rPr>
              <w:t>14</w:t>
            </w:r>
          </w:p>
        </w:tc>
        <w:tc>
          <w:tcPr>
            <w:tcW w:w="1152" w:type="pct"/>
          </w:tcPr>
          <w:p>
            <w:pPr>
              <w:spacing w:line="240" w:lineRule="auto"/>
              <w:ind w:firstLine="0" w:firstLineChars="0"/>
              <w:jc w:val="center"/>
              <w:rPr>
                <w:sz w:val="21"/>
                <w:szCs w:val="16"/>
                <w:u w:val="single"/>
              </w:rPr>
            </w:pPr>
            <w:r>
              <w:rPr>
                <w:rFonts w:hint="eastAsia"/>
                <w:sz w:val="21"/>
                <w:szCs w:val="16"/>
                <w:u w:val="single"/>
              </w:rPr>
              <w:t>原煤</w:t>
            </w:r>
          </w:p>
        </w:tc>
        <w:tc>
          <w:tcPr>
            <w:tcW w:w="1104"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90000</w:t>
            </w:r>
          </w:p>
        </w:tc>
        <w:tc>
          <w:tcPr>
            <w:tcW w:w="1061" w:type="pct"/>
          </w:tcPr>
          <w:p>
            <w:pPr>
              <w:spacing w:line="240" w:lineRule="auto"/>
              <w:ind w:firstLine="0" w:firstLineChars="0"/>
              <w:jc w:val="center"/>
              <w:rPr>
                <w:sz w:val="21"/>
                <w:szCs w:val="16"/>
                <w:u w:val="single"/>
              </w:rPr>
            </w:pPr>
            <w:r>
              <w:rPr>
                <w:sz w:val="21"/>
                <w:szCs w:val="16"/>
                <w:u w:val="single"/>
              </w:rPr>
              <w:t>15000</w:t>
            </w:r>
          </w:p>
        </w:tc>
        <w:tc>
          <w:tcPr>
            <w:tcW w:w="1104" w:type="pct"/>
          </w:tcPr>
          <w:p>
            <w:pPr>
              <w:spacing w:line="240" w:lineRule="auto"/>
              <w:ind w:firstLine="0" w:firstLineChars="0"/>
              <w:jc w:val="center"/>
              <w:rPr>
                <w:sz w:val="21"/>
                <w:szCs w:val="16"/>
                <w:u w:val="single"/>
              </w:rPr>
            </w:pPr>
            <w:r>
              <w:rPr>
                <w:sz w:val="21"/>
                <w:szCs w:val="16"/>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5</w:t>
            </w:r>
          </w:p>
        </w:tc>
        <w:tc>
          <w:tcPr>
            <w:tcW w:w="1152" w:type="pct"/>
          </w:tcPr>
          <w:p>
            <w:pPr>
              <w:spacing w:line="240" w:lineRule="auto"/>
              <w:ind w:firstLine="0" w:firstLineChars="0"/>
              <w:jc w:val="center"/>
              <w:rPr>
                <w:sz w:val="21"/>
                <w:szCs w:val="16"/>
                <w:u w:val="single"/>
              </w:rPr>
            </w:pPr>
            <w:r>
              <w:rPr>
                <w:rFonts w:hint="eastAsia"/>
                <w:sz w:val="21"/>
                <w:szCs w:val="16"/>
                <w:u w:val="single"/>
              </w:rPr>
              <w:t>天然气</w:t>
            </w:r>
          </w:p>
        </w:tc>
        <w:tc>
          <w:tcPr>
            <w:tcW w:w="1104"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3000</w:t>
            </w:r>
            <w:r>
              <w:rPr>
                <w:rFonts w:hint="eastAsia"/>
                <w:sz w:val="21"/>
                <w:szCs w:val="16"/>
                <w:u w:val="single"/>
              </w:rPr>
              <w:t>万m</w:t>
            </w:r>
            <w:r>
              <w:rPr>
                <w:sz w:val="21"/>
                <w:szCs w:val="16"/>
                <w:u w:val="single"/>
                <w:vertAlign w:val="superscript"/>
              </w:rPr>
              <w:t>3</w:t>
            </w:r>
          </w:p>
        </w:tc>
        <w:tc>
          <w:tcPr>
            <w:tcW w:w="1061"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000</w:t>
            </w:r>
            <w:r>
              <w:rPr>
                <w:rFonts w:hint="eastAsia"/>
                <w:sz w:val="21"/>
                <w:szCs w:val="16"/>
                <w:u w:val="single"/>
              </w:rPr>
              <w:t>万m</w:t>
            </w:r>
            <w:r>
              <w:rPr>
                <w:sz w:val="21"/>
                <w:szCs w:val="16"/>
                <w:u w:val="single"/>
                <w:vertAlign w:val="superscript"/>
              </w:rPr>
              <w:t>3</w:t>
            </w:r>
          </w:p>
        </w:tc>
        <w:tc>
          <w:tcPr>
            <w:tcW w:w="1104"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6</w:t>
            </w:r>
          </w:p>
        </w:tc>
        <w:tc>
          <w:tcPr>
            <w:tcW w:w="1152" w:type="pct"/>
          </w:tcPr>
          <w:p>
            <w:pPr>
              <w:spacing w:line="240" w:lineRule="auto"/>
              <w:ind w:firstLine="0" w:firstLineChars="0"/>
              <w:jc w:val="center"/>
              <w:rPr>
                <w:sz w:val="21"/>
                <w:szCs w:val="16"/>
                <w:u w:val="single"/>
              </w:rPr>
            </w:pPr>
            <w:r>
              <w:rPr>
                <w:rFonts w:hint="eastAsia"/>
                <w:sz w:val="21"/>
                <w:szCs w:val="16"/>
                <w:u w:val="single"/>
              </w:rPr>
              <w:t>电</w:t>
            </w:r>
          </w:p>
        </w:tc>
        <w:tc>
          <w:tcPr>
            <w:tcW w:w="1104" w:type="pct"/>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8270</w:t>
            </w:r>
            <w:r>
              <w:rPr>
                <w:rFonts w:hint="eastAsia"/>
                <w:sz w:val="21"/>
                <w:szCs w:val="16"/>
                <w:u w:val="single"/>
              </w:rPr>
              <w:t>万KWh</w:t>
            </w:r>
          </w:p>
        </w:tc>
        <w:tc>
          <w:tcPr>
            <w:tcW w:w="1061" w:type="pct"/>
          </w:tcPr>
          <w:p>
            <w:pPr>
              <w:spacing w:line="240" w:lineRule="auto"/>
              <w:ind w:firstLine="0" w:firstLineChars="0"/>
              <w:jc w:val="center"/>
              <w:rPr>
                <w:sz w:val="21"/>
                <w:szCs w:val="16"/>
                <w:u w:val="single"/>
              </w:rPr>
            </w:pPr>
            <w:r>
              <w:rPr>
                <w:rFonts w:hint="eastAsia"/>
                <w:sz w:val="21"/>
                <w:szCs w:val="16"/>
                <w:u w:val="single"/>
              </w:rPr>
              <w:t>/</w:t>
            </w:r>
          </w:p>
        </w:tc>
        <w:tc>
          <w:tcPr>
            <w:tcW w:w="1104" w:type="pct"/>
          </w:tcPr>
          <w:p>
            <w:pPr>
              <w:spacing w:line="240" w:lineRule="auto"/>
              <w:ind w:firstLine="0" w:firstLineChars="0"/>
              <w:jc w:val="center"/>
              <w:rPr>
                <w:sz w:val="21"/>
                <w:szCs w:val="16"/>
                <w:u w:val="single"/>
              </w:rPr>
            </w:pP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tcPr>
          <w:p>
            <w:pPr>
              <w:spacing w:line="240" w:lineRule="auto"/>
              <w:ind w:firstLine="0" w:firstLineChars="0"/>
              <w:rPr>
                <w:sz w:val="21"/>
                <w:szCs w:val="16"/>
                <w:u w:val="single"/>
              </w:rPr>
            </w:pPr>
            <w:r>
              <w:rPr>
                <w:rFonts w:hint="eastAsia"/>
                <w:sz w:val="21"/>
                <w:szCs w:val="16"/>
                <w:u w:val="single"/>
              </w:rPr>
              <w:t>一期生产规模为总规模的一半，原辅材料消耗量也为一半</w:t>
            </w:r>
          </w:p>
        </w:tc>
      </w:tr>
    </w:tbl>
    <w:p>
      <w:pPr>
        <w:ind w:firstLine="480"/>
        <w:rPr>
          <w:rFonts w:cs="Times New Roman"/>
          <w:u w:val="single"/>
        </w:rPr>
      </w:pPr>
      <w:r>
        <w:rPr>
          <w:rFonts w:hint="eastAsia" w:cs="Times New Roman"/>
          <w:u w:val="single"/>
        </w:rPr>
        <w:t>本项目主要使用能源包括原煤、天然气、电能，电能用于各种机械设备的运转，原煤用于制粉，之后在原料制粉车间喷雾干燥工序供能；天然气主要用于1</w:t>
      </w:r>
      <w:r>
        <w:rPr>
          <w:rFonts w:cs="Times New Roman"/>
          <w:u w:val="single"/>
        </w:rPr>
        <w:t>2</w:t>
      </w:r>
      <w:r>
        <w:rPr>
          <w:rFonts w:hint="eastAsia" w:cs="Times New Roman"/>
          <w:u w:val="single"/>
        </w:rPr>
        <w:t>条烧成窑供能及干燥窑供能，干燥窑主要利用烧成窑余热进行干燥，当余热不足时，采用天然气供能补充。</w:t>
      </w:r>
      <w:r>
        <w:rPr>
          <w:rFonts w:cs="Times New Roman"/>
          <w:u w:val="single"/>
        </w:rPr>
        <w:t>项目主要原辅材料成分分析表如下：</w:t>
      </w:r>
    </w:p>
    <w:p>
      <w:pPr>
        <w:ind w:firstLine="480"/>
        <w:rPr>
          <w:rFonts w:cs="Times New Roman"/>
        </w:rPr>
        <w:sectPr>
          <w:pgSz w:w="11906" w:h="16838"/>
          <w:pgMar w:top="1440" w:right="1800" w:bottom="1440" w:left="1800" w:header="851" w:footer="992" w:gutter="0"/>
          <w:cols w:space="425" w:num="1"/>
          <w:docGrid w:type="lines" w:linePitch="312" w:charSpace="0"/>
        </w:sectPr>
      </w:pPr>
    </w:p>
    <w:p>
      <w:pPr>
        <w:ind w:firstLine="0" w:firstLineChars="0"/>
        <w:jc w:val="center"/>
        <w:rPr>
          <w:rFonts w:cs="Times New Roman"/>
          <w:b/>
          <w:bCs/>
        </w:rPr>
      </w:pPr>
      <w:r>
        <w:rPr>
          <w:rFonts w:cs="Times New Roman"/>
          <w:b/>
          <w:bCs/>
        </w:rPr>
        <w:t>表3.1-4  主要原料成分分析结果  单位：W（B）%</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887"/>
        <w:gridCol w:w="924"/>
        <w:gridCol w:w="924"/>
        <w:gridCol w:w="805"/>
        <w:gridCol w:w="774"/>
        <w:gridCol w:w="850"/>
        <w:gridCol w:w="760"/>
        <w:gridCol w:w="882"/>
        <w:gridCol w:w="1091"/>
        <w:gridCol w:w="1091"/>
        <w:gridCol w:w="1091"/>
        <w:gridCol w:w="1092"/>
        <w:gridCol w:w="1092"/>
        <w:gridCol w:w="10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vAlign w:val="center"/>
          </w:tcPr>
          <w:p>
            <w:pPr>
              <w:spacing w:line="240" w:lineRule="auto"/>
              <w:ind w:firstLine="0" w:firstLineChars="0"/>
              <w:jc w:val="center"/>
              <w:rPr>
                <w:sz w:val="21"/>
                <w:szCs w:val="21"/>
              </w:rPr>
            </w:pPr>
            <w:r>
              <w:rPr>
                <w:sz w:val="21"/>
                <w:szCs w:val="21"/>
              </w:rPr>
              <w:t>原料</w:t>
            </w:r>
          </w:p>
        </w:tc>
        <w:tc>
          <w:tcPr>
            <w:tcW w:w="313" w:type="pct"/>
            <w:vAlign w:val="center"/>
          </w:tcPr>
          <w:p>
            <w:pPr>
              <w:spacing w:line="240" w:lineRule="auto"/>
              <w:ind w:firstLine="0" w:firstLineChars="0"/>
              <w:jc w:val="center"/>
              <w:rPr>
                <w:sz w:val="21"/>
                <w:szCs w:val="21"/>
              </w:rPr>
            </w:pPr>
            <w:r>
              <w:rPr>
                <w:sz w:val="21"/>
                <w:szCs w:val="21"/>
              </w:rPr>
              <w:t>SiO</w:t>
            </w:r>
            <w:r>
              <w:rPr>
                <w:sz w:val="21"/>
                <w:szCs w:val="21"/>
                <w:vertAlign w:val="subscript"/>
              </w:rPr>
              <w:t>2</w:t>
            </w:r>
          </w:p>
        </w:tc>
        <w:tc>
          <w:tcPr>
            <w:tcW w:w="326" w:type="pct"/>
            <w:vAlign w:val="center"/>
          </w:tcPr>
          <w:p>
            <w:pPr>
              <w:spacing w:line="240" w:lineRule="auto"/>
              <w:ind w:firstLine="0" w:firstLineChars="0"/>
              <w:jc w:val="center"/>
              <w:rPr>
                <w:sz w:val="21"/>
                <w:szCs w:val="21"/>
              </w:rPr>
            </w:pPr>
            <w:r>
              <w:rPr>
                <w:sz w:val="21"/>
                <w:szCs w:val="21"/>
              </w:rPr>
              <w:t>Al</w:t>
            </w:r>
            <w:r>
              <w:rPr>
                <w:sz w:val="21"/>
                <w:szCs w:val="21"/>
                <w:vertAlign w:val="subscript"/>
              </w:rPr>
              <w:t>2</w:t>
            </w:r>
            <w:r>
              <w:rPr>
                <w:sz w:val="21"/>
                <w:szCs w:val="21"/>
              </w:rPr>
              <w:t>O</w:t>
            </w:r>
            <w:r>
              <w:rPr>
                <w:sz w:val="21"/>
                <w:szCs w:val="21"/>
                <w:vertAlign w:val="subscript"/>
              </w:rPr>
              <w:t>3</w:t>
            </w:r>
          </w:p>
        </w:tc>
        <w:tc>
          <w:tcPr>
            <w:tcW w:w="326" w:type="pct"/>
            <w:vAlign w:val="center"/>
          </w:tcPr>
          <w:p>
            <w:pPr>
              <w:spacing w:line="240" w:lineRule="auto"/>
              <w:ind w:firstLine="0" w:firstLineChars="0"/>
              <w:jc w:val="center"/>
              <w:rPr>
                <w:sz w:val="21"/>
                <w:szCs w:val="21"/>
              </w:rPr>
            </w:pPr>
            <w:r>
              <w:rPr>
                <w:sz w:val="21"/>
                <w:szCs w:val="21"/>
              </w:rPr>
              <w:t>Fe</w:t>
            </w:r>
            <w:r>
              <w:rPr>
                <w:sz w:val="21"/>
                <w:szCs w:val="21"/>
                <w:vertAlign w:val="subscript"/>
              </w:rPr>
              <w:t>2</w:t>
            </w:r>
            <w:r>
              <w:rPr>
                <w:sz w:val="21"/>
                <w:szCs w:val="21"/>
              </w:rPr>
              <w:t>O</w:t>
            </w:r>
            <w:r>
              <w:rPr>
                <w:sz w:val="21"/>
                <w:szCs w:val="21"/>
                <w:vertAlign w:val="subscript"/>
              </w:rPr>
              <w:t>3</w:t>
            </w:r>
          </w:p>
        </w:tc>
        <w:tc>
          <w:tcPr>
            <w:tcW w:w="284" w:type="pct"/>
            <w:vAlign w:val="center"/>
          </w:tcPr>
          <w:p>
            <w:pPr>
              <w:spacing w:line="240" w:lineRule="auto"/>
              <w:ind w:firstLine="0" w:firstLineChars="0"/>
              <w:jc w:val="center"/>
              <w:rPr>
                <w:sz w:val="21"/>
                <w:szCs w:val="21"/>
              </w:rPr>
            </w:pPr>
            <w:r>
              <w:rPr>
                <w:sz w:val="21"/>
                <w:szCs w:val="21"/>
              </w:rPr>
              <w:t>TiO</w:t>
            </w:r>
            <w:r>
              <w:rPr>
                <w:sz w:val="21"/>
                <w:szCs w:val="21"/>
                <w:vertAlign w:val="subscript"/>
              </w:rPr>
              <w:t>2</w:t>
            </w:r>
          </w:p>
        </w:tc>
        <w:tc>
          <w:tcPr>
            <w:tcW w:w="273" w:type="pct"/>
            <w:vAlign w:val="center"/>
          </w:tcPr>
          <w:p>
            <w:pPr>
              <w:spacing w:line="240" w:lineRule="auto"/>
              <w:ind w:firstLine="0" w:firstLineChars="0"/>
              <w:jc w:val="center"/>
              <w:rPr>
                <w:sz w:val="21"/>
                <w:szCs w:val="21"/>
              </w:rPr>
            </w:pPr>
            <w:r>
              <w:rPr>
                <w:sz w:val="21"/>
                <w:szCs w:val="21"/>
              </w:rPr>
              <w:t>CaO</w:t>
            </w:r>
          </w:p>
        </w:tc>
        <w:tc>
          <w:tcPr>
            <w:tcW w:w="300" w:type="pct"/>
            <w:vAlign w:val="center"/>
          </w:tcPr>
          <w:p>
            <w:pPr>
              <w:spacing w:line="240" w:lineRule="auto"/>
              <w:ind w:firstLine="0" w:firstLineChars="0"/>
              <w:jc w:val="center"/>
              <w:rPr>
                <w:sz w:val="21"/>
                <w:szCs w:val="21"/>
              </w:rPr>
            </w:pPr>
            <w:r>
              <w:rPr>
                <w:sz w:val="21"/>
                <w:szCs w:val="21"/>
              </w:rPr>
              <w:t>MgO</w:t>
            </w:r>
          </w:p>
        </w:tc>
        <w:tc>
          <w:tcPr>
            <w:tcW w:w="268" w:type="pct"/>
            <w:vAlign w:val="center"/>
          </w:tcPr>
          <w:p>
            <w:pPr>
              <w:spacing w:line="240" w:lineRule="auto"/>
              <w:ind w:firstLine="0" w:firstLineChars="0"/>
              <w:jc w:val="center"/>
              <w:rPr>
                <w:sz w:val="21"/>
                <w:szCs w:val="21"/>
              </w:rPr>
            </w:pPr>
            <w:r>
              <w:rPr>
                <w:sz w:val="21"/>
                <w:szCs w:val="21"/>
              </w:rPr>
              <w:t>K</w:t>
            </w:r>
            <w:r>
              <w:rPr>
                <w:sz w:val="21"/>
                <w:szCs w:val="21"/>
                <w:vertAlign w:val="subscript"/>
              </w:rPr>
              <w:t>2</w:t>
            </w:r>
            <w:r>
              <w:rPr>
                <w:sz w:val="21"/>
                <w:szCs w:val="21"/>
              </w:rPr>
              <w:t>O</w:t>
            </w:r>
          </w:p>
        </w:tc>
        <w:tc>
          <w:tcPr>
            <w:tcW w:w="311" w:type="pct"/>
            <w:vAlign w:val="center"/>
          </w:tcPr>
          <w:p>
            <w:pPr>
              <w:spacing w:line="240" w:lineRule="auto"/>
              <w:ind w:firstLine="0" w:firstLineChars="0"/>
              <w:jc w:val="center"/>
              <w:rPr>
                <w:sz w:val="21"/>
                <w:szCs w:val="21"/>
              </w:rPr>
            </w:pPr>
            <w:r>
              <w:rPr>
                <w:sz w:val="21"/>
                <w:szCs w:val="21"/>
              </w:rPr>
              <w:t>Na</w:t>
            </w:r>
            <w:r>
              <w:rPr>
                <w:sz w:val="21"/>
                <w:szCs w:val="21"/>
                <w:vertAlign w:val="subscript"/>
              </w:rPr>
              <w:t>2</w:t>
            </w:r>
            <w:r>
              <w:rPr>
                <w:sz w:val="21"/>
                <w:szCs w:val="21"/>
              </w:rPr>
              <w:t>O</w:t>
            </w:r>
          </w:p>
        </w:tc>
        <w:tc>
          <w:tcPr>
            <w:tcW w:w="385" w:type="pct"/>
            <w:vAlign w:val="center"/>
          </w:tcPr>
          <w:p>
            <w:pPr>
              <w:spacing w:line="240" w:lineRule="auto"/>
              <w:ind w:firstLine="0" w:firstLineChars="0"/>
              <w:jc w:val="center"/>
              <w:rPr>
                <w:sz w:val="21"/>
                <w:szCs w:val="21"/>
              </w:rPr>
            </w:pPr>
            <w:r>
              <w:rPr>
                <w:sz w:val="21"/>
                <w:szCs w:val="21"/>
              </w:rPr>
              <w:t>F</w:t>
            </w:r>
          </w:p>
        </w:tc>
        <w:tc>
          <w:tcPr>
            <w:tcW w:w="385" w:type="pct"/>
            <w:vAlign w:val="center"/>
          </w:tcPr>
          <w:p>
            <w:pPr>
              <w:spacing w:line="240" w:lineRule="auto"/>
              <w:ind w:firstLine="0" w:firstLineChars="0"/>
              <w:jc w:val="center"/>
              <w:rPr>
                <w:sz w:val="21"/>
                <w:szCs w:val="21"/>
              </w:rPr>
            </w:pPr>
            <w:r>
              <w:rPr>
                <w:sz w:val="21"/>
                <w:szCs w:val="21"/>
              </w:rPr>
              <w:t>Cl</w:t>
            </w:r>
          </w:p>
        </w:tc>
        <w:tc>
          <w:tcPr>
            <w:tcW w:w="385" w:type="pct"/>
            <w:vAlign w:val="center"/>
          </w:tcPr>
          <w:p>
            <w:pPr>
              <w:spacing w:line="240" w:lineRule="auto"/>
              <w:ind w:firstLine="0" w:firstLineChars="0"/>
              <w:jc w:val="center"/>
              <w:rPr>
                <w:sz w:val="21"/>
                <w:szCs w:val="21"/>
              </w:rPr>
            </w:pPr>
            <w:r>
              <w:rPr>
                <w:sz w:val="21"/>
                <w:szCs w:val="21"/>
              </w:rPr>
              <w:t>PbO</w:t>
            </w:r>
          </w:p>
        </w:tc>
        <w:tc>
          <w:tcPr>
            <w:tcW w:w="385" w:type="pct"/>
            <w:vAlign w:val="center"/>
          </w:tcPr>
          <w:p>
            <w:pPr>
              <w:spacing w:line="240" w:lineRule="auto"/>
              <w:ind w:firstLine="0" w:firstLineChars="0"/>
              <w:jc w:val="center"/>
              <w:rPr>
                <w:sz w:val="21"/>
                <w:szCs w:val="21"/>
              </w:rPr>
            </w:pPr>
            <w:r>
              <w:rPr>
                <w:sz w:val="21"/>
                <w:szCs w:val="21"/>
              </w:rPr>
              <w:t>CdO</w:t>
            </w:r>
          </w:p>
        </w:tc>
        <w:tc>
          <w:tcPr>
            <w:tcW w:w="385" w:type="pct"/>
            <w:vAlign w:val="center"/>
          </w:tcPr>
          <w:p>
            <w:pPr>
              <w:spacing w:line="240" w:lineRule="auto"/>
              <w:ind w:firstLine="0" w:firstLineChars="0"/>
              <w:jc w:val="center"/>
              <w:rPr>
                <w:sz w:val="21"/>
                <w:szCs w:val="21"/>
              </w:rPr>
            </w:pPr>
            <w:r>
              <w:rPr>
                <w:sz w:val="21"/>
                <w:szCs w:val="21"/>
              </w:rPr>
              <w:t>NiO</w:t>
            </w:r>
          </w:p>
        </w:tc>
        <w:tc>
          <w:tcPr>
            <w:tcW w:w="385" w:type="pct"/>
            <w:vAlign w:val="center"/>
          </w:tcPr>
          <w:p>
            <w:pPr>
              <w:spacing w:line="240" w:lineRule="auto"/>
              <w:ind w:firstLine="0" w:firstLineChars="0"/>
              <w:jc w:val="center"/>
              <w:rPr>
                <w:sz w:val="21"/>
                <w:szCs w:val="21"/>
              </w:rPr>
            </w:pPr>
            <w:r>
              <w:rPr>
                <w:sz w:val="21"/>
                <w:szCs w:val="21"/>
              </w:rPr>
              <w:t>烧损量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vAlign w:val="center"/>
          </w:tcPr>
          <w:p>
            <w:pPr>
              <w:spacing w:line="240" w:lineRule="auto"/>
              <w:ind w:firstLine="0" w:firstLineChars="0"/>
              <w:jc w:val="center"/>
              <w:rPr>
                <w:sz w:val="21"/>
                <w:szCs w:val="21"/>
              </w:rPr>
            </w:pPr>
            <w:r>
              <w:rPr>
                <w:sz w:val="21"/>
                <w:szCs w:val="21"/>
              </w:rPr>
              <w:t>瓷砂</w:t>
            </w:r>
          </w:p>
        </w:tc>
        <w:tc>
          <w:tcPr>
            <w:tcW w:w="313" w:type="pct"/>
            <w:vAlign w:val="center"/>
          </w:tcPr>
          <w:p>
            <w:pPr>
              <w:spacing w:line="240" w:lineRule="auto"/>
              <w:ind w:firstLine="0" w:firstLineChars="0"/>
              <w:jc w:val="center"/>
              <w:rPr>
                <w:sz w:val="21"/>
                <w:szCs w:val="21"/>
              </w:rPr>
            </w:pPr>
            <w:r>
              <w:rPr>
                <w:sz w:val="21"/>
                <w:szCs w:val="21"/>
              </w:rPr>
              <w:t>69.73</w:t>
            </w:r>
          </w:p>
        </w:tc>
        <w:tc>
          <w:tcPr>
            <w:tcW w:w="326" w:type="pct"/>
            <w:vAlign w:val="center"/>
          </w:tcPr>
          <w:p>
            <w:pPr>
              <w:spacing w:line="240" w:lineRule="auto"/>
              <w:ind w:firstLine="0" w:firstLineChars="0"/>
              <w:jc w:val="center"/>
              <w:rPr>
                <w:sz w:val="21"/>
                <w:szCs w:val="21"/>
              </w:rPr>
            </w:pPr>
            <w:r>
              <w:rPr>
                <w:sz w:val="21"/>
                <w:szCs w:val="21"/>
              </w:rPr>
              <w:t>18.16</w:t>
            </w:r>
          </w:p>
        </w:tc>
        <w:tc>
          <w:tcPr>
            <w:tcW w:w="326" w:type="pct"/>
            <w:vAlign w:val="center"/>
          </w:tcPr>
          <w:p>
            <w:pPr>
              <w:spacing w:line="240" w:lineRule="auto"/>
              <w:ind w:firstLine="0" w:firstLineChars="0"/>
              <w:jc w:val="center"/>
              <w:rPr>
                <w:sz w:val="21"/>
                <w:szCs w:val="21"/>
              </w:rPr>
            </w:pPr>
            <w:r>
              <w:rPr>
                <w:sz w:val="21"/>
                <w:szCs w:val="21"/>
              </w:rPr>
              <w:t>0.64</w:t>
            </w:r>
          </w:p>
        </w:tc>
        <w:tc>
          <w:tcPr>
            <w:tcW w:w="284" w:type="pct"/>
            <w:vAlign w:val="center"/>
          </w:tcPr>
          <w:p>
            <w:pPr>
              <w:spacing w:line="240" w:lineRule="auto"/>
              <w:ind w:firstLine="0" w:firstLineChars="0"/>
              <w:jc w:val="center"/>
              <w:rPr>
                <w:sz w:val="21"/>
                <w:szCs w:val="21"/>
              </w:rPr>
            </w:pPr>
            <w:r>
              <w:rPr>
                <w:sz w:val="21"/>
                <w:szCs w:val="21"/>
              </w:rPr>
              <w:t>0.49</w:t>
            </w:r>
          </w:p>
        </w:tc>
        <w:tc>
          <w:tcPr>
            <w:tcW w:w="273" w:type="pct"/>
            <w:vAlign w:val="center"/>
          </w:tcPr>
          <w:p>
            <w:pPr>
              <w:spacing w:line="240" w:lineRule="auto"/>
              <w:ind w:firstLine="0" w:firstLineChars="0"/>
              <w:jc w:val="center"/>
              <w:rPr>
                <w:sz w:val="21"/>
                <w:szCs w:val="21"/>
              </w:rPr>
            </w:pPr>
            <w:r>
              <w:rPr>
                <w:sz w:val="21"/>
                <w:szCs w:val="21"/>
              </w:rPr>
              <w:t>0.39</w:t>
            </w:r>
          </w:p>
        </w:tc>
        <w:tc>
          <w:tcPr>
            <w:tcW w:w="300" w:type="pct"/>
            <w:vAlign w:val="center"/>
          </w:tcPr>
          <w:p>
            <w:pPr>
              <w:spacing w:line="240" w:lineRule="auto"/>
              <w:ind w:firstLine="0" w:firstLineChars="0"/>
              <w:jc w:val="center"/>
              <w:rPr>
                <w:sz w:val="21"/>
                <w:szCs w:val="21"/>
              </w:rPr>
            </w:pPr>
            <w:r>
              <w:rPr>
                <w:sz w:val="21"/>
                <w:szCs w:val="21"/>
              </w:rPr>
              <w:t>0.60</w:t>
            </w:r>
          </w:p>
        </w:tc>
        <w:tc>
          <w:tcPr>
            <w:tcW w:w="268" w:type="pct"/>
            <w:vAlign w:val="center"/>
          </w:tcPr>
          <w:p>
            <w:pPr>
              <w:spacing w:line="240" w:lineRule="auto"/>
              <w:ind w:firstLine="0" w:firstLineChars="0"/>
              <w:jc w:val="center"/>
              <w:rPr>
                <w:sz w:val="21"/>
                <w:szCs w:val="21"/>
              </w:rPr>
            </w:pPr>
            <w:r>
              <w:rPr>
                <w:sz w:val="21"/>
                <w:szCs w:val="21"/>
              </w:rPr>
              <w:t>4.02</w:t>
            </w:r>
          </w:p>
        </w:tc>
        <w:tc>
          <w:tcPr>
            <w:tcW w:w="311" w:type="pct"/>
            <w:vAlign w:val="center"/>
          </w:tcPr>
          <w:p>
            <w:pPr>
              <w:spacing w:line="240" w:lineRule="auto"/>
              <w:ind w:firstLine="0" w:firstLineChars="0"/>
              <w:jc w:val="center"/>
              <w:rPr>
                <w:sz w:val="21"/>
                <w:szCs w:val="21"/>
              </w:rPr>
            </w:pPr>
            <w:r>
              <w:rPr>
                <w:sz w:val="21"/>
                <w:szCs w:val="21"/>
              </w:rPr>
              <w:t>2.45</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vAlign w:val="center"/>
          </w:tcPr>
          <w:p>
            <w:pPr>
              <w:spacing w:line="240" w:lineRule="auto"/>
              <w:ind w:firstLine="0" w:firstLineChars="0"/>
              <w:jc w:val="center"/>
              <w:rPr>
                <w:sz w:val="21"/>
                <w:szCs w:val="21"/>
              </w:rPr>
            </w:pPr>
            <w:r>
              <w:rPr>
                <w:sz w:val="21"/>
                <w:szCs w:val="21"/>
              </w:rPr>
              <w:t>坭</w:t>
            </w:r>
          </w:p>
        </w:tc>
        <w:tc>
          <w:tcPr>
            <w:tcW w:w="313" w:type="pct"/>
            <w:vAlign w:val="center"/>
          </w:tcPr>
          <w:p>
            <w:pPr>
              <w:spacing w:line="240" w:lineRule="auto"/>
              <w:ind w:firstLine="0" w:firstLineChars="0"/>
              <w:jc w:val="center"/>
              <w:rPr>
                <w:sz w:val="21"/>
                <w:szCs w:val="21"/>
              </w:rPr>
            </w:pPr>
            <w:r>
              <w:rPr>
                <w:sz w:val="21"/>
                <w:szCs w:val="21"/>
              </w:rPr>
              <w:t>50.72</w:t>
            </w:r>
          </w:p>
        </w:tc>
        <w:tc>
          <w:tcPr>
            <w:tcW w:w="326" w:type="pct"/>
            <w:vAlign w:val="center"/>
          </w:tcPr>
          <w:p>
            <w:pPr>
              <w:spacing w:line="240" w:lineRule="auto"/>
              <w:ind w:firstLine="0" w:firstLineChars="0"/>
              <w:jc w:val="center"/>
              <w:rPr>
                <w:sz w:val="21"/>
                <w:szCs w:val="21"/>
              </w:rPr>
            </w:pPr>
            <w:r>
              <w:rPr>
                <w:sz w:val="21"/>
                <w:szCs w:val="21"/>
              </w:rPr>
              <w:t>32.93</w:t>
            </w:r>
          </w:p>
        </w:tc>
        <w:tc>
          <w:tcPr>
            <w:tcW w:w="326" w:type="pct"/>
            <w:vAlign w:val="center"/>
          </w:tcPr>
          <w:p>
            <w:pPr>
              <w:spacing w:line="240" w:lineRule="auto"/>
              <w:ind w:firstLine="0" w:firstLineChars="0"/>
              <w:jc w:val="center"/>
              <w:rPr>
                <w:sz w:val="21"/>
                <w:szCs w:val="21"/>
              </w:rPr>
            </w:pPr>
            <w:r>
              <w:rPr>
                <w:sz w:val="21"/>
                <w:szCs w:val="21"/>
              </w:rPr>
              <w:t>1.19</w:t>
            </w:r>
          </w:p>
        </w:tc>
        <w:tc>
          <w:tcPr>
            <w:tcW w:w="284" w:type="pct"/>
            <w:vAlign w:val="center"/>
          </w:tcPr>
          <w:p>
            <w:pPr>
              <w:spacing w:line="240" w:lineRule="auto"/>
              <w:ind w:firstLine="0" w:firstLineChars="0"/>
              <w:jc w:val="center"/>
              <w:rPr>
                <w:sz w:val="21"/>
                <w:szCs w:val="21"/>
              </w:rPr>
            </w:pPr>
            <w:r>
              <w:rPr>
                <w:sz w:val="21"/>
                <w:szCs w:val="21"/>
              </w:rPr>
              <w:t>0.27</w:t>
            </w:r>
          </w:p>
        </w:tc>
        <w:tc>
          <w:tcPr>
            <w:tcW w:w="273" w:type="pct"/>
            <w:vAlign w:val="center"/>
          </w:tcPr>
          <w:p>
            <w:pPr>
              <w:spacing w:line="240" w:lineRule="auto"/>
              <w:ind w:firstLine="0" w:firstLineChars="0"/>
              <w:jc w:val="center"/>
              <w:rPr>
                <w:sz w:val="21"/>
                <w:szCs w:val="21"/>
              </w:rPr>
            </w:pPr>
            <w:r>
              <w:rPr>
                <w:sz w:val="21"/>
                <w:szCs w:val="21"/>
              </w:rPr>
              <w:t>0.16</w:t>
            </w:r>
          </w:p>
        </w:tc>
        <w:tc>
          <w:tcPr>
            <w:tcW w:w="300" w:type="pct"/>
            <w:vAlign w:val="center"/>
          </w:tcPr>
          <w:p>
            <w:pPr>
              <w:spacing w:line="240" w:lineRule="auto"/>
              <w:ind w:firstLine="0" w:firstLineChars="0"/>
              <w:jc w:val="center"/>
              <w:rPr>
                <w:sz w:val="21"/>
                <w:szCs w:val="21"/>
              </w:rPr>
            </w:pPr>
            <w:r>
              <w:rPr>
                <w:sz w:val="21"/>
                <w:szCs w:val="21"/>
              </w:rPr>
              <w:t>0.22</w:t>
            </w:r>
          </w:p>
        </w:tc>
        <w:tc>
          <w:tcPr>
            <w:tcW w:w="268" w:type="pct"/>
            <w:vAlign w:val="center"/>
          </w:tcPr>
          <w:p>
            <w:pPr>
              <w:spacing w:line="240" w:lineRule="auto"/>
              <w:ind w:firstLine="0" w:firstLineChars="0"/>
              <w:jc w:val="center"/>
              <w:rPr>
                <w:sz w:val="21"/>
                <w:szCs w:val="21"/>
              </w:rPr>
            </w:pPr>
            <w:r>
              <w:rPr>
                <w:sz w:val="21"/>
                <w:szCs w:val="21"/>
              </w:rPr>
              <w:t>2.54</w:t>
            </w:r>
          </w:p>
        </w:tc>
        <w:tc>
          <w:tcPr>
            <w:tcW w:w="311" w:type="pct"/>
            <w:vAlign w:val="center"/>
          </w:tcPr>
          <w:p>
            <w:pPr>
              <w:spacing w:line="240" w:lineRule="auto"/>
              <w:ind w:firstLine="0" w:firstLineChars="0"/>
              <w:jc w:val="center"/>
              <w:rPr>
                <w:sz w:val="21"/>
                <w:szCs w:val="21"/>
              </w:rPr>
            </w:pPr>
            <w:r>
              <w:rPr>
                <w:sz w:val="21"/>
                <w:szCs w:val="21"/>
              </w:rPr>
              <w:t>0.77</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vAlign w:val="center"/>
          </w:tcPr>
          <w:p>
            <w:pPr>
              <w:spacing w:line="240" w:lineRule="auto"/>
              <w:ind w:firstLine="0" w:firstLineChars="0"/>
              <w:jc w:val="center"/>
              <w:rPr>
                <w:sz w:val="21"/>
                <w:szCs w:val="21"/>
              </w:rPr>
            </w:pPr>
            <w:r>
              <w:rPr>
                <w:sz w:val="21"/>
                <w:szCs w:val="21"/>
              </w:rPr>
              <w:t>石粒</w:t>
            </w:r>
          </w:p>
        </w:tc>
        <w:tc>
          <w:tcPr>
            <w:tcW w:w="313" w:type="pct"/>
            <w:vAlign w:val="center"/>
          </w:tcPr>
          <w:p>
            <w:pPr>
              <w:spacing w:line="240" w:lineRule="auto"/>
              <w:ind w:firstLine="0" w:firstLineChars="0"/>
              <w:jc w:val="center"/>
              <w:rPr>
                <w:sz w:val="21"/>
                <w:szCs w:val="21"/>
              </w:rPr>
            </w:pPr>
            <w:r>
              <w:rPr>
                <w:sz w:val="21"/>
                <w:szCs w:val="21"/>
              </w:rPr>
              <w:t>73.07</w:t>
            </w:r>
          </w:p>
        </w:tc>
        <w:tc>
          <w:tcPr>
            <w:tcW w:w="326" w:type="pct"/>
            <w:vAlign w:val="center"/>
          </w:tcPr>
          <w:p>
            <w:pPr>
              <w:spacing w:line="240" w:lineRule="auto"/>
              <w:ind w:firstLine="0" w:firstLineChars="0"/>
              <w:jc w:val="center"/>
              <w:rPr>
                <w:sz w:val="21"/>
                <w:szCs w:val="21"/>
              </w:rPr>
            </w:pPr>
            <w:r>
              <w:rPr>
                <w:sz w:val="21"/>
                <w:szCs w:val="21"/>
              </w:rPr>
              <w:t>16.55</w:t>
            </w:r>
          </w:p>
        </w:tc>
        <w:tc>
          <w:tcPr>
            <w:tcW w:w="326" w:type="pct"/>
            <w:vAlign w:val="center"/>
          </w:tcPr>
          <w:p>
            <w:pPr>
              <w:spacing w:line="240" w:lineRule="auto"/>
              <w:ind w:firstLine="0" w:firstLineChars="0"/>
              <w:jc w:val="center"/>
              <w:rPr>
                <w:sz w:val="21"/>
                <w:szCs w:val="21"/>
              </w:rPr>
            </w:pPr>
            <w:r>
              <w:rPr>
                <w:sz w:val="21"/>
                <w:szCs w:val="21"/>
              </w:rPr>
              <w:t>0.37</w:t>
            </w:r>
          </w:p>
        </w:tc>
        <w:tc>
          <w:tcPr>
            <w:tcW w:w="284" w:type="pct"/>
            <w:vAlign w:val="center"/>
          </w:tcPr>
          <w:p>
            <w:pPr>
              <w:spacing w:line="240" w:lineRule="auto"/>
              <w:ind w:firstLine="0" w:firstLineChars="0"/>
              <w:jc w:val="center"/>
              <w:rPr>
                <w:sz w:val="21"/>
                <w:szCs w:val="21"/>
              </w:rPr>
            </w:pPr>
            <w:r>
              <w:rPr>
                <w:sz w:val="21"/>
                <w:szCs w:val="21"/>
              </w:rPr>
              <w:t>0.18</w:t>
            </w:r>
          </w:p>
        </w:tc>
        <w:tc>
          <w:tcPr>
            <w:tcW w:w="273" w:type="pct"/>
            <w:vAlign w:val="center"/>
          </w:tcPr>
          <w:p>
            <w:pPr>
              <w:spacing w:line="240" w:lineRule="auto"/>
              <w:ind w:firstLine="0" w:firstLineChars="0"/>
              <w:jc w:val="center"/>
              <w:rPr>
                <w:sz w:val="21"/>
                <w:szCs w:val="21"/>
              </w:rPr>
            </w:pPr>
            <w:r>
              <w:rPr>
                <w:sz w:val="21"/>
                <w:szCs w:val="21"/>
              </w:rPr>
              <w:t>0.41</w:t>
            </w:r>
          </w:p>
        </w:tc>
        <w:tc>
          <w:tcPr>
            <w:tcW w:w="300" w:type="pct"/>
            <w:vAlign w:val="center"/>
          </w:tcPr>
          <w:p>
            <w:pPr>
              <w:spacing w:line="240" w:lineRule="auto"/>
              <w:ind w:firstLine="0" w:firstLineChars="0"/>
              <w:jc w:val="center"/>
              <w:rPr>
                <w:sz w:val="21"/>
                <w:szCs w:val="21"/>
              </w:rPr>
            </w:pPr>
            <w:r>
              <w:rPr>
                <w:sz w:val="21"/>
                <w:szCs w:val="21"/>
              </w:rPr>
              <w:t>0.30</w:t>
            </w:r>
          </w:p>
        </w:tc>
        <w:tc>
          <w:tcPr>
            <w:tcW w:w="268" w:type="pct"/>
            <w:vAlign w:val="center"/>
          </w:tcPr>
          <w:p>
            <w:pPr>
              <w:spacing w:line="240" w:lineRule="auto"/>
              <w:ind w:firstLine="0" w:firstLineChars="0"/>
              <w:jc w:val="center"/>
              <w:rPr>
                <w:sz w:val="21"/>
                <w:szCs w:val="21"/>
              </w:rPr>
            </w:pPr>
            <w:r>
              <w:rPr>
                <w:sz w:val="21"/>
                <w:szCs w:val="21"/>
              </w:rPr>
              <w:t>3.35</w:t>
            </w:r>
          </w:p>
        </w:tc>
        <w:tc>
          <w:tcPr>
            <w:tcW w:w="311" w:type="pct"/>
            <w:vAlign w:val="center"/>
          </w:tcPr>
          <w:p>
            <w:pPr>
              <w:spacing w:line="240" w:lineRule="auto"/>
              <w:ind w:firstLine="0" w:firstLineChars="0"/>
              <w:jc w:val="center"/>
              <w:rPr>
                <w:sz w:val="21"/>
                <w:szCs w:val="21"/>
              </w:rPr>
            </w:pPr>
            <w:r>
              <w:rPr>
                <w:sz w:val="21"/>
                <w:szCs w:val="21"/>
              </w:rPr>
              <w:t>3.58</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未检出</w:t>
            </w:r>
          </w:p>
        </w:tc>
        <w:tc>
          <w:tcPr>
            <w:tcW w:w="385" w:type="pct"/>
            <w:vAlign w:val="center"/>
          </w:tcPr>
          <w:p>
            <w:pPr>
              <w:spacing w:line="240" w:lineRule="auto"/>
              <w:ind w:firstLine="0" w:firstLineChars="0"/>
              <w:jc w:val="center"/>
              <w:rPr>
                <w:sz w:val="21"/>
                <w:szCs w:val="21"/>
              </w:rPr>
            </w:pPr>
            <w:r>
              <w:rPr>
                <w:sz w:val="21"/>
                <w:szCs w:val="21"/>
              </w:rPr>
              <w:t>1.92</w:t>
            </w:r>
          </w:p>
        </w:tc>
      </w:tr>
    </w:tbl>
    <w:p>
      <w:pPr>
        <w:ind w:firstLine="0" w:firstLineChars="0"/>
        <w:jc w:val="center"/>
        <w:rPr>
          <w:rFonts w:cs="Times New Roman"/>
          <w:b/>
          <w:bCs/>
        </w:rPr>
      </w:pPr>
      <w:r>
        <w:rPr>
          <w:rFonts w:cs="Times New Roman"/>
          <w:b/>
          <w:bCs/>
        </w:rPr>
        <w:t>表3.1-5  主要釉料成分分析结果  单位：W（B）%</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1"/>
        <w:gridCol w:w="737"/>
        <w:gridCol w:w="1055"/>
        <w:gridCol w:w="1057"/>
        <w:gridCol w:w="918"/>
        <w:gridCol w:w="882"/>
        <w:gridCol w:w="972"/>
        <w:gridCol w:w="865"/>
        <w:gridCol w:w="1009"/>
        <w:gridCol w:w="1256"/>
        <w:gridCol w:w="1256"/>
        <w:gridCol w:w="1256"/>
        <w:gridCol w:w="12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spacing w:line="240" w:lineRule="auto"/>
              <w:ind w:firstLine="0" w:firstLineChars="0"/>
              <w:jc w:val="center"/>
              <w:rPr>
                <w:sz w:val="21"/>
                <w:szCs w:val="21"/>
              </w:rPr>
            </w:pPr>
            <w:r>
              <w:rPr>
                <w:sz w:val="21"/>
                <w:szCs w:val="21"/>
              </w:rPr>
              <w:t>原料</w:t>
            </w:r>
          </w:p>
        </w:tc>
        <w:tc>
          <w:tcPr>
            <w:tcW w:w="260" w:type="pct"/>
            <w:vAlign w:val="center"/>
          </w:tcPr>
          <w:p>
            <w:pPr>
              <w:spacing w:line="240" w:lineRule="auto"/>
              <w:ind w:firstLine="0" w:firstLineChars="0"/>
              <w:jc w:val="center"/>
              <w:rPr>
                <w:sz w:val="21"/>
                <w:szCs w:val="21"/>
              </w:rPr>
            </w:pPr>
            <w:r>
              <w:rPr>
                <w:sz w:val="21"/>
                <w:szCs w:val="21"/>
              </w:rPr>
              <w:t>SiO</w:t>
            </w:r>
            <w:r>
              <w:rPr>
                <w:sz w:val="21"/>
                <w:szCs w:val="21"/>
                <w:vertAlign w:val="subscript"/>
              </w:rPr>
              <w:t>2</w:t>
            </w:r>
          </w:p>
        </w:tc>
        <w:tc>
          <w:tcPr>
            <w:tcW w:w="372" w:type="pct"/>
            <w:vAlign w:val="center"/>
          </w:tcPr>
          <w:p>
            <w:pPr>
              <w:spacing w:line="240" w:lineRule="auto"/>
              <w:ind w:firstLine="0" w:firstLineChars="0"/>
              <w:jc w:val="center"/>
              <w:rPr>
                <w:sz w:val="21"/>
                <w:szCs w:val="21"/>
              </w:rPr>
            </w:pPr>
            <w:r>
              <w:rPr>
                <w:sz w:val="21"/>
                <w:szCs w:val="21"/>
              </w:rPr>
              <w:t>Al</w:t>
            </w:r>
            <w:r>
              <w:rPr>
                <w:sz w:val="21"/>
                <w:szCs w:val="21"/>
                <w:vertAlign w:val="subscript"/>
              </w:rPr>
              <w:t>2</w:t>
            </w:r>
            <w:r>
              <w:rPr>
                <w:sz w:val="21"/>
                <w:szCs w:val="21"/>
              </w:rPr>
              <w:t>O</w:t>
            </w:r>
            <w:r>
              <w:rPr>
                <w:sz w:val="21"/>
                <w:szCs w:val="21"/>
                <w:vertAlign w:val="subscript"/>
              </w:rPr>
              <w:t>3</w:t>
            </w:r>
          </w:p>
        </w:tc>
        <w:tc>
          <w:tcPr>
            <w:tcW w:w="373" w:type="pct"/>
            <w:vAlign w:val="center"/>
          </w:tcPr>
          <w:p>
            <w:pPr>
              <w:spacing w:line="240" w:lineRule="auto"/>
              <w:ind w:firstLine="0" w:firstLineChars="0"/>
              <w:jc w:val="center"/>
              <w:rPr>
                <w:sz w:val="21"/>
                <w:szCs w:val="21"/>
              </w:rPr>
            </w:pPr>
            <w:r>
              <w:rPr>
                <w:sz w:val="21"/>
                <w:szCs w:val="21"/>
              </w:rPr>
              <w:t>Fe</w:t>
            </w:r>
            <w:r>
              <w:rPr>
                <w:sz w:val="21"/>
                <w:szCs w:val="21"/>
                <w:vertAlign w:val="subscript"/>
              </w:rPr>
              <w:t>2</w:t>
            </w:r>
            <w:r>
              <w:rPr>
                <w:sz w:val="21"/>
                <w:szCs w:val="21"/>
              </w:rPr>
              <w:t>O</w:t>
            </w:r>
            <w:r>
              <w:rPr>
                <w:sz w:val="21"/>
                <w:szCs w:val="21"/>
                <w:vertAlign w:val="subscript"/>
              </w:rPr>
              <w:t>3</w:t>
            </w:r>
          </w:p>
        </w:tc>
        <w:tc>
          <w:tcPr>
            <w:tcW w:w="324" w:type="pct"/>
            <w:vAlign w:val="center"/>
          </w:tcPr>
          <w:p>
            <w:pPr>
              <w:spacing w:line="240" w:lineRule="auto"/>
              <w:ind w:firstLine="0" w:firstLineChars="0"/>
              <w:jc w:val="center"/>
              <w:rPr>
                <w:sz w:val="21"/>
                <w:szCs w:val="21"/>
              </w:rPr>
            </w:pPr>
            <w:r>
              <w:rPr>
                <w:sz w:val="21"/>
                <w:szCs w:val="21"/>
              </w:rPr>
              <w:t>TiO</w:t>
            </w:r>
            <w:r>
              <w:rPr>
                <w:sz w:val="21"/>
                <w:szCs w:val="21"/>
                <w:vertAlign w:val="subscript"/>
              </w:rPr>
              <w:t>2</w:t>
            </w:r>
          </w:p>
        </w:tc>
        <w:tc>
          <w:tcPr>
            <w:tcW w:w="311" w:type="pct"/>
            <w:vAlign w:val="center"/>
          </w:tcPr>
          <w:p>
            <w:pPr>
              <w:spacing w:line="240" w:lineRule="auto"/>
              <w:ind w:firstLine="0" w:firstLineChars="0"/>
              <w:jc w:val="center"/>
              <w:rPr>
                <w:sz w:val="21"/>
                <w:szCs w:val="21"/>
              </w:rPr>
            </w:pPr>
            <w:r>
              <w:rPr>
                <w:sz w:val="21"/>
                <w:szCs w:val="21"/>
              </w:rPr>
              <w:t>CaO</w:t>
            </w:r>
          </w:p>
        </w:tc>
        <w:tc>
          <w:tcPr>
            <w:tcW w:w="343" w:type="pct"/>
            <w:vAlign w:val="center"/>
          </w:tcPr>
          <w:p>
            <w:pPr>
              <w:spacing w:line="240" w:lineRule="auto"/>
              <w:ind w:firstLine="0" w:firstLineChars="0"/>
              <w:jc w:val="center"/>
              <w:rPr>
                <w:sz w:val="21"/>
                <w:szCs w:val="21"/>
              </w:rPr>
            </w:pPr>
            <w:r>
              <w:rPr>
                <w:sz w:val="21"/>
                <w:szCs w:val="21"/>
              </w:rPr>
              <w:t>MgO</w:t>
            </w:r>
          </w:p>
        </w:tc>
        <w:tc>
          <w:tcPr>
            <w:tcW w:w="305" w:type="pct"/>
            <w:vAlign w:val="center"/>
          </w:tcPr>
          <w:p>
            <w:pPr>
              <w:spacing w:line="240" w:lineRule="auto"/>
              <w:ind w:firstLine="0" w:firstLineChars="0"/>
              <w:jc w:val="center"/>
              <w:rPr>
                <w:sz w:val="21"/>
                <w:szCs w:val="21"/>
              </w:rPr>
            </w:pPr>
            <w:r>
              <w:rPr>
                <w:sz w:val="21"/>
                <w:szCs w:val="21"/>
              </w:rPr>
              <w:t>K</w:t>
            </w:r>
            <w:r>
              <w:rPr>
                <w:sz w:val="21"/>
                <w:szCs w:val="21"/>
                <w:vertAlign w:val="subscript"/>
              </w:rPr>
              <w:t>2</w:t>
            </w:r>
            <w:r>
              <w:rPr>
                <w:sz w:val="21"/>
                <w:szCs w:val="21"/>
              </w:rPr>
              <w:t>O</w:t>
            </w:r>
          </w:p>
        </w:tc>
        <w:tc>
          <w:tcPr>
            <w:tcW w:w="356" w:type="pct"/>
            <w:vAlign w:val="center"/>
          </w:tcPr>
          <w:p>
            <w:pPr>
              <w:spacing w:line="240" w:lineRule="auto"/>
              <w:ind w:firstLine="0" w:firstLineChars="0"/>
              <w:jc w:val="center"/>
              <w:rPr>
                <w:sz w:val="21"/>
                <w:szCs w:val="21"/>
              </w:rPr>
            </w:pPr>
            <w:r>
              <w:rPr>
                <w:sz w:val="21"/>
                <w:szCs w:val="21"/>
              </w:rPr>
              <w:t>Na</w:t>
            </w:r>
            <w:r>
              <w:rPr>
                <w:sz w:val="21"/>
                <w:szCs w:val="21"/>
                <w:vertAlign w:val="subscript"/>
              </w:rPr>
              <w:t>2</w:t>
            </w:r>
            <w:r>
              <w:rPr>
                <w:sz w:val="21"/>
                <w:szCs w:val="21"/>
              </w:rPr>
              <w:t>O</w:t>
            </w:r>
          </w:p>
        </w:tc>
        <w:tc>
          <w:tcPr>
            <w:tcW w:w="443" w:type="pct"/>
            <w:vAlign w:val="center"/>
          </w:tcPr>
          <w:p>
            <w:pPr>
              <w:spacing w:line="240" w:lineRule="auto"/>
              <w:ind w:firstLine="0" w:firstLineChars="0"/>
              <w:jc w:val="center"/>
              <w:rPr>
                <w:sz w:val="21"/>
                <w:szCs w:val="21"/>
              </w:rPr>
            </w:pPr>
            <w:r>
              <w:rPr>
                <w:sz w:val="21"/>
                <w:szCs w:val="21"/>
              </w:rPr>
              <w:t>Zr(HF)O</w:t>
            </w:r>
            <w:r>
              <w:rPr>
                <w:sz w:val="21"/>
                <w:szCs w:val="21"/>
                <w:vertAlign w:val="subscript"/>
              </w:rPr>
              <w:t>2</w:t>
            </w:r>
          </w:p>
        </w:tc>
        <w:tc>
          <w:tcPr>
            <w:tcW w:w="443" w:type="pct"/>
            <w:vAlign w:val="center"/>
          </w:tcPr>
          <w:p>
            <w:pPr>
              <w:spacing w:line="240" w:lineRule="auto"/>
              <w:ind w:firstLine="0" w:firstLineChars="0"/>
              <w:jc w:val="center"/>
              <w:rPr>
                <w:sz w:val="21"/>
                <w:szCs w:val="21"/>
              </w:rPr>
            </w:pPr>
            <w:r>
              <w:rPr>
                <w:sz w:val="21"/>
                <w:szCs w:val="21"/>
              </w:rPr>
              <w:t>B</w:t>
            </w:r>
            <w:r>
              <w:rPr>
                <w:sz w:val="21"/>
                <w:szCs w:val="21"/>
                <w:vertAlign w:val="subscript"/>
              </w:rPr>
              <w:t>2</w:t>
            </w:r>
            <w:r>
              <w:rPr>
                <w:sz w:val="21"/>
                <w:szCs w:val="21"/>
              </w:rPr>
              <w:t>O</w:t>
            </w:r>
            <w:r>
              <w:rPr>
                <w:sz w:val="21"/>
                <w:szCs w:val="21"/>
                <w:vertAlign w:val="subscript"/>
              </w:rPr>
              <w:t>3</w:t>
            </w:r>
          </w:p>
        </w:tc>
        <w:tc>
          <w:tcPr>
            <w:tcW w:w="443" w:type="pct"/>
            <w:vAlign w:val="center"/>
          </w:tcPr>
          <w:p>
            <w:pPr>
              <w:spacing w:line="240" w:lineRule="auto"/>
              <w:ind w:firstLine="0" w:firstLineChars="0"/>
              <w:jc w:val="center"/>
              <w:rPr>
                <w:sz w:val="21"/>
                <w:szCs w:val="21"/>
              </w:rPr>
            </w:pPr>
            <w:r>
              <w:rPr>
                <w:sz w:val="21"/>
                <w:szCs w:val="21"/>
              </w:rPr>
              <w:t>BaO</w:t>
            </w:r>
          </w:p>
        </w:tc>
        <w:tc>
          <w:tcPr>
            <w:tcW w:w="443" w:type="pct"/>
            <w:vAlign w:val="center"/>
          </w:tcPr>
          <w:p>
            <w:pPr>
              <w:spacing w:line="240" w:lineRule="auto"/>
              <w:ind w:firstLine="0" w:firstLineChars="0"/>
              <w:jc w:val="center"/>
              <w:rPr>
                <w:sz w:val="21"/>
                <w:szCs w:val="21"/>
              </w:rPr>
            </w:pPr>
            <w:r>
              <w:rPr>
                <w:sz w:val="21"/>
                <w:szCs w:val="21"/>
              </w:rPr>
              <w:t>LiO</w:t>
            </w:r>
            <w:r>
              <w:rPr>
                <w:sz w:val="21"/>
                <w:szCs w:val="21"/>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86" w:type="pct"/>
            <w:vMerge w:val="restart"/>
            <w:vAlign w:val="center"/>
          </w:tcPr>
          <w:p>
            <w:pPr>
              <w:spacing w:line="240" w:lineRule="auto"/>
              <w:ind w:firstLine="0" w:firstLineChars="0"/>
              <w:jc w:val="center"/>
              <w:rPr>
                <w:sz w:val="21"/>
                <w:szCs w:val="21"/>
              </w:rPr>
            </w:pPr>
            <w:r>
              <w:rPr>
                <w:sz w:val="21"/>
                <w:szCs w:val="21"/>
              </w:rPr>
              <w:t>微晶大板、抛光砖、洁具釉料</w:t>
            </w:r>
          </w:p>
        </w:tc>
        <w:tc>
          <w:tcPr>
            <w:tcW w:w="260" w:type="pct"/>
            <w:vAlign w:val="center"/>
          </w:tcPr>
          <w:p>
            <w:pPr>
              <w:spacing w:line="240" w:lineRule="auto"/>
              <w:ind w:firstLine="0" w:firstLineChars="0"/>
              <w:jc w:val="center"/>
              <w:rPr>
                <w:sz w:val="21"/>
                <w:szCs w:val="21"/>
              </w:rPr>
            </w:pPr>
            <w:r>
              <w:rPr>
                <w:sz w:val="21"/>
                <w:szCs w:val="21"/>
              </w:rPr>
              <w:t>55.3</w:t>
            </w:r>
          </w:p>
        </w:tc>
        <w:tc>
          <w:tcPr>
            <w:tcW w:w="372" w:type="pct"/>
            <w:vAlign w:val="center"/>
          </w:tcPr>
          <w:p>
            <w:pPr>
              <w:spacing w:line="240" w:lineRule="auto"/>
              <w:ind w:firstLine="0" w:firstLineChars="0"/>
              <w:jc w:val="center"/>
              <w:rPr>
                <w:sz w:val="21"/>
                <w:szCs w:val="21"/>
              </w:rPr>
            </w:pPr>
            <w:r>
              <w:rPr>
                <w:sz w:val="21"/>
                <w:szCs w:val="21"/>
              </w:rPr>
              <w:t>27.53</w:t>
            </w:r>
          </w:p>
        </w:tc>
        <w:tc>
          <w:tcPr>
            <w:tcW w:w="373" w:type="pct"/>
            <w:vAlign w:val="center"/>
          </w:tcPr>
          <w:p>
            <w:pPr>
              <w:spacing w:line="240" w:lineRule="auto"/>
              <w:ind w:firstLine="0" w:firstLineChars="0"/>
              <w:jc w:val="center"/>
              <w:rPr>
                <w:sz w:val="21"/>
                <w:szCs w:val="21"/>
              </w:rPr>
            </w:pPr>
            <w:r>
              <w:rPr>
                <w:sz w:val="21"/>
                <w:szCs w:val="21"/>
              </w:rPr>
              <w:t>0.18</w:t>
            </w:r>
          </w:p>
        </w:tc>
        <w:tc>
          <w:tcPr>
            <w:tcW w:w="324" w:type="pct"/>
            <w:vAlign w:val="center"/>
          </w:tcPr>
          <w:p>
            <w:pPr>
              <w:spacing w:line="240" w:lineRule="auto"/>
              <w:ind w:firstLine="0" w:firstLineChars="0"/>
              <w:jc w:val="center"/>
              <w:rPr>
                <w:sz w:val="21"/>
                <w:szCs w:val="21"/>
              </w:rPr>
            </w:pPr>
            <w:r>
              <w:rPr>
                <w:sz w:val="21"/>
                <w:szCs w:val="21"/>
              </w:rPr>
              <w:t>0.09</w:t>
            </w:r>
          </w:p>
        </w:tc>
        <w:tc>
          <w:tcPr>
            <w:tcW w:w="311" w:type="pct"/>
            <w:vAlign w:val="center"/>
          </w:tcPr>
          <w:p>
            <w:pPr>
              <w:spacing w:line="240" w:lineRule="auto"/>
              <w:ind w:firstLine="0" w:firstLineChars="0"/>
              <w:jc w:val="center"/>
              <w:rPr>
                <w:sz w:val="21"/>
                <w:szCs w:val="21"/>
              </w:rPr>
            </w:pPr>
            <w:r>
              <w:rPr>
                <w:sz w:val="21"/>
                <w:szCs w:val="21"/>
              </w:rPr>
              <w:t>1.07</w:t>
            </w:r>
          </w:p>
        </w:tc>
        <w:tc>
          <w:tcPr>
            <w:tcW w:w="343" w:type="pct"/>
            <w:vAlign w:val="center"/>
          </w:tcPr>
          <w:p>
            <w:pPr>
              <w:spacing w:line="240" w:lineRule="auto"/>
              <w:ind w:firstLine="0" w:firstLineChars="0"/>
              <w:jc w:val="center"/>
              <w:rPr>
                <w:sz w:val="21"/>
                <w:szCs w:val="21"/>
              </w:rPr>
            </w:pPr>
            <w:r>
              <w:rPr>
                <w:sz w:val="21"/>
                <w:szCs w:val="21"/>
              </w:rPr>
              <w:t>0.24</w:t>
            </w:r>
          </w:p>
        </w:tc>
        <w:tc>
          <w:tcPr>
            <w:tcW w:w="305" w:type="pct"/>
            <w:vAlign w:val="center"/>
          </w:tcPr>
          <w:p>
            <w:pPr>
              <w:spacing w:line="240" w:lineRule="auto"/>
              <w:ind w:firstLine="0" w:firstLineChars="0"/>
              <w:jc w:val="center"/>
              <w:rPr>
                <w:sz w:val="21"/>
                <w:szCs w:val="21"/>
              </w:rPr>
            </w:pPr>
            <w:r>
              <w:rPr>
                <w:sz w:val="21"/>
                <w:szCs w:val="21"/>
              </w:rPr>
              <w:t>2.66</w:t>
            </w:r>
          </w:p>
        </w:tc>
        <w:tc>
          <w:tcPr>
            <w:tcW w:w="356" w:type="pct"/>
            <w:vAlign w:val="center"/>
          </w:tcPr>
          <w:p>
            <w:pPr>
              <w:spacing w:line="240" w:lineRule="auto"/>
              <w:ind w:firstLine="0" w:firstLineChars="0"/>
              <w:jc w:val="center"/>
              <w:rPr>
                <w:sz w:val="21"/>
                <w:szCs w:val="21"/>
              </w:rPr>
            </w:pPr>
            <w:r>
              <w:rPr>
                <w:sz w:val="21"/>
                <w:szCs w:val="21"/>
              </w:rPr>
              <w:t>4.39</w:t>
            </w:r>
          </w:p>
        </w:tc>
        <w:tc>
          <w:tcPr>
            <w:tcW w:w="443" w:type="pct"/>
            <w:vAlign w:val="center"/>
          </w:tcPr>
          <w:p>
            <w:pPr>
              <w:spacing w:line="240" w:lineRule="auto"/>
              <w:ind w:firstLine="0" w:firstLineChars="0"/>
              <w:jc w:val="center"/>
              <w:rPr>
                <w:sz w:val="21"/>
                <w:szCs w:val="21"/>
              </w:rPr>
            </w:pPr>
            <w:r>
              <w:rPr>
                <w:sz w:val="21"/>
                <w:szCs w:val="21"/>
              </w:rPr>
              <w:t>6.77</w:t>
            </w:r>
          </w:p>
        </w:tc>
        <w:tc>
          <w:tcPr>
            <w:tcW w:w="443" w:type="pct"/>
            <w:vAlign w:val="center"/>
          </w:tcPr>
          <w:p>
            <w:pPr>
              <w:spacing w:line="240" w:lineRule="auto"/>
              <w:ind w:firstLine="0" w:firstLineChars="0"/>
              <w:jc w:val="center"/>
              <w:rPr>
                <w:sz w:val="21"/>
                <w:szCs w:val="21"/>
              </w:rPr>
            </w:pPr>
            <w:r>
              <w:rPr>
                <w:sz w:val="21"/>
                <w:szCs w:val="21"/>
              </w:rPr>
              <w:t>&lt;0.05</w:t>
            </w:r>
          </w:p>
        </w:tc>
        <w:tc>
          <w:tcPr>
            <w:tcW w:w="443" w:type="pct"/>
            <w:vAlign w:val="center"/>
          </w:tcPr>
          <w:p>
            <w:pPr>
              <w:spacing w:line="240" w:lineRule="auto"/>
              <w:ind w:firstLine="0" w:firstLineChars="0"/>
              <w:jc w:val="center"/>
              <w:rPr>
                <w:sz w:val="21"/>
                <w:szCs w:val="21"/>
              </w:rPr>
            </w:pPr>
            <w:r>
              <w:rPr>
                <w:sz w:val="21"/>
                <w:szCs w:val="21"/>
              </w:rPr>
              <w:t>&lt;0.05</w:t>
            </w:r>
          </w:p>
        </w:tc>
        <w:tc>
          <w:tcPr>
            <w:tcW w:w="443" w:type="pct"/>
            <w:vAlign w:val="center"/>
          </w:tcPr>
          <w:p>
            <w:pPr>
              <w:spacing w:line="240" w:lineRule="auto"/>
              <w:ind w:firstLine="0" w:firstLineChars="0"/>
              <w:jc w:val="center"/>
              <w:rPr>
                <w:sz w:val="21"/>
                <w:szCs w:val="21"/>
              </w:rPr>
            </w:pPr>
            <w:r>
              <w:rPr>
                <w:sz w:val="21"/>
                <w:szCs w:val="21"/>
              </w:rPr>
              <w:t>&lt;0.01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86" w:type="pct"/>
            <w:vMerge w:val="continue"/>
            <w:vAlign w:val="center"/>
          </w:tcPr>
          <w:p>
            <w:pPr>
              <w:spacing w:line="240" w:lineRule="auto"/>
              <w:ind w:firstLine="0" w:firstLineChars="0"/>
              <w:jc w:val="center"/>
              <w:rPr>
                <w:sz w:val="21"/>
                <w:szCs w:val="21"/>
              </w:rPr>
            </w:pPr>
          </w:p>
        </w:tc>
        <w:tc>
          <w:tcPr>
            <w:tcW w:w="260" w:type="pct"/>
            <w:vAlign w:val="center"/>
          </w:tcPr>
          <w:p>
            <w:pPr>
              <w:spacing w:line="240" w:lineRule="auto"/>
              <w:ind w:firstLine="0" w:firstLineChars="0"/>
              <w:jc w:val="center"/>
              <w:rPr>
                <w:sz w:val="21"/>
                <w:szCs w:val="21"/>
              </w:rPr>
            </w:pPr>
            <w:r>
              <w:rPr>
                <w:sz w:val="21"/>
                <w:szCs w:val="21"/>
              </w:rPr>
              <w:t>PbO</w:t>
            </w:r>
          </w:p>
        </w:tc>
        <w:tc>
          <w:tcPr>
            <w:tcW w:w="372" w:type="pct"/>
            <w:vAlign w:val="center"/>
          </w:tcPr>
          <w:p>
            <w:pPr>
              <w:spacing w:line="240" w:lineRule="auto"/>
              <w:ind w:firstLine="0" w:firstLineChars="0"/>
              <w:jc w:val="center"/>
              <w:rPr>
                <w:sz w:val="21"/>
                <w:szCs w:val="21"/>
              </w:rPr>
            </w:pPr>
            <w:r>
              <w:rPr>
                <w:sz w:val="21"/>
                <w:szCs w:val="21"/>
              </w:rPr>
              <w:t>ZnO</w:t>
            </w:r>
          </w:p>
        </w:tc>
        <w:tc>
          <w:tcPr>
            <w:tcW w:w="373" w:type="pct"/>
            <w:vAlign w:val="center"/>
          </w:tcPr>
          <w:p>
            <w:pPr>
              <w:spacing w:line="240" w:lineRule="auto"/>
              <w:ind w:firstLine="0" w:firstLineChars="0"/>
              <w:jc w:val="center"/>
              <w:rPr>
                <w:sz w:val="21"/>
                <w:szCs w:val="21"/>
              </w:rPr>
            </w:pPr>
            <w:r>
              <w:rPr>
                <w:sz w:val="21"/>
                <w:szCs w:val="21"/>
              </w:rPr>
              <w:t>SrO</w:t>
            </w:r>
          </w:p>
        </w:tc>
        <w:tc>
          <w:tcPr>
            <w:tcW w:w="324" w:type="pct"/>
            <w:vAlign w:val="center"/>
          </w:tcPr>
          <w:p>
            <w:pPr>
              <w:spacing w:line="240" w:lineRule="auto"/>
              <w:ind w:firstLine="0" w:firstLineChars="0"/>
              <w:jc w:val="center"/>
              <w:rPr>
                <w:sz w:val="21"/>
                <w:szCs w:val="21"/>
              </w:rPr>
            </w:pPr>
            <w:r>
              <w:rPr>
                <w:sz w:val="21"/>
                <w:szCs w:val="21"/>
              </w:rPr>
              <w:t>MnO</w:t>
            </w:r>
          </w:p>
        </w:tc>
        <w:tc>
          <w:tcPr>
            <w:tcW w:w="311" w:type="pct"/>
            <w:vAlign w:val="center"/>
          </w:tcPr>
          <w:p>
            <w:pPr>
              <w:spacing w:line="240" w:lineRule="auto"/>
              <w:ind w:firstLine="0" w:firstLineChars="0"/>
              <w:jc w:val="center"/>
              <w:rPr>
                <w:sz w:val="21"/>
                <w:szCs w:val="21"/>
              </w:rPr>
            </w:pPr>
            <w:r>
              <w:rPr>
                <w:sz w:val="21"/>
                <w:szCs w:val="21"/>
              </w:rPr>
              <w:t>Rb</w:t>
            </w:r>
            <w:r>
              <w:rPr>
                <w:sz w:val="21"/>
                <w:szCs w:val="21"/>
                <w:vertAlign w:val="subscript"/>
              </w:rPr>
              <w:t>2</w:t>
            </w:r>
            <w:r>
              <w:rPr>
                <w:sz w:val="21"/>
                <w:szCs w:val="21"/>
              </w:rPr>
              <w:t>O</w:t>
            </w:r>
          </w:p>
        </w:tc>
        <w:tc>
          <w:tcPr>
            <w:tcW w:w="343" w:type="pct"/>
            <w:vAlign w:val="center"/>
          </w:tcPr>
          <w:p>
            <w:pPr>
              <w:spacing w:line="240" w:lineRule="auto"/>
              <w:ind w:firstLine="0" w:firstLineChars="0"/>
              <w:jc w:val="center"/>
              <w:rPr>
                <w:sz w:val="21"/>
                <w:szCs w:val="21"/>
              </w:rPr>
            </w:pPr>
            <w:r>
              <w:rPr>
                <w:sz w:val="21"/>
                <w:szCs w:val="21"/>
              </w:rPr>
              <w:t>Cs</w:t>
            </w:r>
            <w:r>
              <w:rPr>
                <w:sz w:val="21"/>
                <w:szCs w:val="21"/>
                <w:vertAlign w:val="subscript"/>
              </w:rPr>
              <w:t>2</w:t>
            </w:r>
            <w:r>
              <w:rPr>
                <w:sz w:val="21"/>
                <w:szCs w:val="21"/>
              </w:rPr>
              <w:t>O</w:t>
            </w:r>
          </w:p>
        </w:tc>
        <w:tc>
          <w:tcPr>
            <w:tcW w:w="305" w:type="pct"/>
            <w:vAlign w:val="center"/>
          </w:tcPr>
          <w:p>
            <w:pPr>
              <w:spacing w:line="240" w:lineRule="auto"/>
              <w:ind w:firstLine="0" w:firstLineChars="0"/>
              <w:jc w:val="center"/>
              <w:rPr>
                <w:sz w:val="21"/>
                <w:szCs w:val="21"/>
              </w:rPr>
            </w:pPr>
            <w:r>
              <w:rPr>
                <w:sz w:val="21"/>
                <w:szCs w:val="21"/>
              </w:rPr>
              <w:t>CdO</w:t>
            </w:r>
          </w:p>
        </w:tc>
        <w:tc>
          <w:tcPr>
            <w:tcW w:w="356" w:type="pct"/>
            <w:vAlign w:val="center"/>
          </w:tcPr>
          <w:p>
            <w:pPr>
              <w:spacing w:line="240" w:lineRule="auto"/>
              <w:ind w:firstLine="0" w:firstLineChars="0"/>
              <w:jc w:val="center"/>
              <w:rPr>
                <w:sz w:val="21"/>
                <w:szCs w:val="21"/>
              </w:rPr>
            </w:pPr>
            <w:r>
              <w:rPr>
                <w:sz w:val="21"/>
                <w:szCs w:val="21"/>
              </w:rPr>
              <w:t>P</w:t>
            </w:r>
            <w:r>
              <w:rPr>
                <w:sz w:val="21"/>
                <w:szCs w:val="21"/>
                <w:vertAlign w:val="subscript"/>
              </w:rPr>
              <w:t>2</w:t>
            </w:r>
            <w:r>
              <w:rPr>
                <w:sz w:val="21"/>
                <w:szCs w:val="21"/>
              </w:rPr>
              <w:t>O</w:t>
            </w:r>
            <w:r>
              <w:rPr>
                <w:sz w:val="21"/>
                <w:szCs w:val="21"/>
                <w:vertAlign w:val="subscript"/>
              </w:rPr>
              <w:t>5</w:t>
            </w:r>
          </w:p>
        </w:tc>
        <w:tc>
          <w:tcPr>
            <w:tcW w:w="443" w:type="pct"/>
            <w:vAlign w:val="center"/>
          </w:tcPr>
          <w:p>
            <w:pPr>
              <w:spacing w:line="240" w:lineRule="auto"/>
              <w:ind w:firstLine="0" w:firstLineChars="0"/>
              <w:jc w:val="center"/>
              <w:rPr>
                <w:sz w:val="21"/>
                <w:szCs w:val="21"/>
              </w:rPr>
            </w:pPr>
            <w:r>
              <w:rPr>
                <w:sz w:val="21"/>
                <w:szCs w:val="21"/>
              </w:rPr>
              <w:t xml:space="preserve">F </w:t>
            </w:r>
          </w:p>
        </w:tc>
        <w:tc>
          <w:tcPr>
            <w:tcW w:w="443" w:type="pct"/>
            <w:vAlign w:val="center"/>
          </w:tcPr>
          <w:p>
            <w:pPr>
              <w:spacing w:line="240" w:lineRule="auto"/>
              <w:ind w:firstLine="0" w:firstLineChars="0"/>
              <w:jc w:val="center"/>
              <w:rPr>
                <w:sz w:val="21"/>
                <w:szCs w:val="21"/>
              </w:rPr>
            </w:pPr>
            <w:r>
              <w:rPr>
                <w:sz w:val="21"/>
                <w:szCs w:val="21"/>
              </w:rPr>
              <w:t>SO</w:t>
            </w:r>
            <w:r>
              <w:rPr>
                <w:sz w:val="21"/>
                <w:szCs w:val="21"/>
                <w:vertAlign w:val="subscript"/>
              </w:rPr>
              <w:t>3</w:t>
            </w:r>
          </w:p>
        </w:tc>
        <w:tc>
          <w:tcPr>
            <w:tcW w:w="443" w:type="pct"/>
            <w:vAlign w:val="center"/>
          </w:tcPr>
          <w:p>
            <w:pPr>
              <w:spacing w:line="240" w:lineRule="auto"/>
              <w:ind w:firstLine="0" w:firstLineChars="0"/>
              <w:jc w:val="center"/>
              <w:rPr>
                <w:sz w:val="21"/>
                <w:szCs w:val="21"/>
              </w:rPr>
            </w:pPr>
            <w:r>
              <w:rPr>
                <w:sz w:val="21"/>
                <w:szCs w:val="21"/>
              </w:rPr>
              <w:t>烧损量</w:t>
            </w:r>
          </w:p>
        </w:tc>
        <w:tc>
          <w:tcPr>
            <w:tcW w:w="443" w:type="pct"/>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86" w:type="pct"/>
            <w:vMerge w:val="continue"/>
            <w:vAlign w:val="center"/>
          </w:tcPr>
          <w:p>
            <w:pPr>
              <w:spacing w:line="240" w:lineRule="auto"/>
              <w:ind w:firstLine="0" w:firstLineChars="0"/>
              <w:jc w:val="center"/>
              <w:rPr>
                <w:sz w:val="21"/>
                <w:szCs w:val="21"/>
              </w:rPr>
            </w:pPr>
          </w:p>
        </w:tc>
        <w:tc>
          <w:tcPr>
            <w:tcW w:w="260" w:type="pct"/>
            <w:vAlign w:val="center"/>
          </w:tcPr>
          <w:p>
            <w:pPr>
              <w:spacing w:line="240" w:lineRule="auto"/>
              <w:ind w:firstLine="0" w:firstLineChars="0"/>
              <w:jc w:val="center"/>
              <w:rPr>
                <w:sz w:val="21"/>
                <w:szCs w:val="21"/>
              </w:rPr>
            </w:pPr>
            <w:r>
              <w:rPr>
                <w:sz w:val="21"/>
                <w:szCs w:val="21"/>
              </w:rPr>
              <w:t>&lt;0.01</w:t>
            </w:r>
          </w:p>
        </w:tc>
        <w:tc>
          <w:tcPr>
            <w:tcW w:w="372" w:type="pct"/>
            <w:vAlign w:val="center"/>
          </w:tcPr>
          <w:p>
            <w:pPr>
              <w:spacing w:line="240" w:lineRule="auto"/>
              <w:ind w:firstLine="0" w:firstLineChars="0"/>
              <w:jc w:val="center"/>
              <w:rPr>
                <w:sz w:val="21"/>
                <w:szCs w:val="21"/>
              </w:rPr>
            </w:pPr>
            <w:r>
              <w:rPr>
                <w:sz w:val="21"/>
                <w:szCs w:val="21"/>
              </w:rPr>
              <w:t>0.02</w:t>
            </w:r>
          </w:p>
        </w:tc>
        <w:tc>
          <w:tcPr>
            <w:tcW w:w="373" w:type="pct"/>
            <w:vAlign w:val="center"/>
          </w:tcPr>
          <w:p>
            <w:pPr>
              <w:spacing w:line="240" w:lineRule="auto"/>
              <w:ind w:firstLine="0" w:firstLineChars="0"/>
              <w:jc w:val="center"/>
              <w:rPr>
                <w:sz w:val="21"/>
                <w:szCs w:val="21"/>
              </w:rPr>
            </w:pPr>
            <w:r>
              <w:rPr>
                <w:sz w:val="21"/>
                <w:szCs w:val="21"/>
              </w:rPr>
              <w:t>&lt;0.01</w:t>
            </w:r>
          </w:p>
        </w:tc>
        <w:tc>
          <w:tcPr>
            <w:tcW w:w="324" w:type="pct"/>
            <w:vAlign w:val="center"/>
          </w:tcPr>
          <w:p>
            <w:pPr>
              <w:spacing w:line="240" w:lineRule="auto"/>
              <w:ind w:firstLine="0" w:firstLineChars="0"/>
              <w:jc w:val="center"/>
              <w:rPr>
                <w:sz w:val="21"/>
                <w:szCs w:val="21"/>
              </w:rPr>
            </w:pPr>
            <w:r>
              <w:rPr>
                <w:sz w:val="21"/>
                <w:szCs w:val="21"/>
              </w:rPr>
              <w:t>&lt;0.01</w:t>
            </w:r>
          </w:p>
        </w:tc>
        <w:tc>
          <w:tcPr>
            <w:tcW w:w="311" w:type="pct"/>
            <w:vAlign w:val="center"/>
          </w:tcPr>
          <w:p>
            <w:pPr>
              <w:spacing w:line="240" w:lineRule="auto"/>
              <w:ind w:firstLine="0" w:firstLineChars="0"/>
              <w:jc w:val="center"/>
              <w:rPr>
                <w:sz w:val="21"/>
                <w:szCs w:val="21"/>
              </w:rPr>
            </w:pPr>
            <w:r>
              <w:rPr>
                <w:sz w:val="21"/>
                <w:szCs w:val="21"/>
              </w:rPr>
              <w:t>&lt;0.01</w:t>
            </w:r>
          </w:p>
        </w:tc>
        <w:tc>
          <w:tcPr>
            <w:tcW w:w="343" w:type="pct"/>
            <w:vAlign w:val="center"/>
          </w:tcPr>
          <w:p>
            <w:pPr>
              <w:spacing w:line="240" w:lineRule="auto"/>
              <w:ind w:firstLine="0" w:firstLineChars="0"/>
              <w:jc w:val="center"/>
              <w:rPr>
                <w:sz w:val="21"/>
                <w:szCs w:val="21"/>
              </w:rPr>
            </w:pPr>
            <w:r>
              <w:rPr>
                <w:sz w:val="21"/>
                <w:szCs w:val="21"/>
              </w:rPr>
              <w:t>&lt;0.01</w:t>
            </w:r>
          </w:p>
        </w:tc>
        <w:tc>
          <w:tcPr>
            <w:tcW w:w="305" w:type="pct"/>
            <w:vAlign w:val="center"/>
          </w:tcPr>
          <w:p>
            <w:pPr>
              <w:spacing w:line="240" w:lineRule="auto"/>
              <w:ind w:firstLine="0" w:firstLineChars="0"/>
              <w:jc w:val="center"/>
              <w:rPr>
                <w:sz w:val="21"/>
                <w:szCs w:val="21"/>
              </w:rPr>
            </w:pPr>
            <w:r>
              <w:rPr>
                <w:sz w:val="21"/>
                <w:szCs w:val="21"/>
              </w:rPr>
              <w:t>&lt;0.01</w:t>
            </w:r>
          </w:p>
        </w:tc>
        <w:tc>
          <w:tcPr>
            <w:tcW w:w="356" w:type="pct"/>
            <w:vAlign w:val="center"/>
          </w:tcPr>
          <w:p>
            <w:pPr>
              <w:spacing w:line="240" w:lineRule="auto"/>
              <w:ind w:firstLine="0" w:firstLineChars="0"/>
              <w:jc w:val="center"/>
              <w:rPr>
                <w:sz w:val="21"/>
                <w:szCs w:val="21"/>
              </w:rPr>
            </w:pPr>
            <w:r>
              <w:rPr>
                <w:sz w:val="21"/>
                <w:szCs w:val="21"/>
              </w:rPr>
              <w:t>0.25</w:t>
            </w:r>
          </w:p>
        </w:tc>
        <w:tc>
          <w:tcPr>
            <w:tcW w:w="443" w:type="pct"/>
            <w:vAlign w:val="center"/>
          </w:tcPr>
          <w:p>
            <w:pPr>
              <w:spacing w:line="240" w:lineRule="auto"/>
              <w:ind w:firstLine="0" w:firstLineChars="0"/>
              <w:jc w:val="center"/>
              <w:rPr>
                <w:sz w:val="21"/>
                <w:szCs w:val="21"/>
              </w:rPr>
            </w:pPr>
            <w:r>
              <w:rPr>
                <w:sz w:val="21"/>
                <w:szCs w:val="21"/>
              </w:rPr>
              <w:t>&lt;0.05</w:t>
            </w:r>
          </w:p>
        </w:tc>
        <w:tc>
          <w:tcPr>
            <w:tcW w:w="443" w:type="pct"/>
            <w:vAlign w:val="center"/>
          </w:tcPr>
          <w:p>
            <w:pPr>
              <w:spacing w:line="240" w:lineRule="auto"/>
              <w:ind w:firstLine="0" w:firstLineChars="0"/>
              <w:jc w:val="center"/>
              <w:rPr>
                <w:sz w:val="21"/>
                <w:szCs w:val="21"/>
              </w:rPr>
            </w:pPr>
            <w:r>
              <w:rPr>
                <w:sz w:val="21"/>
                <w:szCs w:val="21"/>
              </w:rPr>
              <w:t>0.15</w:t>
            </w:r>
          </w:p>
        </w:tc>
        <w:tc>
          <w:tcPr>
            <w:tcW w:w="443" w:type="pct"/>
            <w:vAlign w:val="center"/>
          </w:tcPr>
          <w:p>
            <w:pPr>
              <w:spacing w:line="240" w:lineRule="auto"/>
              <w:ind w:firstLine="0" w:firstLineChars="0"/>
              <w:jc w:val="center"/>
              <w:rPr>
                <w:sz w:val="21"/>
                <w:szCs w:val="21"/>
              </w:rPr>
            </w:pPr>
            <w:r>
              <w:rPr>
                <w:sz w:val="21"/>
                <w:szCs w:val="21"/>
              </w:rPr>
              <w:t>1.3</w:t>
            </w:r>
          </w:p>
        </w:tc>
        <w:tc>
          <w:tcPr>
            <w:tcW w:w="443" w:type="pct"/>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Merge w:val="restart"/>
            <w:vAlign w:val="center"/>
          </w:tcPr>
          <w:p>
            <w:pPr>
              <w:spacing w:line="240" w:lineRule="auto"/>
              <w:ind w:firstLine="0" w:firstLineChars="0"/>
              <w:jc w:val="center"/>
              <w:rPr>
                <w:sz w:val="21"/>
                <w:szCs w:val="21"/>
              </w:rPr>
            </w:pPr>
            <w:r>
              <w:rPr>
                <w:sz w:val="21"/>
                <w:szCs w:val="21"/>
              </w:rPr>
              <w:t>仿古/抛釉砖釉料</w:t>
            </w:r>
          </w:p>
        </w:tc>
        <w:tc>
          <w:tcPr>
            <w:tcW w:w="260" w:type="pct"/>
            <w:vAlign w:val="center"/>
          </w:tcPr>
          <w:p>
            <w:pPr>
              <w:spacing w:line="240" w:lineRule="auto"/>
              <w:ind w:firstLine="0" w:firstLineChars="0"/>
              <w:jc w:val="center"/>
              <w:rPr>
                <w:sz w:val="21"/>
                <w:szCs w:val="21"/>
              </w:rPr>
            </w:pPr>
            <w:r>
              <w:rPr>
                <w:sz w:val="21"/>
                <w:szCs w:val="21"/>
              </w:rPr>
              <w:t>SiO</w:t>
            </w:r>
            <w:r>
              <w:rPr>
                <w:sz w:val="21"/>
                <w:szCs w:val="21"/>
                <w:vertAlign w:val="subscript"/>
              </w:rPr>
              <w:t>2</w:t>
            </w:r>
          </w:p>
        </w:tc>
        <w:tc>
          <w:tcPr>
            <w:tcW w:w="372" w:type="pct"/>
            <w:vAlign w:val="center"/>
          </w:tcPr>
          <w:p>
            <w:pPr>
              <w:spacing w:line="240" w:lineRule="auto"/>
              <w:ind w:firstLine="0" w:firstLineChars="0"/>
              <w:jc w:val="center"/>
              <w:rPr>
                <w:sz w:val="21"/>
                <w:szCs w:val="21"/>
              </w:rPr>
            </w:pPr>
            <w:r>
              <w:rPr>
                <w:sz w:val="21"/>
                <w:szCs w:val="21"/>
              </w:rPr>
              <w:t>Al</w:t>
            </w:r>
            <w:r>
              <w:rPr>
                <w:sz w:val="21"/>
                <w:szCs w:val="21"/>
                <w:vertAlign w:val="subscript"/>
              </w:rPr>
              <w:t>2</w:t>
            </w:r>
            <w:r>
              <w:rPr>
                <w:sz w:val="21"/>
                <w:szCs w:val="21"/>
              </w:rPr>
              <w:t>O</w:t>
            </w:r>
            <w:r>
              <w:rPr>
                <w:sz w:val="21"/>
                <w:szCs w:val="21"/>
                <w:vertAlign w:val="subscript"/>
              </w:rPr>
              <w:t>3</w:t>
            </w:r>
          </w:p>
        </w:tc>
        <w:tc>
          <w:tcPr>
            <w:tcW w:w="373" w:type="pct"/>
            <w:vAlign w:val="center"/>
          </w:tcPr>
          <w:p>
            <w:pPr>
              <w:spacing w:line="240" w:lineRule="auto"/>
              <w:ind w:firstLine="0" w:firstLineChars="0"/>
              <w:jc w:val="center"/>
              <w:rPr>
                <w:sz w:val="21"/>
                <w:szCs w:val="21"/>
              </w:rPr>
            </w:pPr>
            <w:r>
              <w:rPr>
                <w:sz w:val="21"/>
                <w:szCs w:val="21"/>
              </w:rPr>
              <w:t>Fe</w:t>
            </w:r>
            <w:r>
              <w:rPr>
                <w:sz w:val="21"/>
                <w:szCs w:val="21"/>
                <w:vertAlign w:val="subscript"/>
              </w:rPr>
              <w:t>2</w:t>
            </w:r>
            <w:r>
              <w:rPr>
                <w:sz w:val="21"/>
                <w:szCs w:val="21"/>
              </w:rPr>
              <w:t>O</w:t>
            </w:r>
            <w:r>
              <w:rPr>
                <w:sz w:val="21"/>
                <w:szCs w:val="21"/>
                <w:vertAlign w:val="subscript"/>
              </w:rPr>
              <w:t>3</w:t>
            </w:r>
          </w:p>
        </w:tc>
        <w:tc>
          <w:tcPr>
            <w:tcW w:w="324" w:type="pct"/>
            <w:vAlign w:val="center"/>
          </w:tcPr>
          <w:p>
            <w:pPr>
              <w:spacing w:line="240" w:lineRule="auto"/>
              <w:ind w:firstLine="0" w:firstLineChars="0"/>
              <w:jc w:val="center"/>
              <w:rPr>
                <w:sz w:val="21"/>
                <w:szCs w:val="21"/>
              </w:rPr>
            </w:pPr>
            <w:r>
              <w:rPr>
                <w:sz w:val="21"/>
                <w:szCs w:val="21"/>
              </w:rPr>
              <w:t>TiO</w:t>
            </w:r>
            <w:r>
              <w:rPr>
                <w:sz w:val="21"/>
                <w:szCs w:val="21"/>
                <w:vertAlign w:val="subscript"/>
              </w:rPr>
              <w:t>2</w:t>
            </w:r>
          </w:p>
        </w:tc>
        <w:tc>
          <w:tcPr>
            <w:tcW w:w="311" w:type="pct"/>
            <w:vAlign w:val="center"/>
          </w:tcPr>
          <w:p>
            <w:pPr>
              <w:spacing w:line="240" w:lineRule="auto"/>
              <w:ind w:firstLine="0" w:firstLineChars="0"/>
              <w:jc w:val="center"/>
              <w:rPr>
                <w:sz w:val="21"/>
                <w:szCs w:val="21"/>
              </w:rPr>
            </w:pPr>
            <w:r>
              <w:rPr>
                <w:sz w:val="21"/>
                <w:szCs w:val="21"/>
              </w:rPr>
              <w:t>CaO</w:t>
            </w:r>
          </w:p>
        </w:tc>
        <w:tc>
          <w:tcPr>
            <w:tcW w:w="343" w:type="pct"/>
            <w:vAlign w:val="center"/>
          </w:tcPr>
          <w:p>
            <w:pPr>
              <w:spacing w:line="240" w:lineRule="auto"/>
              <w:ind w:firstLine="0" w:firstLineChars="0"/>
              <w:jc w:val="center"/>
              <w:rPr>
                <w:sz w:val="21"/>
                <w:szCs w:val="21"/>
              </w:rPr>
            </w:pPr>
            <w:r>
              <w:rPr>
                <w:sz w:val="21"/>
                <w:szCs w:val="21"/>
              </w:rPr>
              <w:t>MgO</w:t>
            </w:r>
          </w:p>
        </w:tc>
        <w:tc>
          <w:tcPr>
            <w:tcW w:w="305" w:type="pct"/>
            <w:vAlign w:val="center"/>
          </w:tcPr>
          <w:p>
            <w:pPr>
              <w:spacing w:line="240" w:lineRule="auto"/>
              <w:ind w:firstLine="0" w:firstLineChars="0"/>
              <w:jc w:val="center"/>
              <w:rPr>
                <w:sz w:val="21"/>
                <w:szCs w:val="21"/>
              </w:rPr>
            </w:pPr>
            <w:r>
              <w:rPr>
                <w:sz w:val="21"/>
                <w:szCs w:val="21"/>
              </w:rPr>
              <w:t>K</w:t>
            </w:r>
            <w:r>
              <w:rPr>
                <w:sz w:val="21"/>
                <w:szCs w:val="21"/>
                <w:vertAlign w:val="subscript"/>
              </w:rPr>
              <w:t>2</w:t>
            </w:r>
            <w:r>
              <w:rPr>
                <w:sz w:val="21"/>
                <w:szCs w:val="21"/>
              </w:rPr>
              <w:t>O</w:t>
            </w:r>
          </w:p>
        </w:tc>
        <w:tc>
          <w:tcPr>
            <w:tcW w:w="356" w:type="pct"/>
            <w:vAlign w:val="center"/>
          </w:tcPr>
          <w:p>
            <w:pPr>
              <w:spacing w:line="240" w:lineRule="auto"/>
              <w:ind w:firstLine="0" w:firstLineChars="0"/>
              <w:jc w:val="center"/>
              <w:rPr>
                <w:sz w:val="21"/>
                <w:szCs w:val="21"/>
              </w:rPr>
            </w:pPr>
            <w:r>
              <w:rPr>
                <w:sz w:val="21"/>
                <w:szCs w:val="21"/>
              </w:rPr>
              <w:t>Na</w:t>
            </w:r>
            <w:r>
              <w:rPr>
                <w:sz w:val="21"/>
                <w:szCs w:val="21"/>
                <w:vertAlign w:val="subscript"/>
              </w:rPr>
              <w:t>2</w:t>
            </w:r>
            <w:r>
              <w:rPr>
                <w:sz w:val="21"/>
                <w:szCs w:val="21"/>
              </w:rPr>
              <w:t>O</w:t>
            </w:r>
          </w:p>
        </w:tc>
        <w:tc>
          <w:tcPr>
            <w:tcW w:w="443" w:type="pct"/>
            <w:vAlign w:val="center"/>
          </w:tcPr>
          <w:p>
            <w:pPr>
              <w:spacing w:line="240" w:lineRule="auto"/>
              <w:ind w:firstLine="0" w:firstLineChars="0"/>
              <w:jc w:val="center"/>
              <w:rPr>
                <w:sz w:val="21"/>
                <w:szCs w:val="21"/>
              </w:rPr>
            </w:pPr>
            <w:r>
              <w:rPr>
                <w:sz w:val="21"/>
                <w:szCs w:val="21"/>
              </w:rPr>
              <w:t>Zr(HF)O</w:t>
            </w:r>
            <w:r>
              <w:rPr>
                <w:sz w:val="21"/>
                <w:szCs w:val="21"/>
                <w:vertAlign w:val="subscript"/>
              </w:rPr>
              <w:t>2</w:t>
            </w:r>
          </w:p>
        </w:tc>
        <w:tc>
          <w:tcPr>
            <w:tcW w:w="443" w:type="pct"/>
            <w:vAlign w:val="center"/>
          </w:tcPr>
          <w:p>
            <w:pPr>
              <w:spacing w:line="240" w:lineRule="auto"/>
              <w:ind w:firstLine="0" w:firstLineChars="0"/>
              <w:jc w:val="center"/>
              <w:rPr>
                <w:sz w:val="21"/>
                <w:szCs w:val="21"/>
              </w:rPr>
            </w:pPr>
            <w:r>
              <w:rPr>
                <w:sz w:val="21"/>
                <w:szCs w:val="21"/>
              </w:rPr>
              <w:t>B</w:t>
            </w:r>
            <w:r>
              <w:rPr>
                <w:sz w:val="21"/>
                <w:szCs w:val="21"/>
                <w:vertAlign w:val="subscript"/>
              </w:rPr>
              <w:t>2</w:t>
            </w:r>
            <w:r>
              <w:rPr>
                <w:sz w:val="21"/>
                <w:szCs w:val="21"/>
              </w:rPr>
              <w:t>O</w:t>
            </w:r>
            <w:r>
              <w:rPr>
                <w:sz w:val="21"/>
                <w:szCs w:val="21"/>
                <w:vertAlign w:val="subscript"/>
              </w:rPr>
              <w:t>3</w:t>
            </w:r>
          </w:p>
        </w:tc>
        <w:tc>
          <w:tcPr>
            <w:tcW w:w="443" w:type="pct"/>
            <w:vAlign w:val="center"/>
          </w:tcPr>
          <w:p>
            <w:pPr>
              <w:spacing w:line="240" w:lineRule="auto"/>
              <w:ind w:firstLine="0" w:firstLineChars="0"/>
              <w:jc w:val="center"/>
              <w:rPr>
                <w:sz w:val="21"/>
                <w:szCs w:val="21"/>
              </w:rPr>
            </w:pPr>
            <w:r>
              <w:rPr>
                <w:sz w:val="21"/>
                <w:szCs w:val="21"/>
              </w:rPr>
              <w:t>BaO</w:t>
            </w:r>
          </w:p>
        </w:tc>
        <w:tc>
          <w:tcPr>
            <w:tcW w:w="443" w:type="pct"/>
            <w:vAlign w:val="center"/>
          </w:tcPr>
          <w:p>
            <w:pPr>
              <w:spacing w:line="240" w:lineRule="auto"/>
              <w:ind w:firstLine="0" w:firstLineChars="0"/>
              <w:jc w:val="center"/>
              <w:rPr>
                <w:sz w:val="21"/>
                <w:szCs w:val="21"/>
              </w:rPr>
            </w:pPr>
            <w:r>
              <w:rPr>
                <w:sz w:val="21"/>
                <w:szCs w:val="21"/>
              </w:rPr>
              <w:t>LiO</w:t>
            </w:r>
            <w:r>
              <w:rPr>
                <w:sz w:val="21"/>
                <w:szCs w:val="21"/>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Merge w:val="continue"/>
            <w:vAlign w:val="center"/>
          </w:tcPr>
          <w:p>
            <w:pPr>
              <w:spacing w:line="240" w:lineRule="auto"/>
              <w:ind w:firstLine="0" w:firstLineChars="0"/>
              <w:jc w:val="center"/>
              <w:rPr>
                <w:sz w:val="21"/>
                <w:szCs w:val="21"/>
              </w:rPr>
            </w:pPr>
          </w:p>
        </w:tc>
        <w:tc>
          <w:tcPr>
            <w:tcW w:w="260" w:type="pct"/>
            <w:vAlign w:val="center"/>
          </w:tcPr>
          <w:p>
            <w:pPr>
              <w:spacing w:line="240" w:lineRule="auto"/>
              <w:ind w:firstLine="0" w:firstLineChars="0"/>
              <w:jc w:val="center"/>
              <w:rPr>
                <w:sz w:val="21"/>
                <w:szCs w:val="21"/>
              </w:rPr>
            </w:pPr>
            <w:r>
              <w:rPr>
                <w:sz w:val="21"/>
                <w:szCs w:val="21"/>
              </w:rPr>
              <w:t>49.05</w:t>
            </w:r>
          </w:p>
        </w:tc>
        <w:tc>
          <w:tcPr>
            <w:tcW w:w="372" w:type="pct"/>
            <w:vAlign w:val="center"/>
          </w:tcPr>
          <w:p>
            <w:pPr>
              <w:spacing w:line="240" w:lineRule="auto"/>
              <w:ind w:firstLine="0" w:firstLineChars="0"/>
              <w:jc w:val="center"/>
              <w:rPr>
                <w:sz w:val="21"/>
                <w:szCs w:val="21"/>
              </w:rPr>
            </w:pPr>
            <w:r>
              <w:rPr>
                <w:sz w:val="21"/>
                <w:szCs w:val="21"/>
              </w:rPr>
              <w:t>13.59</w:t>
            </w:r>
          </w:p>
        </w:tc>
        <w:tc>
          <w:tcPr>
            <w:tcW w:w="373" w:type="pct"/>
            <w:vAlign w:val="center"/>
          </w:tcPr>
          <w:p>
            <w:pPr>
              <w:spacing w:line="240" w:lineRule="auto"/>
              <w:ind w:firstLine="0" w:firstLineChars="0"/>
              <w:jc w:val="center"/>
              <w:rPr>
                <w:sz w:val="21"/>
                <w:szCs w:val="21"/>
              </w:rPr>
            </w:pPr>
            <w:r>
              <w:rPr>
                <w:sz w:val="21"/>
                <w:szCs w:val="21"/>
              </w:rPr>
              <w:t>0.22</w:t>
            </w:r>
          </w:p>
        </w:tc>
        <w:tc>
          <w:tcPr>
            <w:tcW w:w="324" w:type="pct"/>
            <w:vAlign w:val="center"/>
          </w:tcPr>
          <w:p>
            <w:pPr>
              <w:spacing w:line="240" w:lineRule="auto"/>
              <w:ind w:firstLine="0" w:firstLineChars="0"/>
              <w:jc w:val="center"/>
              <w:rPr>
                <w:sz w:val="21"/>
                <w:szCs w:val="21"/>
              </w:rPr>
            </w:pPr>
            <w:r>
              <w:rPr>
                <w:sz w:val="21"/>
                <w:szCs w:val="21"/>
              </w:rPr>
              <w:t>0.09</w:t>
            </w:r>
          </w:p>
        </w:tc>
        <w:tc>
          <w:tcPr>
            <w:tcW w:w="311" w:type="pct"/>
            <w:vAlign w:val="center"/>
          </w:tcPr>
          <w:p>
            <w:pPr>
              <w:spacing w:line="240" w:lineRule="auto"/>
              <w:ind w:firstLine="0" w:firstLineChars="0"/>
              <w:jc w:val="center"/>
              <w:rPr>
                <w:sz w:val="21"/>
                <w:szCs w:val="21"/>
              </w:rPr>
            </w:pPr>
            <w:r>
              <w:rPr>
                <w:sz w:val="21"/>
                <w:szCs w:val="21"/>
              </w:rPr>
              <w:t>5.2</w:t>
            </w:r>
          </w:p>
        </w:tc>
        <w:tc>
          <w:tcPr>
            <w:tcW w:w="343" w:type="pct"/>
            <w:vAlign w:val="center"/>
          </w:tcPr>
          <w:p>
            <w:pPr>
              <w:spacing w:line="240" w:lineRule="auto"/>
              <w:ind w:firstLine="0" w:firstLineChars="0"/>
              <w:jc w:val="center"/>
              <w:rPr>
                <w:sz w:val="21"/>
                <w:szCs w:val="21"/>
              </w:rPr>
            </w:pPr>
            <w:r>
              <w:rPr>
                <w:sz w:val="21"/>
                <w:szCs w:val="21"/>
              </w:rPr>
              <w:t>4.09</w:t>
            </w:r>
          </w:p>
        </w:tc>
        <w:tc>
          <w:tcPr>
            <w:tcW w:w="305" w:type="pct"/>
            <w:vAlign w:val="center"/>
          </w:tcPr>
          <w:p>
            <w:pPr>
              <w:spacing w:line="240" w:lineRule="auto"/>
              <w:ind w:firstLine="0" w:firstLineChars="0"/>
              <w:jc w:val="center"/>
              <w:rPr>
                <w:sz w:val="21"/>
                <w:szCs w:val="21"/>
              </w:rPr>
            </w:pPr>
            <w:r>
              <w:rPr>
                <w:sz w:val="21"/>
                <w:szCs w:val="21"/>
              </w:rPr>
              <w:t>0.39</w:t>
            </w:r>
          </w:p>
        </w:tc>
        <w:tc>
          <w:tcPr>
            <w:tcW w:w="356" w:type="pct"/>
            <w:vAlign w:val="center"/>
          </w:tcPr>
          <w:p>
            <w:pPr>
              <w:spacing w:line="240" w:lineRule="auto"/>
              <w:ind w:firstLine="0" w:firstLineChars="0"/>
              <w:jc w:val="center"/>
              <w:rPr>
                <w:sz w:val="21"/>
                <w:szCs w:val="21"/>
              </w:rPr>
            </w:pPr>
            <w:r>
              <w:rPr>
                <w:sz w:val="21"/>
                <w:szCs w:val="21"/>
              </w:rPr>
              <w:t>3.4</w:t>
            </w:r>
          </w:p>
        </w:tc>
        <w:tc>
          <w:tcPr>
            <w:tcW w:w="443" w:type="pct"/>
            <w:vAlign w:val="center"/>
          </w:tcPr>
          <w:p>
            <w:pPr>
              <w:spacing w:line="240" w:lineRule="auto"/>
              <w:ind w:firstLine="0" w:firstLineChars="0"/>
              <w:jc w:val="center"/>
              <w:rPr>
                <w:sz w:val="21"/>
                <w:szCs w:val="21"/>
              </w:rPr>
            </w:pPr>
            <w:r>
              <w:rPr>
                <w:sz w:val="21"/>
                <w:szCs w:val="21"/>
              </w:rPr>
              <w:t>&lt;0.01</w:t>
            </w:r>
          </w:p>
        </w:tc>
        <w:tc>
          <w:tcPr>
            <w:tcW w:w="443" w:type="pct"/>
            <w:vAlign w:val="center"/>
          </w:tcPr>
          <w:p>
            <w:pPr>
              <w:spacing w:line="240" w:lineRule="auto"/>
              <w:ind w:firstLine="0" w:firstLineChars="0"/>
              <w:jc w:val="center"/>
              <w:rPr>
                <w:sz w:val="21"/>
                <w:szCs w:val="21"/>
              </w:rPr>
            </w:pPr>
            <w:r>
              <w:rPr>
                <w:sz w:val="21"/>
                <w:szCs w:val="21"/>
              </w:rPr>
              <w:t>&lt;0.05</w:t>
            </w:r>
          </w:p>
        </w:tc>
        <w:tc>
          <w:tcPr>
            <w:tcW w:w="443" w:type="pct"/>
            <w:vAlign w:val="center"/>
          </w:tcPr>
          <w:p>
            <w:pPr>
              <w:spacing w:line="240" w:lineRule="auto"/>
              <w:ind w:firstLine="0" w:firstLineChars="0"/>
              <w:jc w:val="center"/>
              <w:rPr>
                <w:sz w:val="21"/>
                <w:szCs w:val="21"/>
              </w:rPr>
            </w:pPr>
            <w:r>
              <w:rPr>
                <w:sz w:val="21"/>
                <w:szCs w:val="21"/>
              </w:rPr>
              <w:t>0.06</w:t>
            </w:r>
          </w:p>
        </w:tc>
        <w:tc>
          <w:tcPr>
            <w:tcW w:w="443" w:type="pct"/>
            <w:vAlign w:val="center"/>
          </w:tcPr>
          <w:p>
            <w:pPr>
              <w:spacing w:line="240" w:lineRule="auto"/>
              <w:ind w:firstLine="0" w:firstLineChars="0"/>
              <w:jc w:val="center"/>
              <w:rPr>
                <w:sz w:val="21"/>
                <w:szCs w:val="21"/>
              </w:rPr>
            </w:pPr>
            <w:r>
              <w:rPr>
                <w:sz w:val="21"/>
                <w:szCs w:val="21"/>
              </w:rPr>
              <w:t>&lt;0.01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Merge w:val="continue"/>
            <w:vAlign w:val="center"/>
          </w:tcPr>
          <w:p>
            <w:pPr>
              <w:spacing w:line="240" w:lineRule="auto"/>
              <w:ind w:firstLine="0" w:firstLineChars="0"/>
              <w:jc w:val="center"/>
              <w:rPr>
                <w:sz w:val="21"/>
                <w:szCs w:val="21"/>
              </w:rPr>
            </w:pPr>
          </w:p>
        </w:tc>
        <w:tc>
          <w:tcPr>
            <w:tcW w:w="260" w:type="pct"/>
            <w:vAlign w:val="center"/>
          </w:tcPr>
          <w:p>
            <w:pPr>
              <w:spacing w:line="240" w:lineRule="auto"/>
              <w:ind w:firstLine="0" w:firstLineChars="0"/>
              <w:jc w:val="center"/>
              <w:rPr>
                <w:sz w:val="21"/>
                <w:szCs w:val="21"/>
              </w:rPr>
            </w:pPr>
            <w:r>
              <w:rPr>
                <w:sz w:val="21"/>
                <w:szCs w:val="21"/>
              </w:rPr>
              <w:t>PbO</w:t>
            </w:r>
          </w:p>
        </w:tc>
        <w:tc>
          <w:tcPr>
            <w:tcW w:w="372" w:type="pct"/>
            <w:vAlign w:val="center"/>
          </w:tcPr>
          <w:p>
            <w:pPr>
              <w:spacing w:line="240" w:lineRule="auto"/>
              <w:ind w:firstLine="0" w:firstLineChars="0"/>
              <w:jc w:val="center"/>
              <w:rPr>
                <w:sz w:val="21"/>
                <w:szCs w:val="21"/>
              </w:rPr>
            </w:pPr>
            <w:r>
              <w:rPr>
                <w:sz w:val="21"/>
                <w:szCs w:val="21"/>
              </w:rPr>
              <w:t>ZnO</w:t>
            </w:r>
          </w:p>
        </w:tc>
        <w:tc>
          <w:tcPr>
            <w:tcW w:w="373" w:type="pct"/>
            <w:vAlign w:val="center"/>
          </w:tcPr>
          <w:p>
            <w:pPr>
              <w:spacing w:line="240" w:lineRule="auto"/>
              <w:ind w:firstLine="0" w:firstLineChars="0"/>
              <w:jc w:val="center"/>
              <w:rPr>
                <w:sz w:val="21"/>
                <w:szCs w:val="21"/>
              </w:rPr>
            </w:pPr>
            <w:r>
              <w:rPr>
                <w:sz w:val="21"/>
                <w:szCs w:val="21"/>
              </w:rPr>
              <w:t>SrO</w:t>
            </w:r>
          </w:p>
        </w:tc>
        <w:tc>
          <w:tcPr>
            <w:tcW w:w="324" w:type="pct"/>
            <w:vAlign w:val="center"/>
          </w:tcPr>
          <w:p>
            <w:pPr>
              <w:spacing w:line="240" w:lineRule="auto"/>
              <w:ind w:firstLine="0" w:firstLineChars="0"/>
              <w:jc w:val="center"/>
              <w:rPr>
                <w:sz w:val="21"/>
                <w:szCs w:val="21"/>
              </w:rPr>
            </w:pPr>
            <w:r>
              <w:rPr>
                <w:sz w:val="21"/>
                <w:szCs w:val="21"/>
              </w:rPr>
              <w:t>MnO</w:t>
            </w:r>
          </w:p>
        </w:tc>
        <w:tc>
          <w:tcPr>
            <w:tcW w:w="311" w:type="pct"/>
            <w:vAlign w:val="center"/>
          </w:tcPr>
          <w:p>
            <w:pPr>
              <w:spacing w:line="240" w:lineRule="auto"/>
              <w:ind w:firstLine="0" w:firstLineChars="0"/>
              <w:jc w:val="center"/>
              <w:rPr>
                <w:sz w:val="21"/>
                <w:szCs w:val="21"/>
              </w:rPr>
            </w:pPr>
            <w:r>
              <w:rPr>
                <w:sz w:val="21"/>
                <w:szCs w:val="21"/>
              </w:rPr>
              <w:t>Rb</w:t>
            </w:r>
            <w:r>
              <w:rPr>
                <w:sz w:val="21"/>
                <w:szCs w:val="21"/>
                <w:vertAlign w:val="subscript"/>
              </w:rPr>
              <w:t>2</w:t>
            </w:r>
            <w:r>
              <w:rPr>
                <w:sz w:val="21"/>
                <w:szCs w:val="21"/>
              </w:rPr>
              <w:t>O</w:t>
            </w:r>
          </w:p>
        </w:tc>
        <w:tc>
          <w:tcPr>
            <w:tcW w:w="343" w:type="pct"/>
            <w:vAlign w:val="center"/>
          </w:tcPr>
          <w:p>
            <w:pPr>
              <w:spacing w:line="240" w:lineRule="auto"/>
              <w:ind w:firstLine="0" w:firstLineChars="0"/>
              <w:jc w:val="center"/>
              <w:rPr>
                <w:sz w:val="21"/>
                <w:szCs w:val="21"/>
              </w:rPr>
            </w:pPr>
            <w:r>
              <w:rPr>
                <w:sz w:val="21"/>
                <w:szCs w:val="21"/>
              </w:rPr>
              <w:t>Cs</w:t>
            </w:r>
            <w:r>
              <w:rPr>
                <w:sz w:val="21"/>
                <w:szCs w:val="21"/>
                <w:vertAlign w:val="subscript"/>
              </w:rPr>
              <w:t>2</w:t>
            </w:r>
            <w:r>
              <w:rPr>
                <w:sz w:val="21"/>
                <w:szCs w:val="21"/>
              </w:rPr>
              <w:t>O</w:t>
            </w:r>
          </w:p>
        </w:tc>
        <w:tc>
          <w:tcPr>
            <w:tcW w:w="305" w:type="pct"/>
            <w:vAlign w:val="center"/>
          </w:tcPr>
          <w:p>
            <w:pPr>
              <w:spacing w:line="240" w:lineRule="auto"/>
              <w:ind w:firstLine="0" w:firstLineChars="0"/>
              <w:jc w:val="center"/>
              <w:rPr>
                <w:sz w:val="21"/>
                <w:szCs w:val="21"/>
              </w:rPr>
            </w:pPr>
            <w:r>
              <w:rPr>
                <w:sz w:val="21"/>
                <w:szCs w:val="21"/>
              </w:rPr>
              <w:t>CdO</w:t>
            </w:r>
          </w:p>
        </w:tc>
        <w:tc>
          <w:tcPr>
            <w:tcW w:w="356" w:type="pct"/>
            <w:vAlign w:val="center"/>
          </w:tcPr>
          <w:p>
            <w:pPr>
              <w:spacing w:line="240" w:lineRule="auto"/>
              <w:ind w:firstLine="0" w:firstLineChars="0"/>
              <w:jc w:val="center"/>
              <w:rPr>
                <w:sz w:val="21"/>
                <w:szCs w:val="21"/>
              </w:rPr>
            </w:pPr>
            <w:r>
              <w:rPr>
                <w:sz w:val="21"/>
                <w:szCs w:val="21"/>
              </w:rPr>
              <w:t>P</w:t>
            </w:r>
            <w:r>
              <w:rPr>
                <w:sz w:val="21"/>
                <w:szCs w:val="21"/>
                <w:vertAlign w:val="subscript"/>
              </w:rPr>
              <w:t>2</w:t>
            </w:r>
            <w:r>
              <w:rPr>
                <w:sz w:val="21"/>
                <w:szCs w:val="21"/>
              </w:rPr>
              <w:t>O</w:t>
            </w:r>
            <w:r>
              <w:rPr>
                <w:sz w:val="21"/>
                <w:szCs w:val="21"/>
                <w:vertAlign w:val="subscript"/>
              </w:rPr>
              <w:t>5</w:t>
            </w:r>
          </w:p>
        </w:tc>
        <w:tc>
          <w:tcPr>
            <w:tcW w:w="443" w:type="pct"/>
            <w:vAlign w:val="center"/>
          </w:tcPr>
          <w:p>
            <w:pPr>
              <w:spacing w:line="240" w:lineRule="auto"/>
              <w:ind w:firstLine="0" w:firstLineChars="0"/>
              <w:jc w:val="center"/>
              <w:rPr>
                <w:sz w:val="21"/>
                <w:szCs w:val="21"/>
              </w:rPr>
            </w:pPr>
            <w:r>
              <w:rPr>
                <w:sz w:val="21"/>
                <w:szCs w:val="21"/>
              </w:rPr>
              <w:t xml:space="preserve">F </w:t>
            </w:r>
          </w:p>
        </w:tc>
        <w:tc>
          <w:tcPr>
            <w:tcW w:w="443" w:type="pct"/>
            <w:vAlign w:val="center"/>
          </w:tcPr>
          <w:p>
            <w:pPr>
              <w:spacing w:line="240" w:lineRule="auto"/>
              <w:ind w:firstLine="0" w:firstLineChars="0"/>
              <w:jc w:val="center"/>
              <w:rPr>
                <w:sz w:val="21"/>
                <w:szCs w:val="21"/>
              </w:rPr>
            </w:pPr>
            <w:r>
              <w:rPr>
                <w:sz w:val="21"/>
                <w:szCs w:val="21"/>
              </w:rPr>
              <w:t>SO</w:t>
            </w:r>
            <w:r>
              <w:rPr>
                <w:sz w:val="21"/>
                <w:szCs w:val="21"/>
                <w:vertAlign w:val="subscript"/>
              </w:rPr>
              <w:t>3</w:t>
            </w:r>
          </w:p>
        </w:tc>
        <w:tc>
          <w:tcPr>
            <w:tcW w:w="443" w:type="pct"/>
            <w:vAlign w:val="center"/>
          </w:tcPr>
          <w:p>
            <w:pPr>
              <w:spacing w:line="240" w:lineRule="auto"/>
              <w:ind w:firstLine="0" w:firstLineChars="0"/>
              <w:jc w:val="center"/>
              <w:rPr>
                <w:sz w:val="21"/>
                <w:szCs w:val="21"/>
              </w:rPr>
            </w:pPr>
            <w:r>
              <w:rPr>
                <w:sz w:val="21"/>
                <w:szCs w:val="21"/>
              </w:rPr>
              <w:t>烧损量</w:t>
            </w:r>
          </w:p>
        </w:tc>
        <w:tc>
          <w:tcPr>
            <w:tcW w:w="443" w:type="pct"/>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Merge w:val="continue"/>
            <w:vAlign w:val="center"/>
          </w:tcPr>
          <w:p>
            <w:pPr>
              <w:spacing w:line="240" w:lineRule="auto"/>
              <w:ind w:firstLine="0" w:firstLineChars="0"/>
              <w:jc w:val="center"/>
              <w:rPr>
                <w:sz w:val="21"/>
                <w:szCs w:val="21"/>
              </w:rPr>
            </w:pPr>
          </w:p>
        </w:tc>
        <w:tc>
          <w:tcPr>
            <w:tcW w:w="260" w:type="pct"/>
            <w:vAlign w:val="center"/>
          </w:tcPr>
          <w:p>
            <w:pPr>
              <w:spacing w:line="240" w:lineRule="auto"/>
              <w:ind w:firstLine="0" w:firstLineChars="0"/>
              <w:jc w:val="center"/>
              <w:rPr>
                <w:sz w:val="21"/>
                <w:szCs w:val="21"/>
              </w:rPr>
            </w:pPr>
            <w:r>
              <w:rPr>
                <w:sz w:val="21"/>
                <w:szCs w:val="21"/>
              </w:rPr>
              <w:t>0.04</w:t>
            </w:r>
          </w:p>
        </w:tc>
        <w:tc>
          <w:tcPr>
            <w:tcW w:w="372" w:type="pct"/>
            <w:vAlign w:val="center"/>
          </w:tcPr>
          <w:p>
            <w:pPr>
              <w:spacing w:line="240" w:lineRule="auto"/>
              <w:ind w:firstLine="0" w:firstLineChars="0"/>
              <w:jc w:val="center"/>
              <w:rPr>
                <w:sz w:val="21"/>
                <w:szCs w:val="21"/>
              </w:rPr>
            </w:pPr>
            <w:r>
              <w:rPr>
                <w:sz w:val="21"/>
                <w:szCs w:val="21"/>
              </w:rPr>
              <w:t>3.62</w:t>
            </w:r>
          </w:p>
        </w:tc>
        <w:tc>
          <w:tcPr>
            <w:tcW w:w="373" w:type="pct"/>
            <w:vAlign w:val="center"/>
          </w:tcPr>
          <w:p>
            <w:pPr>
              <w:spacing w:line="240" w:lineRule="auto"/>
              <w:ind w:firstLine="0" w:firstLineChars="0"/>
              <w:jc w:val="center"/>
              <w:rPr>
                <w:sz w:val="21"/>
                <w:szCs w:val="21"/>
              </w:rPr>
            </w:pPr>
            <w:r>
              <w:rPr>
                <w:sz w:val="21"/>
                <w:szCs w:val="21"/>
              </w:rPr>
              <w:t>7.98</w:t>
            </w:r>
          </w:p>
        </w:tc>
        <w:tc>
          <w:tcPr>
            <w:tcW w:w="324" w:type="pct"/>
            <w:vAlign w:val="center"/>
          </w:tcPr>
          <w:p>
            <w:pPr>
              <w:spacing w:line="240" w:lineRule="auto"/>
              <w:ind w:firstLine="0" w:firstLineChars="0"/>
              <w:jc w:val="center"/>
              <w:rPr>
                <w:sz w:val="21"/>
                <w:szCs w:val="21"/>
              </w:rPr>
            </w:pPr>
            <w:r>
              <w:rPr>
                <w:sz w:val="21"/>
                <w:szCs w:val="21"/>
              </w:rPr>
              <w:t>&lt;0.01</w:t>
            </w:r>
          </w:p>
        </w:tc>
        <w:tc>
          <w:tcPr>
            <w:tcW w:w="311" w:type="pct"/>
            <w:vAlign w:val="center"/>
          </w:tcPr>
          <w:p>
            <w:pPr>
              <w:spacing w:line="240" w:lineRule="auto"/>
              <w:ind w:firstLine="0" w:firstLineChars="0"/>
              <w:jc w:val="center"/>
              <w:rPr>
                <w:sz w:val="21"/>
                <w:szCs w:val="21"/>
              </w:rPr>
            </w:pPr>
            <w:r>
              <w:rPr>
                <w:sz w:val="21"/>
                <w:szCs w:val="21"/>
              </w:rPr>
              <w:t>0.04</w:t>
            </w:r>
          </w:p>
        </w:tc>
        <w:tc>
          <w:tcPr>
            <w:tcW w:w="343" w:type="pct"/>
            <w:vAlign w:val="center"/>
          </w:tcPr>
          <w:p>
            <w:pPr>
              <w:spacing w:line="240" w:lineRule="auto"/>
              <w:ind w:firstLine="0" w:firstLineChars="0"/>
              <w:jc w:val="center"/>
              <w:rPr>
                <w:sz w:val="21"/>
                <w:szCs w:val="21"/>
              </w:rPr>
            </w:pPr>
            <w:r>
              <w:rPr>
                <w:sz w:val="21"/>
                <w:szCs w:val="21"/>
              </w:rPr>
              <w:t>&lt;0.01</w:t>
            </w:r>
          </w:p>
        </w:tc>
        <w:tc>
          <w:tcPr>
            <w:tcW w:w="305" w:type="pct"/>
            <w:vAlign w:val="center"/>
          </w:tcPr>
          <w:p>
            <w:pPr>
              <w:spacing w:line="240" w:lineRule="auto"/>
              <w:ind w:firstLine="0" w:firstLineChars="0"/>
              <w:jc w:val="center"/>
              <w:rPr>
                <w:sz w:val="21"/>
                <w:szCs w:val="21"/>
              </w:rPr>
            </w:pPr>
            <w:r>
              <w:rPr>
                <w:sz w:val="21"/>
                <w:szCs w:val="21"/>
              </w:rPr>
              <w:t>&lt;0.01</w:t>
            </w:r>
          </w:p>
        </w:tc>
        <w:tc>
          <w:tcPr>
            <w:tcW w:w="356" w:type="pct"/>
            <w:vAlign w:val="center"/>
          </w:tcPr>
          <w:p>
            <w:pPr>
              <w:spacing w:line="240" w:lineRule="auto"/>
              <w:ind w:firstLine="0" w:firstLineChars="0"/>
              <w:jc w:val="center"/>
              <w:rPr>
                <w:sz w:val="21"/>
                <w:szCs w:val="21"/>
              </w:rPr>
            </w:pPr>
            <w:r>
              <w:rPr>
                <w:sz w:val="21"/>
                <w:szCs w:val="21"/>
              </w:rPr>
              <w:t>0.06</w:t>
            </w:r>
          </w:p>
        </w:tc>
        <w:tc>
          <w:tcPr>
            <w:tcW w:w="443" w:type="pct"/>
            <w:vAlign w:val="center"/>
          </w:tcPr>
          <w:p>
            <w:pPr>
              <w:spacing w:line="240" w:lineRule="auto"/>
              <w:ind w:firstLine="0" w:firstLineChars="0"/>
              <w:jc w:val="center"/>
              <w:rPr>
                <w:sz w:val="21"/>
                <w:szCs w:val="21"/>
              </w:rPr>
            </w:pPr>
            <w:r>
              <w:rPr>
                <w:sz w:val="21"/>
                <w:szCs w:val="21"/>
              </w:rPr>
              <w:t>&lt;0.05</w:t>
            </w:r>
          </w:p>
        </w:tc>
        <w:tc>
          <w:tcPr>
            <w:tcW w:w="443" w:type="pct"/>
            <w:vAlign w:val="center"/>
          </w:tcPr>
          <w:p>
            <w:pPr>
              <w:spacing w:line="240" w:lineRule="auto"/>
              <w:ind w:firstLine="0" w:firstLineChars="0"/>
              <w:jc w:val="center"/>
              <w:rPr>
                <w:sz w:val="21"/>
                <w:szCs w:val="21"/>
              </w:rPr>
            </w:pPr>
            <w:r>
              <w:rPr>
                <w:sz w:val="21"/>
                <w:szCs w:val="21"/>
              </w:rPr>
              <w:t>0.13</w:t>
            </w:r>
          </w:p>
        </w:tc>
        <w:tc>
          <w:tcPr>
            <w:tcW w:w="443" w:type="pct"/>
            <w:vAlign w:val="center"/>
          </w:tcPr>
          <w:p>
            <w:pPr>
              <w:spacing w:line="240" w:lineRule="auto"/>
              <w:ind w:firstLine="0" w:firstLineChars="0"/>
              <w:jc w:val="center"/>
              <w:rPr>
                <w:sz w:val="21"/>
                <w:szCs w:val="21"/>
              </w:rPr>
            </w:pPr>
            <w:r>
              <w:rPr>
                <w:sz w:val="21"/>
                <w:szCs w:val="21"/>
              </w:rPr>
              <w:t>11.99</w:t>
            </w:r>
          </w:p>
        </w:tc>
        <w:tc>
          <w:tcPr>
            <w:tcW w:w="443" w:type="pct"/>
            <w:vAlign w:val="center"/>
          </w:tcPr>
          <w:p>
            <w:pPr>
              <w:spacing w:line="240" w:lineRule="auto"/>
              <w:ind w:firstLine="0" w:firstLineChars="0"/>
              <w:jc w:val="center"/>
              <w:rPr>
                <w:sz w:val="21"/>
                <w:szCs w:val="21"/>
              </w:rPr>
            </w:pPr>
          </w:p>
        </w:tc>
      </w:tr>
    </w:tbl>
    <w:p>
      <w:pPr>
        <w:ind w:firstLine="0" w:firstLineChars="0"/>
        <w:rPr>
          <w:rFonts w:cs="Times New Roman"/>
        </w:rPr>
        <w:sectPr>
          <w:pgSz w:w="16838" w:h="11906" w:orient="landscape"/>
          <w:pgMar w:top="1800" w:right="1440" w:bottom="1800" w:left="1440" w:header="851" w:footer="992" w:gutter="0"/>
          <w:cols w:space="425" w:num="1"/>
          <w:docGrid w:type="lines" w:linePitch="326" w:charSpace="0"/>
        </w:sectPr>
      </w:pPr>
    </w:p>
    <w:p>
      <w:pPr>
        <w:ind w:firstLine="480"/>
        <w:rPr>
          <w:rFonts w:cs="Times New Roman"/>
        </w:rPr>
      </w:pPr>
      <w:r>
        <w:rPr>
          <w:rFonts w:cs="Times New Roman"/>
        </w:rPr>
        <w:t>陶瓷生产过程对煤的含硫量有严格的要求，使用高硫煤会影响产品的品质，为保证</w:t>
      </w:r>
      <w:r>
        <w:rPr>
          <w:rFonts w:hint="eastAsia" w:cs="Times New Roman"/>
          <w:u w:val="single"/>
        </w:rPr>
        <w:t>天然气</w:t>
      </w:r>
      <w:r>
        <w:rPr>
          <w:rFonts w:cs="Times New Roman"/>
        </w:rPr>
        <w:t>的质量要求，比较适合的煤种是不粘煤、弱粘煤、长焰煤、气煤、贫煤、年老的褐煤，</w:t>
      </w:r>
      <w:r>
        <w:rPr>
          <w:rFonts w:hint="eastAsia" w:cs="Times New Roman"/>
        </w:rPr>
        <w:t>项目</w:t>
      </w:r>
      <w:r>
        <w:rPr>
          <w:rFonts w:cs="Times New Roman"/>
        </w:rPr>
        <w:t>用煤来自来源于内蒙鄂尔多斯及陕西神户低硫煤。因此陶瓷生产过程中煤的含硫量一般低于0.5%。根据建设单位提供的煤质化验单（详见附件4）可知，含硫量一般在0.15~0.31%左右，按最不利情况取含硫量0.31%计算。项目用煤成分见表3.1-6。</w:t>
      </w:r>
    </w:p>
    <w:p>
      <w:pPr>
        <w:autoSpaceDE w:val="0"/>
        <w:autoSpaceDN w:val="0"/>
        <w:adjustRightInd w:val="0"/>
        <w:spacing w:before="163" w:beforeLines="50"/>
        <w:ind w:firstLine="482"/>
        <w:jc w:val="center"/>
        <w:rPr>
          <w:rFonts w:cs="Times New Roman"/>
          <w:b/>
        </w:rPr>
      </w:pPr>
      <w:r>
        <w:rPr>
          <w:rFonts w:cs="Times New Roman"/>
          <w:b/>
        </w:rPr>
        <w:t>表3.1-6  燃用煤的工业分析（节选）</w:t>
      </w: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9"/>
        <w:gridCol w:w="3732"/>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1" w:type="dxa"/>
            <w:vAlign w:val="center"/>
          </w:tcPr>
          <w:p>
            <w:pPr>
              <w:autoSpaceDE w:val="0"/>
              <w:autoSpaceDN w:val="0"/>
              <w:adjustRightInd w:val="0"/>
              <w:spacing w:line="240" w:lineRule="auto"/>
              <w:ind w:firstLine="0" w:firstLineChars="0"/>
              <w:jc w:val="center"/>
              <w:rPr>
                <w:rFonts w:cs="Times New Roman"/>
                <w:b/>
                <w:sz w:val="21"/>
                <w:szCs w:val="20"/>
              </w:rPr>
            </w:pPr>
            <w:r>
              <w:rPr>
                <w:rFonts w:cs="Times New Roman"/>
                <w:b/>
                <w:sz w:val="21"/>
                <w:szCs w:val="20"/>
              </w:rPr>
              <w:t>类别</w:t>
            </w:r>
          </w:p>
        </w:tc>
        <w:tc>
          <w:tcPr>
            <w:tcW w:w="3734" w:type="dxa"/>
            <w:vAlign w:val="center"/>
          </w:tcPr>
          <w:p>
            <w:pPr>
              <w:autoSpaceDE w:val="0"/>
              <w:autoSpaceDN w:val="0"/>
              <w:adjustRightInd w:val="0"/>
              <w:spacing w:line="240" w:lineRule="auto"/>
              <w:ind w:firstLine="0" w:firstLineChars="0"/>
              <w:jc w:val="center"/>
              <w:rPr>
                <w:rFonts w:cs="Times New Roman"/>
                <w:b/>
                <w:sz w:val="21"/>
                <w:szCs w:val="20"/>
              </w:rPr>
            </w:pPr>
            <w:r>
              <w:rPr>
                <w:rFonts w:cs="Times New Roman"/>
                <w:b/>
                <w:sz w:val="21"/>
                <w:szCs w:val="20"/>
              </w:rPr>
              <w:t>分析项目</w:t>
            </w:r>
          </w:p>
        </w:tc>
        <w:tc>
          <w:tcPr>
            <w:tcW w:w="2843" w:type="dxa"/>
            <w:vAlign w:val="center"/>
          </w:tcPr>
          <w:p>
            <w:pPr>
              <w:autoSpaceDE w:val="0"/>
              <w:autoSpaceDN w:val="0"/>
              <w:adjustRightInd w:val="0"/>
              <w:spacing w:line="240" w:lineRule="auto"/>
              <w:ind w:firstLine="0" w:firstLineChars="0"/>
              <w:jc w:val="center"/>
              <w:rPr>
                <w:rFonts w:cs="Times New Roman"/>
                <w:b/>
                <w:sz w:val="21"/>
                <w:szCs w:val="20"/>
              </w:rPr>
            </w:pPr>
            <w:r>
              <w:rPr>
                <w:rFonts w:cs="Times New Roman"/>
                <w:b/>
                <w:sz w:val="21"/>
                <w:szCs w:val="20"/>
              </w:rPr>
              <w:t>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951" w:type="dxa"/>
            <w:vMerge w:val="restart"/>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工业分析</w:t>
            </w:r>
          </w:p>
        </w:tc>
        <w:tc>
          <w:tcPr>
            <w:tcW w:w="3734"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收到基全水分（%），Mt</w:t>
            </w:r>
          </w:p>
        </w:tc>
        <w:tc>
          <w:tcPr>
            <w:tcW w:w="2843"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1" w:type="dxa"/>
            <w:vMerge w:val="continue"/>
            <w:vAlign w:val="center"/>
          </w:tcPr>
          <w:p>
            <w:pPr>
              <w:autoSpaceDE w:val="0"/>
              <w:autoSpaceDN w:val="0"/>
              <w:adjustRightInd w:val="0"/>
              <w:spacing w:line="240" w:lineRule="auto"/>
              <w:ind w:firstLine="0" w:firstLineChars="0"/>
              <w:jc w:val="center"/>
              <w:rPr>
                <w:rFonts w:cs="Times New Roman"/>
                <w:b/>
                <w:sz w:val="21"/>
                <w:szCs w:val="20"/>
              </w:rPr>
            </w:pPr>
          </w:p>
        </w:tc>
        <w:tc>
          <w:tcPr>
            <w:tcW w:w="3734"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kern w:val="0"/>
                <w:sz w:val="21"/>
                <w:szCs w:val="20"/>
              </w:rPr>
              <w:t>空干基水分（</w:t>
            </w:r>
            <w:r>
              <w:rPr>
                <w:rFonts w:eastAsia="TimesNewRomanPSMT" w:cs="Times New Roman"/>
                <w:kern w:val="0"/>
                <w:sz w:val="21"/>
                <w:szCs w:val="20"/>
              </w:rPr>
              <w:t>%</w:t>
            </w:r>
            <w:r>
              <w:rPr>
                <w:rFonts w:cs="Times New Roman"/>
                <w:kern w:val="0"/>
                <w:sz w:val="21"/>
                <w:szCs w:val="20"/>
              </w:rPr>
              <w:t>），</w:t>
            </w:r>
            <w:r>
              <w:rPr>
                <w:rFonts w:eastAsia="TimesNewRomanPSMT" w:cs="Times New Roman"/>
                <w:kern w:val="0"/>
                <w:sz w:val="21"/>
                <w:szCs w:val="20"/>
              </w:rPr>
              <w:t>Mad</w:t>
            </w:r>
          </w:p>
        </w:tc>
        <w:tc>
          <w:tcPr>
            <w:tcW w:w="2843"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1" w:type="dxa"/>
            <w:vMerge w:val="continue"/>
            <w:vAlign w:val="center"/>
          </w:tcPr>
          <w:p>
            <w:pPr>
              <w:autoSpaceDE w:val="0"/>
              <w:autoSpaceDN w:val="0"/>
              <w:adjustRightInd w:val="0"/>
              <w:spacing w:line="240" w:lineRule="auto"/>
              <w:ind w:firstLine="0" w:firstLineChars="0"/>
              <w:jc w:val="center"/>
              <w:rPr>
                <w:rFonts w:cs="Times New Roman"/>
                <w:b/>
                <w:sz w:val="21"/>
                <w:szCs w:val="20"/>
              </w:rPr>
            </w:pPr>
          </w:p>
        </w:tc>
        <w:tc>
          <w:tcPr>
            <w:tcW w:w="3734" w:type="dxa"/>
            <w:vAlign w:val="center"/>
          </w:tcPr>
          <w:p>
            <w:pPr>
              <w:autoSpaceDE w:val="0"/>
              <w:autoSpaceDN w:val="0"/>
              <w:adjustRightInd w:val="0"/>
              <w:spacing w:line="240" w:lineRule="auto"/>
              <w:ind w:firstLine="0" w:firstLineChars="0"/>
              <w:jc w:val="center"/>
              <w:rPr>
                <w:rFonts w:eastAsia="TimesNewRomanPSMT" w:cs="Times New Roman"/>
                <w:kern w:val="0"/>
                <w:sz w:val="21"/>
                <w:szCs w:val="20"/>
              </w:rPr>
            </w:pPr>
            <w:r>
              <w:rPr>
                <w:rFonts w:cs="Times New Roman"/>
                <w:kern w:val="0"/>
                <w:sz w:val="21"/>
                <w:szCs w:val="20"/>
              </w:rPr>
              <w:t>空干基灰份（</w:t>
            </w:r>
            <w:r>
              <w:rPr>
                <w:rFonts w:eastAsia="TimesNewRomanPSMT" w:cs="Times New Roman"/>
                <w:kern w:val="0"/>
                <w:sz w:val="21"/>
                <w:szCs w:val="20"/>
              </w:rPr>
              <w:t>%</w:t>
            </w:r>
            <w:r>
              <w:rPr>
                <w:rFonts w:cs="Times New Roman"/>
                <w:kern w:val="0"/>
                <w:sz w:val="21"/>
                <w:szCs w:val="20"/>
              </w:rPr>
              <w:t>），</w:t>
            </w:r>
            <w:r>
              <w:rPr>
                <w:rFonts w:eastAsia="TimesNewRomanPSMT" w:cs="Times New Roman"/>
                <w:kern w:val="0"/>
                <w:sz w:val="21"/>
                <w:szCs w:val="20"/>
              </w:rPr>
              <w:t>Aad</w:t>
            </w:r>
          </w:p>
        </w:tc>
        <w:tc>
          <w:tcPr>
            <w:tcW w:w="2843"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23.40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1" w:type="dxa"/>
            <w:vMerge w:val="continue"/>
            <w:vAlign w:val="center"/>
          </w:tcPr>
          <w:p>
            <w:pPr>
              <w:autoSpaceDE w:val="0"/>
              <w:autoSpaceDN w:val="0"/>
              <w:adjustRightInd w:val="0"/>
              <w:spacing w:line="240" w:lineRule="auto"/>
              <w:ind w:firstLine="0" w:firstLineChars="0"/>
              <w:jc w:val="center"/>
              <w:rPr>
                <w:rFonts w:cs="Times New Roman"/>
                <w:b/>
                <w:sz w:val="21"/>
                <w:szCs w:val="20"/>
              </w:rPr>
            </w:pPr>
          </w:p>
        </w:tc>
        <w:tc>
          <w:tcPr>
            <w:tcW w:w="3734"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kern w:val="0"/>
                <w:sz w:val="21"/>
                <w:szCs w:val="20"/>
              </w:rPr>
              <w:t>空干基挥发分（</w:t>
            </w:r>
            <w:r>
              <w:rPr>
                <w:rFonts w:eastAsia="TimesNewRomanPSMT" w:cs="Times New Roman"/>
                <w:kern w:val="0"/>
                <w:sz w:val="21"/>
                <w:szCs w:val="20"/>
              </w:rPr>
              <w:t>%</w:t>
            </w:r>
            <w:r>
              <w:rPr>
                <w:rFonts w:cs="Times New Roman"/>
                <w:kern w:val="0"/>
                <w:sz w:val="21"/>
                <w:szCs w:val="20"/>
              </w:rPr>
              <w:t>），</w:t>
            </w:r>
            <w:r>
              <w:rPr>
                <w:rFonts w:eastAsia="TimesNewRomanPSMT" w:cs="Times New Roman"/>
                <w:kern w:val="0"/>
                <w:sz w:val="21"/>
                <w:szCs w:val="20"/>
              </w:rPr>
              <w:t>Vdaf</w:t>
            </w:r>
          </w:p>
        </w:tc>
        <w:tc>
          <w:tcPr>
            <w:tcW w:w="2843"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27.29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1" w:type="dxa"/>
            <w:vMerge w:val="continue"/>
            <w:vAlign w:val="center"/>
          </w:tcPr>
          <w:p>
            <w:pPr>
              <w:autoSpaceDE w:val="0"/>
              <w:autoSpaceDN w:val="0"/>
              <w:adjustRightInd w:val="0"/>
              <w:spacing w:line="240" w:lineRule="auto"/>
              <w:ind w:firstLine="0" w:firstLineChars="0"/>
              <w:jc w:val="center"/>
              <w:rPr>
                <w:rFonts w:cs="Times New Roman"/>
                <w:b/>
                <w:sz w:val="21"/>
                <w:szCs w:val="20"/>
              </w:rPr>
            </w:pPr>
          </w:p>
        </w:tc>
        <w:tc>
          <w:tcPr>
            <w:tcW w:w="3734"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kern w:val="0"/>
                <w:sz w:val="21"/>
                <w:szCs w:val="20"/>
              </w:rPr>
              <w:t>焦渣特征（</w:t>
            </w:r>
            <w:r>
              <w:rPr>
                <w:rFonts w:eastAsia="TimesNewRomanPSMT" w:cs="Times New Roman"/>
                <w:kern w:val="0"/>
                <w:sz w:val="21"/>
                <w:szCs w:val="20"/>
              </w:rPr>
              <w:t>%</w:t>
            </w:r>
            <w:r>
              <w:rPr>
                <w:rFonts w:cs="Times New Roman"/>
                <w:kern w:val="0"/>
                <w:sz w:val="21"/>
                <w:szCs w:val="20"/>
              </w:rPr>
              <w:t>），（</w:t>
            </w:r>
            <w:r>
              <w:rPr>
                <w:rFonts w:eastAsia="TimesNewRomanPSMT" w:cs="Times New Roman"/>
                <w:kern w:val="0"/>
                <w:sz w:val="21"/>
                <w:szCs w:val="20"/>
              </w:rPr>
              <w:t>1—8</w:t>
            </w:r>
            <w:r>
              <w:rPr>
                <w:rFonts w:cs="Times New Roman"/>
                <w:kern w:val="0"/>
                <w:sz w:val="21"/>
                <w:szCs w:val="20"/>
              </w:rPr>
              <w:t>）</w:t>
            </w:r>
          </w:p>
        </w:tc>
        <w:tc>
          <w:tcPr>
            <w:tcW w:w="2843"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1" w:type="dxa"/>
            <w:vMerge w:val="continue"/>
            <w:vAlign w:val="center"/>
          </w:tcPr>
          <w:p>
            <w:pPr>
              <w:autoSpaceDE w:val="0"/>
              <w:autoSpaceDN w:val="0"/>
              <w:adjustRightInd w:val="0"/>
              <w:spacing w:line="240" w:lineRule="auto"/>
              <w:ind w:firstLine="0" w:firstLineChars="0"/>
              <w:jc w:val="center"/>
              <w:rPr>
                <w:rFonts w:cs="Times New Roman"/>
                <w:b/>
                <w:sz w:val="21"/>
                <w:szCs w:val="20"/>
              </w:rPr>
            </w:pPr>
          </w:p>
        </w:tc>
        <w:tc>
          <w:tcPr>
            <w:tcW w:w="3734"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kern w:val="0"/>
                <w:sz w:val="21"/>
                <w:szCs w:val="20"/>
              </w:rPr>
              <w:t>空干基固定碳（</w:t>
            </w:r>
            <w:r>
              <w:rPr>
                <w:rFonts w:eastAsia="TimesNewRomanPSMT" w:cs="Times New Roman"/>
                <w:kern w:val="0"/>
                <w:sz w:val="21"/>
                <w:szCs w:val="20"/>
              </w:rPr>
              <w:t>%</w:t>
            </w:r>
            <w:r>
              <w:rPr>
                <w:rFonts w:cs="Times New Roman"/>
                <w:kern w:val="0"/>
                <w:sz w:val="21"/>
                <w:szCs w:val="20"/>
              </w:rPr>
              <w:t>），</w:t>
            </w:r>
            <w:r>
              <w:rPr>
                <w:rFonts w:eastAsia="TimesNewRomanPSMT" w:cs="Times New Roman"/>
                <w:kern w:val="0"/>
                <w:sz w:val="21"/>
                <w:szCs w:val="20"/>
              </w:rPr>
              <w:t>FCad</w:t>
            </w:r>
          </w:p>
        </w:tc>
        <w:tc>
          <w:tcPr>
            <w:tcW w:w="2843"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44.89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1" w:type="dxa"/>
            <w:vMerge w:val="continue"/>
            <w:vAlign w:val="center"/>
          </w:tcPr>
          <w:p>
            <w:pPr>
              <w:autoSpaceDE w:val="0"/>
              <w:autoSpaceDN w:val="0"/>
              <w:adjustRightInd w:val="0"/>
              <w:spacing w:line="240" w:lineRule="auto"/>
              <w:ind w:firstLine="0" w:firstLineChars="0"/>
              <w:jc w:val="center"/>
              <w:rPr>
                <w:rFonts w:cs="Times New Roman"/>
                <w:b/>
                <w:sz w:val="21"/>
                <w:szCs w:val="20"/>
              </w:rPr>
            </w:pPr>
          </w:p>
        </w:tc>
        <w:tc>
          <w:tcPr>
            <w:tcW w:w="3734"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kern w:val="0"/>
                <w:sz w:val="21"/>
                <w:szCs w:val="20"/>
              </w:rPr>
              <w:t>控干基含硫量（</w:t>
            </w:r>
            <w:r>
              <w:rPr>
                <w:rFonts w:eastAsia="TimesNewRomanPSMT" w:cs="Times New Roman"/>
                <w:kern w:val="0"/>
                <w:sz w:val="21"/>
                <w:szCs w:val="20"/>
              </w:rPr>
              <w:t>%</w:t>
            </w:r>
            <w:r>
              <w:rPr>
                <w:rFonts w:cs="Times New Roman"/>
                <w:kern w:val="0"/>
                <w:sz w:val="21"/>
                <w:szCs w:val="20"/>
              </w:rPr>
              <w:t>），</w:t>
            </w:r>
            <w:r>
              <w:rPr>
                <w:rFonts w:eastAsia="TimesNewRomanPSMT" w:cs="Times New Roman"/>
                <w:kern w:val="0"/>
                <w:sz w:val="21"/>
                <w:szCs w:val="20"/>
              </w:rPr>
              <w:t>Stad</w:t>
            </w:r>
          </w:p>
        </w:tc>
        <w:tc>
          <w:tcPr>
            <w:tcW w:w="2843"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951" w:type="dxa"/>
            <w:vMerge w:val="continue"/>
            <w:vAlign w:val="center"/>
          </w:tcPr>
          <w:p>
            <w:pPr>
              <w:autoSpaceDE w:val="0"/>
              <w:autoSpaceDN w:val="0"/>
              <w:adjustRightInd w:val="0"/>
              <w:spacing w:line="240" w:lineRule="auto"/>
              <w:ind w:firstLine="0" w:firstLineChars="0"/>
              <w:jc w:val="center"/>
              <w:rPr>
                <w:rFonts w:cs="Times New Roman"/>
                <w:b/>
                <w:sz w:val="21"/>
                <w:szCs w:val="20"/>
              </w:rPr>
            </w:pPr>
          </w:p>
        </w:tc>
        <w:tc>
          <w:tcPr>
            <w:tcW w:w="3734"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kern w:val="0"/>
                <w:sz w:val="21"/>
                <w:szCs w:val="20"/>
              </w:rPr>
              <w:t>空干基高位发热值（</w:t>
            </w:r>
            <w:r>
              <w:rPr>
                <w:rFonts w:eastAsia="TimesNewRomanPSMT" w:cs="Times New Roman"/>
                <w:kern w:val="0"/>
                <w:sz w:val="21"/>
                <w:szCs w:val="20"/>
              </w:rPr>
              <w:t>MJ/kg</w:t>
            </w:r>
            <w:r>
              <w:rPr>
                <w:rFonts w:cs="Times New Roman"/>
                <w:kern w:val="0"/>
                <w:sz w:val="21"/>
                <w:szCs w:val="20"/>
              </w:rPr>
              <w:t>），</w:t>
            </w:r>
            <w:r>
              <w:rPr>
                <w:rFonts w:eastAsia="TimesNewRomanPSMT" w:cs="Times New Roman"/>
                <w:kern w:val="0"/>
                <w:sz w:val="21"/>
                <w:szCs w:val="20"/>
              </w:rPr>
              <w:t>Qgr,ad</w:t>
            </w:r>
          </w:p>
        </w:tc>
        <w:tc>
          <w:tcPr>
            <w:tcW w:w="2843"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23.343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1" w:type="dxa"/>
            <w:vMerge w:val="continue"/>
            <w:vAlign w:val="center"/>
          </w:tcPr>
          <w:p>
            <w:pPr>
              <w:autoSpaceDE w:val="0"/>
              <w:autoSpaceDN w:val="0"/>
              <w:adjustRightInd w:val="0"/>
              <w:spacing w:line="240" w:lineRule="auto"/>
              <w:ind w:firstLine="0" w:firstLineChars="0"/>
              <w:jc w:val="center"/>
              <w:rPr>
                <w:rFonts w:cs="Times New Roman"/>
                <w:b/>
                <w:sz w:val="21"/>
                <w:szCs w:val="20"/>
              </w:rPr>
            </w:pPr>
          </w:p>
        </w:tc>
        <w:tc>
          <w:tcPr>
            <w:tcW w:w="3734"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kern w:val="0"/>
                <w:sz w:val="21"/>
                <w:szCs w:val="20"/>
              </w:rPr>
              <w:t>空干基高位发热值（</w:t>
            </w:r>
            <w:r>
              <w:rPr>
                <w:rFonts w:eastAsia="TimesNewRomanPSMT" w:cs="Times New Roman"/>
                <w:kern w:val="0"/>
                <w:sz w:val="21"/>
                <w:szCs w:val="20"/>
              </w:rPr>
              <w:t>Kcal/kg</w:t>
            </w:r>
            <w:r>
              <w:rPr>
                <w:rFonts w:cs="Times New Roman"/>
                <w:kern w:val="0"/>
                <w:sz w:val="21"/>
                <w:szCs w:val="20"/>
              </w:rPr>
              <w:t>），</w:t>
            </w:r>
            <w:r>
              <w:rPr>
                <w:rFonts w:eastAsia="TimesNewRomanPSMT" w:cs="Times New Roman"/>
                <w:kern w:val="0"/>
                <w:sz w:val="21"/>
                <w:szCs w:val="20"/>
              </w:rPr>
              <w:t>Qgr,ad</w:t>
            </w:r>
          </w:p>
        </w:tc>
        <w:tc>
          <w:tcPr>
            <w:tcW w:w="2843"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5582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1" w:type="dxa"/>
            <w:vMerge w:val="continue"/>
            <w:vAlign w:val="center"/>
          </w:tcPr>
          <w:p>
            <w:pPr>
              <w:autoSpaceDE w:val="0"/>
              <w:autoSpaceDN w:val="0"/>
              <w:adjustRightInd w:val="0"/>
              <w:spacing w:line="240" w:lineRule="auto"/>
              <w:ind w:firstLine="0" w:firstLineChars="0"/>
              <w:jc w:val="center"/>
              <w:rPr>
                <w:rFonts w:cs="Times New Roman"/>
                <w:b/>
                <w:sz w:val="21"/>
                <w:szCs w:val="20"/>
              </w:rPr>
            </w:pPr>
          </w:p>
        </w:tc>
        <w:tc>
          <w:tcPr>
            <w:tcW w:w="3734"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kern w:val="0"/>
                <w:sz w:val="21"/>
                <w:szCs w:val="20"/>
              </w:rPr>
              <w:t>空干基低位发热值（</w:t>
            </w:r>
            <w:r>
              <w:rPr>
                <w:rFonts w:eastAsia="TimesNewRomanPSMT" w:cs="Times New Roman"/>
                <w:kern w:val="0"/>
                <w:sz w:val="21"/>
                <w:szCs w:val="20"/>
              </w:rPr>
              <w:t>MJ /kg</w:t>
            </w:r>
            <w:r>
              <w:rPr>
                <w:rFonts w:cs="Times New Roman"/>
                <w:kern w:val="0"/>
                <w:sz w:val="21"/>
                <w:szCs w:val="20"/>
              </w:rPr>
              <w:t>），</w:t>
            </w:r>
            <w:r>
              <w:rPr>
                <w:rFonts w:eastAsia="TimesNewRomanPSMT" w:cs="Times New Roman"/>
                <w:kern w:val="0"/>
                <w:sz w:val="21"/>
                <w:szCs w:val="20"/>
              </w:rPr>
              <w:t>Qnet,ar</w:t>
            </w:r>
          </w:p>
        </w:tc>
        <w:tc>
          <w:tcPr>
            <w:tcW w:w="2843"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20.815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1" w:type="dxa"/>
            <w:vMerge w:val="continue"/>
            <w:vAlign w:val="center"/>
          </w:tcPr>
          <w:p>
            <w:pPr>
              <w:autoSpaceDE w:val="0"/>
              <w:autoSpaceDN w:val="0"/>
              <w:adjustRightInd w:val="0"/>
              <w:spacing w:line="240" w:lineRule="auto"/>
              <w:ind w:firstLine="0" w:firstLineChars="0"/>
              <w:jc w:val="center"/>
              <w:rPr>
                <w:rFonts w:cs="Times New Roman"/>
                <w:b/>
                <w:sz w:val="21"/>
                <w:szCs w:val="20"/>
              </w:rPr>
            </w:pPr>
          </w:p>
        </w:tc>
        <w:tc>
          <w:tcPr>
            <w:tcW w:w="3734"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kern w:val="0"/>
                <w:sz w:val="21"/>
                <w:szCs w:val="20"/>
              </w:rPr>
              <w:t>空干基低位发热值（</w:t>
            </w:r>
            <w:r>
              <w:rPr>
                <w:rFonts w:eastAsia="TimesNewRomanPSMT" w:cs="Times New Roman"/>
                <w:kern w:val="0"/>
                <w:sz w:val="21"/>
                <w:szCs w:val="20"/>
              </w:rPr>
              <w:t>Kcal /kg</w:t>
            </w:r>
            <w:r>
              <w:rPr>
                <w:rFonts w:cs="Times New Roman"/>
                <w:kern w:val="0"/>
                <w:sz w:val="21"/>
                <w:szCs w:val="20"/>
              </w:rPr>
              <w:t>），</w:t>
            </w:r>
            <w:r>
              <w:rPr>
                <w:rFonts w:eastAsia="TimesNewRomanPSMT" w:cs="Times New Roman"/>
                <w:kern w:val="0"/>
                <w:sz w:val="21"/>
                <w:szCs w:val="20"/>
              </w:rPr>
              <w:t>Qnet,ar</w:t>
            </w:r>
          </w:p>
        </w:tc>
        <w:tc>
          <w:tcPr>
            <w:tcW w:w="2843"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sz w:val="21"/>
                <w:szCs w:val="20"/>
              </w:rPr>
              <w:t>4978</w:t>
            </w:r>
          </w:p>
        </w:tc>
      </w:tr>
    </w:tbl>
    <w:p>
      <w:pPr>
        <w:pStyle w:val="4"/>
        <w:rPr>
          <w:rFonts w:cs="Times New Roman"/>
        </w:rPr>
      </w:pPr>
      <w:bookmarkStart w:id="76" w:name="_Toc86611254"/>
      <w:r>
        <w:rPr>
          <w:rFonts w:cs="Times New Roman"/>
        </w:rPr>
        <w:t>3.1.5主要生产设备</w:t>
      </w:r>
      <w:bookmarkEnd w:id="76"/>
    </w:p>
    <w:p>
      <w:pPr>
        <w:ind w:firstLine="480"/>
        <w:rPr>
          <w:rFonts w:cs="Times New Roman"/>
        </w:rPr>
      </w:pPr>
      <w:r>
        <w:rPr>
          <w:rFonts w:cs="Times New Roman"/>
        </w:rPr>
        <w:t>本项目主要生产设备详见表3.1-9</w:t>
      </w:r>
      <w:r>
        <w:rPr>
          <w:rFonts w:hint="eastAsia" w:cs="Times New Roman"/>
        </w:rPr>
        <w:t>（注：一期建设除烧成窑、及配套的干燥窑仅建设一般以外，其余设备一期全部配齐）</w:t>
      </w:r>
      <w:r>
        <w:rPr>
          <w:rFonts w:cs="Times New Roman"/>
        </w:rPr>
        <w:t>。</w:t>
      </w:r>
    </w:p>
    <w:p>
      <w:pPr>
        <w:ind w:firstLine="482"/>
        <w:jc w:val="center"/>
        <w:rPr>
          <w:rFonts w:cs="Times New Roman"/>
          <w:b/>
          <w:bCs/>
        </w:rPr>
      </w:pPr>
      <w:r>
        <w:rPr>
          <w:rFonts w:cs="Times New Roman"/>
          <w:b/>
          <w:bCs/>
        </w:rPr>
        <w:t>表3.1-9  主要生产设备一览表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83"/>
        <w:gridCol w:w="1033"/>
        <w:gridCol w:w="1439"/>
        <w:gridCol w:w="3762"/>
        <w:gridCol w:w="594"/>
        <w:gridCol w:w="569"/>
        <w:gridCol w:w="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231" w:type="pct"/>
            <w:vMerge w:val="restart"/>
            <w:vAlign w:val="center"/>
          </w:tcPr>
          <w:p>
            <w:pPr>
              <w:spacing w:line="240" w:lineRule="auto"/>
              <w:ind w:firstLine="0" w:firstLineChars="0"/>
              <w:jc w:val="center"/>
              <w:rPr>
                <w:sz w:val="21"/>
                <w:szCs w:val="21"/>
              </w:rPr>
            </w:pPr>
            <w:r>
              <w:rPr>
                <w:sz w:val="21"/>
                <w:szCs w:val="21"/>
              </w:rPr>
              <w:t>车间</w:t>
            </w:r>
          </w:p>
        </w:tc>
        <w:tc>
          <w:tcPr>
            <w:tcW w:w="621" w:type="pct"/>
            <w:vMerge w:val="restart"/>
            <w:vAlign w:val="center"/>
          </w:tcPr>
          <w:p>
            <w:pPr>
              <w:spacing w:line="240" w:lineRule="auto"/>
              <w:ind w:firstLine="0" w:firstLineChars="0"/>
              <w:jc w:val="center"/>
              <w:rPr>
                <w:sz w:val="21"/>
                <w:szCs w:val="21"/>
              </w:rPr>
            </w:pPr>
            <w:r>
              <w:rPr>
                <w:sz w:val="21"/>
                <w:szCs w:val="21"/>
              </w:rPr>
              <w:t>工段</w:t>
            </w:r>
          </w:p>
        </w:tc>
        <w:tc>
          <w:tcPr>
            <w:tcW w:w="865" w:type="pct"/>
            <w:vMerge w:val="restart"/>
            <w:vAlign w:val="center"/>
          </w:tcPr>
          <w:p>
            <w:pPr>
              <w:spacing w:line="240" w:lineRule="auto"/>
              <w:ind w:firstLine="0" w:firstLineChars="0"/>
              <w:jc w:val="center"/>
              <w:rPr>
                <w:sz w:val="21"/>
                <w:szCs w:val="21"/>
              </w:rPr>
            </w:pPr>
            <w:r>
              <w:rPr>
                <w:sz w:val="21"/>
                <w:szCs w:val="21"/>
              </w:rPr>
              <w:t>设备名称</w:t>
            </w:r>
          </w:p>
        </w:tc>
        <w:tc>
          <w:tcPr>
            <w:tcW w:w="2261" w:type="pct"/>
            <w:vMerge w:val="restart"/>
            <w:vAlign w:val="center"/>
          </w:tcPr>
          <w:p>
            <w:pPr>
              <w:spacing w:line="240" w:lineRule="auto"/>
              <w:ind w:firstLine="0" w:firstLineChars="0"/>
              <w:jc w:val="center"/>
              <w:rPr>
                <w:sz w:val="21"/>
                <w:szCs w:val="21"/>
              </w:rPr>
            </w:pPr>
            <w:r>
              <w:rPr>
                <w:sz w:val="21"/>
                <w:szCs w:val="21"/>
              </w:rPr>
              <w:t>规格型号</w:t>
            </w:r>
          </w:p>
        </w:tc>
        <w:tc>
          <w:tcPr>
            <w:tcW w:w="699" w:type="pct"/>
            <w:gridSpan w:val="2"/>
            <w:vAlign w:val="center"/>
          </w:tcPr>
          <w:p>
            <w:pPr>
              <w:spacing w:line="240" w:lineRule="auto"/>
              <w:ind w:firstLine="0" w:firstLineChars="0"/>
              <w:jc w:val="center"/>
              <w:rPr>
                <w:sz w:val="21"/>
                <w:szCs w:val="21"/>
              </w:rPr>
            </w:pPr>
            <w:r>
              <w:rPr>
                <w:sz w:val="21"/>
                <w:szCs w:val="21"/>
              </w:rPr>
              <w:t>用电设备数量</w:t>
            </w:r>
          </w:p>
        </w:tc>
        <w:tc>
          <w:tcPr>
            <w:tcW w:w="322" w:type="pct"/>
            <w:vMerge w:val="restart"/>
            <w:vAlign w:val="center"/>
          </w:tcPr>
          <w:p>
            <w:pPr>
              <w:spacing w:line="240" w:lineRule="auto"/>
              <w:ind w:firstLine="0" w:firstLineChars="0"/>
              <w:jc w:val="center"/>
              <w:rPr>
                <w:sz w:val="21"/>
                <w:szCs w:val="21"/>
              </w:rPr>
            </w:pPr>
            <w:r>
              <w:rPr>
                <w:sz w:val="21"/>
                <w:szCs w:val="21"/>
              </w:rPr>
              <w:t>单机</w:t>
            </w:r>
          </w:p>
          <w:p>
            <w:pPr>
              <w:spacing w:line="240" w:lineRule="auto"/>
              <w:ind w:firstLine="0" w:firstLineChars="0"/>
              <w:jc w:val="center"/>
              <w:rPr>
                <w:sz w:val="21"/>
                <w:szCs w:val="21"/>
              </w:rPr>
            </w:pPr>
            <w:r>
              <w:rPr>
                <w:sz w:val="21"/>
                <w:szCs w:val="21"/>
              </w:rPr>
              <w:t>功率</w:t>
            </w:r>
          </w:p>
          <w:p>
            <w:pPr>
              <w:spacing w:line="240" w:lineRule="auto"/>
              <w:ind w:firstLine="0" w:firstLineChars="0"/>
              <w:jc w:val="center"/>
              <w:rPr>
                <w:sz w:val="21"/>
                <w:szCs w:val="21"/>
              </w:rPr>
            </w:pPr>
            <w:r>
              <w:rPr>
                <w:sz w:val="21"/>
                <w:szCs w:val="21"/>
              </w:rPr>
              <w:t>KW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Merge w:val="continue"/>
            <w:vAlign w:val="center"/>
          </w:tcPr>
          <w:p>
            <w:pPr>
              <w:spacing w:line="240" w:lineRule="auto"/>
              <w:ind w:firstLine="0" w:firstLineChars="0"/>
              <w:jc w:val="center"/>
              <w:rPr>
                <w:sz w:val="21"/>
                <w:szCs w:val="21"/>
              </w:rPr>
            </w:pPr>
          </w:p>
        </w:tc>
        <w:tc>
          <w:tcPr>
            <w:tcW w:w="2261" w:type="pct"/>
            <w:vMerge w:val="continue"/>
            <w:vAlign w:val="center"/>
          </w:tcPr>
          <w:p>
            <w:pPr>
              <w:spacing w:line="240" w:lineRule="auto"/>
              <w:ind w:firstLine="0" w:firstLineChars="0"/>
              <w:jc w:val="center"/>
              <w:rPr>
                <w:sz w:val="21"/>
                <w:szCs w:val="21"/>
              </w:rPr>
            </w:pPr>
          </w:p>
        </w:tc>
        <w:tc>
          <w:tcPr>
            <w:tcW w:w="357" w:type="pct"/>
            <w:vAlign w:val="center"/>
          </w:tcPr>
          <w:p>
            <w:pPr>
              <w:spacing w:line="240" w:lineRule="auto"/>
              <w:ind w:firstLine="0" w:firstLineChars="0"/>
              <w:jc w:val="center"/>
              <w:rPr>
                <w:sz w:val="21"/>
                <w:szCs w:val="21"/>
              </w:rPr>
            </w:pPr>
            <w:r>
              <w:rPr>
                <w:sz w:val="21"/>
                <w:szCs w:val="21"/>
              </w:rPr>
              <w:t>常用设</w:t>
            </w:r>
          </w:p>
          <w:p>
            <w:pPr>
              <w:spacing w:line="240" w:lineRule="auto"/>
              <w:ind w:firstLine="0" w:firstLineChars="0"/>
              <w:jc w:val="center"/>
              <w:rPr>
                <w:sz w:val="21"/>
                <w:szCs w:val="21"/>
              </w:rPr>
            </w:pPr>
            <w:r>
              <w:rPr>
                <w:sz w:val="21"/>
                <w:szCs w:val="21"/>
              </w:rPr>
              <w:t>备数</w:t>
            </w:r>
          </w:p>
        </w:tc>
        <w:tc>
          <w:tcPr>
            <w:tcW w:w="342" w:type="pct"/>
            <w:vAlign w:val="center"/>
          </w:tcPr>
          <w:p>
            <w:pPr>
              <w:spacing w:line="240" w:lineRule="auto"/>
              <w:ind w:firstLine="0" w:firstLineChars="0"/>
              <w:jc w:val="center"/>
              <w:rPr>
                <w:sz w:val="21"/>
                <w:szCs w:val="21"/>
              </w:rPr>
            </w:pPr>
            <w:r>
              <w:rPr>
                <w:sz w:val="21"/>
                <w:szCs w:val="21"/>
              </w:rPr>
              <w:t>备用设</w:t>
            </w:r>
          </w:p>
          <w:p>
            <w:pPr>
              <w:spacing w:line="240" w:lineRule="auto"/>
              <w:ind w:firstLine="0" w:firstLineChars="0"/>
              <w:jc w:val="center"/>
              <w:rPr>
                <w:sz w:val="21"/>
                <w:szCs w:val="21"/>
              </w:rPr>
            </w:pPr>
            <w:r>
              <w:rPr>
                <w:sz w:val="21"/>
                <w:szCs w:val="21"/>
              </w:rPr>
              <w:t>备数</w:t>
            </w:r>
          </w:p>
        </w:tc>
        <w:tc>
          <w:tcPr>
            <w:tcW w:w="322"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预处</w:t>
            </w:r>
          </w:p>
          <w:p>
            <w:pPr>
              <w:spacing w:line="240" w:lineRule="auto"/>
              <w:ind w:firstLine="0" w:firstLineChars="0"/>
              <w:jc w:val="center"/>
              <w:rPr>
                <w:sz w:val="21"/>
                <w:szCs w:val="21"/>
              </w:rPr>
            </w:pPr>
            <w:r>
              <w:rPr>
                <w:sz w:val="21"/>
                <w:szCs w:val="21"/>
              </w:rPr>
              <w:t>理车</w:t>
            </w:r>
          </w:p>
          <w:p>
            <w:pPr>
              <w:spacing w:line="240" w:lineRule="auto"/>
              <w:ind w:firstLine="0" w:firstLineChars="0"/>
              <w:jc w:val="center"/>
              <w:rPr>
                <w:sz w:val="21"/>
                <w:szCs w:val="21"/>
              </w:rPr>
            </w:pPr>
            <w:r>
              <w:rPr>
                <w:sz w:val="21"/>
                <w:szCs w:val="21"/>
              </w:rPr>
              <w:t>间</w:t>
            </w:r>
          </w:p>
        </w:tc>
        <w:tc>
          <w:tcPr>
            <w:tcW w:w="621" w:type="pct"/>
            <w:vMerge w:val="restart"/>
            <w:vAlign w:val="center"/>
          </w:tcPr>
          <w:p>
            <w:pPr>
              <w:spacing w:line="240" w:lineRule="auto"/>
              <w:ind w:firstLine="0" w:firstLineChars="0"/>
              <w:jc w:val="center"/>
              <w:rPr>
                <w:sz w:val="21"/>
                <w:szCs w:val="21"/>
              </w:rPr>
            </w:pPr>
            <w:r>
              <w:rPr>
                <w:sz w:val="21"/>
                <w:szCs w:val="21"/>
              </w:rPr>
              <w:t>原矿</w:t>
            </w:r>
          </w:p>
          <w:p>
            <w:pPr>
              <w:spacing w:line="240" w:lineRule="auto"/>
              <w:ind w:firstLine="0" w:firstLineChars="0"/>
              <w:jc w:val="center"/>
              <w:rPr>
                <w:sz w:val="21"/>
                <w:szCs w:val="21"/>
              </w:rPr>
            </w:pPr>
            <w:r>
              <w:rPr>
                <w:sz w:val="21"/>
                <w:szCs w:val="21"/>
              </w:rPr>
              <w:t>料预</w:t>
            </w:r>
          </w:p>
          <w:p>
            <w:pPr>
              <w:spacing w:line="240" w:lineRule="auto"/>
              <w:ind w:firstLine="0" w:firstLineChars="0"/>
              <w:jc w:val="center"/>
              <w:rPr>
                <w:sz w:val="21"/>
                <w:szCs w:val="21"/>
              </w:rPr>
            </w:pPr>
            <w:r>
              <w:rPr>
                <w:sz w:val="21"/>
                <w:szCs w:val="21"/>
              </w:rPr>
              <w:t>处理</w:t>
            </w:r>
          </w:p>
          <w:p>
            <w:pPr>
              <w:spacing w:line="240" w:lineRule="auto"/>
              <w:ind w:firstLine="0" w:firstLineChars="0"/>
              <w:jc w:val="center"/>
              <w:rPr>
                <w:sz w:val="21"/>
                <w:szCs w:val="21"/>
              </w:rPr>
            </w:pPr>
            <w:r>
              <w:rPr>
                <w:sz w:val="21"/>
                <w:szCs w:val="21"/>
              </w:rPr>
              <w:t>工段</w:t>
            </w:r>
          </w:p>
        </w:tc>
        <w:tc>
          <w:tcPr>
            <w:tcW w:w="865" w:type="pct"/>
            <w:vAlign w:val="center"/>
          </w:tcPr>
          <w:p>
            <w:pPr>
              <w:spacing w:line="240" w:lineRule="auto"/>
              <w:ind w:firstLine="0" w:firstLineChars="0"/>
              <w:jc w:val="center"/>
              <w:rPr>
                <w:sz w:val="21"/>
                <w:szCs w:val="21"/>
              </w:rPr>
            </w:pPr>
            <w:r>
              <w:rPr>
                <w:sz w:val="21"/>
              </w:rPr>
              <w:t>振动给料机</w:t>
            </w:r>
          </w:p>
        </w:tc>
        <w:tc>
          <w:tcPr>
            <w:tcW w:w="2261" w:type="pct"/>
          </w:tcPr>
          <w:p>
            <w:pPr>
              <w:spacing w:line="240" w:lineRule="auto"/>
              <w:ind w:firstLine="0" w:firstLineChars="0"/>
              <w:jc w:val="center"/>
              <w:rPr>
                <w:sz w:val="21"/>
                <w:szCs w:val="21"/>
              </w:rPr>
            </w:pPr>
            <w:r>
              <w:rPr>
                <w:rFonts w:eastAsia="Times New Roman"/>
                <w:sz w:val="21"/>
              </w:rPr>
              <w:t>TSW1139,</w:t>
            </w:r>
            <w:r>
              <w:rPr>
                <w:sz w:val="21"/>
              </w:rPr>
              <w:t xml:space="preserve">入料 </w:t>
            </w:r>
            <w:r>
              <w:rPr>
                <w:rFonts w:eastAsia="Times New Roman"/>
                <w:sz w:val="21"/>
              </w:rPr>
              <w:t>60</w:t>
            </w:r>
            <w:r>
              <w:rPr>
                <w:sz w:val="21"/>
              </w:rPr>
              <w:t xml:space="preserve">，最大产能 </w:t>
            </w:r>
            <w:r>
              <w:rPr>
                <w:rFonts w:eastAsia="Times New Roman"/>
                <w:sz w:val="21"/>
              </w:rPr>
              <w:t xml:space="preserve">350 </w:t>
            </w:r>
            <w:r>
              <w:rPr>
                <w:sz w:val="21"/>
              </w:rPr>
              <w:t>吨</w:t>
            </w:r>
            <w:r>
              <w:rPr>
                <w:rFonts w:eastAsia="Times New Roman"/>
                <w:sz w:val="21"/>
              </w:rPr>
              <w:t>/h</w:t>
            </w:r>
          </w:p>
        </w:tc>
        <w:tc>
          <w:tcPr>
            <w:tcW w:w="357" w:type="pct"/>
            <w:vAlign w:val="center"/>
          </w:tcPr>
          <w:p>
            <w:pPr>
              <w:spacing w:line="240" w:lineRule="auto"/>
              <w:ind w:firstLine="0" w:firstLineChars="0"/>
              <w:jc w:val="center"/>
              <w:rPr>
                <w:sz w:val="21"/>
                <w:szCs w:val="21"/>
              </w:rPr>
            </w:pPr>
            <w:r>
              <w:rPr>
                <w:rFonts w:eastAsia="Times New Roman"/>
                <w:sz w:val="21"/>
              </w:rPr>
              <w:t>2</w:t>
            </w:r>
          </w:p>
        </w:tc>
        <w:tc>
          <w:tcPr>
            <w:tcW w:w="342" w:type="pct"/>
            <w:vAlign w:val="center"/>
          </w:tcPr>
          <w:p>
            <w:pPr>
              <w:spacing w:line="240" w:lineRule="auto"/>
              <w:ind w:firstLine="0" w:firstLineChars="0"/>
              <w:jc w:val="center"/>
              <w:rPr>
                <w:sz w:val="21"/>
                <w:szCs w:val="21"/>
              </w:rPr>
            </w:pPr>
            <w:r>
              <w:rPr>
                <w:rFonts w:eastAsia="Times New Roman"/>
                <w:sz w:val="21"/>
              </w:rPr>
              <w:t>0</w:t>
            </w:r>
          </w:p>
        </w:tc>
        <w:tc>
          <w:tcPr>
            <w:tcW w:w="322" w:type="pct"/>
            <w:vAlign w:val="center"/>
          </w:tcPr>
          <w:p>
            <w:pPr>
              <w:spacing w:line="240" w:lineRule="auto"/>
              <w:ind w:firstLine="0" w:firstLineChars="0"/>
              <w:jc w:val="center"/>
              <w:rPr>
                <w:sz w:val="21"/>
                <w:szCs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szCs w:val="21"/>
              </w:rPr>
            </w:pPr>
            <w:r>
              <w:rPr>
                <w:sz w:val="21"/>
              </w:rPr>
              <w:t>颚式破碎机</w:t>
            </w:r>
          </w:p>
        </w:tc>
        <w:tc>
          <w:tcPr>
            <w:tcW w:w="2261" w:type="pct"/>
          </w:tcPr>
          <w:p>
            <w:pPr>
              <w:spacing w:line="240" w:lineRule="auto"/>
              <w:ind w:firstLine="0" w:firstLineChars="0"/>
              <w:jc w:val="center"/>
              <w:rPr>
                <w:sz w:val="21"/>
                <w:szCs w:val="21"/>
              </w:rPr>
            </w:pPr>
            <w:r>
              <w:rPr>
                <w:rFonts w:eastAsia="Times New Roman"/>
                <w:sz w:val="21"/>
              </w:rPr>
              <w:t>PEW760</w:t>
            </w:r>
            <w:r>
              <w:rPr>
                <w:sz w:val="21"/>
              </w:rPr>
              <w:t xml:space="preserve">，入料 </w:t>
            </w:r>
            <w:r>
              <w:rPr>
                <w:rFonts w:eastAsia="Times New Roman"/>
                <w:sz w:val="21"/>
              </w:rPr>
              <w:t>65</w:t>
            </w:r>
            <w:r>
              <w:rPr>
                <w:sz w:val="21"/>
              </w:rPr>
              <w:t xml:space="preserve">，最大产能 </w:t>
            </w:r>
            <w:r>
              <w:rPr>
                <w:rFonts w:eastAsia="Times New Roman"/>
                <w:sz w:val="21"/>
              </w:rPr>
              <w:t xml:space="preserve">350 </w:t>
            </w:r>
            <w:r>
              <w:rPr>
                <w:sz w:val="21"/>
              </w:rPr>
              <w:t>吨</w:t>
            </w:r>
            <w:r>
              <w:rPr>
                <w:rFonts w:eastAsia="Times New Roman"/>
                <w:sz w:val="21"/>
              </w:rPr>
              <w:t>/h</w:t>
            </w:r>
          </w:p>
        </w:tc>
        <w:tc>
          <w:tcPr>
            <w:tcW w:w="357" w:type="pct"/>
            <w:vAlign w:val="center"/>
          </w:tcPr>
          <w:p>
            <w:pPr>
              <w:spacing w:line="240" w:lineRule="auto"/>
              <w:ind w:firstLine="0" w:firstLineChars="0"/>
              <w:jc w:val="center"/>
              <w:rPr>
                <w:sz w:val="21"/>
                <w:szCs w:val="21"/>
              </w:rPr>
            </w:pPr>
            <w:r>
              <w:rPr>
                <w:rFonts w:eastAsia="Times New Roman"/>
                <w:sz w:val="21"/>
              </w:rPr>
              <w:t>2</w:t>
            </w:r>
          </w:p>
        </w:tc>
        <w:tc>
          <w:tcPr>
            <w:tcW w:w="342" w:type="pct"/>
            <w:vAlign w:val="center"/>
          </w:tcPr>
          <w:p>
            <w:pPr>
              <w:spacing w:line="240" w:lineRule="auto"/>
              <w:ind w:firstLine="0" w:firstLineChars="0"/>
              <w:jc w:val="center"/>
              <w:rPr>
                <w:sz w:val="21"/>
                <w:szCs w:val="21"/>
              </w:rPr>
            </w:pPr>
            <w:r>
              <w:rPr>
                <w:rFonts w:eastAsia="Times New Roman"/>
                <w:sz w:val="21"/>
              </w:rPr>
              <w:t>0</w:t>
            </w:r>
          </w:p>
        </w:tc>
        <w:tc>
          <w:tcPr>
            <w:tcW w:w="322" w:type="pct"/>
            <w:vAlign w:val="center"/>
          </w:tcPr>
          <w:p>
            <w:pPr>
              <w:spacing w:line="240" w:lineRule="auto"/>
              <w:ind w:firstLine="0" w:firstLineChars="0"/>
              <w:jc w:val="center"/>
              <w:rPr>
                <w:sz w:val="21"/>
                <w:szCs w:val="21"/>
              </w:rPr>
            </w:pPr>
            <w:r>
              <w:rPr>
                <w:rFonts w:eastAsia="Times New Roman"/>
                <w:sz w:val="21"/>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szCs w:val="21"/>
              </w:rPr>
            </w:pPr>
            <w:r>
              <w:rPr>
                <w:sz w:val="21"/>
              </w:rPr>
              <w:t>圆锥破</w:t>
            </w:r>
          </w:p>
        </w:tc>
        <w:tc>
          <w:tcPr>
            <w:tcW w:w="2261" w:type="pct"/>
          </w:tcPr>
          <w:p>
            <w:pPr>
              <w:spacing w:line="240" w:lineRule="auto"/>
              <w:ind w:firstLine="0" w:firstLineChars="0"/>
              <w:jc w:val="center"/>
              <w:rPr>
                <w:sz w:val="21"/>
                <w:szCs w:val="21"/>
              </w:rPr>
            </w:pPr>
            <w:r>
              <w:rPr>
                <w:rFonts w:eastAsia="Times New Roman"/>
                <w:sz w:val="21"/>
              </w:rPr>
              <w:t>PYD1200,</w:t>
            </w:r>
            <w:r>
              <w:rPr>
                <w:sz w:val="21"/>
              </w:rPr>
              <w:t xml:space="preserve">入料 </w:t>
            </w:r>
            <w:r>
              <w:rPr>
                <w:rFonts w:eastAsia="Times New Roman"/>
                <w:sz w:val="21"/>
              </w:rPr>
              <w:t>50</w:t>
            </w:r>
            <w:r>
              <w:rPr>
                <w:sz w:val="21"/>
              </w:rPr>
              <w:t xml:space="preserve">，最大产能 </w:t>
            </w:r>
            <w:r>
              <w:rPr>
                <w:rFonts w:eastAsia="Times New Roman"/>
                <w:sz w:val="21"/>
              </w:rPr>
              <w:t xml:space="preserve">105 </w:t>
            </w:r>
            <w:r>
              <w:rPr>
                <w:sz w:val="21"/>
              </w:rPr>
              <w:t>吨</w:t>
            </w:r>
            <w:r>
              <w:rPr>
                <w:rFonts w:eastAsia="Times New Roman"/>
                <w:sz w:val="21"/>
              </w:rPr>
              <w:t>/h</w:t>
            </w:r>
          </w:p>
        </w:tc>
        <w:tc>
          <w:tcPr>
            <w:tcW w:w="357" w:type="pct"/>
            <w:vAlign w:val="center"/>
          </w:tcPr>
          <w:p>
            <w:pPr>
              <w:spacing w:line="240" w:lineRule="auto"/>
              <w:ind w:firstLine="0" w:firstLineChars="0"/>
              <w:jc w:val="center"/>
              <w:rPr>
                <w:sz w:val="21"/>
                <w:szCs w:val="21"/>
              </w:rPr>
            </w:pPr>
            <w:r>
              <w:rPr>
                <w:rFonts w:eastAsia="Times New Roman"/>
                <w:sz w:val="21"/>
              </w:rPr>
              <w:t>4</w:t>
            </w:r>
          </w:p>
        </w:tc>
        <w:tc>
          <w:tcPr>
            <w:tcW w:w="342" w:type="pct"/>
            <w:vAlign w:val="center"/>
          </w:tcPr>
          <w:p>
            <w:pPr>
              <w:spacing w:line="240" w:lineRule="auto"/>
              <w:ind w:firstLine="0" w:firstLineChars="0"/>
              <w:jc w:val="center"/>
              <w:rPr>
                <w:sz w:val="21"/>
                <w:szCs w:val="21"/>
              </w:rPr>
            </w:pPr>
            <w:r>
              <w:rPr>
                <w:rFonts w:eastAsia="Times New Roman"/>
                <w:sz w:val="21"/>
              </w:rPr>
              <w:t>0</w:t>
            </w:r>
          </w:p>
        </w:tc>
        <w:tc>
          <w:tcPr>
            <w:tcW w:w="322" w:type="pct"/>
            <w:vAlign w:val="center"/>
          </w:tcPr>
          <w:p>
            <w:pPr>
              <w:spacing w:line="240" w:lineRule="auto"/>
              <w:ind w:firstLine="0" w:firstLineChars="0"/>
              <w:jc w:val="center"/>
              <w:rPr>
                <w:sz w:val="21"/>
                <w:szCs w:val="21"/>
              </w:rPr>
            </w:pPr>
            <w:r>
              <w:rPr>
                <w:rFonts w:eastAsia="Times New Roman"/>
                <w:sz w:val="21"/>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振动筛</w:t>
            </w:r>
          </w:p>
        </w:tc>
        <w:tc>
          <w:tcPr>
            <w:tcW w:w="2261" w:type="pct"/>
          </w:tcPr>
          <w:p>
            <w:pPr>
              <w:spacing w:line="240" w:lineRule="auto"/>
              <w:ind w:firstLine="0" w:firstLineChars="0"/>
              <w:jc w:val="center"/>
              <w:rPr>
                <w:sz w:val="21"/>
                <w:szCs w:val="21"/>
              </w:rPr>
            </w:pPr>
            <w:r>
              <w:rPr>
                <w:rFonts w:eastAsia="Times New Roman"/>
                <w:sz w:val="21"/>
              </w:rPr>
              <w:t>YKF216</w:t>
            </w:r>
          </w:p>
        </w:tc>
        <w:tc>
          <w:tcPr>
            <w:tcW w:w="357" w:type="pct"/>
          </w:tcPr>
          <w:p>
            <w:pPr>
              <w:spacing w:line="240" w:lineRule="auto"/>
              <w:ind w:firstLine="0" w:firstLineChars="0"/>
              <w:jc w:val="center"/>
              <w:rPr>
                <w:sz w:val="21"/>
                <w:szCs w:val="21"/>
              </w:rPr>
            </w:pPr>
            <w:r>
              <w:rPr>
                <w:rFonts w:eastAsia="Times New Roman"/>
                <w:sz w:val="21"/>
              </w:rPr>
              <w:t>2</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振动筛</w:t>
            </w:r>
          </w:p>
        </w:tc>
        <w:tc>
          <w:tcPr>
            <w:tcW w:w="2261" w:type="pct"/>
          </w:tcPr>
          <w:p>
            <w:pPr>
              <w:spacing w:line="240" w:lineRule="auto"/>
              <w:ind w:firstLine="0" w:firstLineChars="0"/>
              <w:jc w:val="center"/>
              <w:rPr>
                <w:sz w:val="21"/>
                <w:szCs w:val="21"/>
              </w:rPr>
            </w:pPr>
            <w:r>
              <w:rPr>
                <w:rFonts w:eastAsia="Times New Roman"/>
                <w:sz w:val="21"/>
              </w:rPr>
              <w:t>2YKF1536</w:t>
            </w:r>
          </w:p>
        </w:tc>
        <w:tc>
          <w:tcPr>
            <w:tcW w:w="357" w:type="pct"/>
          </w:tcPr>
          <w:p>
            <w:pPr>
              <w:spacing w:line="240" w:lineRule="auto"/>
              <w:ind w:firstLine="0" w:firstLineChars="0"/>
              <w:jc w:val="center"/>
              <w:rPr>
                <w:sz w:val="21"/>
                <w:szCs w:val="21"/>
              </w:rPr>
            </w:pPr>
            <w:r>
              <w:rPr>
                <w:rFonts w:eastAsia="Times New Roman"/>
                <w:sz w:val="21"/>
              </w:rPr>
              <w:t>4</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制砂机</w:t>
            </w:r>
          </w:p>
        </w:tc>
        <w:tc>
          <w:tcPr>
            <w:tcW w:w="2261" w:type="pct"/>
          </w:tcPr>
          <w:p>
            <w:pPr>
              <w:spacing w:line="240" w:lineRule="auto"/>
              <w:ind w:firstLine="0" w:firstLineChars="0"/>
              <w:jc w:val="center"/>
              <w:rPr>
                <w:sz w:val="21"/>
                <w:szCs w:val="21"/>
              </w:rPr>
            </w:pPr>
            <w:r>
              <w:rPr>
                <w:rFonts w:eastAsia="Times New Roman"/>
                <w:sz w:val="21"/>
              </w:rPr>
              <w:t>RO922BHS</w:t>
            </w:r>
          </w:p>
        </w:tc>
        <w:tc>
          <w:tcPr>
            <w:tcW w:w="357" w:type="pct"/>
          </w:tcPr>
          <w:p>
            <w:pPr>
              <w:spacing w:line="240" w:lineRule="auto"/>
              <w:ind w:firstLine="0" w:firstLineChars="0"/>
              <w:jc w:val="center"/>
              <w:rPr>
                <w:sz w:val="21"/>
                <w:szCs w:val="21"/>
              </w:rPr>
            </w:pPr>
            <w:r>
              <w:rPr>
                <w:rFonts w:eastAsia="Times New Roman"/>
                <w:sz w:val="21"/>
              </w:rPr>
              <w:t>2</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料带系统</w:t>
            </w:r>
          </w:p>
        </w:tc>
        <w:tc>
          <w:tcPr>
            <w:tcW w:w="2261" w:type="pct"/>
          </w:tcPr>
          <w:p>
            <w:pPr>
              <w:spacing w:line="240" w:lineRule="auto"/>
              <w:ind w:firstLine="0" w:firstLineChars="0"/>
              <w:jc w:val="center"/>
              <w:rPr>
                <w:sz w:val="21"/>
                <w:szCs w:val="21"/>
              </w:rPr>
            </w:pPr>
            <w:r>
              <w:rPr>
                <w:rFonts w:eastAsia="Times New Roman"/>
                <w:sz w:val="21"/>
              </w:rPr>
              <w:t>D800</w:t>
            </w:r>
          </w:p>
        </w:tc>
        <w:tc>
          <w:tcPr>
            <w:tcW w:w="357" w:type="pct"/>
          </w:tcPr>
          <w:p>
            <w:pPr>
              <w:spacing w:line="240" w:lineRule="auto"/>
              <w:ind w:firstLine="0" w:firstLineChars="0"/>
              <w:jc w:val="center"/>
              <w:rPr>
                <w:sz w:val="21"/>
                <w:szCs w:val="21"/>
              </w:rPr>
            </w:pPr>
            <w:r>
              <w:rPr>
                <w:rFonts w:eastAsia="Times New Roman"/>
                <w:sz w:val="21"/>
              </w:rPr>
              <w:t>12</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szCs w:val="21"/>
              </w:rPr>
            </w:pPr>
            <w:r>
              <w:rPr>
                <w:sz w:val="21"/>
                <w:szCs w:val="21"/>
              </w:rPr>
              <w:t>黑泥</w:t>
            </w:r>
          </w:p>
          <w:p>
            <w:pPr>
              <w:spacing w:line="240" w:lineRule="auto"/>
              <w:ind w:firstLine="0" w:firstLineChars="0"/>
              <w:jc w:val="center"/>
              <w:rPr>
                <w:sz w:val="21"/>
                <w:szCs w:val="21"/>
              </w:rPr>
            </w:pPr>
            <w:r>
              <w:rPr>
                <w:sz w:val="21"/>
                <w:szCs w:val="21"/>
              </w:rPr>
              <w:t>化浆</w:t>
            </w:r>
          </w:p>
          <w:p>
            <w:pPr>
              <w:spacing w:line="240" w:lineRule="auto"/>
              <w:ind w:firstLine="0" w:firstLineChars="0"/>
              <w:jc w:val="center"/>
              <w:rPr>
                <w:sz w:val="21"/>
                <w:szCs w:val="21"/>
              </w:rPr>
            </w:pPr>
            <w:r>
              <w:rPr>
                <w:sz w:val="21"/>
                <w:szCs w:val="21"/>
              </w:rPr>
              <w:t>工段</w:t>
            </w:r>
          </w:p>
        </w:tc>
        <w:tc>
          <w:tcPr>
            <w:tcW w:w="865" w:type="pct"/>
          </w:tcPr>
          <w:p>
            <w:pPr>
              <w:spacing w:line="240" w:lineRule="auto"/>
              <w:ind w:firstLine="0" w:firstLineChars="0"/>
              <w:jc w:val="center"/>
              <w:rPr>
                <w:sz w:val="21"/>
                <w:szCs w:val="21"/>
              </w:rPr>
            </w:pPr>
            <w:r>
              <w:rPr>
                <w:sz w:val="21"/>
              </w:rPr>
              <w:t>喂料机</w:t>
            </w:r>
          </w:p>
        </w:tc>
        <w:tc>
          <w:tcPr>
            <w:tcW w:w="2261" w:type="pct"/>
          </w:tcPr>
          <w:p>
            <w:pPr>
              <w:spacing w:line="240" w:lineRule="auto"/>
              <w:ind w:firstLine="0" w:firstLineChars="0"/>
              <w:jc w:val="center"/>
              <w:rPr>
                <w:sz w:val="21"/>
                <w:szCs w:val="21"/>
              </w:rPr>
            </w:pPr>
            <w:r>
              <w:rPr>
                <w:rFonts w:eastAsia="Times New Roman"/>
                <w:sz w:val="21"/>
              </w:rPr>
              <w:t>10M3</w:t>
            </w:r>
          </w:p>
        </w:tc>
        <w:tc>
          <w:tcPr>
            <w:tcW w:w="357" w:type="pct"/>
          </w:tcPr>
          <w:p>
            <w:pPr>
              <w:spacing w:line="240" w:lineRule="auto"/>
              <w:ind w:firstLine="0" w:firstLineChars="0"/>
              <w:jc w:val="center"/>
              <w:rPr>
                <w:sz w:val="21"/>
                <w:szCs w:val="21"/>
              </w:rPr>
            </w:pPr>
            <w:r>
              <w:rPr>
                <w:rFonts w:eastAsia="Times New Roman"/>
                <w:sz w:val="21"/>
              </w:rPr>
              <w:t>20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化浆连续球</w:t>
            </w:r>
          </w:p>
        </w:tc>
        <w:tc>
          <w:tcPr>
            <w:tcW w:w="2261" w:type="pct"/>
          </w:tcPr>
          <w:p>
            <w:pPr>
              <w:spacing w:line="240" w:lineRule="auto"/>
              <w:ind w:firstLine="0" w:firstLineChars="0"/>
              <w:jc w:val="center"/>
              <w:rPr>
                <w:sz w:val="21"/>
                <w:szCs w:val="21"/>
              </w:rPr>
            </w:pPr>
            <w:r>
              <w:rPr>
                <w:rFonts w:eastAsia="Times New Roman"/>
                <w:sz w:val="21"/>
              </w:rPr>
              <w:t>HJ3415,140m³</w:t>
            </w:r>
            <w:r>
              <w:rPr>
                <w:sz w:val="21"/>
              </w:rPr>
              <w:t>，</w:t>
            </w:r>
            <w:r>
              <w:rPr>
                <w:rFonts w:eastAsia="Times New Roman"/>
                <w:sz w:val="21"/>
              </w:rPr>
              <w:t>50T/h</w:t>
            </w:r>
          </w:p>
        </w:tc>
        <w:tc>
          <w:tcPr>
            <w:tcW w:w="357" w:type="pct"/>
          </w:tcPr>
          <w:p>
            <w:pPr>
              <w:spacing w:line="240" w:lineRule="auto"/>
              <w:ind w:firstLine="0" w:firstLineChars="0"/>
              <w:jc w:val="center"/>
              <w:rPr>
                <w:sz w:val="21"/>
                <w:szCs w:val="21"/>
              </w:rPr>
            </w:pPr>
            <w:r>
              <w:rPr>
                <w:rFonts w:eastAsia="Times New Roman"/>
                <w:sz w:val="21"/>
              </w:rPr>
              <w:t>4</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卸浆地下池</w:t>
            </w:r>
          </w:p>
        </w:tc>
        <w:tc>
          <w:tcPr>
            <w:tcW w:w="2261" w:type="pct"/>
          </w:tcPr>
          <w:p>
            <w:pPr>
              <w:spacing w:line="240" w:lineRule="auto"/>
              <w:ind w:firstLine="0" w:firstLineChars="0"/>
              <w:jc w:val="center"/>
              <w:rPr>
                <w:sz w:val="21"/>
                <w:szCs w:val="21"/>
              </w:rPr>
            </w:pPr>
            <w:r>
              <w:rPr>
                <w:rFonts w:eastAsia="Times New Roman"/>
                <w:sz w:val="21"/>
              </w:rPr>
              <w:t xml:space="preserve">Φ5000*H3.5 </w:t>
            </w:r>
            <w:r>
              <w:rPr>
                <w:sz w:val="21"/>
              </w:rPr>
              <w:t>米，</w:t>
            </w:r>
            <w:r>
              <w:rPr>
                <w:rFonts w:eastAsia="Times New Roman"/>
                <w:sz w:val="21"/>
              </w:rPr>
              <w:t>78m³</w:t>
            </w:r>
          </w:p>
        </w:tc>
        <w:tc>
          <w:tcPr>
            <w:tcW w:w="357" w:type="pct"/>
          </w:tcPr>
          <w:p>
            <w:pPr>
              <w:spacing w:line="240" w:lineRule="auto"/>
              <w:ind w:firstLine="0" w:firstLineChars="0"/>
              <w:jc w:val="center"/>
              <w:rPr>
                <w:sz w:val="21"/>
                <w:szCs w:val="21"/>
              </w:rPr>
            </w:pPr>
            <w:r>
              <w:rPr>
                <w:rFonts w:eastAsia="Times New Roman"/>
                <w:sz w:val="21"/>
              </w:rPr>
              <w:t>8</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地面均化浆池</w:t>
            </w:r>
          </w:p>
        </w:tc>
        <w:tc>
          <w:tcPr>
            <w:tcW w:w="2261" w:type="pct"/>
            <w:vAlign w:val="center"/>
          </w:tcPr>
          <w:p>
            <w:pPr>
              <w:spacing w:line="240" w:lineRule="auto"/>
              <w:ind w:firstLine="0" w:firstLineChars="0"/>
              <w:jc w:val="center"/>
              <w:rPr>
                <w:sz w:val="21"/>
                <w:szCs w:val="21"/>
              </w:rPr>
            </w:pPr>
            <w:r>
              <w:rPr>
                <w:rFonts w:eastAsia="Times New Roman"/>
                <w:sz w:val="21"/>
              </w:rPr>
              <w:t xml:space="preserve">Φ8000*H8 </w:t>
            </w:r>
            <w:r>
              <w:rPr>
                <w:sz w:val="21"/>
              </w:rPr>
              <w:t>米，</w:t>
            </w:r>
            <w:r>
              <w:rPr>
                <w:rFonts w:eastAsia="Times New Roman"/>
                <w:sz w:val="21"/>
              </w:rPr>
              <w:t>400m³</w:t>
            </w:r>
          </w:p>
        </w:tc>
        <w:tc>
          <w:tcPr>
            <w:tcW w:w="357" w:type="pct"/>
            <w:vAlign w:val="center"/>
          </w:tcPr>
          <w:p>
            <w:pPr>
              <w:spacing w:line="240" w:lineRule="auto"/>
              <w:ind w:firstLine="0" w:firstLineChars="0"/>
              <w:jc w:val="center"/>
              <w:rPr>
                <w:sz w:val="21"/>
                <w:szCs w:val="21"/>
              </w:rPr>
            </w:pPr>
            <w:r>
              <w:rPr>
                <w:rFonts w:eastAsia="Times New Roman"/>
                <w:sz w:val="21"/>
              </w:rPr>
              <w:t>12</w:t>
            </w:r>
          </w:p>
        </w:tc>
        <w:tc>
          <w:tcPr>
            <w:tcW w:w="342" w:type="pct"/>
            <w:vAlign w:val="center"/>
          </w:tcPr>
          <w:p>
            <w:pPr>
              <w:spacing w:line="240" w:lineRule="auto"/>
              <w:ind w:firstLine="0" w:firstLineChars="0"/>
              <w:jc w:val="center"/>
              <w:rPr>
                <w:sz w:val="21"/>
                <w:szCs w:val="21"/>
              </w:rPr>
            </w:pPr>
            <w:r>
              <w:rPr>
                <w:rFonts w:eastAsia="Times New Roman"/>
                <w:sz w:val="21"/>
              </w:rPr>
              <w:t>0</w:t>
            </w:r>
          </w:p>
        </w:tc>
        <w:tc>
          <w:tcPr>
            <w:tcW w:w="322" w:type="pct"/>
            <w:vAlign w:val="center"/>
          </w:tcPr>
          <w:p>
            <w:pPr>
              <w:spacing w:line="240" w:lineRule="auto"/>
              <w:ind w:firstLine="0" w:firstLineChars="0"/>
              <w:jc w:val="center"/>
              <w:rPr>
                <w:sz w:val="21"/>
                <w:szCs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圆筛</w:t>
            </w:r>
          </w:p>
        </w:tc>
        <w:tc>
          <w:tcPr>
            <w:tcW w:w="2261" w:type="pct"/>
          </w:tcPr>
          <w:p>
            <w:pPr>
              <w:spacing w:line="240" w:lineRule="auto"/>
              <w:ind w:firstLine="0" w:firstLineChars="0"/>
              <w:jc w:val="center"/>
              <w:rPr>
                <w:sz w:val="21"/>
                <w:szCs w:val="21"/>
              </w:rPr>
            </w:pPr>
            <w:r>
              <w:rPr>
                <w:rFonts w:eastAsia="Times New Roman"/>
                <w:sz w:val="21"/>
              </w:rPr>
              <w:t>Φ1000</w:t>
            </w:r>
          </w:p>
        </w:tc>
        <w:tc>
          <w:tcPr>
            <w:tcW w:w="357" w:type="pct"/>
          </w:tcPr>
          <w:p>
            <w:pPr>
              <w:spacing w:line="240" w:lineRule="auto"/>
              <w:ind w:firstLine="0" w:firstLineChars="0"/>
              <w:jc w:val="center"/>
              <w:rPr>
                <w:sz w:val="21"/>
                <w:szCs w:val="21"/>
              </w:rPr>
            </w:pPr>
            <w:r>
              <w:rPr>
                <w:rFonts w:eastAsia="Times New Roman"/>
                <w:sz w:val="21"/>
              </w:rPr>
              <w:t>20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出渣输送皮带</w:t>
            </w:r>
          </w:p>
        </w:tc>
        <w:tc>
          <w:tcPr>
            <w:tcW w:w="2261" w:type="pct"/>
          </w:tcPr>
          <w:p>
            <w:pPr>
              <w:spacing w:line="240" w:lineRule="auto"/>
              <w:ind w:firstLine="0" w:firstLineChars="0"/>
              <w:jc w:val="center"/>
              <w:rPr>
                <w:sz w:val="21"/>
                <w:szCs w:val="21"/>
              </w:rPr>
            </w:pPr>
            <w:r>
              <w:rPr>
                <w:rFonts w:eastAsia="Times New Roman"/>
                <w:sz w:val="21"/>
              </w:rPr>
              <w:t xml:space="preserve">800 </w:t>
            </w:r>
            <w:r>
              <w:rPr>
                <w:sz w:val="21"/>
              </w:rPr>
              <w:t>型</w:t>
            </w:r>
          </w:p>
        </w:tc>
        <w:tc>
          <w:tcPr>
            <w:tcW w:w="357" w:type="pct"/>
          </w:tcPr>
          <w:p>
            <w:pPr>
              <w:spacing w:line="240" w:lineRule="auto"/>
              <w:ind w:firstLine="0" w:firstLineChars="0"/>
              <w:jc w:val="center"/>
              <w:rPr>
                <w:sz w:val="21"/>
                <w:szCs w:val="21"/>
              </w:rPr>
            </w:pPr>
            <w:r>
              <w:rPr>
                <w:rFonts w:eastAsia="Times New Roman"/>
                <w:sz w:val="21"/>
              </w:rPr>
              <w:t>4</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柱塞泵</w:t>
            </w:r>
          </w:p>
        </w:tc>
        <w:tc>
          <w:tcPr>
            <w:tcW w:w="2261" w:type="pct"/>
          </w:tcPr>
          <w:p>
            <w:pPr>
              <w:spacing w:line="240" w:lineRule="auto"/>
              <w:ind w:firstLine="0" w:firstLineChars="0"/>
              <w:jc w:val="center"/>
              <w:rPr>
                <w:sz w:val="21"/>
                <w:szCs w:val="21"/>
              </w:rPr>
            </w:pPr>
            <w:r>
              <w:rPr>
                <w:rFonts w:eastAsia="Times New Roman"/>
                <w:sz w:val="21"/>
              </w:rPr>
              <w:t>NB250</w:t>
            </w:r>
          </w:p>
        </w:tc>
        <w:tc>
          <w:tcPr>
            <w:tcW w:w="357" w:type="pct"/>
          </w:tcPr>
          <w:p>
            <w:pPr>
              <w:spacing w:line="240" w:lineRule="auto"/>
              <w:ind w:firstLine="0" w:firstLineChars="0"/>
              <w:jc w:val="center"/>
              <w:rPr>
                <w:sz w:val="21"/>
                <w:szCs w:val="21"/>
              </w:rPr>
            </w:pPr>
            <w:r>
              <w:rPr>
                <w:rFonts w:eastAsia="Times New Roman"/>
                <w:sz w:val="21"/>
              </w:rPr>
              <w:t>8</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制浆</w:t>
            </w:r>
          </w:p>
          <w:p>
            <w:pPr>
              <w:spacing w:line="240" w:lineRule="auto"/>
              <w:ind w:firstLine="0" w:firstLineChars="0"/>
              <w:jc w:val="center"/>
              <w:rPr>
                <w:sz w:val="21"/>
                <w:szCs w:val="21"/>
              </w:rPr>
            </w:pPr>
            <w:r>
              <w:rPr>
                <w:sz w:val="21"/>
                <w:szCs w:val="21"/>
              </w:rPr>
              <w:t>车间</w:t>
            </w:r>
          </w:p>
        </w:tc>
        <w:tc>
          <w:tcPr>
            <w:tcW w:w="621" w:type="pct"/>
            <w:vMerge w:val="restart"/>
          </w:tcPr>
          <w:p>
            <w:pPr>
              <w:spacing w:line="240" w:lineRule="auto"/>
              <w:ind w:firstLine="0" w:firstLineChars="0"/>
              <w:jc w:val="center"/>
              <w:rPr>
                <w:sz w:val="21"/>
              </w:rPr>
            </w:pPr>
            <w:r>
              <w:rPr>
                <w:sz w:val="21"/>
              </w:rPr>
              <w:t>连续球</w:t>
            </w:r>
          </w:p>
          <w:p>
            <w:pPr>
              <w:spacing w:line="240" w:lineRule="auto"/>
              <w:ind w:firstLine="0" w:firstLineChars="0"/>
              <w:jc w:val="center"/>
              <w:rPr>
                <w:sz w:val="21"/>
                <w:szCs w:val="21"/>
              </w:rPr>
            </w:pPr>
            <w:r>
              <w:rPr>
                <w:sz w:val="21"/>
              </w:rPr>
              <w:t>工段</w:t>
            </w:r>
          </w:p>
        </w:tc>
        <w:tc>
          <w:tcPr>
            <w:tcW w:w="865" w:type="pct"/>
            <w:vMerge w:val="restart"/>
          </w:tcPr>
          <w:p>
            <w:pPr>
              <w:spacing w:line="240" w:lineRule="auto"/>
              <w:ind w:firstLine="0" w:firstLineChars="0"/>
            </w:pPr>
            <w:r>
              <w:rPr>
                <w:sz w:val="21"/>
              </w:rPr>
              <w:t>连续球磨机</w:t>
            </w:r>
          </w:p>
          <w:p>
            <w:pPr>
              <w:spacing w:line="240" w:lineRule="auto"/>
              <w:ind w:firstLine="0" w:firstLineChars="0"/>
              <w:jc w:val="center"/>
              <w:rPr>
                <w:sz w:val="21"/>
                <w:szCs w:val="21"/>
              </w:rPr>
            </w:pPr>
            <w:r>
              <w:rPr>
                <w:rFonts w:eastAsia="Times New Roman"/>
                <w:sz w:val="21"/>
              </w:rPr>
              <w:t>10KV</w:t>
            </w:r>
          </w:p>
        </w:tc>
        <w:tc>
          <w:tcPr>
            <w:tcW w:w="2261" w:type="pct"/>
          </w:tcPr>
          <w:p>
            <w:pPr>
              <w:spacing w:line="240" w:lineRule="auto"/>
              <w:ind w:firstLine="0" w:firstLineChars="0"/>
              <w:jc w:val="center"/>
              <w:rPr>
                <w:sz w:val="21"/>
                <w:szCs w:val="21"/>
              </w:rPr>
            </w:pPr>
            <w:r>
              <w:rPr>
                <w:rFonts w:eastAsia="Times New Roman"/>
                <w:sz w:val="21"/>
              </w:rPr>
              <w:t xml:space="preserve">HCMM-332,92 </w:t>
            </w:r>
            <w:r>
              <w:rPr>
                <w:sz w:val="21"/>
              </w:rPr>
              <w:t>立方，粗磨</w:t>
            </w:r>
          </w:p>
        </w:tc>
        <w:tc>
          <w:tcPr>
            <w:tcW w:w="357" w:type="pct"/>
          </w:tcPr>
          <w:p>
            <w:pPr>
              <w:spacing w:line="240" w:lineRule="auto"/>
              <w:ind w:firstLine="0" w:firstLineChars="0"/>
              <w:jc w:val="center"/>
              <w:rPr>
                <w:sz w:val="21"/>
                <w:szCs w:val="21"/>
              </w:rPr>
            </w:pPr>
            <w:r>
              <w:rPr>
                <w:rFonts w:eastAsia="Times New Roman"/>
                <w:sz w:val="21"/>
              </w:rPr>
              <w:t>9</w:t>
            </w:r>
          </w:p>
        </w:tc>
        <w:tc>
          <w:tcPr>
            <w:tcW w:w="342" w:type="pct"/>
          </w:tcPr>
          <w:p>
            <w:pPr>
              <w:spacing w:line="240" w:lineRule="auto"/>
              <w:ind w:firstLine="0" w:firstLineChars="0"/>
              <w:jc w:val="center"/>
              <w:rPr>
                <w:sz w:val="21"/>
                <w:szCs w:val="21"/>
              </w:rPr>
            </w:pPr>
            <w:r>
              <w:rPr>
                <w:rFonts w:eastAsia="Times New Roman"/>
                <w:sz w:val="21"/>
              </w:rPr>
              <w:t>1</w:t>
            </w:r>
          </w:p>
        </w:tc>
        <w:tc>
          <w:tcPr>
            <w:tcW w:w="322" w:type="pct"/>
          </w:tcPr>
          <w:p>
            <w:pPr>
              <w:spacing w:line="240" w:lineRule="auto"/>
              <w:ind w:firstLine="0" w:firstLineChars="0"/>
              <w:jc w:val="center"/>
              <w:rPr>
                <w:sz w:val="21"/>
                <w:szCs w:val="21"/>
              </w:rPr>
            </w:pPr>
            <w:r>
              <w:rPr>
                <w:rFonts w:eastAsia="Times New Roman"/>
                <w:sz w:val="21"/>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tcPr>
          <w:p>
            <w:pPr>
              <w:spacing w:line="240" w:lineRule="auto"/>
              <w:ind w:firstLine="0" w:firstLineChars="0"/>
              <w:jc w:val="center"/>
              <w:rPr>
                <w:sz w:val="21"/>
                <w:szCs w:val="21"/>
              </w:rPr>
            </w:pPr>
          </w:p>
        </w:tc>
        <w:tc>
          <w:tcPr>
            <w:tcW w:w="621" w:type="pct"/>
            <w:vMerge w:val="continue"/>
          </w:tcPr>
          <w:p>
            <w:pPr>
              <w:spacing w:line="240" w:lineRule="auto"/>
              <w:ind w:firstLine="0" w:firstLineChars="0"/>
              <w:jc w:val="center"/>
              <w:rPr>
                <w:sz w:val="21"/>
                <w:szCs w:val="21"/>
              </w:rPr>
            </w:pPr>
          </w:p>
        </w:tc>
        <w:tc>
          <w:tcPr>
            <w:tcW w:w="865" w:type="pct"/>
            <w:vMerge w:val="continue"/>
          </w:tcPr>
          <w:p>
            <w:pPr>
              <w:spacing w:line="240" w:lineRule="auto"/>
              <w:ind w:firstLine="0" w:firstLineChars="0"/>
              <w:jc w:val="center"/>
              <w:rPr>
                <w:sz w:val="21"/>
                <w:szCs w:val="21"/>
              </w:rPr>
            </w:pPr>
          </w:p>
        </w:tc>
        <w:tc>
          <w:tcPr>
            <w:tcW w:w="2261" w:type="pct"/>
          </w:tcPr>
          <w:p>
            <w:pPr>
              <w:spacing w:line="240" w:lineRule="auto"/>
              <w:ind w:firstLine="0" w:firstLineChars="0"/>
              <w:jc w:val="center"/>
              <w:rPr>
                <w:sz w:val="21"/>
                <w:szCs w:val="21"/>
              </w:rPr>
            </w:pPr>
            <w:r>
              <w:rPr>
                <w:rFonts w:eastAsia="Times New Roman"/>
                <w:sz w:val="21"/>
              </w:rPr>
              <w:t xml:space="preserve">HCMM-332,60 </w:t>
            </w:r>
            <w:r>
              <w:rPr>
                <w:sz w:val="21"/>
              </w:rPr>
              <w:t>立方，细磨</w:t>
            </w:r>
          </w:p>
        </w:tc>
        <w:tc>
          <w:tcPr>
            <w:tcW w:w="357" w:type="pct"/>
          </w:tcPr>
          <w:p>
            <w:pPr>
              <w:spacing w:line="240" w:lineRule="auto"/>
              <w:ind w:firstLine="0" w:firstLineChars="0"/>
              <w:jc w:val="center"/>
              <w:rPr>
                <w:sz w:val="21"/>
                <w:szCs w:val="21"/>
              </w:rPr>
            </w:pPr>
            <w:r>
              <w:rPr>
                <w:rFonts w:eastAsia="Times New Roman"/>
                <w:sz w:val="21"/>
              </w:rPr>
              <w:t>36</w:t>
            </w:r>
          </w:p>
        </w:tc>
        <w:tc>
          <w:tcPr>
            <w:tcW w:w="342" w:type="pct"/>
          </w:tcPr>
          <w:p>
            <w:pPr>
              <w:spacing w:line="240" w:lineRule="auto"/>
              <w:ind w:firstLine="0" w:firstLineChars="0"/>
              <w:jc w:val="center"/>
              <w:rPr>
                <w:sz w:val="21"/>
                <w:szCs w:val="21"/>
              </w:rPr>
            </w:pPr>
            <w:r>
              <w:rPr>
                <w:rFonts w:eastAsia="Times New Roman"/>
                <w:sz w:val="21"/>
              </w:rPr>
              <w:t>4</w:t>
            </w:r>
          </w:p>
        </w:tc>
        <w:tc>
          <w:tcPr>
            <w:tcW w:w="322" w:type="pct"/>
          </w:tcPr>
          <w:p>
            <w:pPr>
              <w:spacing w:line="240" w:lineRule="auto"/>
              <w:ind w:firstLine="0" w:firstLineChars="0"/>
              <w:jc w:val="center"/>
              <w:rPr>
                <w:sz w:val="21"/>
                <w:szCs w:val="21"/>
              </w:rPr>
            </w:pPr>
            <w:r>
              <w:rPr>
                <w:rFonts w:eastAsia="Times New Roman"/>
                <w:sz w:val="21"/>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szCs w:val="21"/>
              </w:rPr>
            </w:pPr>
            <w:r>
              <w:rPr>
                <w:sz w:val="21"/>
                <w:szCs w:val="21"/>
              </w:rPr>
              <w:t>间歇</w:t>
            </w:r>
          </w:p>
          <w:p>
            <w:pPr>
              <w:spacing w:line="240" w:lineRule="auto"/>
              <w:ind w:firstLine="0" w:firstLineChars="0"/>
              <w:jc w:val="center"/>
              <w:rPr>
                <w:sz w:val="21"/>
                <w:szCs w:val="21"/>
              </w:rPr>
            </w:pPr>
            <w:r>
              <w:rPr>
                <w:sz w:val="21"/>
                <w:szCs w:val="21"/>
              </w:rPr>
              <w:t>球磨</w:t>
            </w:r>
          </w:p>
          <w:p>
            <w:pPr>
              <w:spacing w:line="240" w:lineRule="auto"/>
              <w:ind w:firstLine="0" w:firstLineChars="0"/>
              <w:jc w:val="center"/>
              <w:rPr>
                <w:sz w:val="21"/>
                <w:szCs w:val="21"/>
              </w:rPr>
            </w:pPr>
            <w:r>
              <w:rPr>
                <w:sz w:val="21"/>
                <w:szCs w:val="21"/>
              </w:rPr>
              <w:t>工段</w:t>
            </w:r>
          </w:p>
        </w:tc>
        <w:tc>
          <w:tcPr>
            <w:tcW w:w="865" w:type="pct"/>
          </w:tcPr>
          <w:p>
            <w:pPr>
              <w:spacing w:line="240" w:lineRule="auto"/>
              <w:ind w:firstLine="0" w:firstLineChars="0"/>
              <w:jc w:val="center"/>
              <w:rPr>
                <w:sz w:val="21"/>
                <w:szCs w:val="21"/>
              </w:rPr>
            </w:pPr>
            <w:r>
              <w:rPr>
                <w:sz w:val="21"/>
              </w:rPr>
              <w:t>间歇球磨机</w:t>
            </w:r>
          </w:p>
        </w:tc>
        <w:tc>
          <w:tcPr>
            <w:tcW w:w="2261" w:type="pct"/>
          </w:tcPr>
          <w:p>
            <w:pPr>
              <w:spacing w:line="240" w:lineRule="auto"/>
              <w:ind w:firstLine="0" w:firstLineChars="0"/>
              <w:jc w:val="center"/>
              <w:rPr>
                <w:sz w:val="21"/>
                <w:szCs w:val="21"/>
              </w:rPr>
            </w:pPr>
            <w:r>
              <w:rPr>
                <w:rFonts w:eastAsia="Times New Roman"/>
                <w:sz w:val="21"/>
              </w:rPr>
              <w:t>QMP4000*8100</w:t>
            </w:r>
            <w:r>
              <w:rPr>
                <w:sz w:val="21"/>
              </w:rPr>
              <w:t>，</w:t>
            </w:r>
            <w:r>
              <w:rPr>
                <w:rFonts w:eastAsia="Times New Roman"/>
                <w:sz w:val="21"/>
              </w:rPr>
              <w:t xml:space="preserve">60 </w:t>
            </w:r>
            <w:r>
              <w:rPr>
                <w:sz w:val="21"/>
              </w:rPr>
              <w:t>吨</w:t>
            </w:r>
          </w:p>
        </w:tc>
        <w:tc>
          <w:tcPr>
            <w:tcW w:w="357" w:type="pct"/>
          </w:tcPr>
          <w:p>
            <w:pPr>
              <w:spacing w:line="240" w:lineRule="auto"/>
              <w:ind w:firstLine="0" w:firstLineChars="0"/>
              <w:jc w:val="center"/>
              <w:rPr>
                <w:sz w:val="21"/>
                <w:szCs w:val="21"/>
              </w:rPr>
            </w:pPr>
            <w:r>
              <w:rPr>
                <w:rFonts w:eastAsia="Times New Roman"/>
                <w:sz w:val="21"/>
              </w:rPr>
              <w:t>35</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地下池</w:t>
            </w:r>
          </w:p>
        </w:tc>
        <w:tc>
          <w:tcPr>
            <w:tcW w:w="2261" w:type="pct"/>
          </w:tcPr>
          <w:p>
            <w:pPr>
              <w:spacing w:line="240" w:lineRule="auto"/>
              <w:ind w:firstLine="0" w:firstLineChars="0"/>
              <w:jc w:val="center"/>
              <w:rPr>
                <w:sz w:val="21"/>
                <w:szCs w:val="21"/>
              </w:rPr>
            </w:pPr>
            <w:r>
              <w:rPr>
                <w:rFonts w:eastAsia="Times New Roman"/>
                <w:sz w:val="21"/>
              </w:rPr>
              <w:t xml:space="preserve">Φ7000*H4 </w:t>
            </w:r>
            <w:r>
              <w:rPr>
                <w:sz w:val="21"/>
              </w:rPr>
              <w:t>米，</w:t>
            </w:r>
            <w:r>
              <w:rPr>
                <w:rFonts w:eastAsia="Times New Roman"/>
                <w:sz w:val="21"/>
              </w:rPr>
              <w:t>154m³</w:t>
            </w:r>
          </w:p>
        </w:tc>
        <w:tc>
          <w:tcPr>
            <w:tcW w:w="357" w:type="pct"/>
          </w:tcPr>
          <w:p>
            <w:pPr>
              <w:spacing w:line="240" w:lineRule="auto"/>
              <w:ind w:firstLine="0" w:firstLineChars="0"/>
              <w:jc w:val="center"/>
              <w:rPr>
                <w:sz w:val="21"/>
                <w:szCs w:val="21"/>
              </w:rPr>
            </w:pPr>
            <w:r>
              <w:rPr>
                <w:rFonts w:eastAsia="Times New Roman"/>
                <w:sz w:val="21"/>
              </w:rPr>
              <w:t>30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柱塞泵</w:t>
            </w:r>
          </w:p>
        </w:tc>
        <w:tc>
          <w:tcPr>
            <w:tcW w:w="2261" w:type="pct"/>
          </w:tcPr>
          <w:p>
            <w:pPr>
              <w:spacing w:line="240" w:lineRule="auto"/>
              <w:ind w:firstLine="0" w:firstLineChars="0"/>
              <w:jc w:val="center"/>
              <w:rPr>
                <w:sz w:val="21"/>
                <w:szCs w:val="21"/>
              </w:rPr>
            </w:pPr>
            <w:r>
              <w:rPr>
                <w:rFonts w:eastAsia="Times New Roman"/>
                <w:sz w:val="21"/>
              </w:rPr>
              <w:t>NB250</w:t>
            </w:r>
          </w:p>
        </w:tc>
        <w:tc>
          <w:tcPr>
            <w:tcW w:w="357" w:type="pct"/>
          </w:tcPr>
          <w:p>
            <w:pPr>
              <w:spacing w:line="240" w:lineRule="auto"/>
              <w:ind w:firstLine="0" w:firstLineChars="0"/>
              <w:jc w:val="center"/>
              <w:rPr>
                <w:sz w:val="21"/>
                <w:szCs w:val="21"/>
              </w:rPr>
            </w:pPr>
            <w:r>
              <w:rPr>
                <w:rFonts w:eastAsia="Times New Roman"/>
                <w:sz w:val="21"/>
              </w:rPr>
              <w:t>12</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电动葫芦</w:t>
            </w:r>
          </w:p>
        </w:tc>
        <w:tc>
          <w:tcPr>
            <w:tcW w:w="2261" w:type="pct"/>
          </w:tcPr>
          <w:p>
            <w:pPr>
              <w:spacing w:line="240" w:lineRule="auto"/>
              <w:ind w:firstLine="0" w:firstLineChars="0"/>
              <w:jc w:val="center"/>
              <w:rPr>
                <w:sz w:val="21"/>
                <w:szCs w:val="21"/>
              </w:rPr>
            </w:pPr>
            <w:r>
              <w:rPr>
                <w:rFonts w:eastAsia="Times New Roman"/>
                <w:sz w:val="21"/>
              </w:rPr>
              <w:t xml:space="preserve">1 </w:t>
            </w:r>
            <w:r>
              <w:rPr>
                <w:sz w:val="21"/>
              </w:rPr>
              <w:t>吨</w:t>
            </w:r>
          </w:p>
        </w:tc>
        <w:tc>
          <w:tcPr>
            <w:tcW w:w="357" w:type="pct"/>
          </w:tcPr>
          <w:p>
            <w:pPr>
              <w:spacing w:line="240" w:lineRule="auto"/>
              <w:ind w:firstLine="0" w:firstLineChars="0"/>
              <w:jc w:val="center"/>
              <w:rPr>
                <w:sz w:val="21"/>
                <w:szCs w:val="21"/>
              </w:rPr>
            </w:pPr>
            <w:r>
              <w:rPr>
                <w:rFonts w:eastAsia="Times New Roman"/>
                <w:sz w:val="21"/>
              </w:rPr>
              <w:t>8</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szCs w:val="21"/>
              </w:rPr>
            </w:pPr>
            <w:r>
              <w:rPr>
                <w:sz w:val="21"/>
                <w:szCs w:val="21"/>
              </w:rPr>
              <w:t>泥浆</w:t>
            </w:r>
          </w:p>
          <w:p>
            <w:pPr>
              <w:spacing w:line="240" w:lineRule="auto"/>
              <w:ind w:firstLine="0" w:firstLineChars="0"/>
              <w:jc w:val="center"/>
              <w:rPr>
                <w:sz w:val="21"/>
                <w:szCs w:val="21"/>
              </w:rPr>
            </w:pPr>
            <w:r>
              <w:rPr>
                <w:sz w:val="21"/>
                <w:szCs w:val="21"/>
              </w:rPr>
              <w:t>储存</w:t>
            </w:r>
          </w:p>
          <w:p>
            <w:pPr>
              <w:spacing w:line="240" w:lineRule="auto"/>
              <w:ind w:firstLine="0" w:firstLineChars="0"/>
              <w:jc w:val="center"/>
              <w:rPr>
                <w:sz w:val="21"/>
                <w:szCs w:val="21"/>
              </w:rPr>
            </w:pPr>
            <w:r>
              <w:rPr>
                <w:sz w:val="21"/>
                <w:szCs w:val="21"/>
              </w:rPr>
              <w:t>及均</w:t>
            </w:r>
          </w:p>
          <w:p>
            <w:pPr>
              <w:spacing w:line="240" w:lineRule="auto"/>
              <w:ind w:firstLine="0" w:firstLineChars="0"/>
              <w:jc w:val="center"/>
              <w:rPr>
                <w:sz w:val="21"/>
                <w:szCs w:val="21"/>
              </w:rPr>
            </w:pPr>
            <w:r>
              <w:rPr>
                <w:sz w:val="21"/>
                <w:szCs w:val="21"/>
              </w:rPr>
              <w:t>化工</w:t>
            </w:r>
          </w:p>
          <w:p>
            <w:pPr>
              <w:spacing w:line="240" w:lineRule="auto"/>
              <w:ind w:firstLine="0" w:firstLineChars="0"/>
              <w:jc w:val="center"/>
              <w:rPr>
                <w:sz w:val="21"/>
                <w:szCs w:val="21"/>
              </w:rPr>
            </w:pPr>
            <w:r>
              <w:rPr>
                <w:sz w:val="21"/>
                <w:szCs w:val="21"/>
              </w:rPr>
              <w:t>段</w:t>
            </w:r>
          </w:p>
        </w:tc>
        <w:tc>
          <w:tcPr>
            <w:tcW w:w="865" w:type="pct"/>
          </w:tcPr>
          <w:p>
            <w:pPr>
              <w:spacing w:line="240" w:lineRule="auto"/>
              <w:ind w:firstLine="0" w:firstLineChars="0"/>
              <w:jc w:val="center"/>
              <w:rPr>
                <w:sz w:val="21"/>
                <w:szCs w:val="21"/>
              </w:rPr>
            </w:pPr>
            <w:r>
              <w:rPr>
                <w:sz w:val="21"/>
              </w:rPr>
              <w:t>大球搅拌池</w:t>
            </w:r>
          </w:p>
        </w:tc>
        <w:tc>
          <w:tcPr>
            <w:tcW w:w="2261" w:type="pct"/>
          </w:tcPr>
          <w:p>
            <w:pPr>
              <w:spacing w:line="240" w:lineRule="auto"/>
              <w:ind w:firstLine="0" w:firstLineChars="0"/>
              <w:jc w:val="center"/>
              <w:rPr>
                <w:sz w:val="21"/>
                <w:szCs w:val="21"/>
              </w:rPr>
            </w:pPr>
            <w:r>
              <w:rPr>
                <w:rFonts w:eastAsia="Times New Roman"/>
                <w:sz w:val="21"/>
              </w:rPr>
              <w:t xml:space="preserve">Φ5000*H3.5 </w:t>
            </w:r>
            <w:r>
              <w:rPr>
                <w:sz w:val="21"/>
              </w:rPr>
              <w:t>米，</w:t>
            </w:r>
            <w:r>
              <w:rPr>
                <w:rFonts w:eastAsia="Times New Roman"/>
                <w:sz w:val="21"/>
              </w:rPr>
              <w:t>78m³</w:t>
            </w:r>
          </w:p>
        </w:tc>
        <w:tc>
          <w:tcPr>
            <w:tcW w:w="357" w:type="pct"/>
          </w:tcPr>
          <w:p>
            <w:pPr>
              <w:spacing w:line="240" w:lineRule="auto"/>
              <w:ind w:firstLine="0" w:firstLineChars="0"/>
              <w:jc w:val="center"/>
              <w:rPr>
                <w:sz w:val="21"/>
                <w:szCs w:val="21"/>
              </w:rPr>
            </w:pPr>
            <w:r>
              <w:rPr>
                <w:rFonts w:eastAsia="Times New Roman"/>
                <w:sz w:val="21"/>
              </w:rPr>
              <w:t>10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泥浆泵</w:t>
            </w:r>
          </w:p>
        </w:tc>
        <w:tc>
          <w:tcPr>
            <w:tcW w:w="2261" w:type="pct"/>
          </w:tcPr>
          <w:p>
            <w:pPr>
              <w:spacing w:line="240" w:lineRule="auto"/>
              <w:ind w:firstLine="0" w:firstLineChars="0"/>
              <w:jc w:val="center"/>
              <w:rPr>
                <w:sz w:val="21"/>
                <w:szCs w:val="21"/>
              </w:rPr>
            </w:pPr>
            <w:r>
              <w:rPr>
                <w:rFonts w:eastAsia="Times New Roman"/>
                <w:sz w:val="21"/>
              </w:rPr>
              <w:t>XK-GYB-1800-77</w:t>
            </w:r>
          </w:p>
        </w:tc>
        <w:tc>
          <w:tcPr>
            <w:tcW w:w="357" w:type="pct"/>
          </w:tcPr>
          <w:p>
            <w:pPr>
              <w:spacing w:line="240" w:lineRule="auto"/>
              <w:ind w:firstLine="0" w:firstLineChars="0"/>
              <w:jc w:val="center"/>
              <w:rPr>
                <w:sz w:val="21"/>
                <w:szCs w:val="21"/>
              </w:rPr>
            </w:pPr>
            <w:r>
              <w:rPr>
                <w:rFonts w:eastAsia="Times New Roman"/>
                <w:sz w:val="21"/>
              </w:rPr>
              <w:t>20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柱塞泵</w:t>
            </w:r>
          </w:p>
        </w:tc>
        <w:tc>
          <w:tcPr>
            <w:tcW w:w="2261" w:type="pct"/>
          </w:tcPr>
          <w:p>
            <w:pPr>
              <w:spacing w:line="240" w:lineRule="auto"/>
              <w:ind w:firstLine="0" w:firstLineChars="0"/>
              <w:jc w:val="center"/>
              <w:rPr>
                <w:sz w:val="21"/>
                <w:szCs w:val="21"/>
              </w:rPr>
            </w:pPr>
            <w:r>
              <w:rPr>
                <w:rFonts w:eastAsia="Times New Roman"/>
                <w:sz w:val="21"/>
              </w:rPr>
              <w:t>NB300</w:t>
            </w:r>
          </w:p>
        </w:tc>
        <w:tc>
          <w:tcPr>
            <w:tcW w:w="357" w:type="pct"/>
          </w:tcPr>
          <w:p>
            <w:pPr>
              <w:spacing w:line="240" w:lineRule="auto"/>
              <w:ind w:firstLine="0" w:firstLineChars="0"/>
              <w:jc w:val="center"/>
              <w:rPr>
                <w:sz w:val="21"/>
                <w:szCs w:val="21"/>
              </w:rPr>
            </w:pPr>
            <w:r>
              <w:rPr>
                <w:rFonts w:eastAsia="Times New Roman"/>
                <w:sz w:val="21"/>
              </w:rPr>
              <w:t>20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除铁机</w:t>
            </w:r>
          </w:p>
        </w:tc>
        <w:tc>
          <w:tcPr>
            <w:tcW w:w="2261" w:type="pct"/>
          </w:tcPr>
          <w:p>
            <w:pPr>
              <w:spacing w:line="240" w:lineRule="auto"/>
              <w:ind w:firstLine="0" w:firstLineChars="0"/>
              <w:jc w:val="center"/>
              <w:rPr>
                <w:sz w:val="21"/>
                <w:szCs w:val="21"/>
              </w:rPr>
            </w:pPr>
            <w:r>
              <w:rPr>
                <w:sz w:val="21"/>
              </w:rPr>
              <w:t>三联体，</w:t>
            </w:r>
            <w:r>
              <w:rPr>
                <w:rFonts w:eastAsia="Times New Roman"/>
                <w:sz w:val="21"/>
              </w:rPr>
              <w:t xml:space="preserve">10000 </w:t>
            </w:r>
            <w:r>
              <w:rPr>
                <w:sz w:val="21"/>
              </w:rPr>
              <w:t>高斯</w:t>
            </w:r>
          </w:p>
        </w:tc>
        <w:tc>
          <w:tcPr>
            <w:tcW w:w="357" w:type="pct"/>
          </w:tcPr>
          <w:p>
            <w:pPr>
              <w:spacing w:line="240" w:lineRule="auto"/>
              <w:ind w:firstLine="0" w:firstLineChars="0"/>
              <w:jc w:val="center"/>
              <w:rPr>
                <w:sz w:val="21"/>
                <w:szCs w:val="21"/>
              </w:rPr>
            </w:pPr>
            <w:r>
              <w:rPr>
                <w:rFonts w:eastAsia="Times New Roman"/>
                <w:sz w:val="21"/>
              </w:rPr>
              <w:t>10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滚筒筛</w:t>
            </w:r>
          </w:p>
        </w:tc>
        <w:tc>
          <w:tcPr>
            <w:tcW w:w="2261" w:type="pct"/>
          </w:tcPr>
          <w:p>
            <w:pPr>
              <w:spacing w:line="240" w:lineRule="auto"/>
              <w:ind w:firstLine="0" w:firstLineChars="0"/>
              <w:jc w:val="center"/>
              <w:rPr>
                <w:sz w:val="21"/>
                <w:szCs w:val="21"/>
              </w:rPr>
            </w:pPr>
            <w:r>
              <w:rPr>
                <w:rFonts w:eastAsia="Times New Roman"/>
                <w:sz w:val="21"/>
              </w:rPr>
              <w:t>Ø1200</w:t>
            </w:r>
          </w:p>
        </w:tc>
        <w:tc>
          <w:tcPr>
            <w:tcW w:w="357" w:type="pct"/>
          </w:tcPr>
          <w:p>
            <w:pPr>
              <w:spacing w:line="240" w:lineRule="auto"/>
              <w:ind w:firstLine="0" w:firstLineChars="0"/>
              <w:jc w:val="center"/>
              <w:rPr>
                <w:sz w:val="21"/>
                <w:szCs w:val="21"/>
              </w:rPr>
            </w:pPr>
            <w:r>
              <w:rPr>
                <w:rFonts w:eastAsia="Times New Roman"/>
                <w:sz w:val="21"/>
              </w:rPr>
              <w:t>40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电动葫芦</w:t>
            </w:r>
          </w:p>
        </w:tc>
        <w:tc>
          <w:tcPr>
            <w:tcW w:w="2261" w:type="pct"/>
          </w:tcPr>
          <w:p>
            <w:pPr>
              <w:spacing w:line="240" w:lineRule="auto"/>
              <w:ind w:firstLine="0" w:firstLineChars="0"/>
              <w:jc w:val="center"/>
              <w:rPr>
                <w:sz w:val="21"/>
                <w:szCs w:val="21"/>
              </w:rPr>
            </w:pPr>
            <w:r>
              <w:rPr>
                <w:rFonts w:eastAsia="Times New Roman"/>
                <w:sz w:val="21"/>
              </w:rPr>
              <w:t xml:space="preserve">1 </w:t>
            </w:r>
            <w:r>
              <w:rPr>
                <w:sz w:val="21"/>
              </w:rPr>
              <w:t>吨</w:t>
            </w:r>
          </w:p>
        </w:tc>
        <w:tc>
          <w:tcPr>
            <w:tcW w:w="357" w:type="pct"/>
          </w:tcPr>
          <w:p>
            <w:pPr>
              <w:spacing w:line="240" w:lineRule="auto"/>
              <w:ind w:firstLine="0" w:firstLineChars="0"/>
              <w:jc w:val="center"/>
              <w:rPr>
                <w:sz w:val="21"/>
                <w:szCs w:val="21"/>
              </w:rPr>
            </w:pPr>
            <w:r>
              <w:rPr>
                <w:rFonts w:eastAsia="Times New Roman"/>
                <w:sz w:val="21"/>
              </w:rPr>
              <w:t>10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地面池</w:t>
            </w:r>
          </w:p>
        </w:tc>
        <w:tc>
          <w:tcPr>
            <w:tcW w:w="2261" w:type="pct"/>
          </w:tcPr>
          <w:p>
            <w:pPr>
              <w:spacing w:line="240" w:lineRule="auto"/>
              <w:ind w:firstLine="0" w:firstLineChars="0"/>
              <w:jc w:val="center"/>
              <w:rPr>
                <w:sz w:val="21"/>
                <w:szCs w:val="21"/>
              </w:rPr>
            </w:pPr>
            <w:r>
              <w:rPr>
                <w:rFonts w:eastAsia="Times New Roman"/>
                <w:sz w:val="21"/>
              </w:rPr>
              <w:t xml:space="preserve">Φ12000*H8 </w:t>
            </w:r>
            <w:r>
              <w:rPr>
                <w:sz w:val="21"/>
              </w:rPr>
              <w:t>米，</w:t>
            </w:r>
            <w:r>
              <w:rPr>
                <w:rFonts w:eastAsia="Times New Roman"/>
                <w:sz w:val="21"/>
              </w:rPr>
              <w:t>904m³</w:t>
            </w:r>
          </w:p>
        </w:tc>
        <w:tc>
          <w:tcPr>
            <w:tcW w:w="357" w:type="pct"/>
          </w:tcPr>
          <w:p>
            <w:pPr>
              <w:spacing w:line="240" w:lineRule="auto"/>
              <w:ind w:firstLine="0" w:firstLineChars="0"/>
              <w:jc w:val="center"/>
              <w:rPr>
                <w:sz w:val="21"/>
                <w:szCs w:val="21"/>
              </w:rPr>
            </w:pPr>
            <w:r>
              <w:rPr>
                <w:rFonts w:eastAsia="Times New Roman"/>
                <w:sz w:val="21"/>
              </w:rPr>
              <w:t>50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除铁机</w:t>
            </w:r>
          </w:p>
        </w:tc>
        <w:tc>
          <w:tcPr>
            <w:tcW w:w="2261" w:type="pct"/>
          </w:tcPr>
          <w:p>
            <w:pPr>
              <w:spacing w:line="240" w:lineRule="auto"/>
              <w:ind w:firstLine="0" w:firstLineChars="0"/>
              <w:jc w:val="center"/>
              <w:rPr>
                <w:sz w:val="21"/>
                <w:szCs w:val="21"/>
              </w:rPr>
            </w:pPr>
            <w:r>
              <w:rPr>
                <w:sz w:val="21"/>
              </w:rPr>
              <w:t>三联体，</w:t>
            </w:r>
            <w:r>
              <w:rPr>
                <w:rFonts w:eastAsia="Times New Roman"/>
                <w:sz w:val="21"/>
              </w:rPr>
              <w:t xml:space="preserve">10000 </w:t>
            </w:r>
            <w:r>
              <w:rPr>
                <w:sz w:val="21"/>
              </w:rPr>
              <w:t>高斯</w:t>
            </w:r>
          </w:p>
        </w:tc>
        <w:tc>
          <w:tcPr>
            <w:tcW w:w="357" w:type="pct"/>
          </w:tcPr>
          <w:p>
            <w:pPr>
              <w:spacing w:line="240" w:lineRule="auto"/>
              <w:ind w:firstLine="0" w:firstLineChars="0"/>
              <w:jc w:val="center"/>
              <w:rPr>
                <w:sz w:val="21"/>
                <w:szCs w:val="21"/>
              </w:rPr>
            </w:pPr>
            <w:r>
              <w:rPr>
                <w:rFonts w:eastAsia="Times New Roman"/>
                <w:sz w:val="21"/>
              </w:rPr>
              <w:t>16</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圆筛</w:t>
            </w:r>
          </w:p>
        </w:tc>
        <w:tc>
          <w:tcPr>
            <w:tcW w:w="2261" w:type="pct"/>
          </w:tcPr>
          <w:p>
            <w:pPr>
              <w:spacing w:line="240" w:lineRule="auto"/>
              <w:ind w:firstLine="0" w:firstLineChars="0"/>
              <w:jc w:val="center"/>
              <w:rPr>
                <w:sz w:val="21"/>
                <w:szCs w:val="21"/>
              </w:rPr>
            </w:pPr>
            <w:r>
              <w:rPr>
                <w:rFonts w:eastAsia="Times New Roman"/>
                <w:sz w:val="21"/>
              </w:rPr>
              <w:t>Φ1000</w:t>
            </w:r>
          </w:p>
        </w:tc>
        <w:tc>
          <w:tcPr>
            <w:tcW w:w="357" w:type="pct"/>
          </w:tcPr>
          <w:p>
            <w:pPr>
              <w:spacing w:line="240" w:lineRule="auto"/>
              <w:ind w:firstLine="0" w:firstLineChars="0"/>
              <w:jc w:val="center"/>
              <w:rPr>
                <w:sz w:val="21"/>
                <w:szCs w:val="21"/>
              </w:rPr>
            </w:pPr>
            <w:r>
              <w:rPr>
                <w:rFonts w:eastAsia="Times New Roman"/>
                <w:sz w:val="21"/>
              </w:rPr>
              <w:t>60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柱塞泵</w:t>
            </w:r>
          </w:p>
        </w:tc>
        <w:tc>
          <w:tcPr>
            <w:tcW w:w="2261" w:type="pct"/>
          </w:tcPr>
          <w:p>
            <w:pPr>
              <w:spacing w:line="240" w:lineRule="auto"/>
              <w:ind w:firstLine="0" w:firstLineChars="0"/>
              <w:jc w:val="center"/>
              <w:rPr>
                <w:sz w:val="21"/>
                <w:szCs w:val="21"/>
              </w:rPr>
            </w:pPr>
            <w:r>
              <w:rPr>
                <w:rFonts w:eastAsia="Times New Roman"/>
                <w:sz w:val="21"/>
              </w:rPr>
              <w:t>NB250</w:t>
            </w:r>
          </w:p>
        </w:tc>
        <w:tc>
          <w:tcPr>
            <w:tcW w:w="357" w:type="pct"/>
          </w:tcPr>
          <w:p>
            <w:pPr>
              <w:spacing w:line="240" w:lineRule="auto"/>
              <w:ind w:firstLine="0" w:firstLineChars="0"/>
              <w:jc w:val="center"/>
              <w:rPr>
                <w:sz w:val="21"/>
                <w:szCs w:val="21"/>
              </w:rPr>
            </w:pPr>
            <w:r>
              <w:rPr>
                <w:rFonts w:eastAsia="Times New Roman"/>
                <w:sz w:val="21"/>
              </w:rPr>
              <w:t>16</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液压提升机</w:t>
            </w:r>
          </w:p>
        </w:tc>
        <w:tc>
          <w:tcPr>
            <w:tcW w:w="2261" w:type="pct"/>
          </w:tcPr>
          <w:p>
            <w:pPr>
              <w:spacing w:line="240" w:lineRule="auto"/>
              <w:ind w:firstLine="0" w:firstLineChars="0"/>
              <w:jc w:val="center"/>
              <w:rPr>
                <w:sz w:val="21"/>
                <w:szCs w:val="21"/>
              </w:rPr>
            </w:pPr>
            <w:r>
              <w:rPr>
                <w:rFonts w:eastAsia="Times New Roman"/>
                <w:sz w:val="21"/>
              </w:rPr>
              <w:t xml:space="preserve">1 </w:t>
            </w:r>
            <w:r>
              <w:rPr>
                <w:sz w:val="21"/>
              </w:rPr>
              <w:t>吨</w:t>
            </w:r>
          </w:p>
        </w:tc>
        <w:tc>
          <w:tcPr>
            <w:tcW w:w="357" w:type="pct"/>
          </w:tcPr>
          <w:p>
            <w:pPr>
              <w:spacing w:line="240" w:lineRule="auto"/>
              <w:ind w:firstLine="0" w:firstLineChars="0"/>
              <w:jc w:val="center"/>
              <w:rPr>
                <w:sz w:val="21"/>
                <w:szCs w:val="21"/>
              </w:rPr>
            </w:pPr>
            <w:r>
              <w:rPr>
                <w:rFonts w:eastAsia="Times New Roman"/>
                <w:sz w:val="21"/>
              </w:rPr>
              <w:t>6</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rPr>
            </w:pPr>
            <w:r>
              <w:rPr>
                <w:sz w:val="21"/>
              </w:rPr>
              <w:t>化浆</w:t>
            </w:r>
          </w:p>
          <w:p>
            <w:pPr>
              <w:spacing w:line="240" w:lineRule="auto"/>
              <w:ind w:firstLine="0" w:firstLineChars="0"/>
              <w:jc w:val="center"/>
              <w:rPr>
                <w:sz w:val="21"/>
                <w:szCs w:val="21"/>
              </w:rPr>
            </w:pPr>
            <w:r>
              <w:rPr>
                <w:sz w:val="21"/>
              </w:rPr>
              <w:t>工段</w:t>
            </w:r>
          </w:p>
        </w:tc>
        <w:tc>
          <w:tcPr>
            <w:tcW w:w="865" w:type="pct"/>
          </w:tcPr>
          <w:p>
            <w:pPr>
              <w:spacing w:line="240" w:lineRule="auto"/>
              <w:ind w:firstLine="0" w:firstLineChars="0"/>
              <w:jc w:val="center"/>
              <w:rPr>
                <w:sz w:val="21"/>
                <w:szCs w:val="21"/>
              </w:rPr>
            </w:pPr>
            <w:r>
              <w:rPr>
                <w:sz w:val="21"/>
              </w:rPr>
              <w:t>化浆池</w:t>
            </w:r>
          </w:p>
        </w:tc>
        <w:tc>
          <w:tcPr>
            <w:tcW w:w="2261" w:type="pct"/>
          </w:tcPr>
          <w:p>
            <w:pPr>
              <w:spacing w:line="240" w:lineRule="auto"/>
              <w:ind w:firstLine="0" w:firstLineChars="0"/>
              <w:jc w:val="center"/>
              <w:rPr>
                <w:sz w:val="21"/>
                <w:szCs w:val="21"/>
              </w:rPr>
            </w:pPr>
            <w:r>
              <w:rPr>
                <w:rFonts w:eastAsia="Times New Roman"/>
                <w:sz w:val="21"/>
              </w:rPr>
              <w:t xml:space="preserve">Φ8000*H8 </w:t>
            </w:r>
            <w:r>
              <w:rPr>
                <w:sz w:val="21"/>
              </w:rPr>
              <w:t>米，</w:t>
            </w:r>
            <w:r>
              <w:rPr>
                <w:rFonts w:eastAsia="Times New Roman"/>
                <w:sz w:val="21"/>
              </w:rPr>
              <w:t>400m³</w:t>
            </w:r>
          </w:p>
        </w:tc>
        <w:tc>
          <w:tcPr>
            <w:tcW w:w="357" w:type="pct"/>
          </w:tcPr>
          <w:p>
            <w:pPr>
              <w:spacing w:line="240" w:lineRule="auto"/>
              <w:ind w:firstLine="0" w:firstLineChars="0"/>
              <w:jc w:val="center"/>
              <w:rPr>
                <w:sz w:val="21"/>
                <w:szCs w:val="21"/>
              </w:rPr>
            </w:pPr>
            <w:r>
              <w:rPr>
                <w:rFonts w:eastAsia="Times New Roman"/>
                <w:sz w:val="21"/>
              </w:rPr>
              <w:t>36</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除铁机</w:t>
            </w:r>
          </w:p>
        </w:tc>
        <w:tc>
          <w:tcPr>
            <w:tcW w:w="2261" w:type="pct"/>
          </w:tcPr>
          <w:p>
            <w:pPr>
              <w:spacing w:line="240" w:lineRule="auto"/>
              <w:ind w:firstLine="0" w:firstLineChars="0"/>
              <w:jc w:val="center"/>
              <w:rPr>
                <w:sz w:val="21"/>
                <w:szCs w:val="21"/>
              </w:rPr>
            </w:pPr>
            <w:r>
              <w:rPr>
                <w:sz w:val="21"/>
              </w:rPr>
              <w:t>三联体，</w:t>
            </w:r>
            <w:r>
              <w:rPr>
                <w:rFonts w:eastAsia="Times New Roman"/>
                <w:sz w:val="21"/>
              </w:rPr>
              <w:t xml:space="preserve">10000 </w:t>
            </w:r>
            <w:r>
              <w:rPr>
                <w:sz w:val="21"/>
              </w:rPr>
              <w:t>高斯</w:t>
            </w:r>
          </w:p>
        </w:tc>
        <w:tc>
          <w:tcPr>
            <w:tcW w:w="357" w:type="pct"/>
          </w:tcPr>
          <w:p>
            <w:pPr>
              <w:spacing w:line="240" w:lineRule="auto"/>
              <w:ind w:firstLine="0" w:firstLineChars="0"/>
              <w:jc w:val="center"/>
              <w:rPr>
                <w:sz w:val="21"/>
                <w:szCs w:val="21"/>
              </w:rPr>
            </w:pPr>
            <w:r>
              <w:rPr>
                <w:rFonts w:eastAsia="Times New Roman"/>
                <w:sz w:val="21"/>
              </w:rPr>
              <w:t>9</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圆筛</w:t>
            </w:r>
          </w:p>
        </w:tc>
        <w:tc>
          <w:tcPr>
            <w:tcW w:w="2261" w:type="pct"/>
          </w:tcPr>
          <w:p>
            <w:pPr>
              <w:spacing w:line="240" w:lineRule="auto"/>
              <w:ind w:firstLine="0" w:firstLineChars="0"/>
              <w:jc w:val="center"/>
              <w:rPr>
                <w:sz w:val="21"/>
                <w:szCs w:val="21"/>
              </w:rPr>
            </w:pPr>
            <w:r>
              <w:rPr>
                <w:rFonts w:eastAsia="Times New Roman"/>
                <w:sz w:val="21"/>
              </w:rPr>
              <w:t>Φ1200</w:t>
            </w:r>
          </w:p>
        </w:tc>
        <w:tc>
          <w:tcPr>
            <w:tcW w:w="357" w:type="pct"/>
          </w:tcPr>
          <w:p>
            <w:pPr>
              <w:spacing w:line="240" w:lineRule="auto"/>
              <w:ind w:firstLine="0" w:firstLineChars="0"/>
              <w:jc w:val="center"/>
              <w:rPr>
                <w:sz w:val="21"/>
                <w:szCs w:val="21"/>
              </w:rPr>
            </w:pPr>
            <w:r>
              <w:rPr>
                <w:rFonts w:eastAsia="Times New Roman"/>
                <w:sz w:val="21"/>
              </w:rPr>
              <w:t>45</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柱塞泵</w:t>
            </w:r>
          </w:p>
        </w:tc>
        <w:tc>
          <w:tcPr>
            <w:tcW w:w="2261" w:type="pct"/>
          </w:tcPr>
          <w:p>
            <w:pPr>
              <w:spacing w:line="240" w:lineRule="auto"/>
              <w:ind w:firstLine="0" w:firstLineChars="0"/>
              <w:jc w:val="center"/>
              <w:rPr>
                <w:sz w:val="21"/>
                <w:szCs w:val="21"/>
              </w:rPr>
            </w:pPr>
            <w:r>
              <w:rPr>
                <w:rFonts w:eastAsia="Times New Roman"/>
                <w:sz w:val="21"/>
              </w:rPr>
              <w:t>NB250</w:t>
            </w:r>
          </w:p>
        </w:tc>
        <w:tc>
          <w:tcPr>
            <w:tcW w:w="357" w:type="pct"/>
          </w:tcPr>
          <w:p>
            <w:pPr>
              <w:spacing w:line="240" w:lineRule="auto"/>
              <w:ind w:firstLine="0" w:firstLineChars="0"/>
              <w:jc w:val="center"/>
              <w:rPr>
                <w:sz w:val="21"/>
                <w:szCs w:val="21"/>
              </w:rPr>
            </w:pPr>
            <w:r>
              <w:rPr>
                <w:rFonts w:eastAsia="Times New Roman"/>
                <w:sz w:val="21"/>
              </w:rPr>
              <w:t>18</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rPr>
            </w:pPr>
            <w:r>
              <w:rPr>
                <w:sz w:val="21"/>
              </w:rPr>
              <w:t>入料</w:t>
            </w:r>
          </w:p>
          <w:p>
            <w:pPr>
              <w:spacing w:line="240" w:lineRule="auto"/>
              <w:ind w:firstLine="0" w:firstLineChars="0"/>
              <w:jc w:val="center"/>
              <w:rPr>
                <w:sz w:val="21"/>
                <w:szCs w:val="21"/>
              </w:rPr>
            </w:pPr>
            <w:r>
              <w:rPr>
                <w:sz w:val="21"/>
              </w:rPr>
              <w:t>工段</w:t>
            </w:r>
          </w:p>
        </w:tc>
        <w:tc>
          <w:tcPr>
            <w:tcW w:w="865" w:type="pct"/>
          </w:tcPr>
          <w:p>
            <w:pPr>
              <w:spacing w:line="240" w:lineRule="auto"/>
              <w:ind w:firstLine="0" w:firstLineChars="0"/>
              <w:jc w:val="center"/>
              <w:rPr>
                <w:sz w:val="21"/>
                <w:szCs w:val="21"/>
              </w:rPr>
            </w:pPr>
            <w:r>
              <w:rPr>
                <w:sz w:val="21"/>
              </w:rPr>
              <w:t>液压提升机</w:t>
            </w:r>
          </w:p>
        </w:tc>
        <w:tc>
          <w:tcPr>
            <w:tcW w:w="2261" w:type="pct"/>
          </w:tcPr>
          <w:p>
            <w:pPr>
              <w:spacing w:line="240" w:lineRule="auto"/>
              <w:ind w:firstLine="0" w:firstLineChars="0"/>
              <w:jc w:val="center"/>
              <w:rPr>
                <w:sz w:val="21"/>
                <w:szCs w:val="21"/>
              </w:rPr>
            </w:pPr>
            <w:r>
              <w:rPr>
                <w:rFonts w:eastAsia="Times New Roman"/>
                <w:sz w:val="21"/>
              </w:rPr>
              <w:t xml:space="preserve">2 </w:t>
            </w:r>
            <w:r>
              <w:rPr>
                <w:sz w:val="21"/>
              </w:rPr>
              <w:t>吨</w:t>
            </w:r>
          </w:p>
        </w:tc>
        <w:tc>
          <w:tcPr>
            <w:tcW w:w="357" w:type="pct"/>
          </w:tcPr>
          <w:p>
            <w:pPr>
              <w:spacing w:line="240" w:lineRule="auto"/>
              <w:ind w:firstLine="0" w:firstLineChars="0"/>
              <w:jc w:val="center"/>
              <w:rPr>
                <w:sz w:val="21"/>
                <w:szCs w:val="21"/>
              </w:rPr>
            </w:pPr>
            <w:r>
              <w:rPr>
                <w:rFonts w:eastAsia="Times New Roman"/>
                <w:sz w:val="21"/>
              </w:rPr>
              <w:t>4</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输送带</w:t>
            </w:r>
          </w:p>
        </w:tc>
        <w:tc>
          <w:tcPr>
            <w:tcW w:w="2261" w:type="pct"/>
          </w:tcPr>
          <w:p>
            <w:pPr>
              <w:spacing w:line="240" w:lineRule="auto"/>
              <w:ind w:firstLine="0" w:firstLineChars="0"/>
              <w:jc w:val="center"/>
              <w:rPr>
                <w:sz w:val="21"/>
                <w:szCs w:val="21"/>
              </w:rPr>
            </w:pPr>
            <w:r>
              <w:rPr>
                <w:rFonts w:eastAsia="Times New Roman"/>
                <w:sz w:val="21"/>
              </w:rPr>
              <w:t xml:space="preserve">800 </w:t>
            </w:r>
            <w:r>
              <w:rPr>
                <w:sz w:val="21"/>
              </w:rPr>
              <w:t>型</w:t>
            </w:r>
          </w:p>
        </w:tc>
        <w:tc>
          <w:tcPr>
            <w:tcW w:w="357" w:type="pct"/>
          </w:tcPr>
          <w:p>
            <w:pPr>
              <w:spacing w:line="240" w:lineRule="auto"/>
              <w:ind w:firstLine="0" w:firstLineChars="0"/>
              <w:jc w:val="center"/>
              <w:rPr>
                <w:sz w:val="21"/>
                <w:szCs w:val="21"/>
              </w:rPr>
            </w:pPr>
            <w:r>
              <w:rPr>
                <w:rFonts w:eastAsia="Times New Roman"/>
                <w:sz w:val="21"/>
              </w:rPr>
              <w:t>12</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喂料机</w:t>
            </w:r>
          </w:p>
        </w:tc>
        <w:tc>
          <w:tcPr>
            <w:tcW w:w="2261" w:type="pct"/>
          </w:tcPr>
          <w:p>
            <w:pPr>
              <w:spacing w:line="240" w:lineRule="auto"/>
              <w:ind w:firstLine="0" w:firstLineChars="0"/>
              <w:jc w:val="center"/>
              <w:rPr>
                <w:sz w:val="21"/>
                <w:szCs w:val="21"/>
              </w:rPr>
            </w:pPr>
            <w:r>
              <w:rPr>
                <w:rFonts w:eastAsia="Times New Roman"/>
                <w:sz w:val="21"/>
              </w:rPr>
              <w:t>20T</w:t>
            </w:r>
          </w:p>
        </w:tc>
        <w:tc>
          <w:tcPr>
            <w:tcW w:w="357" w:type="pct"/>
          </w:tcPr>
          <w:p>
            <w:pPr>
              <w:spacing w:line="240" w:lineRule="auto"/>
              <w:ind w:firstLine="0" w:firstLineChars="0"/>
              <w:jc w:val="center"/>
              <w:rPr>
                <w:sz w:val="21"/>
                <w:szCs w:val="21"/>
              </w:rPr>
            </w:pPr>
            <w:r>
              <w:rPr>
                <w:rFonts w:eastAsia="Times New Roman"/>
                <w:sz w:val="21"/>
              </w:rPr>
              <w:t>120</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szCs w:val="21"/>
              </w:rPr>
            </w:pPr>
            <w:r>
              <w:rPr>
                <w:sz w:val="21"/>
              </w:rPr>
              <w:t>移动带</w:t>
            </w:r>
          </w:p>
        </w:tc>
        <w:tc>
          <w:tcPr>
            <w:tcW w:w="2261" w:type="pct"/>
          </w:tcPr>
          <w:p>
            <w:pPr>
              <w:spacing w:line="240" w:lineRule="auto"/>
              <w:ind w:firstLine="0" w:firstLineChars="0"/>
              <w:jc w:val="center"/>
              <w:rPr>
                <w:sz w:val="21"/>
                <w:szCs w:val="21"/>
              </w:rPr>
            </w:pPr>
            <w:r>
              <w:rPr>
                <w:rFonts w:eastAsia="Times New Roman"/>
                <w:sz w:val="21"/>
              </w:rPr>
              <w:t xml:space="preserve">800 </w:t>
            </w:r>
            <w:r>
              <w:rPr>
                <w:sz w:val="21"/>
              </w:rPr>
              <w:t>型</w:t>
            </w:r>
          </w:p>
        </w:tc>
        <w:tc>
          <w:tcPr>
            <w:tcW w:w="357" w:type="pct"/>
          </w:tcPr>
          <w:p>
            <w:pPr>
              <w:spacing w:line="240" w:lineRule="auto"/>
              <w:ind w:firstLine="0" w:firstLineChars="0"/>
              <w:jc w:val="center"/>
              <w:rPr>
                <w:sz w:val="21"/>
                <w:szCs w:val="21"/>
              </w:rPr>
            </w:pPr>
            <w:r>
              <w:rPr>
                <w:rFonts w:eastAsia="Times New Roman"/>
                <w:sz w:val="21"/>
              </w:rPr>
              <w:t>16</w:t>
            </w:r>
          </w:p>
        </w:tc>
        <w:tc>
          <w:tcPr>
            <w:tcW w:w="342" w:type="pct"/>
          </w:tcPr>
          <w:p>
            <w:pPr>
              <w:spacing w:line="240" w:lineRule="auto"/>
              <w:ind w:firstLine="0" w:firstLineChars="0"/>
              <w:jc w:val="center"/>
              <w:rPr>
                <w:sz w:val="21"/>
                <w:szCs w:val="21"/>
              </w:rPr>
            </w:pPr>
            <w:r>
              <w:rPr>
                <w:rFonts w:eastAsia="Times New Roman"/>
                <w:sz w:val="21"/>
              </w:rPr>
              <w:t>0</w:t>
            </w:r>
          </w:p>
        </w:tc>
        <w:tc>
          <w:tcPr>
            <w:tcW w:w="322" w:type="pct"/>
          </w:tcPr>
          <w:p>
            <w:pPr>
              <w:spacing w:line="240" w:lineRule="auto"/>
              <w:ind w:firstLine="0" w:firstLineChars="0"/>
              <w:jc w:val="center"/>
              <w:rPr>
                <w:sz w:val="21"/>
                <w:szCs w:val="21"/>
              </w:rPr>
            </w:pPr>
            <w:r>
              <w:rPr>
                <w:rFonts w:eastAsia="Times New Roman"/>
                <w:sz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泥仓照明</w:t>
            </w:r>
          </w:p>
        </w:tc>
        <w:tc>
          <w:tcPr>
            <w:tcW w:w="2261" w:type="pct"/>
          </w:tcPr>
          <w:p>
            <w:pPr>
              <w:spacing w:line="240" w:lineRule="auto"/>
              <w:ind w:firstLine="0" w:firstLineChars="0"/>
              <w:jc w:val="center"/>
              <w:rPr>
                <w:rFonts w:eastAsia="Times New Roman"/>
                <w:sz w:val="21"/>
              </w:rPr>
            </w:pPr>
            <w:r>
              <w:rPr>
                <w:sz w:val="21"/>
              </w:rPr>
              <w:t>节能型</w:t>
            </w:r>
          </w:p>
        </w:tc>
        <w:tc>
          <w:tcPr>
            <w:tcW w:w="357" w:type="pct"/>
          </w:tcPr>
          <w:p>
            <w:pPr>
              <w:spacing w:line="240" w:lineRule="auto"/>
              <w:ind w:firstLine="0" w:firstLineChars="0"/>
              <w:jc w:val="center"/>
              <w:rPr>
                <w:rFonts w:eastAsia="Times New Roman"/>
                <w:sz w:val="21"/>
              </w:rPr>
            </w:pPr>
            <w:r>
              <w:rPr>
                <w:rFonts w:eastAsia="Times New Roman"/>
                <w:sz w:val="21"/>
              </w:rPr>
              <w:t>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制粉</w:t>
            </w:r>
          </w:p>
          <w:p>
            <w:pPr>
              <w:spacing w:line="240" w:lineRule="auto"/>
              <w:ind w:firstLine="0" w:firstLineChars="0"/>
              <w:jc w:val="center"/>
              <w:rPr>
                <w:sz w:val="21"/>
                <w:szCs w:val="21"/>
              </w:rPr>
            </w:pPr>
            <w:r>
              <w:rPr>
                <w:sz w:val="21"/>
                <w:szCs w:val="21"/>
              </w:rPr>
              <w:t>车间</w:t>
            </w:r>
          </w:p>
        </w:tc>
        <w:tc>
          <w:tcPr>
            <w:tcW w:w="621" w:type="pct"/>
            <w:vMerge w:val="restart"/>
            <w:vAlign w:val="center"/>
          </w:tcPr>
          <w:p>
            <w:pPr>
              <w:spacing w:line="240" w:lineRule="auto"/>
              <w:ind w:firstLine="0" w:firstLineChars="0"/>
              <w:jc w:val="center"/>
              <w:rPr>
                <w:sz w:val="21"/>
                <w:szCs w:val="21"/>
              </w:rPr>
            </w:pPr>
            <w:r>
              <w:rPr>
                <w:sz w:val="21"/>
                <w:szCs w:val="21"/>
              </w:rPr>
              <w:t>喷雾</w:t>
            </w:r>
          </w:p>
          <w:p>
            <w:pPr>
              <w:spacing w:line="240" w:lineRule="auto"/>
              <w:ind w:firstLine="0" w:firstLineChars="0"/>
              <w:jc w:val="center"/>
              <w:rPr>
                <w:sz w:val="21"/>
                <w:szCs w:val="21"/>
              </w:rPr>
            </w:pPr>
            <w:r>
              <w:rPr>
                <w:sz w:val="21"/>
                <w:szCs w:val="21"/>
              </w:rPr>
              <w:t>塔及</w:t>
            </w:r>
          </w:p>
          <w:p>
            <w:pPr>
              <w:spacing w:line="240" w:lineRule="auto"/>
              <w:ind w:firstLine="0" w:firstLineChars="0"/>
              <w:jc w:val="center"/>
              <w:rPr>
                <w:sz w:val="21"/>
                <w:szCs w:val="21"/>
              </w:rPr>
            </w:pPr>
            <w:r>
              <w:rPr>
                <w:sz w:val="21"/>
                <w:szCs w:val="21"/>
              </w:rPr>
              <w:t>粉箱</w:t>
            </w:r>
          </w:p>
        </w:tc>
        <w:tc>
          <w:tcPr>
            <w:tcW w:w="865" w:type="pct"/>
            <w:vAlign w:val="center"/>
          </w:tcPr>
          <w:p>
            <w:pPr>
              <w:spacing w:line="240" w:lineRule="auto"/>
              <w:ind w:firstLine="0" w:firstLineChars="0"/>
              <w:jc w:val="center"/>
              <w:rPr>
                <w:sz w:val="21"/>
              </w:rPr>
            </w:pPr>
            <w:r>
              <w:rPr>
                <w:sz w:val="21"/>
              </w:rPr>
              <w:t>喷雾塔</w:t>
            </w:r>
          </w:p>
        </w:tc>
        <w:tc>
          <w:tcPr>
            <w:tcW w:w="2261" w:type="pct"/>
          </w:tcPr>
          <w:p>
            <w:pPr>
              <w:spacing w:line="240" w:lineRule="auto"/>
              <w:ind w:firstLine="0" w:firstLineChars="0"/>
              <w:rPr>
                <w:sz w:val="21"/>
              </w:rPr>
            </w:pPr>
            <w:r>
              <w:rPr>
                <w:rFonts w:eastAsia="Times New Roman"/>
                <w:sz w:val="21"/>
              </w:rPr>
              <w:t>Y4-73-22D,</w:t>
            </w:r>
            <w:r>
              <w:rPr>
                <w:sz w:val="21"/>
              </w:rPr>
              <w:t xml:space="preserve">配风机 </w:t>
            </w:r>
            <w:r>
              <w:rPr>
                <w:rFonts w:eastAsia="Times New Roman"/>
                <w:sz w:val="21"/>
              </w:rPr>
              <w:t>27000m³/</w:t>
            </w:r>
            <w:r>
              <w:rPr>
                <w:sz w:val="21"/>
              </w:rPr>
              <w:t>小时</w:t>
            </w:r>
            <w:r>
              <w:rPr>
                <w:rFonts w:eastAsia="Times New Roman"/>
                <w:sz w:val="21"/>
              </w:rPr>
              <w:t>-1800</w:t>
            </w:r>
          </w:p>
        </w:tc>
        <w:tc>
          <w:tcPr>
            <w:tcW w:w="357" w:type="pct"/>
            <w:vAlign w:val="center"/>
          </w:tcPr>
          <w:p>
            <w:pPr>
              <w:spacing w:line="240" w:lineRule="auto"/>
              <w:ind w:firstLine="0" w:firstLineChars="0"/>
              <w:jc w:val="center"/>
              <w:rPr>
                <w:rFonts w:eastAsia="Times New Roman"/>
                <w:sz w:val="21"/>
              </w:rPr>
            </w:pPr>
            <w:r>
              <w:rPr>
                <w:rFonts w:eastAsia="Times New Roman"/>
                <w:sz w:val="21"/>
              </w:rPr>
              <w:t>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rPr>
            </w:pPr>
            <w:r>
              <w:rPr>
                <w:sz w:val="21"/>
              </w:rPr>
              <w:t>喷雾塔</w:t>
            </w:r>
          </w:p>
        </w:tc>
        <w:tc>
          <w:tcPr>
            <w:tcW w:w="2261" w:type="pct"/>
          </w:tcPr>
          <w:p>
            <w:pPr>
              <w:spacing w:line="240" w:lineRule="auto"/>
              <w:ind w:firstLine="0" w:firstLineChars="0"/>
              <w:rPr>
                <w:sz w:val="21"/>
              </w:rPr>
            </w:pPr>
            <w:r>
              <w:rPr>
                <w:rFonts w:eastAsia="Times New Roman"/>
                <w:sz w:val="21"/>
              </w:rPr>
              <w:t>Y4-73-23D</w:t>
            </w:r>
            <w:r>
              <w:rPr>
                <w:sz w:val="21"/>
              </w:rPr>
              <w:t xml:space="preserve">，配风机 </w:t>
            </w:r>
            <w:r>
              <w:rPr>
                <w:rFonts w:eastAsia="Times New Roman"/>
                <w:sz w:val="21"/>
              </w:rPr>
              <w:t>23000m³/</w:t>
            </w:r>
            <w:r>
              <w:rPr>
                <w:sz w:val="21"/>
              </w:rPr>
              <w:t>小时</w:t>
            </w:r>
            <w:r>
              <w:rPr>
                <w:rFonts w:eastAsia="Times New Roman"/>
                <w:sz w:val="21"/>
              </w:rPr>
              <w:t>-1400</w:t>
            </w:r>
          </w:p>
        </w:tc>
        <w:tc>
          <w:tcPr>
            <w:tcW w:w="357" w:type="pct"/>
            <w:vAlign w:val="center"/>
          </w:tcPr>
          <w:p>
            <w:pPr>
              <w:spacing w:line="240" w:lineRule="auto"/>
              <w:ind w:firstLine="0" w:firstLineChars="0"/>
              <w:jc w:val="center"/>
              <w:rPr>
                <w:rFonts w:eastAsia="Times New Roman"/>
                <w:sz w:val="21"/>
              </w:rPr>
            </w:pPr>
            <w:r>
              <w:rPr>
                <w:rFonts w:eastAsia="Times New Roman"/>
                <w:sz w:val="21"/>
              </w:rPr>
              <w:t>8</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配风风机</w:t>
            </w:r>
          </w:p>
        </w:tc>
        <w:tc>
          <w:tcPr>
            <w:tcW w:w="2261" w:type="pct"/>
          </w:tcPr>
          <w:p>
            <w:pPr>
              <w:spacing w:line="240" w:lineRule="auto"/>
              <w:ind w:firstLine="0" w:firstLineChars="0"/>
              <w:jc w:val="center"/>
              <w:rPr>
                <w:sz w:val="21"/>
              </w:rPr>
            </w:pPr>
            <w:r>
              <w:rPr>
                <w:rFonts w:eastAsia="Times New Roman"/>
                <w:sz w:val="21"/>
              </w:rPr>
              <w:t>4-79-10E</w:t>
            </w:r>
          </w:p>
        </w:tc>
        <w:tc>
          <w:tcPr>
            <w:tcW w:w="357" w:type="pct"/>
          </w:tcPr>
          <w:p>
            <w:pPr>
              <w:spacing w:line="240" w:lineRule="auto"/>
              <w:ind w:firstLine="0" w:firstLineChars="0"/>
              <w:jc w:val="center"/>
              <w:rPr>
                <w:rFonts w:eastAsia="Times New Roman"/>
                <w:sz w:val="21"/>
              </w:rPr>
            </w:pPr>
            <w:r>
              <w:rPr>
                <w:rFonts w:eastAsia="Times New Roman"/>
                <w:sz w:val="21"/>
              </w:rPr>
              <w:t>12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微煤</w:t>
            </w:r>
            <w:r>
              <w:rPr>
                <w:rFonts w:eastAsia="Times New Roman"/>
                <w:sz w:val="21"/>
              </w:rPr>
              <w:t>/</w:t>
            </w:r>
            <w:r>
              <w:rPr>
                <w:sz w:val="21"/>
              </w:rPr>
              <w:t>煤浆螺杆泵</w:t>
            </w:r>
          </w:p>
        </w:tc>
        <w:tc>
          <w:tcPr>
            <w:tcW w:w="2261" w:type="pct"/>
            <w:vAlign w:val="center"/>
          </w:tcPr>
          <w:p>
            <w:pPr>
              <w:spacing w:line="240" w:lineRule="auto"/>
              <w:ind w:firstLine="0" w:firstLineChars="0"/>
              <w:jc w:val="center"/>
              <w:rPr>
                <w:sz w:val="21"/>
              </w:rPr>
            </w:pPr>
            <w:r>
              <w:rPr>
                <w:rFonts w:eastAsia="Times New Roman"/>
                <w:sz w:val="21"/>
              </w:rPr>
              <w:t xml:space="preserve">20 </w:t>
            </w:r>
            <w:r>
              <w:rPr>
                <w:sz w:val="21"/>
              </w:rPr>
              <w:t>吨</w:t>
            </w:r>
            <w:r>
              <w:rPr>
                <w:rFonts w:eastAsia="Times New Roman"/>
                <w:sz w:val="21"/>
              </w:rPr>
              <w:t>/</w:t>
            </w:r>
            <w:r>
              <w:rPr>
                <w:sz w:val="21"/>
              </w:rPr>
              <w:t>小时</w:t>
            </w:r>
          </w:p>
        </w:tc>
        <w:tc>
          <w:tcPr>
            <w:tcW w:w="357" w:type="pct"/>
            <w:vAlign w:val="center"/>
          </w:tcPr>
          <w:p>
            <w:pPr>
              <w:spacing w:line="240" w:lineRule="auto"/>
              <w:ind w:firstLine="0" w:firstLineChars="0"/>
              <w:jc w:val="center"/>
              <w:rPr>
                <w:rFonts w:eastAsia="Times New Roman"/>
                <w:sz w:val="21"/>
              </w:rPr>
            </w:pPr>
            <w:r>
              <w:rPr>
                <w:rFonts w:eastAsia="Times New Roman"/>
                <w:sz w:val="21"/>
              </w:rPr>
              <w:t>24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微煤粉罐</w:t>
            </w:r>
          </w:p>
        </w:tc>
        <w:tc>
          <w:tcPr>
            <w:tcW w:w="2261" w:type="pct"/>
          </w:tcPr>
          <w:p>
            <w:pPr>
              <w:spacing w:line="240" w:lineRule="auto"/>
              <w:ind w:firstLine="0" w:firstLineChars="0"/>
              <w:jc w:val="center"/>
              <w:rPr>
                <w:sz w:val="21"/>
              </w:rPr>
            </w:pPr>
            <w:r>
              <w:rPr>
                <w:rFonts w:eastAsia="Times New Roman"/>
                <w:sz w:val="21"/>
              </w:rPr>
              <w:t xml:space="preserve">80 </w:t>
            </w:r>
            <w:r>
              <w:rPr>
                <w:sz w:val="21"/>
              </w:rPr>
              <w:t>吨</w:t>
            </w:r>
          </w:p>
        </w:tc>
        <w:tc>
          <w:tcPr>
            <w:tcW w:w="357" w:type="pct"/>
          </w:tcPr>
          <w:p>
            <w:pPr>
              <w:spacing w:line="240" w:lineRule="auto"/>
              <w:ind w:firstLine="0" w:firstLineChars="0"/>
              <w:jc w:val="center"/>
              <w:rPr>
                <w:rFonts w:eastAsia="Times New Roman"/>
                <w:sz w:val="21"/>
              </w:rPr>
            </w:pPr>
            <w:r>
              <w:rPr>
                <w:rFonts w:eastAsia="Times New Roman"/>
                <w:sz w:val="21"/>
              </w:rPr>
              <w:t>12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煤浆中转罐</w:t>
            </w:r>
          </w:p>
        </w:tc>
        <w:tc>
          <w:tcPr>
            <w:tcW w:w="2261" w:type="pct"/>
          </w:tcPr>
          <w:p>
            <w:pPr>
              <w:spacing w:line="240" w:lineRule="auto"/>
              <w:ind w:firstLine="0" w:firstLineChars="0"/>
              <w:jc w:val="center"/>
              <w:rPr>
                <w:sz w:val="21"/>
              </w:rPr>
            </w:pPr>
            <w:r>
              <w:rPr>
                <w:rFonts w:eastAsia="Times New Roman"/>
                <w:sz w:val="21"/>
              </w:rPr>
              <w:t xml:space="preserve">30 </w:t>
            </w:r>
            <w:r>
              <w:rPr>
                <w:sz w:val="21"/>
              </w:rPr>
              <w:t>吨</w:t>
            </w:r>
          </w:p>
        </w:tc>
        <w:tc>
          <w:tcPr>
            <w:tcW w:w="357" w:type="pct"/>
          </w:tcPr>
          <w:p>
            <w:pPr>
              <w:spacing w:line="240" w:lineRule="auto"/>
              <w:ind w:firstLine="0" w:firstLineChars="0"/>
              <w:jc w:val="center"/>
              <w:rPr>
                <w:rFonts w:eastAsia="Times New Roman"/>
                <w:sz w:val="21"/>
              </w:rPr>
            </w:pPr>
            <w:r>
              <w:rPr>
                <w:rFonts w:eastAsia="Times New Roman"/>
                <w:sz w:val="21"/>
              </w:rPr>
              <w:t>24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泥浆中转罐</w:t>
            </w:r>
          </w:p>
        </w:tc>
        <w:tc>
          <w:tcPr>
            <w:tcW w:w="2261" w:type="pct"/>
          </w:tcPr>
          <w:p>
            <w:pPr>
              <w:spacing w:line="240" w:lineRule="auto"/>
              <w:ind w:firstLine="0" w:firstLineChars="0"/>
              <w:jc w:val="center"/>
              <w:rPr>
                <w:sz w:val="21"/>
              </w:rPr>
            </w:pPr>
            <w:r>
              <w:rPr>
                <w:rFonts w:eastAsia="Times New Roman"/>
                <w:sz w:val="21"/>
              </w:rPr>
              <w:t xml:space="preserve">50 </w:t>
            </w:r>
            <w:r>
              <w:rPr>
                <w:sz w:val="21"/>
              </w:rPr>
              <w:t>吨</w:t>
            </w:r>
          </w:p>
        </w:tc>
        <w:tc>
          <w:tcPr>
            <w:tcW w:w="357" w:type="pct"/>
          </w:tcPr>
          <w:p>
            <w:pPr>
              <w:spacing w:line="240" w:lineRule="auto"/>
              <w:ind w:firstLine="0" w:firstLineChars="0"/>
              <w:jc w:val="center"/>
              <w:rPr>
                <w:rFonts w:eastAsia="Times New Roman"/>
                <w:sz w:val="21"/>
              </w:rPr>
            </w:pPr>
            <w:r>
              <w:rPr>
                <w:rFonts w:eastAsia="Times New Roman"/>
                <w:sz w:val="21"/>
              </w:rPr>
              <w:t>24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圆筛</w:t>
            </w:r>
          </w:p>
        </w:tc>
        <w:tc>
          <w:tcPr>
            <w:tcW w:w="2261" w:type="pct"/>
          </w:tcPr>
          <w:p>
            <w:pPr>
              <w:spacing w:line="240" w:lineRule="auto"/>
              <w:ind w:firstLine="0" w:firstLineChars="0"/>
              <w:jc w:val="center"/>
              <w:rPr>
                <w:sz w:val="21"/>
              </w:rPr>
            </w:pPr>
            <w:r>
              <w:rPr>
                <w:rFonts w:eastAsia="Times New Roman"/>
                <w:sz w:val="21"/>
              </w:rPr>
              <w:t>Φ1000</w:t>
            </w:r>
          </w:p>
        </w:tc>
        <w:tc>
          <w:tcPr>
            <w:tcW w:w="357" w:type="pct"/>
          </w:tcPr>
          <w:p>
            <w:pPr>
              <w:spacing w:line="240" w:lineRule="auto"/>
              <w:ind w:firstLine="0" w:firstLineChars="0"/>
              <w:jc w:val="center"/>
              <w:rPr>
                <w:rFonts w:eastAsia="Times New Roman"/>
                <w:sz w:val="21"/>
              </w:rPr>
            </w:pPr>
            <w:r>
              <w:rPr>
                <w:rFonts w:eastAsia="Times New Roman"/>
                <w:sz w:val="21"/>
              </w:rPr>
              <w:t>36</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华岩泥浆泵</w:t>
            </w:r>
          </w:p>
        </w:tc>
        <w:tc>
          <w:tcPr>
            <w:tcW w:w="2261" w:type="pct"/>
          </w:tcPr>
          <w:p>
            <w:pPr>
              <w:spacing w:line="240" w:lineRule="auto"/>
              <w:ind w:firstLine="0" w:firstLineChars="0"/>
              <w:jc w:val="center"/>
              <w:rPr>
                <w:sz w:val="21"/>
              </w:rPr>
            </w:pPr>
            <w:r>
              <w:rPr>
                <w:rFonts w:eastAsia="Times New Roman"/>
                <w:sz w:val="21"/>
              </w:rPr>
              <w:t>XK-GYB-1800-75</w:t>
            </w:r>
          </w:p>
        </w:tc>
        <w:tc>
          <w:tcPr>
            <w:tcW w:w="357" w:type="pct"/>
          </w:tcPr>
          <w:p>
            <w:pPr>
              <w:spacing w:line="240" w:lineRule="auto"/>
              <w:ind w:firstLine="0" w:firstLineChars="0"/>
              <w:jc w:val="center"/>
              <w:rPr>
                <w:rFonts w:eastAsia="Times New Roman"/>
                <w:sz w:val="21"/>
              </w:rPr>
            </w:pPr>
            <w:r>
              <w:rPr>
                <w:rFonts w:eastAsia="Times New Roman"/>
                <w:sz w:val="21"/>
              </w:rPr>
              <w:t>24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塔口粉箱带</w:t>
            </w:r>
          </w:p>
        </w:tc>
        <w:tc>
          <w:tcPr>
            <w:tcW w:w="2261" w:type="pct"/>
          </w:tcPr>
          <w:p>
            <w:pPr>
              <w:spacing w:line="240" w:lineRule="auto"/>
              <w:ind w:firstLine="0" w:firstLineChars="0"/>
              <w:jc w:val="center"/>
              <w:rPr>
                <w:sz w:val="21"/>
              </w:rPr>
            </w:pPr>
            <w:r>
              <w:rPr>
                <w:rFonts w:eastAsia="Times New Roman"/>
                <w:sz w:val="21"/>
              </w:rPr>
              <w:t xml:space="preserve">800 </w:t>
            </w:r>
            <w:r>
              <w:rPr>
                <w:sz w:val="21"/>
              </w:rPr>
              <w:t>型</w:t>
            </w:r>
          </w:p>
        </w:tc>
        <w:tc>
          <w:tcPr>
            <w:tcW w:w="357" w:type="pct"/>
          </w:tcPr>
          <w:p>
            <w:pPr>
              <w:spacing w:line="240" w:lineRule="auto"/>
              <w:ind w:firstLine="0" w:firstLineChars="0"/>
              <w:jc w:val="center"/>
              <w:rPr>
                <w:rFonts w:eastAsia="Times New Roman"/>
                <w:sz w:val="21"/>
              </w:rPr>
            </w:pPr>
            <w:r>
              <w:rPr>
                <w:rFonts w:eastAsia="Times New Roman"/>
                <w:sz w:val="21"/>
              </w:rPr>
              <w:t>36</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粉箱输送皮带</w:t>
            </w:r>
          </w:p>
        </w:tc>
        <w:tc>
          <w:tcPr>
            <w:tcW w:w="2261" w:type="pct"/>
            <w:vAlign w:val="center"/>
          </w:tcPr>
          <w:p>
            <w:pPr>
              <w:spacing w:line="240" w:lineRule="auto"/>
              <w:ind w:firstLine="0" w:firstLineChars="0"/>
              <w:jc w:val="center"/>
              <w:rPr>
                <w:sz w:val="21"/>
              </w:rPr>
            </w:pPr>
            <w:r>
              <w:rPr>
                <w:rFonts w:eastAsia="Times New Roman"/>
                <w:sz w:val="21"/>
              </w:rPr>
              <w:t xml:space="preserve">801 </w:t>
            </w:r>
            <w:r>
              <w:rPr>
                <w:sz w:val="21"/>
              </w:rPr>
              <w:t>型</w:t>
            </w:r>
          </w:p>
        </w:tc>
        <w:tc>
          <w:tcPr>
            <w:tcW w:w="357" w:type="pct"/>
            <w:vAlign w:val="center"/>
          </w:tcPr>
          <w:p>
            <w:pPr>
              <w:spacing w:line="240" w:lineRule="auto"/>
              <w:ind w:firstLine="0" w:firstLineChars="0"/>
              <w:jc w:val="center"/>
              <w:rPr>
                <w:rFonts w:eastAsia="Times New Roman"/>
                <w:sz w:val="21"/>
              </w:rPr>
            </w:pPr>
            <w:r>
              <w:rPr>
                <w:rFonts w:eastAsia="Times New Roman"/>
                <w:sz w:val="21"/>
              </w:rPr>
              <w:t>120</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Align w:val="center"/>
          </w:tcPr>
          <w:p>
            <w:pPr>
              <w:spacing w:line="240" w:lineRule="auto"/>
              <w:ind w:firstLine="0" w:firstLineChars="0"/>
              <w:jc w:val="center"/>
              <w:rPr>
                <w:sz w:val="21"/>
                <w:szCs w:val="21"/>
              </w:rPr>
            </w:pPr>
            <w:r>
              <w:rPr>
                <w:sz w:val="21"/>
                <w:szCs w:val="21"/>
              </w:rPr>
              <w:t>实验塔</w:t>
            </w:r>
          </w:p>
        </w:tc>
        <w:tc>
          <w:tcPr>
            <w:tcW w:w="865" w:type="pct"/>
          </w:tcPr>
          <w:p>
            <w:pPr>
              <w:spacing w:line="240" w:lineRule="auto"/>
              <w:ind w:firstLine="0" w:firstLineChars="0"/>
              <w:jc w:val="center"/>
              <w:rPr>
                <w:sz w:val="21"/>
              </w:rPr>
            </w:pPr>
            <w:r>
              <w:rPr>
                <w:sz w:val="21"/>
              </w:rPr>
              <w:t>实验喷雾塔</w:t>
            </w:r>
          </w:p>
        </w:tc>
        <w:tc>
          <w:tcPr>
            <w:tcW w:w="2261" w:type="pct"/>
          </w:tcPr>
          <w:p>
            <w:pPr>
              <w:spacing w:line="240" w:lineRule="auto"/>
              <w:ind w:firstLine="0" w:firstLineChars="0"/>
              <w:jc w:val="center"/>
              <w:rPr>
                <w:sz w:val="21"/>
              </w:rPr>
            </w:pPr>
            <w:r>
              <w:rPr>
                <w:rFonts w:eastAsia="Times New Roman"/>
                <w:sz w:val="21"/>
              </w:rPr>
              <w:t xml:space="preserve">3 </w:t>
            </w:r>
            <w:r>
              <w:rPr>
                <w:sz w:val="21"/>
              </w:rPr>
              <w:t>吨</w:t>
            </w:r>
            <w:r>
              <w:rPr>
                <w:rFonts w:eastAsia="Times New Roman"/>
                <w:sz w:val="21"/>
              </w:rPr>
              <w:t>/</w:t>
            </w:r>
            <w:r>
              <w:rPr>
                <w:sz w:val="21"/>
              </w:rPr>
              <w:t>小时</w:t>
            </w:r>
          </w:p>
        </w:tc>
        <w:tc>
          <w:tcPr>
            <w:tcW w:w="357" w:type="pct"/>
          </w:tcPr>
          <w:p>
            <w:pPr>
              <w:spacing w:line="240" w:lineRule="auto"/>
              <w:ind w:firstLine="0" w:firstLineChars="0"/>
              <w:jc w:val="center"/>
              <w:rPr>
                <w:rFonts w:eastAsia="Times New Roman"/>
                <w:sz w:val="21"/>
              </w:rPr>
            </w:pPr>
            <w:r>
              <w:rPr>
                <w:rFonts w:eastAsia="Times New Roman"/>
                <w:sz w:val="21"/>
              </w:rPr>
              <w:t>1</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szCs w:val="21"/>
              </w:rPr>
            </w:pPr>
            <w:r>
              <w:rPr>
                <w:sz w:val="21"/>
                <w:szCs w:val="21"/>
              </w:rPr>
              <w:t>原料污</w:t>
            </w:r>
          </w:p>
          <w:p>
            <w:pPr>
              <w:spacing w:line="240" w:lineRule="auto"/>
              <w:ind w:firstLine="0" w:firstLineChars="0"/>
              <w:jc w:val="center"/>
              <w:rPr>
                <w:sz w:val="21"/>
                <w:szCs w:val="21"/>
              </w:rPr>
            </w:pPr>
            <w:r>
              <w:rPr>
                <w:sz w:val="21"/>
                <w:szCs w:val="21"/>
              </w:rPr>
              <w:t>水收集</w:t>
            </w:r>
          </w:p>
        </w:tc>
        <w:tc>
          <w:tcPr>
            <w:tcW w:w="865" w:type="pct"/>
          </w:tcPr>
          <w:p>
            <w:pPr>
              <w:spacing w:line="240" w:lineRule="auto"/>
              <w:ind w:firstLine="0" w:firstLineChars="0"/>
              <w:jc w:val="center"/>
              <w:rPr>
                <w:sz w:val="21"/>
              </w:rPr>
            </w:pPr>
            <w:r>
              <w:rPr>
                <w:sz w:val="21"/>
              </w:rPr>
              <w:t>污水收集水池</w:t>
            </w:r>
          </w:p>
        </w:tc>
        <w:tc>
          <w:tcPr>
            <w:tcW w:w="2261" w:type="pct"/>
            <w:vAlign w:val="center"/>
          </w:tcPr>
          <w:p>
            <w:pPr>
              <w:spacing w:line="240" w:lineRule="auto"/>
              <w:ind w:firstLine="0" w:firstLineChars="0"/>
              <w:jc w:val="center"/>
              <w:rPr>
                <w:sz w:val="21"/>
              </w:rPr>
            </w:pPr>
            <w:r>
              <w:rPr>
                <w:rFonts w:eastAsia="Times New Roman"/>
                <w:sz w:val="21"/>
              </w:rPr>
              <w:t>175m³</w:t>
            </w:r>
          </w:p>
        </w:tc>
        <w:tc>
          <w:tcPr>
            <w:tcW w:w="357" w:type="pct"/>
            <w:vAlign w:val="center"/>
          </w:tcPr>
          <w:p>
            <w:pPr>
              <w:spacing w:line="240" w:lineRule="auto"/>
              <w:ind w:firstLine="0" w:firstLineChars="0"/>
              <w:jc w:val="center"/>
              <w:rPr>
                <w:rFonts w:eastAsia="Times New Roman"/>
                <w:sz w:val="21"/>
              </w:rPr>
            </w:pPr>
            <w:r>
              <w:rPr>
                <w:rFonts w:eastAsia="Times New Roman"/>
                <w:sz w:val="21"/>
              </w:rPr>
              <w:t>10</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污水倒浆泵</w:t>
            </w:r>
          </w:p>
        </w:tc>
        <w:tc>
          <w:tcPr>
            <w:tcW w:w="2261" w:type="pct"/>
          </w:tcPr>
          <w:p>
            <w:pPr>
              <w:spacing w:line="240" w:lineRule="auto"/>
              <w:ind w:firstLine="0" w:firstLineChars="0"/>
              <w:jc w:val="center"/>
              <w:rPr>
                <w:sz w:val="21"/>
              </w:rPr>
            </w:pPr>
            <w:r>
              <w:rPr>
                <w:rFonts w:eastAsia="Times New Roman"/>
                <w:sz w:val="21"/>
              </w:rPr>
              <w:t>30m³/</w:t>
            </w:r>
            <w:r>
              <w:rPr>
                <w:sz w:val="21"/>
              </w:rPr>
              <w:t>小时</w:t>
            </w:r>
          </w:p>
        </w:tc>
        <w:tc>
          <w:tcPr>
            <w:tcW w:w="357" w:type="pct"/>
          </w:tcPr>
          <w:p>
            <w:pPr>
              <w:spacing w:line="240" w:lineRule="auto"/>
              <w:ind w:firstLine="0" w:firstLineChars="0"/>
              <w:jc w:val="center"/>
              <w:rPr>
                <w:rFonts w:eastAsia="Times New Roman"/>
                <w:sz w:val="21"/>
              </w:rPr>
            </w:pPr>
            <w:r>
              <w:rPr>
                <w:rFonts w:eastAsia="Times New Roman"/>
                <w:sz w:val="21"/>
              </w:rPr>
              <w:t>10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原料</w:t>
            </w:r>
          </w:p>
          <w:p>
            <w:pPr>
              <w:spacing w:line="240" w:lineRule="auto"/>
              <w:ind w:firstLine="0" w:firstLineChars="0"/>
              <w:jc w:val="center"/>
              <w:rPr>
                <w:sz w:val="21"/>
                <w:szCs w:val="21"/>
              </w:rPr>
            </w:pPr>
            <w:r>
              <w:rPr>
                <w:sz w:val="21"/>
                <w:szCs w:val="21"/>
              </w:rPr>
              <w:t>车间</w:t>
            </w:r>
          </w:p>
          <w:p>
            <w:pPr>
              <w:spacing w:line="240" w:lineRule="auto"/>
              <w:ind w:firstLine="0" w:firstLineChars="0"/>
              <w:jc w:val="center"/>
              <w:rPr>
                <w:sz w:val="21"/>
                <w:szCs w:val="21"/>
              </w:rPr>
            </w:pPr>
            <w:r>
              <w:rPr>
                <w:sz w:val="21"/>
                <w:szCs w:val="21"/>
              </w:rPr>
              <w:t>烟气</w:t>
            </w:r>
          </w:p>
          <w:p>
            <w:pPr>
              <w:spacing w:line="240" w:lineRule="auto"/>
              <w:ind w:firstLine="0" w:firstLineChars="0"/>
              <w:jc w:val="center"/>
              <w:rPr>
                <w:sz w:val="21"/>
                <w:szCs w:val="21"/>
              </w:rPr>
            </w:pPr>
            <w:r>
              <w:rPr>
                <w:sz w:val="21"/>
                <w:szCs w:val="21"/>
              </w:rPr>
              <w:t>环保</w:t>
            </w:r>
          </w:p>
          <w:p>
            <w:pPr>
              <w:spacing w:line="240" w:lineRule="auto"/>
              <w:ind w:firstLine="0" w:firstLineChars="0"/>
              <w:jc w:val="center"/>
              <w:rPr>
                <w:sz w:val="21"/>
                <w:szCs w:val="21"/>
              </w:rPr>
            </w:pPr>
            <w:r>
              <w:rPr>
                <w:sz w:val="21"/>
                <w:szCs w:val="21"/>
              </w:rPr>
              <w:t>治理</w:t>
            </w:r>
          </w:p>
          <w:p>
            <w:pPr>
              <w:spacing w:line="240" w:lineRule="auto"/>
              <w:ind w:firstLine="0" w:firstLineChars="0"/>
              <w:jc w:val="center"/>
              <w:rPr>
                <w:sz w:val="21"/>
                <w:szCs w:val="21"/>
              </w:rPr>
            </w:pPr>
            <w:r>
              <w:rPr>
                <w:sz w:val="21"/>
                <w:szCs w:val="21"/>
              </w:rPr>
              <w:t>系统</w:t>
            </w:r>
          </w:p>
        </w:tc>
        <w:tc>
          <w:tcPr>
            <w:tcW w:w="621" w:type="pct"/>
            <w:vMerge w:val="restart"/>
            <w:vAlign w:val="center"/>
          </w:tcPr>
          <w:p>
            <w:pPr>
              <w:spacing w:line="240" w:lineRule="auto"/>
              <w:ind w:firstLine="0" w:firstLineChars="0"/>
              <w:jc w:val="center"/>
              <w:rPr>
                <w:sz w:val="21"/>
                <w:szCs w:val="21"/>
              </w:rPr>
            </w:pPr>
            <w:r>
              <w:rPr>
                <w:sz w:val="21"/>
                <w:szCs w:val="21"/>
              </w:rPr>
              <w:t>半干法</w:t>
            </w:r>
          </w:p>
          <w:p>
            <w:pPr>
              <w:spacing w:line="240" w:lineRule="auto"/>
              <w:ind w:firstLine="0" w:firstLineChars="0"/>
              <w:jc w:val="center"/>
              <w:rPr>
                <w:sz w:val="21"/>
                <w:szCs w:val="21"/>
              </w:rPr>
            </w:pPr>
            <w:r>
              <w:rPr>
                <w:sz w:val="21"/>
                <w:szCs w:val="21"/>
              </w:rPr>
              <w:t>烟气脱</w:t>
            </w:r>
          </w:p>
          <w:p>
            <w:pPr>
              <w:spacing w:line="240" w:lineRule="auto"/>
              <w:ind w:firstLine="0" w:firstLineChars="0"/>
              <w:jc w:val="center"/>
              <w:rPr>
                <w:sz w:val="21"/>
                <w:szCs w:val="21"/>
              </w:rPr>
            </w:pPr>
            <w:r>
              <w:rPr>
                <w:sz w:val="21"/>
                <w:szCs w:val="21"/>
              </w:rPr>
              <w:t>硫塔</w:t>
            </w:r>
          </w:p>
          <w:p>
            <w:pPr>
              <w:spacing w:line="240" w:lineRule="auto"/>
              <w:ind w:firstLine="0" w:firstLineChars="0"/>
              <w:jc w:val="center"/>
              <w:rPr>
                <w:sz w:val="21"/>
                <w:szCs w:val="21"/>
              </w:rPr>
            </w:pPr>
            <w:r>
              <w:rPr>
                <w:sz w:val="21"/>
                <w:szCs w:val="21"/>
              </w:rPr>
              <w:t>工段</w:t>
            </w:r>
          </w:p>
        </w:tc>
        <w:tc>
          <w:tcPr>
            <w:tcW w:w="865" w:type="pct"/>
            <w:vAlign w:val="center"/>
          </w:tcPr>
          <w:p>
            <w:pPr>
              <w:spacing w:line="240" w:lineRule="auto"/>
              <w:ind w:firstLine="0" w:firstLineChars="0"/>
              <w:jc w:val="center"/>
              <w:rPr>
                <w:sz w:val="21"/>
              </w:rPr>
            </w:pPr>
            <w:r>
              <w:rPr>
                <w:sz w:val="21"/>
              </w:rPr>
              <w:t>循环流化床</w:t>
            </w:r>
          </w:p>
          <w:p>
            <w:pPr>
              <w:spacing w:line="240" w:lineRule="auto"/>
              <w:ind w:firstLine="0" w:firstLineChars="0"/>
              <w:jc w:val="center"/>
              <w:rPr>
                <w:sz w:val="21"/>
              </w:rPr>
            </w:pPr>
            <w:r>
              <w:rPr>
                <w:sz w:val="21"/>
              </w:rPr>
              <w:t>脱硫塔</w:t>
            </w:r>
          </w:p>
        </w:tc>
        <w:tc>
          <w:tcPr>
            <w:tcW w:w="2261" w:type="pct"/>
            <w:vAlign w:val="center"/>
          </w:tcPr>
          <w:p>
            <w:pPr>
              <w:spacing w:line="240" w:lineRule="auto"/>
              <w:ind w:firstLine="0" w:firstLineChars="0"/>
              <w:jc w:val="center"/>
              <w:rPr>
                <w:rFonts w:eastAsia="Times New Roman"/>
                <w:sz w:val="21"/>
              </w:rPr>
            </w:pPr>
            <w:r>
              <w:rPr>
                <w:rFonts w:eastAsia="Times New Roman"/>
                <w:sz w:val="21"/>
              </w:rPr>
              <w:t>Φ5000</w:t>
            </w:r>
            <w:r>
              <w:rPr>
                <w:sz w:val="21"/>
              </w:rPr>
              <w:t>，配引风机</w:t>
            </w:r>
            <w:r>
              <w:rPr>
                <w:rFonts w:eastAsia="Times New Roman"/>
                <w:sz w:val="21"/>
              </w:rPr>
              <w:t>GF-51-</w:t>
            </w:r>
          </w:p>
          <w:p>
            <w:pPr>
              <w:spacing w:line="240" w:lineRule="auto"/>
              <w:ind w:firstLine="0" w:firstLineChars="0"/>
              <w:jc w:val="center"/>
              <w:rPr>
                <w:sz w:val="21"/>
              </w:rPr>
            </w:pPr>
            <w:r>
              <w:rPr>
                <w:rFonts w:eastAsia="Times New Roman"/>
                <w:sz w:val="21"/>
              </w:rPr>
              <w:t>14D,Q=100000m³</w:t>
            </w:r>
          </w:p>
        </w:tc>
        <w:tc>
          <w:tcPr>
            <w:tcW w:w="357" w:type="pct"/>
            <w:vAlign w:val="center"/>
          </w:tcPr>
          <w:p>
            <w:pPr>
              <w:spacing w:line="240" w:lineRule="auto"/>
              <w:ind w:firstLine="0" w:firstLineChars="0"/>
              <w:jc w:val="center"/>
              <w:rPr>
                <w:rFonts w:eastAsia="Times New Roman"/>
                <w:sz w:val="21"/>
              </w:rPr>
            </w:pPr>
            <w:r>
              <w:rPr>
                <w:rFonts w:eastAsia="Times New Roman"/>
                <w:sz w:val="21"/>
              </w:rPr>
              <w:t>3</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罗茨风机</w:t>
            </w:r>
          </w:p>
        </w:tc>
        <w:tc>
          <w:tcPr>
            <w:tcW w:w="2261" w:type="pct"/>
          </w:tcPr>
          <w:p>
            <w:pPr>
              <w:spacing w:line="240" w:lineRule="auto"/>
              <w:ind w:firstLine="0" w:firstLineChars="0"/>
              <w:jc w:val="center"/>
              <w:rPr>
                <w:sz w:val="21"/>
              </w:rPr>
            </w:pPr>
            <w:r>
              <w:rPr>
                <w:rFonts w:eastAsia="Times New Roman"/>
                <w:sz w:val="21"/>
              </w:rPr>
              <w:t>CKSP-11kw</w:t>
            </w:r>
          </w:p>
        </w:tc>
        <w:tc>
          <w:tcPr>
            <w:tcW w:w="357" w:type="pct"/>
          </w:tcPr>
          <w:p>
            <w:pPr>
              <w:spacing w:line="240" w:lineRule="auto"/>
              <w:ind w:firstLine="0" w:firstLineChars="0"/>
              <w:jc w:val="center"/>
              <w:rPr>
                <w:rFonts w:eastAsia="Times New Roman"/>
                <w:sz w:val="21"/>
              </w:rPr>
            </w:pPr>
            <w:r>
              <w:rPr>
                <w:rFonts w:eastAsia="Times New Roman"/>
                <w:sz w:val="21"/>
              </w:rPr>
              <w:t>6</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喷湿水泵系统</w:t>
            </w:r>
          </w:p>
        </w:tc>
        <w:tc>
          <w:tcPr>
            <w:tcW w:w="2261" w:type="pct"/>
            <w:vAlign w:val="center"/>
          </w:tcPr>
          <w:p>
            <w:pPr>
              <w:spacing w:line="240" w:lineRule="auto"/>
              <w:ind w:firstLine="0" w:firstLineChars="0"/>
              <w:jc w:val="center"/>
              <w:rPr>
                <w:sz w:val="21"/>
              </w:rPr>
            </w:pPr>
            <w:r>
              <w:rPr>
                <w:rFonts w:eastAsia="Times New Roman"/>
                <w:sz w:val="21"/>
              </w:rPr>
              <w:t>200UFB-400-22-22kw</w:t>
            </w:r>
          </w:p>
        </w:tc>
        <w:tc>
          <w:tcPr>
            <w:tcW w:w="357" w:type="pct"/>
            <w:vAlign w:val="center"/>
          </w:tcPr>
          <w:p>
            <w:pPr>
              <w:spacing w:line="240" w:lineRule="auto"/>
              <w:ind w:firstLine="0" w:firstLineChars="0"/>
              <w:jc w:val="center"/>
              <w:rPr>
                <w:rFonts w:eastAsia="Times New Roman"/>
                <w:sz w:val="21"/>
              </w:rPr>
            </w:pPr>
            <w:r>
              <w:rPr>
                <w:rFonts w:eastAsia="Times New Roman"/>
                <w:sz w:val="21"/>
              </w:rPr>
              <w:t>6</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电加热器</w:t>
            </w:r>
          </w:p>
        </w:tc>
        <w:tc>
          <w:tcPr>
            <w:tcW w:w="2261" w:type="pct"/>
          </w:tcPr>
          <w:p>
            <w:pPr>
              <w:spacing w:line="240" w:lineRule="auto"/>
              <w:ind w:firstLine="0" w:firstLineChars="0"/>
              <w:jc w:val="center"/>
              <w:rPr>
                <w:sz w:val="21"/>
              </w:rPr>
            </w:pPr>
            <w:r>
              <w:rPr>
                <w:sz w:val="21"/>
              </w:rPr>
              <w:t>板式</w:t>
            </w:r>
          </w:p>
        </w:tc>
        <w:tc>
          <w:tcPr>
            <w:tcW w:w="357" w:type="pct"/>
          </w:tcPr>
          <w:p>
            <w:pPr>
              <w:spacing w:line="240" w:lineRule="auto"/>
              <w:ind w:firstLine="0" w:firstLineChars="0"/>
              <w:jc w:val="center"/>
              <w:rPr>
                <w:rFonts w:eastAsia="Times New Roman"/>
                <w:sz w:val="21"/>
              </w:rPr>
            </w:pPr>
            <w:r>
              <w:rPr>
                <w:rFonts w:eastAsia="Times New Roman"/>
                <w:sz w:val="21"/>
              </w:rPr>
              <w:t>3</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废渣浆搅拌系统</w:t>
            </w:r>
          </w:p>
        </w:tc>
        <w:tc>
          <w:tcPr>
            <w:tcW w:w="2261" w:type="pct"/>
            <w:vAlign w:val="center"/>
          </w:tcPr>
          <w:p>
            <w:pPr>
              <w:spacing w:line="240" w:lineRule="auto"/>
              <w:ind w:firstLine="0" w:firstLineChars="0"/>
              <w:jc w:val="center"/>
              <w:rPr>
                <w:sz w:val="21"/>
              </w:rPr>
            </w:pPr>
            <w:r>
              <w:rPr>
                <w:rFonts w:eastAsia="Times New Roman"/>
                <w:sz w:val="21"/>
              </w:rPr>
              <w:t>Φ2000</w:t>
            </w:r>
            <w:r>
              <w:rPr>
                <w:sz w:val="21"/>
              </w:rPr>
              <w:t>，</w:t>
            </w:r>
            <w:r>
              <w:rPr>
                <w:rFonts w:eastAsia="Times New Roman"/>
                <w:sz w:val="21"/>
              </w:rPr>
              <w:t>5.5KW</w:t>
            </w:r>
          </w:p>
        </w:tc>
        <w:tc>
          <w:tcPr>
            <w:tcW w:w="357" w:type="pct"/>
            <w:vAlign w:val="center"/>
          </w:tcPr>
          <w:p>
            <w:pPr>
              <w:spacing w:line="240" w:lineRule="auto"/>
              <w:ind w:firstLine="0" w:firstLineChars="0"/>
              <w:jc w:val="center"/>
              <w:rPr>
                <w:rFonts w:eastAsia="Times New Roman"/>
                <w:sz w:val="21"/>
              </w:rPr>
            </w:pPr>
            <w:r>
              <w:rPr>
                <w:rFonts w:eastAsia="Times New Roman"/>
                <w:sz w:val="21"/>
              </w:rPr>
              <w:t>3</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石灰乳搅拌机</w:t>
            </w:r>
          </w:p>
        </w:tc>
        <w:tc>
          <w:tcPr>
            <w:tcW w:w="2261" w:type="pct"/>
            <w:vAlign w:val="center"/>
          </w:tcPr>
          <w:p>
            <w:pPr>
              <w:spacing w:line="240" w:lineRule="auto"/>
              <w:ind w:firstLine="0" w:firstLineChars="0"/>
              <w:jc w:val="center"/>
              <w:rPr>
                <w:sz w:val="21"/>
              </w:rPr>
            </w:pPr>
            <w:r>
              <w:rPr>
                <w:rFonts w:eastAsia="Times New Roman"/>
                <w:sz w:val="21"/>
              </w:rPr>
              <w:t>Φ2000</w:t>
            </w:r>
            <w:r>
              <w:rPr>
                <w:sz w:val="21"/>
              </w:rPr>
              <w:t>，</w:t>
            </w:r>
            <w:r>
              <w:rPr>
                <w:rFonts w:eastAsia="Times New Roman"/>
                <w:sz w:val="21"/>
              </w:rPr>
              <w:t>7.5KW</w:t>
            </w:r>
          </w:p>
        </w:tc>
        <w:tc>
          <w:tcPr>
            <w:tcW w:w="357" w:type="pct"/>
            <w:vAlign w:val="center"/>
          </w:tcPr>
          <w:p>
            <w:pPr>
              <w:spacing w:line="240" w:lineRule="auto"/>
              <w:ind w:firstLine="0" w:firstLineChars="0"/>
              <w:jc w:val="center"/>
              <w:rPr>
                <w:rFonts w:eastAsia="Times New Roman"/>
                <w:sz w:val="21"/>
              </w:rPr>
            </w:pPr>
            <w:r>
              <w:rPr>
                <w:rFonts w:eastAsia="Times New Roman"/>
                <w:sz w:val="21"/>
              </w:rPr>
              <w:t>3</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循环搅拌系统</w:t>
            </w:r>
          </w:p>
        </w:tc>
        <w:tc>
          <w:tcPr>
            <w:tcW w:w="2261" w:type="pct"/>
            <w:vAlign w:val="center"/>
          </w:tcPr>
          <w:p>
            <w:pPr>
              <w:spacing w:line="240" w:lineRule="auto"/>
              <w:ind w:firstLine="0" w:firstLineChars="0"/>
              <w:jc w:val="center"/>
              <w:rPr>
                <w:sz w:val="21"/>
              </w:rPr>
            </w:pPr>
            <w:r>
              <w:rPr>
                <w:rFonts w:eastAsia="Times New Roman"/>
                <w:sz w:val="21"/>
              </w:rPr>
              <w:t>HKAF87</w:t>
            </w:r>
            <w:r>
              <w:rPr>
                <w:sz w:val="21"/>
              </w:rPr>
              <w:t xml:space="preserve">，速比 </w:t>
            </w:r>
            <w:r>
              <w:rPr>
                <w:rFonts w:eastAsia="Times New Roman"/>
                <w:sz w:val="21"/>
              </w:rPr>
              <w:t>7.2,11KW</w:t>
            </w:r>
          </w:p>
        </w:tc>
        <w:tc>
          <w:tcPr>
            <w:tcW w:w="357" w:type="pct"/>
            <w:vAlign w:val="center"/>
          </w:tcPr>
          <w:p>
            <w:pPr>
              <w:spacing w:line="240" w:lineRule="auto"/>
              <w:ind w:firstLine="0" w:firstLineChars="0"/>
              <w:jc w:val="center"/>
              <w:rPr>
                <w:rFonts w:eastAsia="Times New Roman"/>
                <w:sz w:val="21"/>
              </w:rPr>
            </w:pPr>
            <w:r>
              <w:rPr>
                <w:rFonts w:eastAsia="Times New Roman"/>
                <w:sz w:val="21"/>
              </w:rPr>
              <w:t>6</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罗茨风机</w:t>
            </w:r>
          </w:p>
        </w:tc>
        <w:tc>
          <w:tcPr>
            <w:tcW w:w="2261" w:type="pct"/>
          </w:tcPr>
          <w:p>
            <w:pPr>
              <w:spacing w:line="240" w:lineRule="auto"/>
              <w:ind w:firstLine="0" w:firstLineChars="0"/>
              <w:jc w:val="center"/>
              <w:rPr>
                <w:sz w:val="21"/>
              </w:rPr>
            </w:pPr>
            <w:r>
              <w:rPr>
                <w:rFonts w:eastAsia="Times New Roman"/>
                <w:sz w:val="21"/>
              </w:rPr>
              <w:t>CKSP-7.5kw</w:t>
            </w:r>
          </w:p>
        </w:tc>
        <w:tc>
          <w:tcPr>
            <w:tcW w:w="357" w:type="pct"/>
          </w:tcPr>
          <w:p>
            <w:pPr>
              <w:spacing w:line="240" w:lineRule="auto"/>
              <w:ind w:firstLine="0" w:firstLineChars="0"/>
              <w:jc w:val="center"/>
              <w:rPr>
                <w:rFonts w:eastAsia="Times New Roman"/>
                <w:sz w:val="21"/>
              </w:rPr>
            </w:pPr>
            <w:r>
              <w:rPr>
                <w:rFonts w:eastAsia="Times New Roman"/>
                <w:sz w:val="21"/>
              </w:rPr>
              <w:t>6</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压滤机柱塞泵</w:t>
            </w:r>
          </w:p>
        </w:tc>
        <w:tc>
          <w:tcPr>
            <w:tcW w:w="2261" w:type="pct"/>
            <w:vAlign w:val="center"/>
          </w:tcPr>
          <w:p>
            <w:pPr>
              <w:spacing w:line="240" w:lineRule="auto"/>
              <w:ind w:firstLine="0" w:firstLineChars="0"/>
              <w:jc w:val="center"/>
              <w:rPr>
                <w:sz w:val="21"/>
              </w:rPr>
            </w:pPr>
            <w:r>
              <w:rPr>
                <w:rFonts w:eastAsia="Times New Roman"/>
                <w:sz w:val="21"/>
              </w:rPr>
              <w:t>YB250</w:t>
            </w:r>
          </w:p>
        </w:tc>
        <w:tc>
          <w:tcPr>
            <w:tcW w:w="357" w:type="pct"/>
            <w:vAlign w:val="center"/>
          </w:tcPr>
          <w:p>
            <w:pPr>
              <w:spacing w:line="240" w:lineRule="auto"/>
              <w:ind w:firstLine="0" w:firstLineChars="0"/>
              <w:jc w:val="center"/>
              <w:rPr>
                <w:rFonts w:eastAsia="Times New Roman"/>
                <w:sz w:val="21"/>
              </w:rPr>
            </w:pPr>
            <w:r>
              <w:rPr>
                <w:rFonts w:eastAsia="Times New Roman"/>
                <w:sz w:val="21"/>
              </w:rPr>
              <w:t>6</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窑炉</w:t>
            </w:r>
          </w:p>
          <w:p>
            <w:pPr>
              <w:spacing w:line="240" w:lineRule="auto"/>
              <w:ind w:firstLine="0" w:firstLineChars="0"/>
              <w:jc w:val="center"/>
              <w:rPr>
                <w:sz w:val="21"/>
                <w:szCs w:val="21"/>
              </w:rPr>
            </w:pPr>
            <w:r>
              <w:rPr>
                <w:sz w:val="21"/>
                <w:szCs w:val="21"/>
              </w:rPr>
              <w:t>烟气</w:t>
            </w:r>
          </w:p>
          <w:p>
            <w:pPr>
              <w:spacing w:line="240" w:lineRule="auto"/>
              <w:ind w:firstLine="0" w:firstLineChars="0"/>
              <w:jc w:val="center"/>
              <w:rPr>
                <w:sz w:val="21"/>
                <w:szCs w:val="21"/>
              </w:rPr>
            </w:pPr>
            <w:r>
              <w:rPr>
                <w:sz w:val="21"/>
                <w:szCs w:val="21"/>
              </w:rPr>
              <w:t>处理</w:t>
            </w:r>
          </w:p>
          <w:p>
            <w:pPr>
              <w:spacing w:line="240" w:lineRule="auto"/>
              <w:ind w:firstLine="0" w:firstLineChars="0"/>
              <w:jc w:val="center"/>
              <w:rPr>
                <w:sz w:val="21"/>
                <w:szCs w:val="21"/>
              </w:rPr>
            </w:pPr>
            <w:r>
              <w:rPr>
                <w:sz w:val="21"/>
                <w:szCs w:val="21"/>
              </w:rPr>
              <w:t>系统</w:t>
            </w:r>
          </w:p>
        </w:tc>
        <w:tc>
          <w:tcPr>
            <w:tcW w:w="621" w:type="pct"/>
            <w:vMerge w:val="restart"/>
            <w:vAlign w:val="center"/>
          </w:tcPr>
          <w:p>
            <w:pPr>
              <w:spacing w:line="240" w:lineRule="auto"/>
              <w:ind w:firstLine="0" w:firstLineChars="0"/>
              <w:jc w:val="center"/>
              <w:rPr>
                <w:sz w:val="21"/>
                <w:szCs w:val="21"/>
              </w:rPr>
            </w:pPr>
            <w:r>
              <w:rPr>
                <w:sz w:val="21"/>
                <w:szCs w:val="21"/>
              </w:rPr>
              <w:t>湿法</w:t>
            </w:r>
          </w:p>
          <w:p>
            <w:pPr>
              <w:spacing w:line="240" w:lineRule="auto"/>
              <w:ind w:firstLine="0" w:firstLineChars="0"/>
              <w:jc w:val="center"/>
              <w:rPr>
                <w:sz w:val="21"/>
                <w:szCs w:val="21"/>
              </w:rPr>
            </w:pPr>
            <w:r>
              <w:rPr>
                <w:sz w:val="21"/>
                <w:szCs w:val="21"/>
              </w:rPr>
              <w:t>烟气</w:t>
            </w:r>
          </w:p>
          <w:p>
            <w:pPr>
              <w:spacing w:line="240" w:lineRule="auto"/>
              <w:ind w:firstLine="0" w:firstLineChars="0"/>
              <w:jc w:val="center"/>
              <w:rPr>
                <w:sz w:val="21"/>
                <w:szCs w:val="21"/>
              </w:rPr>
            </w:pPr>
            <w:r>
              <w:rPr>
                <w:sz w:val="21"/>
                <w:szCs w:val="21"/>
              </w:rPr>
              <w:t>脱硫</w:t>
            </w:r>
          </w:p>
          <w:p>
            <w:pPr>
              <w:spacing w:line="240" w:lineRule="auto"/>
              <w:ind w:firstLine="0" w:firstLineChars="0"/>
              <w:jc w:val="center"/>
              <w:rPr>
                <w:sz w:val="21"/>
                <w:szCs w:val="21"/>
              </w:rPr>
            </w:pPr>
            <w:r>
              <w:rPr>
                <w:sz w:val="21"/>
                <w:szCs w:val="21"/>
              </w:rPr>
              <w:t>塔</w:t>
            </w:r>
          </w:p>
          <w:p>
            <w:pPr>
              <w:spacing w:line="240" w:lineRule="auto"/>
              <w:ind w:firstLine="0" w:firstLineChars="0"/>
              <w:jc w:val="center"/>
              <w:rPr>
                <w:sz w:val="21"/>
                <w:szCs w:val="21"/>
              </w:rPr>
            </w:pPr>
            <w:r>
              <w:rPr>
                <w:sz w:val="21"/>
                <w:szCs w:val="21"/>
              </w:rPr>
              <w:t>系统</w:t>
            </w:r>
          </w:p>
        </w:tc>
        <w:tc>
          <w:tcPr>
            <w:tcW w:w="865" w:type="pct"/>
          </w:tcPr>
          <w:p>
            <w:pPr>
              <w:spacing w:line="240" w:lineRule="auto"/>
              <w:ind w:firstLine="0" w:firstLineChars="0"/>
              <w:jc w:val="center"/>
              <w:rPr>
                <w:sz w:val="21"/>
              </w:rPr>
            </w:pPr>
            <w:r>
              <w:rPr>
                <w:sz w:val="21"/>
              </w:rPr>
              <w:t>喷淋清水泵</w:t>
            </w:r>
          </w:p>
        </w:tc>
        <w:tc>
          <w:tcPr>
            <w:tcW w:w="2261" w:type="pct"/>
          </w:tcPr>
          <w:p>
            <w:pPr>
              <w:spacing w:line="240" w:lineRule="auto"/>
              <w:ind w:firstLine="0" w:firstLineChars="0"/>
              <w:jc w:val="center"/>
              <w:rPr>
                <w:sz w:val="21"/>
              </w:rPr>
            </w:pPr>
            <w:r>
              <w:rPr>
                <w:rFonts w:eastAsia="Times New Roman"/>
                <w:sz w:val="21"/>
              </w:rPr>
              <w:t>100UFB-120-40-30kw</w:t>
            </w:r>
          </w:p>
        </w:tc>
        <w:tc>
          <w:tcPr>
            <w:tcW w:w="357" w:type="pct"/>
          </w:tcPr>
          <w:p>
            <w:pPr>
              <w:spacing w:line="240" w:lineRule="auto"/>
              <w:ind w:firstLine="0" w:firstLineChars="0"/>
              <w:jc w:val="center"/>
              <w:rPr>
                <w:rFonts w:eastAsia="Times New Roman"/>
                <w:sz w:val="21"/>
              </w:rPr>
            </w:pPr>
            <w:r>
              <w:rPr>
                <w:rFonts w:eastAsia="Times New Roman"/>
                <w:sz w:val="21"/>
              </w:rPr>
              <w:t>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脱硫循环泵</w:t>
            </w:r>
          </w:p>
        </w:tc>
        <w:tc>
          <w:tcPr>
            <w:tcW w:w="2261" w:type="pct"/>
          </w:tcPr>
          <w:p>
            <w:pPr>
              <w:spacing w:line="240" w:lineRule="auto"/>
              <w:ind w:firstLine="0" w:firstLineChars="0"/>
              <w:jc w:val="center"/>
              <w:rPr>
                <w:sz w:val="21"/>
              </w:rPr>
            </w:pPr>
            <w:r>
              <w:rPr>
                <w:rFonts w:eastAsia="Times New Roman"/>
                <w:sz w:val="21"/>
              </w:rPr>
              <w:t>150UFB-200-35-45kw</w:t>
            </w:r>
          </w:p>
        </w:tc>
        <w:tc>
          <w:tcPr>
            <w:tcW w:w="357" w:type="pct"/>
          </w:tcPr>
          <w:p>
            <w:pPr>
              <w:spacing w:line="240" w:lineRule="auto"/>
              <w:ind w:firstLine="0" w:firstLineChars="0"/>
              <w:jc w:val="center"/>
              <w:rPr>
                <w:rFonts w:eastAsia="Times New Roman"/>
                <w:sz w:val="21"/>
              </w:rPr>
            </w:pPr>
            <w:r>
              <w:rPr>
                <w:rFonts w:eastAsia="Times New Roman"/>
                <w:sz w:val="21"/>
              </w:rPr>
              <w:t>12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石灰乳搅拌机</w:t>
            </w:r>
          </w:p>
        </w:tc>
        <w:tc>
          <w:tcPr>
            <w:tcW w:w="2261" w:type="pct"/>
            <w:vAlign w:val="center"/>
          </w:tcPr>
          <w:p>
            <w:pPr>
              <w:spacing w:line="240" w:lineRule="auto"/>
              <w:ind w:firstLine="0" w:firstLineChars="0"/>
              <w:jc w:val="center"/>
              <w:rPr>
                <w:sz w:val="21"/>
              </w:rPr>
            </w:pPr>
            <w:r>
              <w:rPr>
                <w:rFonts w:eastAsia="Times New Roman"/>
                <w:sz w:val="21"/>
              </w:rPr>
              <w:t>Φ2000</w:t>
            </w:r>
            <w:r>
              <w:rPr>
                <w:sz w:val="21"/>
              </w:rPr>
              <w:t>，</w:t>
            </w:r>
            <w:r>
              <w:rPr>
                <w:rFonts w:eastAsia="Times New Roman"/>
                <w:sz w:val="21"/>
              </w:rPr>
              <w:t>7.5KW</w:t>
            </w:r>
          </w:p>
        </w:tc>
        <w:tc>
          <w:tcPr>
            <w:tcW w:w="357" w:type="pct"/>
            <w:vAlign w:val="center"/>
          </w:tcPr>
          <w:p>
            <w:pPr>
              <w:spacing w:line="240" w:lineRule="auto"/>
              <w:ind w:firstLine="0" w:firstLineChars="0"/>
              <w:jc w:val="center"/>
              <w:rPr>
                <w:rFonts w:eastAsia="Times New Roman"/>
                <w:sz w:val="21"/>
              </w:rPr>
            </w:pPr>
            <w:r>
              <w:rPr>
                <w:rFonts w:eastAsia="Times New Roman"/>
                <w:sz w:val="21"/>
              </w:rPr>
              <w:t>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循环搅拌系统</w:t>
            </w:r>
          </w:p>
        </w:tc>
        <w:tc>
          <w:tcPr>
            <w:tcW w:w="2261" w:type="pct"/>
            <w:vAlign w:val="center"/>
          </w:tcPr>
          <w:p>
            <w:pPr>
              <w:spacing w:line="240" w:lineRule="auto"/>
              <w:ind w:firstLine="0" w:firstLineChars="0"/>
              <w:jc w:val="center"/>
              <w:rPr>
                <w:sz w:val="21"/>
              </w:rPr>
            </w:pPr>
            <w:r>
              <w:rPr>
                <w:rFonts w:eastAsia="Times New Roman"/>
                <w:sz w:val="21"/>
              </w:rPr>
              <w:t>HKAF87</w:t>
            </w:r>
            <w:r>
              <w:rPr>
                <w:sz w:val="21"/>
              </w:rPr>
              <w:t xml:space="preserve">，速比 </w:t>
            </w:r>
            <w:r>
              <w:rPr>
                <w:rFonts w:eastAsia="Times New Roman"/>
                <w:sz w:val="21"/>
              </w:rPr>
              <w:t>7.2,11KW</w:t>
            </w:r>
          </w:p>
        </w:tc>
        <w:tc>
          <w:tcPr>
            <w:tcW w:w="357" w:type="pct"/>
            <w:vAlign w:val="center"/>
          </w:tcPr>
          <w:p>
            <w:pPr>
              <w:spacing w:line="240" w:lineRule="auto"/>
              <w:ind w:firstLine="0" w:firstLineChars="0"/>
              <w:jc w:val="center"/>
              <w:rPr>
                <w:rFonts w:eastAsia="Times New Roman"/>
                <w:sz w:val="21"/>
              </w:rPr>
            </w:pPr>
            <w:r>
              <w:rPr>
                <w:rFonts w:eastAsia="Times New Roman"/>
                <w:sz w:val="21"/>
              </w:rPr>
              <w:t>12</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罗茨风机</w:t>
            </w:r>
          </w:p>
        </w:tc>
        <w:tc>
          <w:tcPr>
            <w:tcW w:w="2261" w:type="pct"/>
          </w:tcPr>
          <w:p>
            <w:pPr>
              <w:spacing w:line="240" w:lineRule="auto"/>
              <w:ind w:firstLine="0" w:firstLineChars="0"/>
              <w:jc w:val="center"/>
              <w:rPr>
                <w:sz w:val="21"/>
              </w:rPr>
            </w:pPr>
            <w:r>
              <w:rPr>
                <w:rFonts w:eastAsia="Times New Roman"/>
                <w:sz w:val="21"/>
              </w:rPr>
              <w:t>CKSP-7.5kw</w:t>
            </w:r>
          </w:p>
        </w:tc>
        <w:tc>
          <w:tcPr>
            <w:tcW w:w="357" w:type="pct"/>
          </w:tcPr>
          <w:p>
            <w:pPr>
              <w:spacing w:line="240" w:lineRule="auto"/>
              <w:ind w:firstLine="0" w:firstLineChars="0"/>
              <w:jc w:val="center"/>
              <w:rPr>
                <w:rFonts w:eastAsia="Times New Roman"/>
                <w:sz w:val="21"/>
              </w:rPr>
            </w:pPr>
            <w:r>
              <w:rPr>
                <w:rFonts w:eastAsia="Times New Roman"/>
                <w:sz w:val="21"/>
              </w:rPr>
              <w:t>8</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压滤机柱塞泵</w:t>
            </w:r>
          </w:p>
        </w:tc>
        <w:tc>
          <w:tcPr>
            <w:tcW w:w="2261" w:type="pct"/>
            <w:vAlign w:val="center"/>
          </w:tcPr>
          <w:p>
            <w:pPr>
              <w:spacing w:line="240" w:lineRule="auto"/>
              <w:ind w:firstLine="0" w:firstLineChars="0"/>
              <w:jc w:val="center"/>
              <w:rPr>
                <w:sz w:val="21"/>
              </w:rPr>
            </w:pPr>
            <w:r>
              <w:rPr>
                <w:rFonts w:eastAsia="Times New Roman"/>
                <w:sz w:val="21"/>
              </w:rPr>
              <w:t>YB250</w:t>
            </w:r>
          </w:p>
        </w:tc>
        <w:tc>
          <w:tcPr>
            <w:tcW w:w="357" w:type="pct"/>
            <w:vAlign w:val="center"/>
          </w:tcPr>
          <w:p>
            <w:pPr>
              <w:spacing w:line="240" w:lineRule="auto"/>
              <w:ind w:firstLine="0" w:firstLineChars="0"/>
              <w:jc w:val="center"/>
              <w:rPr>
                <w:rFonts w:eastAsia="Times New Roman"/>
                <w:sz w:val="21"/>
              </w:rPr>
            </w:pPr>
            <w:r>
              <w:rPr>
                <w:rFonts w:eastAsia="Times New Roman"/>
                <w:sz w:val="21"/>
              </w:rPr>
              <w:t>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成型</w:t>
            </w:r>
          </w:p>
          <w:p>
            <w:pPr>
              <w:spacing w:line="240" w:lineRule="auto"/>
              <w:ind w:firstLine="0" w:firstLineChars="0"/>
              <w:jc w:val="center"/>
              <w:rPr>
                <w:sz w:val="21"/>
                <w:szCs w:val="21"/>
              </w:rPr>
            </w:pPr>
            <w:r>
              <w:rPr>
                <w:sz w:val="21"/>
                <w:szCs w:val="21"/>
              </w:rPr>
              <w:t>车间</w:t>
            </w:r>
          </w:p>
        </w:tc>
        <w:tc>
          <w:tcPr>
            <w:tcW w:w="621" w:type="pct"/>
            <w:vMerge w:val="restart"/>
            <w:vAlign w:val="center"/>
          </w:tcPr>
          <w:p>
            <w:pPr>
              <w:spacing w:line="240" w:lineRule="auto"/>
              <w:ind w:firstLine="0" w:firstLineChars="0"/>
              <w:jc w:val="center"/>
              <w:rPr>
                <w:sz w:val="21"/>
                <w:szCs w:val="21"/>
              </w:rPr>
            </w:pPr>
            <w:r>
              <w:rPr>
                <w:sz w:val="21"/>
                <w:szCs w:val="21"/>
              </w:rPr>
              <w:t>压机</w:t>
            </w:r>
          </w:p>
          <w:p>
            <w:pPr>
              <w:spacing w:line="240" w:lineRule="auto"/>
              <w:ind w:firstLine="0" w:firstLineChars="0"/>
              <w:jc w:val="center"/>
              <w:rPr>
                <w:sz w:val="21"/>
                <w:szCs w:val="21"/>
              </w:rPr>
            </w:pPr>
            <w:r>
              <w:rPr>
                <w:sz w:val="21"/>
                <w:szCs w:val="21"/>
              </w:rPr>
              <w:t>工段</w:t>
            </w:r>
          </w:p>
        </w:tc>
        <w:tc>
          <w:tcPr>
            <w:tcW w:w="865" w:type="pct"/>
          </w:tcPr>
          <w:p>
            <w:pPr>
              <w:spacing w:line="240" w:lineRule="auto"/>
              <w:ind w:firstLine="0" w:firstLineChars="0"/>
              <w:jc w:val="center"/>
              <w:rPr>
                <w:sz w:val="21"/>
              </w:rPr>
            </w:pPr>
            <w:r>
              <w:rPr>
                <w:sz w:val="21"/>
              </w:rPr>
              <w:t>压机</w:t>
            </w:r>
          </w:p>
        </w:tc>
        <w:tc>
          <w:tcPr>
            <w:tcW w:w="2261" w:type="pct"/>
          </w:tcPr>
          <w:p>
            <w:pPr>
              <w:spacing w:line="240" w:lineRule="auto"/>
              <w:ind w:firstLine="0" w:firstLineChars="0"/>
              <w:jc w:val="center"/>
              <w:rPr>
                <w:sz w:val="21"/>
              </w:rPr>
            </w:pPr>
            <w:r>
              <w:rPr>
                <w:rFonts w:eastAsia="Times New Roman"/>
                <w:sz w:val="21"/>
              </w:rPr>
              <w:t>YP8890</w:t>
            </w:r>
          </w:p>
        </w:tc>
        <w:tc>
          <w:tcPr>
            <w:tcW w:w="357" w:type="pct"/>
          </w:tcPr>
          <w:p>
            <w:pPr>
              <w:spacing w:line="240" w:lineRule="auto"/>
              <w:ind w:firstLine="0" w:firstLineChars="0"/>
              <w:jc w:val="center"/>
              <w:rPr>
                <w:rFonts w:eastAsia="Times New Roman"/>
                <w:sz w:val="21"/>
              </w:rPr>
            </w:pPr>
            <w:r>
              <w:rPr>
                <w:rFonts w:eastAsia="Times New Roman"/>
                <w:sz w:val="21"/>
              </w:rPr>
              <w:t>18</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压机</w:t>
            </w:r>
          </w:p>
        </w:tc>
        <w:tc>
          <w:tcPr>
            <w:tcW w:w="2261" w:type="pct"/>
          </w:tcPr>
          <w:p>
            <w:pPr>
              <w:spacing w:line="240" w:lineRule="auto"/>
              <w:ind w:firstLine="0" w:firstLineChars="0"/>
              <w:jc w:val="center"/>
              <w:rPr>
                <w:sz w:val="21"/>
              </w:rPr>
            </w:pPr>
            <w:r>
              <w:rPr>
                <w:rFonts w:eastAsia="Times New Roman"/>
                <w:sz w:val="21"/>
              </w:rPr>
              <w:t>YP4209</w:t>
            </w:r>
          </w:p>
        </w:tc>
        <w:tc>
          <w:tcPr>
            <w:tcW w:w="357" w:type="pct"/>
          </w:tcPr>
          <w:p>
            <w:pPr>
              <w:spacing w:line="240" w:lineRule="auto"/>
              <w:ind w:firstLine="0" w:firstLineChars="0"/>
              <w:jc w:val="center"/>
              <w:rPr>
                <w:rFonts w:eastAsia="Times New Roman"/>
                <w:sz w:val="21"/>
              </w:rPr>
            </w:pPr>
            <w:r>
              <w:rPr>
                <w:rFonts w:eastAsia="Times New Roman"/>
                <w:sz w:val="21"/>
              </w:rPr>
              <w:t>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压机</w:t>
            </w:r>
          </w:p>
        </w:tc>
        <w:tc>
          <w:tcPr>
            <w:tcW w:w="2261" w:type="pct"/>
          </w:tcPr>
          <w:p>
            <w:pPr>
              <w:spacing w:line="240" w:lineRule="auto"/>
              <w:ind w:firstLine="0" w:firstLineChars="0"/>
              <w:jc w:val="center"/>
              <w:rPr>
                <w:sz w:val="21"/>
              </w:rPr>
            </w:pPr>
            <w:r>
              <w:rPr>
                <w:rFonts w:eastAsia="Times New Roman"/>
                <w:sz w:val="21"/>
              </w:rPr>
              <w:t>YP16890</w:t>
            </w:r>
          </w:p>
        </w:tc>
        <w:tc>
          <w:tcPr>
            <w:tcW w:w="357" w:type="pct"/>
          </w:tcPr>
          <w:p>
            <w:pPr>
              <w:spacing w:line="240" w:lineRule="auto"/>
              <w:ind w:firstLine="0" w:firstLineChars="0"/>
              <w:jc w:val="center"/>
              <w:rPr>
                <w:rFonts w:eastAsia="Times New Roman"/>
                <w:sz w:val="21"/>
              </w:rPr>
            </w:pPr>
            <w:r>
              <w:rPr>
                <w:rFonts w:eastAsia="Times New Roman"/>
                <w:sz w:val="21"/>
              </w:rPr>
              <w:t>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压机</w:t>
            </w:r>
          </w:p>
        </w:tc>
        <w:tc>
          <w:tcPr>
            <w:tcW w:w="2261" w:type="pct"/>
          </w:tcPr>
          <w:p>
            <w:pPr>
              <w:spacing w:line="240" w:lineRule="auto"/>
              <w:ind w:firstLine="0" w:firstLineChars="0"/>
              <w:jc w:val="center"/>
              <w:rPr>
                <w:sz w:val="21"/>
              </w:rPr>
            </w:pPr>
            <w:r>
              <w:rPr>
                <w:rFonts w:eastAsia="Times New Roman"/>
                <w:sz w:val="21"/>
              </w:rPr>
              <w:t>PCR2000</w:t>
            </w:r>
          </w:p>
        </w:tc>
        <w:tc>
          <w:tcPr>
            <w:tcW w:w="357" w:type="pct"/>
          </w:tcPr>
          <w:p>
            <w:pPr>
              <w:spacing w:line="240" w:lineRule="auto"/>
              <w:ind w:firstLine="0" w:firstLineChars="0"/>
              <w:jc w:val="center"/>
              <w:rPr>
                <w:rFonts w:eastAsia="Times New Roman"/>
                <w:sz w:val="21"/>
              </w:rPr>
            </w:pPr>
            <w:r>
              <w:rPr>
                <w:rFonts w:eastAsia="Times New Roman"/>
                <w:sz w:val="21"/>
              </w:rPr>
              <w:t>8</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多次布料车</w:t>
            </w:r>
          </w:p>
        </w:tc>
        <w:tc>
          <w:tcPr>
            <w:tcW w:w="2261" w:type="pct"/>
          </w:tcPr>
          <w:p>
            <w:pPr>
              <w:spacing w:line="240" w:lineRule="auto"/>
              <w:ind w:firstLine="0" w:firstLineChars="0"/>
              <w:jc w:val="center"/>
              <w:rPr>
                <w:sz w:val="21"/>
              </w:rPr>
            </w:pPr>
            <w:r>
              <w:rPr>
                <w:rFonts w:eastAsia="Times New Roman"/>
                <w:sz w:val="21"/>
              </w:rPr>
              <w:t>W3200*L8800</w:t>
            </w:r>
          </w:p>
        </w:tc>
        <w:tc>
          <w:tcPr>
            <w:tcW w:w="357" w:type="pct"/>
          </w:tcPr>
          <w:p>
            <w:pPr>
              <w:spacing w:line="240" w:lineRule="auto"/>
              <w:ind w:firstLine="0" w:firstLineChars="0"/>
              <w:jc w:val="center"/>
              <w:rPr>
                <w:rFonts w:eastAsia="Times New Roman"/>
                <w:sz w:val="21"/>
              </w:rPr>
            </w:pPr>
            <w:r>
              <w:rPr>
                <w:rFonts w:eastAsia="Times New Roman"/>
                <w:sz w:val="21"/>
              </w:rPr>
              <w:t>40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翻转平台</w:t>
            </w:r>
          </w:p>
        </w:tc>
        <w:tc>
          <w:tcPr>
            <w:tcW w:w="2261" w:type="pct"/>
          </w:tcPr>
          <w:p>
            <w:pPr>
              <w:spacing w:line="240" w:lineRule="auto"/>
              <w:ind w:firstLine="0" w:firstLineChars="0"/>
              <w:jc w:val="center"/>
              <w:rPr>
                <w:sz w:val="21"/>
              </w:rPr>
            </w:pPr>
            <w:r>
              <w:rPr>
                <w:rFonts w:eastAsia="Times New Roman"/>
                <w:sz w:val="21"/>
              </w:rPr>
              <w:t>5500×2030mm</w:t>
            </w:r>
          </w:p>
        </w:tc>
        <w:tc>
          <w:tcPr>
            <w:tcW w:w="357" w:type="pct"/>
          </w:tcPr>
          <w:p>
            <w:pPr>
              <w:spacing w:line="240" w:lineRule="auto"/>
              <w:ind w:firstLine="0" w:firstLineChars="0"/>
              <w:jc w:val="center"/>
              <w:rPr>
                <w:rFonts w:eastAsia="Times New Roman"/>
                <w:sz w:val="21"/>
              </w:rPr>
            </w:pPr>
            <w:r>
              <w:rPr>
                <w:rFonts w:eastAsia="Times New Roman"/>
                <w:sz w:val="21"/>
              </w:rPr>
              <w:t>40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送料系统</w:t>
            </w:r>
          </w:p>
        </w:tc>
        <w:tc>
          <w:tcPr>
            <w:tcW w:w="2261" w:type="pct"/>
          </w:tcPr>
          <w:p>
            <w:pPr>
              <w:spacing w:line="240" w:lineRule="auto"/>
              <w:ind w:firstLine="0" w:firstLineChars="0"/>
              <w:jc w:val="center"/>
              <w:rPr>
                <w:sz w:val="21"/>
              </w:rPr>
            </w:pPr>
            <w:r>
              <w:rPr>
                <w:rFonts w:eastAsia="Times New Roman"/>
                <w:sz w:val="21"/>
              </w:rPr>
              <w:t xml:space="preserve">W800,20 </w:t>
            </w:r>
            <w:r>
              <w:rPr>
                <w:sz w:val="21"/>
              </w:rPr>
              <w:t>吨</w:t>
            </w:r>
            <w:r>
              <w:rPr>
                <w:rFonts w:eastAsia="Times New Roman"/>
                <w:sz w:val="21"/>
              </w:rPr>
              <w:t>/</w:t>
            </w:r>
            <w:r>
              <w:rPr>
                <w:sz w:val="21"/>
              </w:rPr>
              <w:t>小时</w:t>
            </w:r>
          </w:p>
        </w:tc>
        <w:tc>
          <w:tcPr>
            <w:tcW w:w="357" w:type="pct"/>
          </w:tcPr>
          <w:p>
            <w:pPr>
              <w:spacing w:line="240" w:lineRule="auto"/>
              <w:ind w:firstLine="0" w:firstLineChars="0"/>
              <w:jc w:val="center"/>
              <w:rPr>
                <w:rFonts w:eastAsia="Times New Roman"/>
                <w:sz w:val="21"/>
              </w:rPr>
            </w:pPr>
            <w:r>
              <w:rPr>
                <w:rFonts w:eastAsia="Times New Roman"/>
                <w:sz w:val="21"/>
              </w:rPr>
              <w:t>40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rPr>
            </w:pPr>
            <w:r>
              <w:rPr>
                <w:sz w:val="21"/>
              </w:rPr>
              <w:t>布袋除尘器</w:t>
            </w:r>
          </w:p>
        </w:tc>
        <w:tc>
          <w:tcPr>
            <w:tcW w:w="2261" w:type="pct"/>
          </w:tcPr>
          <w:p>
            <w:pPr>
              <w:spacing w:line="240" w:lineRule="auto"/>
              <w:ind w:firstLine="0" w:firstLineChars="0"/>
              <w:jc w:val="center"/>
              <w:rPr>
                <w:sz w:val="21"/>
              </w:rPr>
            </w:pPr>
            <w:r>
              <w:rPr>
                <w:rFonts w:eastAsia="Times New Roman"/>
                <w:sz w:val="21"/>
              </w:rPr>
              <w:t xml:space="preserve">LFGM96-12 </w:t>
            </w:r>
            <w:r>
              <w:rPr>
                <w:sz w:val="21"/>
              </w:rPr>
              <w:t>型箱体脉冲袋式除尘器，</w:t>
            </w:r>
          </w:p>
          <w:p>
            <w:pPr>
              <w:spacing w:line="240" w:lineRule="auto"/>
              <w:ind w:firstLine="0" w:firstLineChars="0"/>
              <w:jc w:val="center"/>
              <w:rPr>
                <w:sz w:val="21"/>
              </w:rPr>
            </w:pPr>
            <w:r>
              <w:rPr>
                <w:rFonts w:eastAsia="Times New Roman"/>
                <w:sz w:val="21"/>
              </w:rPr>
              <w:t>100000m³/</w:t>
            </w:r>
            <w:r>
              <w:rPr>
                <w:sz w:val="21"/>
              </w:rPr>
              <w:t xml:space="preserve">小时 </w:t>
            </w:r>
            <w:r>
              <w:rPr>
                <w:rFonts w:eastAsia="Times New Roman"/>
                <w:sz w:val="21"/>
              </w:rPr>
              <w:t>160KW</w:t>
            </w:r>
          </w:p>
        </w:tc>
        <w:tc>
          <w:tcPr>
            <w:tcW w:w="357" w:type="pct"/>
            <w:vAlign w:val="center"/>
          </w:tcPr>
          <w:p>
            <w:pPr>
              <w:spacing w:line="240" w:lineRule="auto"/>
              <w:ind w:firstLine="0" w:firstLineChars="0"/>
              <w:jc w:val="center"/>
              <w:rPr>
                <w:rFonts w:eastAsia="Times New Roman"/>
                <w:sz w:val="21"/>
              </w:rPr>
            </w:pPr>
            <w:r>
              <w:rPr>
                <w:rFonts w:eastAsia="Times New Roman"/>
                <w:sz w:val="21"/>
              </w:rPr>
              <w:t>6</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制造</w:t>
            </w:r>
          </w:p>
          <w:p>
            <w:pPr>
              <w:spacing w:line="240" w:lineRule="auto"/>
              <w:ind w:firstLine="0" w:firstLineChars="0"/>
              <w:jc w:val="center"/>
              <w:rPr>
                <w:sz w:val="21"/>
                <w:szCs w:val="21"/>
              </w:rPr>
            </w:pPr>
            <w:r>
              <w:rPr>
                <w:sz w:val="21"/>
                <w:szCs w:val="21"/>
              </w:rPr>
              <w:t>车间</w:t>
            </w:r>
          </w:p>
        </w:tc>
        <w:tc>
          <w:tcPr>
            <w:tcW w:w="621" w:type="pct"/>
            <w:vMerge w:val="restart"/>
            <w:vAlign w:val="center"/>
          </w:tcPr>
          <w:p>
            <w:pPr>
              <w:spacing w:line="240" w:lineRule="auto"/>
              <w:ind w:firstLine="0" w:firstLineChars="0"/>
              <w:jc w:val="center"/>
              <w:rPr>
                <w:sz w:val="21"/>
                <w:szCs w:val="21"/>
              </w:rPr>
            </w:pPr>
            <w:r>
              <w:rPr>
                <w:sz w:val="21"/>
                <w:szCs w:val="21"/>
              </w:rPr>
              <w:t>干燥</w:t>
            </w:r>
          </w:p>
          <w:p>
            <w:pPr>
              <w:spacing w:line="240" w:lineRule="auto"/>
              <w:ind w:firstLine="0" w:firstLineChars="0"/>
              <w:jc w:val="center"/>
              <w:rPr>
                <w:sz w:val="21"/>
                <w:szCs w:val="21"/>
              </w:rPr>
            </w:pPr>
            <w:r>
              <w:rPr>
                <w:sz w:val="21"/>
                <w:szCs w:val="21"/>
              </w:rPr>
              <w:t>工段</w:t>
            </w:r>
          </w:p>
        </w:tc>
        <w:tc>
          <w:tcPr>
            <w:tcW w:w="865" w:type="pct"/>
          </w:tcPr>
          <w:p>
            <w:pPr>
              <w:spacing w:line="240" w:lineRule="auto"/>
              <w:ind w:firstLine="0" w:firstLineChars="0"/>
              <w:jc w:val="center"/>
              <w:rPr>
                <w:sz w:val="21"/>
              </w:rPr>
            </w:pPr>
            <w:r>
              <w:rPr>
                <w:sz w:val="21"/>
              </w:rPr>
              <w:t>一级抽湿风机</w:t>
            </w:r>
          </w:p>
        </w:tc>
        <w:tc>
          <w:tcPr>
            <w:tcW w:w="2261" w:type="pct"/>
          </w:tcPr>
          <w:p>
            <w:pPr>
              <w:spacing w:line="240" w:lineRule="auto"/>
              <w:ind w:firstLine="0" w:firstLineChars="0"/>
              <w:jc w:val="center"/>
              <w:rPr>
                <w:sz w:val="21"/>
              </w:rPr>
            </w:pPr>
            <w:r>
              <w:rPr>
                <w:rFonts w:eastAsia="Times New Roman"/>
                <w:sz w:val="21"/>
              </w:rPr>
              <w:t>9-26-1.20D</w:t>
            </w:r>
            <w:r>
              <w:rPr>
                <w:sz w:val="21"/>
              </w:rPr>
              <w:t>，流量：</w:t>
            </w:r>
            <w:r>
              <w:rPr>
                <w:rFonts w:eastAsia="Times New Roman"/>
                <w:sz w:val="21"/>
              </w:rPr>
              <w:t>24126-36189</w:t>
            </w:r>
            <w:r>
              <w:rPr>
                <w:sz w:val="21"/>
              </w:rPr>
              <w:t>，</w:t>
            </w:r>
          </w:p>
          <w:p>
            <w:pPr>
              <w:spacing w:line="240" w:lineRule="auto"/>
              <w:ind w:firstLine="0" w:firstLineChars="0"/>
              <w:jc w:val="center"/>
              <w:rPr>
                <w:sz w:val="21"/>
              </w:rPr>
            </w:pPr>
            <w:r>
              <w:rPr>
                <w:sz w:val="21"/>
              </w:rPr>
              <w:t>压力：</w:t>
            </w:r>
            <w:r>
              <w:rPr>
                <w:rFonts w:eastAsia="Times New Roman"/>
                <w:sz w:val="21"/>
              </w:rPr>
              <w:t>7747-7009</w:t>
            </w:r>
          </w:p>
        </w:tc>
        <w:tc>
          <w:tcPr>
            <w:tcW w:w="357" w:type="pct"/>
            <w:vAlign w:val="center"/>
          </w:tcPr>
          <w:p>
            <w:pPr>
              <w:spacing w:line="240" w:lineRule="auto"/>
              <w:ind w:firstLine="0" w:firstLineChars="0"/>
              <w:jc w:val="center"/>
              <w:rPr>
                <w:rFonts w:eastAsia="Times New Roman"/>
                <w:sz w:val="21"/>
              </w:rPr>
            </w:pPr>
            <w:r>
              <w:rPr>
                <w:rFonts w:eastAsia="Times New Roman"/>
                <w:sz w:val="21"/>
              </w:rPr>
              <w:t>12</w:t>
            </w:r>
          </w:p>
        </w:tc>
        <w:tc>
          <w:tcPr>
            <w:tcW w:w="342" w:type="pct"/>
            <w:vAlign w:val="center"/>
          </w:tcPr>
          <w:p>
            <w:pPr>
              <w:spacing w:line="240" w:lineRule="auto"/>
              <w:ind w:firstLine="0" w:firstLineChars="0"/>
              <w:jc w:val="center"/>
              <w:rPr>
                <w:rFonts w:eastAsia="Times New Roman"/>
                <w:sz w:val="21"/>
              </w:rPr>
            </w:pPr>
            <w:r>
              <w:rPr>
                <w:rFonts w:eastAsia="Times New Roman"/>
                <w:sz w:val="21"/>
              </w:rPr>
              <w:t>12</w:t>
            </w:r>
          </w:p>
        </w:tc>
        <w:tc>
          <w:tcPr>
            <w:tcW w:w="322" w:type="pct"/>
            <w:vAlign w:val="center"/>
          </w:tcPr>
          <w:p>
            <w:pPr>
              <w:spacing w:line="240" w:lineRule="auto"/>
              <w:ind w:firstLine="0" w:firstLineChars="0"/>
              <w:jc w:val="center"/>
              <w:rPr>
                <w:rFonts w:eastAsia="Times New Roman"/>
                <w:sz w:val="21"/>
              </w:rPr>
            </w:pPr>
            <w:r>
              <w:rPr>
                <w:rFonts w:eastAsia="Times New Roman"/>
                <w:sz w:val="21"/>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二级抽湿风机</w:t>
            </w:r>
          </w:p>
        </w:tc>
        <w:tc>
          <w:tcPr>
            <w:tcW w:w="2261" w:type="pct"/>
          </w:tcPr>
          <w:p>
            <w:pPr>
              <w:spacing w:line="240" w:lineRule="auto"/>
              <w:ind w:firstLine="0" w:firstLineChars="0"/>
              <w:jc w:val="center"/>
              <w:rPr>
                <w:sz w:val="21"/>
              </w:rPr>
            </w:pPr>
            <w:r>
              <w:rPr>
                <w:rFonts w:eastAsia="Times New Roman"/>
                <w:sz w:val="21"/>
              </w:rPr>
              <w:t>9-26-10D</w:t>
            </w:r>
            <w:r>
              <w:rPr>
                <w:sz w:val="21"/>
              </w:rPr>
              <w:t>，流量：</w:t>
            </w:r>
            <w:r>
              <w:rPr>
                <w:rFonts w:eastAsia="Times New Roman"/>
                <w:sz w:val="21"/>
              </w:rPr>
              <w:t>21454-17172</w:t>
            </w:r>
            <w:r>
              <w:rPr>
                <w:sz w:val="21"/>
              </w:rPr>
              <w:t>，</w:t>
            </w:r>
          </w:p>
          <w:p>
            <w:pPr>
              <w:spacing w:line="240" w:lineRule="auto"/>
              <w:ind w:firstLine="0" w:firstLineChars="0"/>
              <w:jc w:val="center"/>
              <w:rPr>
                <w:sz w:val="21"/>
              </w:rPr>
            </w:pPr>
            <w:r>
              <w:rPr>
                <w:sz w:val="21"/>
              </w:rPr>
              <w:t>压力：</w:t>
            </w:r>
            <w:r>
              <w:rPr>
                <w:rFonts w:eastAsia="Times New Roman"/>
                <w:sz w:val="21"/>
              </w:rPr>
              <w:t>6143-5902</w:t>
            </w:r>
          </w:p>
        </w:tc>
        <w:tc>
          <w:tcPr>
            <w:tcW w:w="357" w:type="pct"/>
            <w:vAlign w:val="center"/>
          </w:tcPr>
          <w:p>
            <w:pPr>
              <w:spacing w:line="240" w:lineRule="auto"/>
              <w:ind w:firstLine="0" w:firstLineChars="0"/>
              <w:jc w:val="center"/>
              <w:rPr>
                <w:rFonts w:eastAsia="Times New Roman"/>
                <w:sz w:val="21"/>
              </w:rPr>
            </w:pPr>
            <w:r>
              <w:rPr>
                <w:rFonts w:eastAsia="Times New Roman"/>
                <w:sz w:val="21"/>
              </w:rPr>
              <w:t>12</w:t>
            </w:r>
          </w:p>
        </w:tc>
        <w:tc>
          <w:tcPr>
            <w:tcW w:w="342" w:type="pct"/>
            <w:vAlign w:val="center"/>
          </w:tcPr>
          <w:p>
            <w:pPr>
              <w:spacing w:line="240" w:lineRule="auto"/>
              <w:ind w:firstLine="0" w:firstLineChars="0"/>
              <w:jc w:val="center"/>
              <w:rPr>
                <w:rFonts w:eastAsia="Times New Roman"/>
                <w:sz w:val="21"/>
              </w:rPr>
            </w:pPr>
            <w:r>
              <w:rPr>
                <w:rFonts w:eastAsia="Times New Roman"/>
                <w:sz w:val="21"/>
              </w:rPr>
              <w:t>12</w:t>
            </w:r>
          </w:p>
        </w:tc>
        <w:tc>
          <w:tcPr>
            <w:tcW w:w="322" w:type="pct"/>
            <w:vAlign w:val="center"/>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干燥传动</w:t>
            </w:r>
          </w:p>
        </w:tc>
        <w:tc>
          <w:tcPr>
            <w:tcW w:w="2261" w:type="pct"/>
          </w:tcPr>
          <w:p>
            <w:pPr>
              <w:spacing w:line="240" w:lineRule="auto"/>
              <w:ind w:firstLine="0" w:firstLineChars="0"/>
              <w:jc w:val="center"/>
              <w:rPr>
                <w:sz w:val="21"/>
              </w:rPr>
            </w:pPr>
            <w:r>
              <w:rPr>
                <w:rFonts w:eastAsia="Times New Roman"/>
                <w:sz w:val="21"/>
              </w:rPr>
              <w:t>Φ60*W3550</w:t>
            </w:r>
          </w:p>
        </w:tc>
        <w:tc>
          <w:tcPr>
            <w:tcW w:w="357" w:type="pct"/>
          </w:tcPr>
          <w:p>
            <w:pPr>
              <w:spacing w:line="240" w:lineRule="auto"/>
              <w:ind w:firstLine="0" w:firstLineChars="0"/>
              <w:jc w:val="center"/>
              <w:rPr>
                <w:rFonts w:eastAsia="Times New Roman"/>
                <w:sz w:val="21"/>
              </w:rPr>
            </w:pPr>
            <w:r>
              <w:rPr>
                <w:rFonts w:eastAsia="Times New Roman"/>
                <w:sz w:val="21"/>
              </w:rPr>
              <w:t>12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干燥入口</w:t>
            </w:r>
          </w:p>
        </w:tc>
        <w:tc>
          <w:tcPr>
            <w:tcW w:w="2261" w:type="pct"/>
          </w:tcPr>
          <w:p>
            <w:pPr>
              <w:spacing w:line="240" w:lineRule="auto"/>
              <w:ind w:firstLine="0" w:firstLineChars="0"/>
              <w:jc w:val="center"/>
              <w:rPr>
                <w:sz w:val="21"/>
              </w:rPr>
            </w:pPr>
            <w:r>
              <w:rPr>
                <w:rFonts w:eastAsia="Times New Roman"/>
                <w:sz w:val="21"/>
              </w:rPr>
              <w:t>W3250</w:t>
            </w:r>
          </w:p>
        </w:tc>
        <w:tc>
          <w:tcPr>
            <w:tcW w:w="357" w:type="pct"/>
          </w:tcPr>
          <w:p>
            <w:pPr>
              <w:spacing w:line="240" w:lineRule="auto"/>
              <w:ind w:firstLine="0" w:firstLineChars="0"/>
              <w:jc w:val="center"/>
              <w:rPr>
                <w:rFonts w:eastAsia="Times New Roman"/>
                <w:sz w:val="21"/>
              </w:rPr>
            </w:pPr>
            <w:r>
              <w:rPr>
                <w:rFonts w:eastAsia="Times New Roman"/>
                <w:sz w:val="21"/>
              </w:rPr>
              <w:t>12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干燥出口</w:t>
            </w:r>
          </w:p>
        </w:tc>
        <w:tc>
          <w:tcPr>
            <w:tcW w:w="2261" w:type="pct"/>
          </w:tcPr>
          <w:p>
            <w:pPr>
              <w:spacing w:line="240" w:lineRule="auto"/>
              <w:ind w:firstLine="0" w:firstLineChars="0"/>
              <w:jc w:val="center"/>
              <w:rPr>
                <w:sz w:val="21"/>
              </w:rPr>
            </w:pPr>
            <w:r>
              <w:rPr>
                <w:rFonts w:eastAsia="Times New Roman"/>
                <w:sz w:val="21"/>
              </w:rPr>
              <w:t>W3250</w:t>
            </w:r>
          </w:p>
        </w:tc>
        <w:tc>
          <w:tcPr>
            <w:tcW w:w="357" w:type="pct"/>
          </w:tcPr>
          <w:p>
            <w:pPr>
              <w:spacing w:line="240" w:lineRule="auto"/>
              <w:ind w:firstLine="0" w:firstLineChars="0"/>
              <w:jc w:val="center"/>
              <w:rPr>
                <w:rFonts w:eastAsia="Times New Roman"/>
                <w:sz w:val="21"/>
              </w:rPr>
            </w:pPr>
            <w:r>
              <w:rPr>
                <w:rFonts w:eastAsia="Times New Roman"/>
                <w:sz w:val="21"/>
              </w:rPr>
              <w:t>12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rPr>
            </w:pPr>
            <w:r>
              <w:rPr>
                <w:sz w:val="21"/>
              </w:rPr>
              <w:t>出口鼓风机</w:t>
            </w:r>
          </w:p>
        </w:tc>
        <w:tc>
          <w:tcPr>
            <w:tcW w:w="2261" w:type="pct"/>
          </w:tcPr>
          <w:p>
            <w:pPr>
              <w:spacing w:line="240" w:lineRule="auto"/>
              <w:ind w:firstLine="0" w:firstLineChars="0"/>
              <w:jc w:val="center"/>
              <w:rPr>
                <w:rFonts w:eastAsia="Times New Roman"/>
                <w:sz w:val="21"/>
              </w:rPr>
            </w:pPr>
            <w:r>
              <w:rPr>
                <w:rFonts w:eastAsia="Times New Roman"/>
                <w:sz w:val="21"/>
              </w:rPr>
              <w:t>Y4-73-9D-4P</w:t>
            </w:r>
            <w:r>
              <w:rPr>
                <w:sz w:val="21"/>
              </w:rPr>
              <w:t>，流量：</w:t>
            </w:r>
            <w:r>
              <w:rPr>
                <w:rFonts w:eastAsia="Times New Roman"/>
                <w:sz w:val="21"/>
              </w:rPr>
              <w:t>23003-32079</w:t>
            </w:r>
          </w:p>
          <w:p>
            <w:pPr>
              <w:spacing w:line="240" w:lineRule="auto"/>
              <w:ind w:firstLine="0" w:firstLineChars="0"/>
              <w:jc w:val="center"/>
              <w:rPr>
                <w:sz w:val="21"/>
              </w:rPr>
            </w:pPr>
            <w:r>
              <w:rPr>
                <w:sz w:val="21"/>
              </w:rPr>
              <w:t>，压力：</w:t>
            </w:r>
            <w:r>
              <w:rPr>
                <w:rFonts w:eastAsia="Times New Roman"/>
                <w:sz w:val="21"/>
              </w:rPr>
              <w:t>1651-1584</w:t>
            </w:r>
          </w:p>
        </w:tc>
        <w:tc>
          <w:tcPr>
            <w:tcW w:w="357" w:type="pct"/>
            <w:vAlign w:val="center"/>
          </w:tcPr>
          <w:p>
            <w:pPr>
              <w:spacing w:line="240" w:lineRule="auto"/>
              <w:ind w:firstLine="0" w:firstLineChars="0"/>
              <w:jc w:val="center"/>
              <w:rPr>
                <w:rFonts w:eastAsia="Times New Roman"/>
                <w:sz w:val="21"/>
              </w:rPr>
            </w:pPr>
            <w:r>
              <w:rPr>
                <w:rFonts w:eastAsia="Times New Roman"/>
                <w:sz w:val="21"/>
              </w:rPr>
              <w:t>48</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szCs w:val="21"/>
              </w:rPr>
            </w:pPr>
            <w:r>
              <w:rPr>
                <w:sz w:val="21"/>
                <w:szCs w:val="21"/>
              </w:rPr>
              <w:t>烧成</w:t>
            </w:r>
          </w:p>
          <w:p>
            <w:pPr>
              <w:spacing w:line="240" w:lineRule="auto"/>
              <w:ind w:firstLine="0" w:firstLineChars="0"/>
              <w:jc w:val="center"/>
              <w:rPr>
                <w:sz w:val="21"/>
                <w:szCs w:val="21"/>
              </w:rPr>
            </w:pPr>
            <w:r>
              <w:rPr>
                <w:sz w:val="21"/>
                <w:szCs w:val="21"/>
              </w:rPr>
              <w:t>工段</w:t>
            </w:r>
          </w:p>
        </w:tc>
        <w:tc>
          <w:tcPr>
            <w:tcW w:w="865" w:type="pct"/>
          </w:tcPr>
          <w:p>
            <w:pPr>
              <w:spacing w:line="240" w:lineRule="auto"/>
              <w:ind w:firstLine="0" w:firstLineChars="0"/>
              <w:jc w:val="center"/>
              <w:rPr>
                <w:sz w:val="21"/>
              </w:rPr>
            </w:pPr>
            <w:r>
              <w:rPr>
                <w:sz w:val="21"/>
              </w:rPr>
              <w:t>窑入口平台</w:t>
            </w:r>
          </w:p>
        </w:tc>
        <w:tc>
          <w:tcPr>
            <w:tcW w:w="2261" w:type="pct"/>
          </w:tcPr>
          <w:p>
            <w:pPr>
              <w:spacing w:line="240" w:lineRule="auto"/>
              <w:ind w:firstLine="0" w:firstLineChars="0"/>
              <w:jc w:val="center"/>
              <w:rPr>
                <w:sz w:val="21"/>
              </w:rPr>
            </w:pPr>
            <w:r>
              <w:rPr>
                <w:rFonts w:eastAsia="Times New Roman"/>
                <w:sz w:val="21"/>
              </w:rPr>
              <w:t>W3250</w:t>
            </w:r>
          </w:p>
        </w:tc>
        <w:tc>
          <w:tcPr>
            <w:tcW w:w="357" w:type="pct"/>
          </w:tcPr>
          <w:p>
            <w:pPr>
              <w:spacing w:line="240" w:lineRule="auto"/>
              <w:ind w:firstLine="0" w:firstLineChars="0"/>
              <w:jc w:val="center"/>
              <w:rPr>
                <w:rFonts w:eastAsia="Times New Roman"/>
                <w:sz w:val="21"/>
              </w:rPr>
            </w:pPr>
            <w:r>
              <w:rPr>
                <w:rFonts w:eastAsia="Times New Roman"/>
                <w:sz w:val="21"/>
              </w:rPr>
              <w:t>12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窑前排湿风机</w:t>
            </w:r>
          </w:p>
        </w:tc>
        <w:tc>
          <w:tcPr>
            <w:tcW w:w="2261" w:type="pct"/>
          </w:tcPr>
          <w:p>
            <w:pPr>
              <w:spacing w:line="240" w:lineRule="auto"/>
              <w:ind w:firstLine="0" w:firstLineChars="0"/>
              <w:jc w:val="center"/>
              <w:rPr>
                <w:sz w:val="21"/>
              </w:rPr>
            </w:pPr>
            <w:r>
              <w:rPr>
                <w:rFonts w:eastAsia="Times New Roman"/>
                <w:sz w:val="21"/>
              </w:rPr>
              <w:t>Y4-73-9D-4P</w:t>
            </w:r>
            <w:r>
              <w:rPr>
                <w:sz w:val="21"/>
              </w:rPr>
              <w:t>，流量：</w:t>
            </w:r>
            <w:r>
              <w:rPr>
                <w:rFonts w:eastAsia="Times New Roman"/>
                <w:sz w:val="21"/>
              </w:rPr>
              <w:t>23003-32079</w:t>
            </w:r>
            <w:r>
              <w:rPr>
                <w:sz w:val="21"/>
              </w:rPr>
              <w:t>，</w:t>
            </w:r>
          </w:p>
          <w:p>
            <w:pPr>
              <w:spacing w:line="240" w:lineRule="auto"/>
              <w:ind w:firstLine="0" w:firstLineChars="0"/>
              <w:jc w:val="center"/>
              <w:rPr>
                <w:sz w:val="21"/>
              </w:rPr>
            </w:pPr>
            <w:r>
              <w:rPr>
                <w:sz w:val="21"/>
              </w:rPr>
              <w:t>压力：</w:t>
            </w:r>
            <w:r>
              <w:rPr>
                <w:rFonts w:eastAsia="Times New Roman"/>
                <w:sz w:val="21"/>
              </w:rPr>
              <w:t>1651-1584</w:t>
            </w:r>
          </w:p>
        </w:tc>
        <w:tc>
          <w:tcPr>
            <w:tcW w:w="357" w:type="pct"/>
            <w:vAlign w:val="center"/>
          </w:tcPr>
          <w:p>
            <w:pPr>
              <w:spacing w:line="240" w:lineRule="auto"/>
              <w:ind w:firstLine="0" w:firstLineChars="0"/>
              <w:jc w:val="center"/>
              <w:rPr>
                <w:rFonts w:eastAsia="Times New Roman"/>
                <w:sz w:val="21"/>
              </w:rPr>
            </w:pPr>
            <w:r>
              <w:rPr>
                <w:rFonts w:eastAsia="Times New Roman"/>
                <w:sz w:val="21"/>
              </w:rPr>
              <w:t>12</w:t>
            </w:r>
          </w:p>
        </w:tc>
        <w:tc>
          <w:tcPr>
            <w:tcW w:w="342" w:type="pct"/>
            <w:vAlign w:val="center"/>
          </w:tcPr>
          <w:p>
            <w:pPr>
              <w:spacing w:line="240" w:lineRule="auto"/>
              <w:ind w:firstLine="0" w:firstLineChars="0"/>
              <w:jc w:val="center"/>
              <w:rPr>
                <w:rFonts w:eastAsia="Times New Roman"/>
                <w:sz w:val="21"/>
              </w:rPr>
            </w:pPr>
            <w:r>
              <w:rPr>
                <w:rFonts w:eastAsia="Times New Roman"/>
                <w:sz w:val="21"/>
              </w:rPr>
              <w:t>12</w:t>
            </w:r>
          </w:p>
        </w:tc>
        <w:tc>
          <w:tcPr>
            <w:tcW w:w="322" w:type="pct"/>
            <w:vAlign w:val="center"/>
          </w:tcPr>
          <w:p>
            <w:pPr>
              <w:spacing w:line="240" w:lineRule="auto"/>
              <w:ind w:firstLine="0" w:firstLineChars="0"/>
              <w:jc w:val="center"/>
              <w:rPr>
                <w:rFonts w:eastAsia="Times New Roman"/>
                <w:sz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窑前干燥传动</w:t>
            </w:r>
          </w:p>
        </w:tc>
        <w:tc>
          <w:tcPr>
            <w:tcW w:w="2261" w:type="pct"/>
            <w:vAlign w:val="center"/>
          </w:tcPr>
          <w:p>
            <w:pPr>
              <w:spacing w:line="240" w:lineRule="auto"/>
              <w:ind w:firstLine="0" w:firstLineChars="0"/>
              <w:jc w:val="center"/>
              <w:rPr>
                <w:sz w:val="21"/>
              </w:rPr>
            </w:pPr>
            <w:r>
              <w:rPr>
                <w:rFonts w:eastAsia="Times New Roman"/>
                <w:sz w:val="21"/>
              </w:rPr>
              <w:t>Φ60*W3550</w:t>
            </w:r>
          </w:p>
        </w:tc>
        <w:tc>
          <w:tcPr>
            <w:tcW w:w="357" w:type="pct"/>
            <w:vAlign w:val="center"/>
          </w:tcPr>
          <w:p>
            <w:pPr>
              <w:spacing w:line="240" w:lineRule="auto"/>
              <w:ind w:firstLine="0" w:firstLineChars="0"/>
              <w:jc w:val="center"/>
              <w:rPr>
                <w:rFonts w:eastAsia="Times New Roman"/>
                <w:sz w:val="21"/>
              </w:rPr>
            </w:pPr>
            <w:r>
              <w:rPr>
                <w:rFonts w:eastAsia="Times New Roman"/>
                <w:sz w:val="21"/>
              </w:rPr>
              <w:t>12</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一级排烟风机</w:t>
            </w:r>
          </w:p>
        </w:tc>
        <w:tc>
          <w:tcPr>
            <w:tcW w:w="2261" w:type="pct"/>
          </w:tcPr>
          <w:p>
            <w:pPr>
              <w:spacing w:line="240" w:lineRule="auto"/>
              <w:ind w:firstLine="0" w:firstLineChars="0"/>
              <w:jc w:val="center"/>
              <w:rPr>
                <w:sz w:val="21"/>
              </w:rPr>
            </w:pPr>
            <w:r>
              <w:rPr>
                <w:rFonts w:eastAsia="Times New Roman"/>
                <w:sz w:val="21"/>
              </w:rPr>
              <w:t>Y4-73-14D</w:t>
            </w:r>
            <w:r>
              <w:rPr>
                <w:sz w:val="21"/>
              </w:rPr>
              <w:t>，流量：</w:t>
            </w:r>
            <w:r>
              <w:rPr>
                <w:rFonts w:eastAsia="Times New Roman"/>
                <w:sz w:val="21"/>
              </w:rPr>
              <w:t>97191-167876</w:t>
            </w:r>
            <w:r>
              <w:rPr>
                <w:sz w:val="21"/>
              </w:rPr>
              <w:t>，</w:t>
            </w:r>
          </w:p>
          <w:p>
            <w:pPr>
              <w:spacing w:line="240" w:lineRule="auto"/>
              <w:ind w:firstLine="0" w:firstLineChars="0"/>
              <w:jc w:val="center"/>
              <w:rPr>
                <w:sz w:val="21"/>
              </w:rPr>
            </w:pPr>
            <w:r>
              <w:rPr>
                <w:sz w:val="21"/>
              </w:rPr>
              <w:t>压力：</w:t>
            </w:r>
            <w:r>
              <w:rPr>
                <w:rFonts w:eastAsia="Times New Roman"/>
                <w:sz w:val="21"/>
              </w:rPr>
              <w:t>6751-4745</w:t>
            </w:r>
          </w:p>
        </w:tc>
        <w:tc>
          <w:tcPr>
            <w:tcW w:w="357" w:type="pct"/>
            <w:vAlign w:val="center"/>
          </w:tcPr>
          <w:p>
            <w:pPr>
              <w:spacing w:line="240" w:lineRule="auto"/>
              <w:ind w:firstLine="0" w:firstLineChars="0"/>
              <w:jc w:val="center"/>
              <w:rPr>
                <w:rFonts w:eastAsia="Times New Roman"/>
                <w:sz w:val="21"/>
              </w:rPr>
            </w:pPr>
            <w:r>
              <w:rPr>
                <w:rFonts w:eastAsia="Times New Roman"/>
                <w:sz w:val="21"/>
              </w:rPr>
              <w:t>12</w:t>
            </w:r>
          </w:p>
        </w:tc>
        <w:tc>
          <w:tcPr>
            <w:tcW w:w="342" w:type="pct"/>
            <w:vAlign w:val="center"/>
          </w:tcPr>
          <w:p>
            <w:pPr>
              <w:spacing w:line="240" w:lineRule="auto"/>
              <w:ind w:firstLine="0" w:firstLineChars="0"/>
              <w:jc w:val="center"/>
              <w:rPr>
                <w:rFonts w:eastAsia="Times New Roman"/>
                <w:sz w:val="21"/>
              </w:rPr>
            </w:pPr>
            <w:r>
              <w:rPr>
                <w:rFonts w:eastAsia="Times New Roman"/>
                <w:sz w:val="21"/>
              </w:rPr>
              <w:t>12</w:t>
            </w:r>
          </w:p>
        </w:tc>
        <w:tc>
          <w:tcPr>
            <w:tcW w:w="322" w:type="pct"/>
            <w:vAlign w:val="center"/>
          </w:tcPr>
          <w:p>
            <w:pPr>
              <w:spacing w:line="240" w:lineRule="auto"/>
              <w:ind w:firstLine="0" w:firstLineChars="0"/>
              <w:jc w:val="center"/>
              <w:rPr>
                <w:rFonts w:eastAsia="Times New Roman"/>
                <w:sz w:val="21"/>
              </w:rPr>
            </w:pPr>
            <w:r>
              <w:rPr>
                <w:rFonts w:eastAsia="Times New Roman"/>
                <w:sz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二级排烟风机</w:t>
            </w:r>
          </w:p>
        </w:tc>
        <w:tc>
          <w:tcPr>
            <w:tcW w:w="2261" w:type="pct"/>
          </w:tcPr>
          <w:p>
            <w:pPr>
              <w:spacing w:line="240" w:lineRule="auto"/>
              <w:ind w:firstLine="0" w:firstLineChars="0"/>
              <w:jc w:val="center"/>
              <w:rPr>
                <w:sz w:val="21"/>
              </w:rPr>
            </w:pPr>
            <w:r>
              <w:rPr>
                <w:rFonts w:eastAsia="Times New Roman"/>
                <w:sz w:val="21"/>
              </w:rPr>
              <w:t>9-26-10D</w:t>
            </w:r>
            <w:r>
              <w:rPr>
                <w:sz w:val="21"/>
              </w:rPr>
              <w:t>，流量：</w:t>
            </w:r>
            <w:r>
              <w:rPr>
                <w:rFonts w:eastAsia="Times New Roman"/>
                <w:sz w:val="21"/>
              </w:rPr>
              <w:t>21454-17172</w:t>
            </w:r>
            <w:r>
              <w:rPr>
                <w:sz w:val="21"/>
              </w:rPr>
              <w:t>，</w:t>
            </w:r>
          </w:p>
          <w:p>
            <w:pPr>
              <w:spacing w:line="240" w:lineRule="auto"/>
              <w:ind w:firstLine="0" w:firstLineChars="0"/>
              <w:jc w:val="center"/>
              <w:rPr>
                <w:sz w:val="21"/>
              </w:rPr>
            </w:pPr>
            <w:r>
              <w:rPr>
                <w:sz w:val="21"/>
              </w:rPr>
              <w:t>压力：</w:t>
            </w:r>
            <w:r>
              <w:rPr>
                <w:rFonts w:eastAsia="Times New Roman"/>
                <w:sz w:val="21"/>
              </w:rPr>
              <w:t>6143-5902</w:t>
            </w:r>
          </w:p>
        </w:tc>
        <w:tc>
          <w:tcPr>
            <w:tcW w:w="357" w:type="pct"/>
            <w:vAlign w:val="center"/>
          </w:tcPr>
          <w:p>
            <w:pPr>
              <w:spacing w:line="240" w:lineRule="auto"/>
              <w:ind w:firstLine="0" w:firstLineChars="0"/>
              <w:jc w:val="center"/>
              <w:rPr>
                <w:rFonts w:eastAsia="Times New Roman"/>
                <w:sz w:val="21"/>
              </w:rPr>
            </w:pPr>
            <w:r>
              <w:rPr>
                <w:rFonts w:eastAsia="Times New Roman"/>
                <w:sz w:val="21"/>
              </w:rPr>
              <w:t>12</w:t>
            </w:r>
          </w:p>
        </w:tc>
        <w:tc>
          <w:tcPr>
            <w:tcW w:w="342" w:type="pct"/>
            <w:vAlign w:val="center"/>
          </w:tcPr>
          <w:p>
            <w:pPr>
              <w:spacing w:line="240" w:lineRule="auto"/>
              <w:ind w:firstLine="0" w:firstLineChars="0"/>
              <w:jc w:val="center"/>
              <w:rPr>
                <w:rFonts w:eastAsia="Times New Roman"/>
                <w:sz w:val="21"/>
              </w:rPr>
            </w:pPr>
            <w:r>
              <w:rPr>
                <w:rFonts w:eastAsia="Times New Roman"/>
                <w:sz w:val="21"/>
              </w:rPr>
              <w:t>12</w:t>
            </w:r>
          </w:p>
        </w:tc>
        <w:tc>
          <w:tcPr>
            <w:tcW w:w="322" w:type="pct"/>
            <w:vAlign w:val="center"/>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二级助燃风机</w:t>
            </w:r>
          </w:p>
        </w:tc>
        <w:tc>
          <w:tcPr>
            <w:tcW w:w="2261" w:type="pct"/>
          </w:tcPr>
          <w:p>
            <w:pPr>
              <w:spacing w:line="240" w:lineRule="auto"/>
              <w:ind w:firstLine="0" w:firstLineChars="0"/>
              <w:jc w:val="center"/>
              <w:rPr>
                <w:sz w:val="21"/>
              </w:rPr>
            </w:pPr>
            <w:r>
              <w:rPr>
                <w:rFonts w:eastAsia="Times New Roman"/>
                <w:sz w:val="21"/>
              </w:rPr>
              <w:t>9-26-10D</w:t>
            </w:r>
            <w:r>
              <w:rPr>
                <w:sz w:val="21"/>
              </w:rPr>
              <w:t>，流量：</w:t>
            </w:r>
            <w:r>
              <w:rPr>
                <w:rFonts w:eastAsia="Times New Roman"/>
                <w:sz w:val="21"/>
              </w:rPr>
              <w:t>21454-17172</w:t>
            </w:r>
            <w:r>
              <w:rPr>
                <w:sz w:val="21"/>
              </w:rPr>
              <w:t>，</w:t>
            </w:r>
          </w:p>
          <w:p>
            <w:pPr>
              <w:spacing w:line="240" w:lineRule="auto"/>
              <w:ind w:firstLine="0" w:firstLineChars="0"/>
              <w:jc w:val="center"/>
              <w:rPr>
                <w:sz w:val="21"/>
              </w:rPr>
            </w:pPr>
            <w:r>
              <w:rPr>
                <w:sz w:val="21"/>
              </w:rPr>
              <w:t>压力：</w:t>
            </w:r>
            <w:r>
              <w:rPr>
                <w:rFonts w:eastAsia="Times New Roman"/>
                <w:sz w:val="21"/>
              </w:rPr>
              <w:t>6143-5902</w:t>
            </w:r>
          </w:p>
        </w:tc>
        <w:tc>
          <w:tcPr>
            <w:tcW w:w="357" w:type="pct"/>
            <w:vAlign w:val="center"/>
          </w:tcPr>
          <w:p>
            <w:pPr>
              <w:spacing w:line="240" w:lineRule="auto"/>
              <w:ind w:firstLine="0" w:firstLineChars="0"/>
              <w:jc w:val="center"/>
              <w:rPr>
                <w:rFonts w:eastAsia="Times New Roman"/>
                <w:sz w:val="21"/>
              </w:rPr>
            </w:pPr>
            <w:r>
              <w:rPr>
                <w:rFonts w:eastAsia="Times New Roman"/>
                <w:sz w:val="21"/>
              </w:rPr>
              <w:t>12</w:t>
            </w:r>
          </w:p>
        </w:tc>
        <w:tc>
          <w:tcPr>
            <w:tcW w:w="342" w:type="pct"/>
            <w:vAlign w:val="center"/>
          </w:tcPr>
          <w:p>
            <w:pPr>
              <w:spacing w:line="240" w:lineRule="auto"/>
              <w:ind w:firstLine="0" w:firstLineChars="0"/>
              <w:jc w:val="center"/>
              <w:rPr>
                <w:rFonts w:eastAsia="Times New Roman"/>
                <w:sz w:val="21"/>
              </w:rPr>
            </w:pPr>
            <w:r>
              <w:rPr>
                <w:rFonts w:eastAsia="Times New Roman"/>
                <w:sz w:val="21"/>
              </w:rPr>
              <w:t>12</w:t>
            </w:r>
          </w:p>
        </w:tc>
        <w:tc>
          <w:tcPr>
            <w:tcW w:w="322" w:type="pct"/>
            <w:vAlign w:val="center"/>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一级助燃风机</w:t>
            </w:r>
          </w:p>
        </w:tc>
        <w:tc>
          <w:tcPr>
            <w:tcW w:w="2261" w:type="pct"/>
          </w:tcPr>
          <w:p>
            <w:pPr>
              <w:spacing w:line="240" w:lineRule="auto"/>
              <w:ind w:firstLine="0" w:firstLineChars="0"/>
              <w:jc w:val="center"/>
              <w:rPr>
                <w:sz w:val="21"/>
              </w:rPr>
            </w:pPr>
            <w:r>
              <w:rPr>
                <w:rFonts w:eastAsia="Times New Roman"/>
                <w:sz w:val="21"/>
              </w:rPr>
              <w:t>9-19-11.2D</w:t>
            </w:r>
            <w:r>
              <w:rPr>
                <w:sz w:val="21"/>
              </w:rPr>
              <w:t>，流量：</w:t>
            </w:r>
            <w:r>
              <w:rPr>
                <w:rFonts w:eastAsia="Times New Roman"/>
                <w:sz w:val="21"/>
              </w:rPr>
              <w:t>17491-21713</w:t>
            </w:r>
            <w:r>
              <w:rPr>
                <w:sz w:val="21"/>
              </w:rPr>
              <w:t>，</w:t>
            </w:r>
          </w:p>
          <w:p>
            <w:pPr>
              <w:spacing w:line="240" w:lineRule="auto"/>
              <w:ind w:firstLine="0" w:firstLineChars="0"/>
              <w:jc w:val="center"/>
              <w:rPr>
                <w:sz w:val="21"/>
              </w:rPr>
            </w:pPr>
            <w:r>
              <w:rPr>
                <w:sz w:val="21"/>
              </w:rPr>
              <w:t>压力：</w:t>
            </w:r>
            <w:r>
              <w:rPr>
                <w:rFonts w:eastAsia="Times New Roman"/>
                <w:sz w:val="21"/>
              </w:rPr>
              <w:t>6927-6246</w:t>
            </w:r>
          </w:p>
        </w:tc>
        <w:tc>
          <w:tcPr>
            <w:tcW w:w="357" w:type="pct"/>
            <w:vAlign w:val="center"/>
          </w:tcPr>
          <w:p>
            <w:pPr>
              <w:spacing w:line="240" w:lineRule="auto"/>
              <w:ind w:firstLine="0" w:firstLineChars="0"/>
              <w:jc w:val="center"/>
              <w:rPr>
                <w:rFonts w:eastAsia="Times New Roman"/>
                <w:sz w:val="21"/>
              </w:rPr>
            </w:pPr>
            <w:r>
              <w:rPr>
                <w:rFonts w:eastAsia="Times New Roman"/>
                <w:sz w:val="21"/>
              </w:rPr>
              <w:t>12</w:t>
            </w:r>
          </w:p>
        </w:tc>
        <w:tc>
          <w:tcPr>
            <w:tcW w:w="342" w:type="pct"/>
            <w:vAlign w:val="center"/>
          </w:tcPr>
          <w:p>
            <w:pPr>
              <w:spacing w:line="240" w:lineRule="auto"/>
              <w:ind w:firstLine="0" w:firstLineChars="0"/>
              <w:jc w:val="center"/>
              <w:rPr>
                <w:rFonts w:eastAsia="Times New Roman"/>
                <w:sz w:val="21"/>
              </w:rPr>
            </w:pPr>
            <w:r>
              <w:rPr>
                <w:rFonts w:eastAsia="Times New Roman"/>
                <w:sz w:val="21"/>
              </w:rPr>
              <w:t>12</w:t>
            </w:r>
          </w:p>
        </w:tc>
        <w:tc>
          <w:tcPr>
            <w:tcW w:w="322" w:type="pct"/>
            <w:vAlign w:val="center"/>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rPr>
            </w:pPr>
            <w:r>
              <w:rPr>
                <w:sz w:val="21"/>
              </w:rPr>
              <w:t>急冷风机</w:t>
            </w:r>
          </w:p>
        </w:tc>
        <w:tc>
          <w:tcPr>
            <w:tcW w:w="2261" w:type="pct"/>
          </w:tcPr>
          <w:p>
            <w:pPr>
              <w:spacing w:line="240" w:lineRule="auto"/>
              <w:ind w:firstLine="0" w:firstLineChars="0"/>
              <w:jc w:val="center"/>
              <w:rPr>
                <w:sz w:val="21"/>
              </w:rPr>
            </w:pPr>
            <w:r>
              <w:rPr>
                <w:rFonts w:eastAsia="Times New Roman"/>
                <w:sz w:val="21"/>
              </w:rPr>
              <w:t>9-26-1.20D</w:t>
            </w:r>
            <w:r>
              <w:rPr>
                <w:sz w:val="21"/>
              </w:rPr>
              <w:t>，流量：</w:t>
            </w:r>
            <w:r>
              <w:rPr>
                <w:rFonts w:eastAsia="Times New Roman"/>
                <w:sz w:val="21"/>
              </w:rPr>
              <w:t>24126-36189</w:t>
            </w:r>
            <w:r>
              <w:rPr>
                <w:sz w:val="21"/>
              </w:rPr>
              <w:t>，</w:t>
            </w:r>
          </w:p>
          <w:p>
            <w:pPr>
              <w:spacing w:line="240" w:lineRule="auto"/>
              <w:ind w:firstLine="0" w:firstLineChars="0"/>
              <w:jc w:val="center"/>
              <w:rPr>
                <w:sz w:val="21"/>
              </w:rPr>
            </w:pPr>
            <w:r>
              <w:rPr>
                <w:sz w:val="21"/>
              </w:rPr>
              <w:t>压力：</w:t>
            </w:r>
            <w:r>
              <w:rPr>
                <w:rFonts w:eastAsia="Times New Roman"/>
                <w:sz w:val="21"/>
              </w:rPr>
              <w:t>7747-7009</w:t>
            </w:r>
          </w:p>
        </w:tc>
        <w:tc>
          <w:tcPr>
            <w:tcW w:w="357" w:type="pct"/>
            <w:vAlign w:val="center"/>
          </w:tcPr>
          <w:p>
            <w:pPr>
              <w:spacing w:line="240" w:lineRule="auto"/>
              <w:ind w:firstLine="0" w:firstLineChars="0"/>
              <w:jc w:val="center"/>
              <w:rPr>
                <w:rFonts w:eastAsia="Times New Roman"/>
                <w:sz w:val="21"/>
              </w:rPr>
            </w:pPr>
            <w:r>
              <w:rPr>
                <w:rFonts w:eastAsia="Times New Roman"/>
                <w:sz w:val="21"/>
              </w:rPr>
              <w:t>24</w:t>
            </w:r>
          </w:p>
        </w:tc>
        <w:tc>
          <w:tcPr>
            <w:tcW w:w="342" w:type="pct"/>
            <w:vAlign w:val="center"/>
          </w:tcPr>
          <w:p>
            <w:pPr>
              <w:spacing w:line="240" w:lineRule="auto"/>
              <w:ind w:firstLine="0" w:firstLineChars="0"/>
              <w:jc w:val="center"/>
              <w:rPr>
                <w:rFonts w:eastAsia="Times New Roman"/>
                <w:sz w:val="21"/>
              </w:rPr>
            </w:pPr>
            <w:r>
              <w:rPr>
                <w:rFonts w:eastAsia="Times New Roman"/>
                <w:sz w:val="21"/>
              </w:rPr>
              <w:t>12</w:t>
            </w:r>
          </w:p>
        </w:tc>
        <w:tc>
          <w:tcPr>
            <w:tcW w:w="322" w:type="pct"/>
            <w:vAlign w:val="center"/>
          </w:tcPr>
          <w:p>
            <w:pPr>
              <w:spacing w:line="240" w:lineRule="auto"/>
              <w:ind w:firstLine="0" w:firstLineChars="0"/>
              <w:jc w:val="center"/>
              <w:rPr>
                <w:rFonts w:eastAsia="Times New Roman"/>
                <w:sz w:val="21"/>
              </w:rPr>
            </w:pPr>
            <w:r>
              <w:rPr>
                <w:rFonts w:eastAsia="Times New Roman"/>
                <w:sz w:val="21"/>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rPr>
            </w:pPr>
            <w:r>
              <w:rPr>
                <w:sz w:val="21"/>
              </w:rPr>
              <w:t>抽热风机</w:t>
            </w:r>
          </w:p>
        </w:tc>
        <w:tc>
          <w:tcPr>
            <w:tcW w:w="2261" w:type="pct"/>
          </w:tcPr>
          <w:p>
            <w:pPr>
              <w:spacing w:line="240" w:lineRule="auto"/>
              <w:ind w:firstLine="0" w:firstLineChars="0"/>
              <w:jc w:val="center"/>
              <w:rPr>
                <w:sz w:val="21"/>
              </w:rPr>
            </w:pPr>
            <w:r>
              <w:rPr>
                <w:rFonts w:eastAsia="Times New Roman"/>
                <w:sz w:val="21"/>
              </w:rPr>
              <w:t>Y4-73-14D</w:t>
            </w:r>
            <w:r>
              <w:rPr>
                <w:sz w:val="21"/>
              </w:rPr>
              <w:t>，流量：</w:t>
            </w:r>
            <w:r>
              <w:rPr>
                <w:rFonts w:eastAsia="Times New Roman"/>
                <w:sz w:val="21"/>
              </w:rPr>
              <w:t>97191-167876</w:t>
            </w:r>
            <w:r>
              <w:rPr>
                <w:sz w:val="21"/>
              </w:rPr>
              <w:t>，</w:t>
            </w:r>
          </w:p>
          <w:p>
            <w:pPr>
              <w:spacing w:line="240" w:lineRule="auto"/>
              <w:ind w:firstLine="0" w:firstLineChars="0"/>
              <w:jc w:val="center"/>
              <w:rPr>
                <w:sz w:val="21"/>
              </w:rPr>
            </w:pPr>
            <w:r>
              <w:rPr>
                <w:sz w:val="21"/>
              </w:rPr>
              <w:t>压力：</w:t>
            </w:r>
            <w:r>
              <w:rPr>
                <w:rFonts w:eastAsia="Times New Roman"/>
                <w:sz w:val="21"/>
              </w:rPr>
              <w:t>6751-4745</w:t>
            </w:r>
          </w:p>
        </w:tc>
        <w:tc>
          <w:tcPr>
            <w:tcW w:w="357" w:type="pct"/>
            <w:vAlign w:val="center"/>
          </w:tcPr>
          <w:p>
            <w:pPr>
              <w:spacing w:line="240" w:lineRule="auto"/>
              <w:ind w:firstLine="0" w:firstLineChars="0"/>
              <w:jc w:val="center"/>
              <w:rPr>
                <w:rFonts w:eastAsia="Times New Roman"/>
                <w:sz w:val="21"/>
              </w:rPr>
            </w:pPr>
            <w:r>
              <w:rPr>
                <w:rFonts w:eastAsia="Times New Roman"/>
                <w:sz w:val="21"/>
              </w:rPr>
              <w:t>24</w:t>
            </w:r>
          </w:p>
        </w:tc>
        <w:tc>
          <w:tcPr>
            <w:tcW w:w="342" w:type="pct"/>
            <w:vAlign w:val="center"/>
          </w:tcPr>
          <w:p>
            <w:pPr>
              <w:spacing w:line="240" w:lineRule="auto"/>
              <w:ind w:firstLine="0" w:firstLineChars="0"/>
              <w:jc w:val="center"/>
              <w:rPr>
                <w:rFonts w:eastAsia="Times New Roman"/>
                <w:sz w:val="21"/>
              </w:rPr>
            </w:pPr>
            <w:r>
              <w:rPr>
                <w:rFonts w:eastAsia="Times New Roman"/>
                <w:sz w:val="21"/>
              </w:rPr>
              <w:t>12</w:t>
            </w:r>
          </w:p>
        </w:tc>
        <w:tc>
          <w:tcPr>
            <w:tcW w:w="322" w:type="pct"/>
            <w:vAlign w:val="center"/>
          </w:tcPr>
          <w:p>
            <w:pPr>
              <w:spacing w:line="240" w:lineRule="auto"/>
              <w:ind w:firstLine="0" w:firstLineChars="0"/>
              <w:jc w:val="center"/>
              <w:rPr>
                <w:rFonts w:eastAsia="Times New Roman"/>
                <w:sz w:val="21"/>
              </w:rPr>
            </w:pPr>
            <w:r>
              <w:rPr>
                <w:rFonts w:eastAsia="Times New Roman"/>
                <w:sz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rPr>
            </w:pPr>
            <w:r>
              <w:rPr>
                <w:sz w:val="21"/>
              </w:rPr>
              <w:t>快冷一风机</w:t>
            </w:r>
          </w:p>
        </w:tc>
        <w:tc>
          <w:tcPr>
            <w:tcW w:w="2261" w:type="pct"/>
          </w:tcPr>
          <w:p>
            <w:pPr>
              <w:spacing w:line="240" w:lineRule="auto"/>
              <w:ind w:firstLine="0" w:firstLineChars="0"/>
              <w:jc w:val="center"/>
              <w:rPr>
                <w:sz w:val="21"/>
              </w:rPr>
            </w:pPr>
            <w:r>
              <w:rPr>
                <w:rFonts w:eastAsia="Times New Roman"/>
                <w:sz w:val="21"/>
              </w:rPr>
              <w:t>9-19-11.2D</w:t>
            </w:r>
            <w:r>
              <w:rPr>
                <w:sz w:val="21"/>
              </w:rPr>
              <w:t>，流量：</w:t>
            </w:r>
            <w:r>
              <w:rPr>
                <w:rFonts w:eastAsia="Times New Roman"/>
                <w:sz w:val="21"/>
              </w:rPr>
              <w:t>17491-21713</w:t>
            </w:r>
            <w:r>
              <w:rPr>
                <w:sz w:val="21"/>
              </w:rPr>
              <w:t>，</w:t>
            </w:r>
          </w:p>
          <w:p>
            <w:pPr>
              <w:spacing w:line="240" w:lineRule="auto"/>
              <w:ind w:firstLine="0" w:firstLineChars="0"/>
              <w:jc w:val="center"/>
              <w:rPr>
                <w:sz w:val="21"/>
              </w:rPr>
            </w:pPr>
            <w:r>
              <w:rPr>
                <w:sz w:val="21"/>
              </w:rPr>
              <w:t>压力：</w:t>
            </w:r>
            <w:r>
              <w:rPr>
                <w:rFonts w:eastAsia="Times New Roman"/>
                <w:sz w:val="21"/>
              </w:rPr>
              <w:t>6927-6246</w:t>
            </w:r>
          </w:p>
        </w:tc>
        <w:tc>
          <w:tcPr>
            <w:tcW w:w="357" w:type="pct"/>
            <w:vAlign w:val="center"/>
          </w:tcPr>
          <w:p>
            <w:pPr>
              <w:spacing w:line="240" w:lineRule="auto"/>
              <w:ind w:firstLine="0" w:firstLineChars="0"/>
              <w:jc w:val="center"/>
              <w:rPr>
                <w:rFonts w:eastAsia="Times New Roman"/>
                <w:sz w:val="21"/>
              </w:rPr>
            </w:pPr>
            <w:r>
              <w:rPr>
                <w:rFonts w:eastAsia="Times New Roman"/>
                <w:sz w:val="21"/>
              </w:rPr>
              <w:t>24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rPr>
            </w:pPr>
            <w:r>
              <w:rPr>
                <w:sz w:val="21"/>
              </w:rPr>
              <w:t>快冷二风机</w:t>
            </w:r>
          </w:p>
        </w:tc>
        <w:tc>
          <w:tcPr>
            <w:tcW w:w="2261" w:type="pct"/>
          </w:tcPr>
          <w:p>
            <w:pPr>
              <w:spacing w:line="240" w:lineRule="auto"/>
              <w:ind w:firstLine="0" w:firstLineChars="0"/>
              <w:jc w:val="center"/>
              <w:rPr>
                <w:sz w:val="21"/>
              </w:rPr>
            </w:pPr>
            <w:r>
              <w:rPr>
                <w:rFonts w:eastAsia="Times New Roman"/>
                <w:sz w:val="21"/>
              </w:rPr>
              <w:t>9-26-10D</w:t>
            </w:r>
            <w:r>
              <w:rPr>
                <w:sz w:val="21"/>
              </w:rPr>
              <w:t>，流量：</w:t>
            </w:r>
            <w:r>
              <w:rPr>
                <w:rFonts w:eastAsia="Times New Roman"/>
                <w:sz w:val="21"/>
              </w:rPr>
              <w:t>21454-17172</w:t>
            </w:r>
            <w:r>
              <w:rPr>
                <w:sz w:val="21"/>
              </w:rPr>
              <w:t>，</w:t>
            </w:r>
          </w:p>
          <w:p>
            <w:pPr>
              <w:spacing w:line="240" w:lineRule="auto"/>
              <w:ind w:firstLine="0" w:firstLineChars="0"/>
              <w:jc w:val="center"/>
              <w:rPr>
                <w:sz w:val="21"/>
              </w:rPr>
            </w:pPr>
            <w:r>
              <w:rPr>
                <w:sz w:val="21"/>
              </w:rPr>
              <w:t>压力：</w:t>
            </w:r>
            <w:r>
              <w:rPr>
                <w:rFonts w:eastAsia="Times New Roman"/>
                <w:sz w:val="21"/>
              </w:rPr>
              <w:t>6143-5902</w:t>
            </w:r>
          </w:p>
        </w:tc>
        <w:tc>
          <w:tcPr>
            <w:tcW w:w="357" w:type="pct"/>
            <w:vAlign w:val="center"/>
          </w:tcPr>
          <w:p>
            <w:pPr>
              <w:spacing w:line="240" w:lineRule="auto"/>
              <w:ind w:firstLine="0" w:firstLineChars="0"/>
              <w:jc w:val="center"/>
              <w:rPr>
                <w:rFonts w:eastAsia="Times New Roman"/>
                <w:sz w:val="21"/>
              </w:rPr>
            </w:pPr>
            <w:r>
              <w:rPr>
                <w:rFonts w:eastAsia="Times New Roman"/>
                <w:sz w:val="21"/>
              </w:rPr>
              <w:t>24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rPr>
            </w:pPr>
            <w:r>
              <w:rPr>
                <w:sz w:val="21"/>
              </w:rPr>
              <w:t>尾抽风机</w:t>
            </w:r>
          </w:p>
        </w:tc>
        <w:tc>
          <w:tcPr>
            <w:tcW w:w="2261" w:type="pct"/>
          </w:tcPr>
          <w:p>
            <w:pPr>
              <w:spacing w:line="240" w:lineRule="auto"/>
              <w:ind w:firstLine="0" w:firstLineChars="0"/>
              <w:jc w:val="center"/>
              <w:rPr>
                <w:sz w:val="21"/>
              </w:rPr>
            </w:pPr>
            <w:r>
              <w:rPr>
                <w:rFonts w:eastAsia="Times New Roman"/>
                <w:sz w:val="21"/>
              </w:rPr>
              <w:t>9-26-10D</w:t>
            </w:r>
            <w:r>
              <w:rPr>
                <w:sz w:val="21"/>
              </w:rPr>
              <w:t>，流量：</w:t>
            </w:r>
            <w:r>
              <w:rPr>
                <w:rFonts w:eastAsia="Times New Roman"/>
                <w:sz w:val="21"/>
              </w:rPr>
              <w:t>21454-17172</w:t>
            </w:r>
            <w:r>
              <w:rPr>
                <w:sz w:val="21"/>
              </w:rPr>
              <w:t>，</w:t>
            </w:r>
          </w:p>
          <w:p>
            <w:pPr>
              <w:spacing w:line="240" w:lineRule="auto"/>
              <w:ind w:firstLine="0" w:firstLineChars="0"/>
              <w:jc w:val="center"/>
              <w:rPr>
                <w:sz w:val="21"/>
              </w:rPr>
            </w:pPr>
            <w:r>
              <w:rPr>
                <w:sz w:val="21"/>
              </w:rPr>
              <w:t>压力：</w:t>
            </w:r>
            <w:r>
              <w:rPr>
                <w:rFonts w:eastAsia="Times New Roman"/>
                <w:sz w:val="21"/>
              </w:rPr>
              <w:t>6143-5902</w:t>
            </w:r>
          </w:p>
        </w:tc>
        <w:tc>
          <w:tcPr>
            <w:tcW w:w="357" w:type="pct"/>
            <w:vAlign w:val="center"/>
          </w:tcPr>
          <w:p>
            <w:pPr>
              <w:spacing w:line="240" w:lineRule="auto"/>
              <w:ind w:firstLine="0" w:firstLineChars="0"/>
              <w:jc w:val="center"/>
              <w:rPr>
                <w:rFonts w:eastAsia="Times New Roman"/>
                <w:sz w:val="21"/>
              </w:rPr>
            </w:pPr>
            <w:r>
              <w:rPr>
                <w:rFonts w:eastAsia="Times New Roman"/>
                <w:sz w:val="21"/>
              </w:rPr>
              <w:t>24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窑炉传动</w:t>
            </w:r>
          </w:p>
        </w:tc>
        <w:tc>
          <w:tcPr>
            <w:tcW w:w="2261" w:type="pct"/>
          </w:tcPr>
          <w:p>
            <w:pPr>
              <w:spacing w:line="240" w:lineRule="auto"/>
              <w:ind w:firstLine="0" w:firstLineChars="0"/>
              <w:jc w:val="center"/>
              <w:rPr>
                <w:sz w:val="21"/>
              </w:rPr>
            </w:pPr>
            <w:r>
              <w:rPr>
                <w:rFonts w:eastAsia="Times New Roman"/>
                <w:sz w:val="21"/>
              </w:rPr>
              <w:t>Φ60*W3550</w:t>
            </w:r>
          </w:p>
        </w:tc>
        <w:tc>
          <w:tcPr>
            <w:tcW w:w="357" w:type="pct"/>
          </w:tcPr>
          <w:p>
            <w:pPr>
              <w:spacing w:line="240" w:lineRule="auto"/>
              <w:ind w:firstLine="0" w:firstLineChars="0"/>
              <w:jc w:val="center"/>
              <w:rPr>
                <w:rFonts w:eastAsia="Times New Roman"/>
                <w:sz w:val="21"/>
              </w:rPr>
            </w:pPr>
            <w:r>
              <w:rPr>
                <w:rFonts w:eastAsia="Times New Roman"/>
                <w:sz w:val="21"/>
              </w:rPr>
              <w:t>12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窑出口辊台</w:t>
            </w:r>
          </w:p>
        </w:tc>
        <w:tc>
          <w:tcPr>
            <w:tcW w:w="2261" w:type="pct"/>
          </w:tcPr>
          <w:p>
            <w:pPr>
              <w:spacing w:line="240" w:lineRule="auto"/>
              <w:ind w:firstLine="0" w:firstLineChars="0"/>
              <w:jc w:val="center"/>
              <w:rPr>
                <w:sz w:val="21"/>
              </w:rPr>
            </w:pPr>
            <w:r>
              <w:rPr>
                <w:rFonts w:eastAsia="Times New Roman"/>
                <w:sz w:val="21"/>
              </w:rPr>
              <w:t>W3250</w:t>
            </w:r>
          </w:p>
        </w:tc>
        <w:tc>
          <w:tcPr>
            <w:tcW w:w="357" w:type="pct"/>
          </w:tcPr>
          <w:p>
            <w:pPr>
              <w:spacing w:line="240" w:lineRule="auto"/>
              <w:ind w:firstLine="0" w:firstLineChars="0"/>
              <w:jc w:val="center"/>
              <w:rPr>
                <w:rFonts w:eastAsia="Times New Roman"/>
                <w:sz w:val="21"/>
              </w:rPr>
            </w:pPr>
            <w:r>
              <w:rPr>
                <w:rFonts w:eastAsia="Times New Roman"/>
                <w:sz w:val="21"/>
              </w:rPr>
              <w:t>12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szCs w:val="21"/>
              </w:rPr>
            </w:pPr>
            <w:r>
              <w:rPr>
                <w:sz w:val="21"/>
                <w:szCs w:val="21"/>
              </w:rPr>
              <w:t>全抛</w:t>
            </w:r>
          </w:p>
          <w:p>
            <w:pPr>
              <w:spacing w:line="240" w:lineRule="auto"/>
              <w:ind w:firstLine="0" w:firstLineChars="0"/>
              <w:jc w:val="center"/>
              <w:rPr>
                <w:sz w:val="21"/>
                <w:szCs w:val="21"/>
              </w:rPr>
            </w:pPr>
            <w:r>
              <w:rPr>
                <w:sz w:val="21"/>
                <w:szCs w:val="21"/>
              </w:rPr>
              <w:t>釉/抛</w:t>
            </w:r>
          </w:p>
          <w:p>
            <w:pPr>
              <w:spacing w:line="240" w:lineRule="auto"/>
              <w:ind w:firstLine="0" w:firstLineChars="0"/>
              <w:jc w:val="center"/>
              <w:rPr>
                <w:sz w:val="21"/>
                <w:szCs w:val="21"/>
              </w:rPr>
            </w:pPr>
            <w:r>
              <w:rPr>
                <w:sz w:val="21"/>
                <w:szCs w:val="21"/>
              </w:rPr>
              <w:t>光砖</w:t>
            </w:r>
          </w:p>
          <w:p>
            <w:pPr>
              <w:spacing w:line="240" w:lineRule="auto"/>
              <w:ind w:firstLine="0" w:firstLineChars="0"/>
              <w:jc w:val="center"/>
              <w:rPr>
                <w:sz w:val="21"/>
                <w:szCs w:val="21"/>
              </w:rPr>
            </w:pPr>
            <w:r>
              <w:rPr>
                <w:sz w:val="21"/>
                <w:szCs w:val="21"/>
              </w:rPr>
              <w:t>/仿古</w:t>
            </w:r>
          </w:p>
          <w:p>
            <w:pPr>
              <w:spacing w:line="240" w:lineRule="auto"/>
              <w:ind w:firstLine="0" w:firstLineChars="0"/>
              <w:jc w:val="center"/>
              <w:rPr>
                <w:sz w:val="21"/>
                <w:szCs w:val="21"/>
              </w:rPr>
            </w:pPr>
            <w:r>
              <w:rPr>
                <w:sz w:val="21"/>
                <w:szCs w:val="21"/>
              </w:rPr>
              <w:t>砖釉</w:t>
            </w:r>
          </w:p>
          <w:p>
            <w:pPr>
              <w:spacing w:line="240" w:lineRule="auto"/>
              <w:ind w:firstLine="0" w:firstLineChars="0"/>
              <w:jc w:val="center"/>
              <w:rPr>
                <w:sz w:val="21"/>
                <w:szCs w:val="21"/>
              </w:rPr>
            </w:pPr>
            <w:r>
              <w:rPr>
                <w:sz w:val="21"/>
                <w:szCs w:val="21"/>
              </w:rPr>
              <w:t>线</w:t>
            </w:r>
          </w:p>
        </w:tc>
        <w:tc>
          <w:tcPr>
            <w:tcW w:w="865" w:type="pct"/>
          </w:tcPr>
          <w:p>
            <w:pPr>
              <w:spacing w:line="240" w:lineRule="auto"/>
              <w:ind w:firstLine="0" w:firstLineChars="0"/>
              <w:jc w:val="center"/>
              <w:rPr>
                <w:sz w:val="21"/>
              </w:rPr>
            </w:pPr>
            <w:r>
              <w:rPr>
                <w:sz w:val="21"/>
              </w:rPr>
              <w:t>工艺釉线</w:t>
            </w:r>
          </w:p>
        </w:tc>
        <w:tc>
          <w:tcPr>
            <w:tcW w:w="2261" w:type="pct"/>
          </w:tcPr>
          <w:p>
            <w:pPr>
              <w:spacing w:line="240" w:lineRule="auto"/>
              <w:ind w:firstLine="0" w:firstLineChars="0"/>
              <w:jc w:val="center"/>
              <w:rPr>
                <w:sz w:val="21"/>
              </w:rPr>
            </w:pPr>
            <w:r>
              <w:rPr>
                <w:rFonts w:eastAsia="Times New Roman"/>
                <w:sz w:val="21"/>
              </w:rPr>
              <w:t>W1000</w:t>
            </w:r>
            <w:r>
              <w:rPr>
                <w:sz w:val="21"/>
              </w:rPr>
              <w:t>，</w:t>
            </w:r>
            <w:r>
              <w:rPr>
                <w:rFonts w:eastAsia="Times New Roman"/>
                <w:sz w:val="21"/>
              </w:rPr>
              <w:t xml:space="preserve">L240 </w:t>
            </w:r>
            <w:r>
              <w:rPr>
                <w:sz w:val="21"/>
              </w:rPr>
              <w:t>米</w:t>
            </w:r>
          </w:p>
        </w:tc>
        <w:tc>
          <w:tcPr>
            <w:tcW w:w="357" w:type="pct"/>
          </w:tcPr>
          <w:p>
            <w:pPr>
              <w:spacing w:line="240" w:lineRule="auto"/>
              <w:ind w:firstLine="0" w:firstLineChars="0"/>
              <w:jc w:val="center"/>
              <w:rPr>
                <w:rFonts w:eastAsia="Times New Roman"/>
                <w:sz w:val="21"/>
              </w:rPr>
            </w:pPr>
            <w:r>
              <w:rPr>
                <w:rFonts w:eastAsia="Times New Roman"/>
                <w:sz w:val="21"/>
              </w:rPr>
              <w:t>22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修边机</w:t>
            </w:r>
          </w:p>
        </w:tc>
        <w:tc>
          <w:tcPr>
            <w:tcW w:w="2261" w:type="pct"/>
          </w:tcPr>
          <w:p>
            <w:pPr>
              <w:spacing w:line="240" w:lineRule="auto"/>
              <w:ind w:firstLine="0" w:firstLineChars="0"/>
              <w:jc w:val="center"/>
              <w:rPr>
                <w:sz w:val="21"/>
              </w:rPr>
            </w:pPr>
            <w:r>
              <w:rPr>
                <w:rFonts w:eastAsia="Times New Roman"/>
                <w:sz w:val="21"/>
              </w:rPr>
              <w:t>XB-Z1000</w:t>
            </w:r>
          </w:p>
        </w:tc>
        <w:tc>
          <w:tcPr>
            <w:tcW w:w="357" w:type="pct"/>
          </w:tcPr>
          <w:p>
            <w:pPr>
              <w:spacing w:line="240" w:lineRule="auto"/>
              <w:ind w:firstLine="0" w:firstLineChars="0"/>
              <w:jc w:val="center"/>
              <w:rPr>
                <w:rFonts w:eastAsia="Times New Roman"/>
                <w:sz w:val="21"/>
              </w:rPr>
            </w:pPr>
            <w:r>
              <w:rPr>
                <w:rFonts w:eastAsia="Times New Roman"/>
                <w:sz w:val="21"/>
              </w:rPr>
              <w:t>88</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鸭嘴吹风机</w:t>
            </w:r>
          </w:p>
        </w:tc>
        <w:tc>
          <w:tcPr>
            <w:tcW w:w="2261" w:type="pct"/>
          </w:tcPr>
          <w:p>
            <w:pPr>
              <w:spacing w:line="240" w:lineRule="auto"/>
              <w:ind w:firstLine="0" w:firstLineChars="0"/>
              <w:jc w:val="center"/>
              <w:rPr>
                <w:sz w:val="21"/>
              </w:rPr>
            </w:pPr>
            <w:r>
              <w:rPr>
                <w:rFonts w:eastAsia="Times New Roman"/>
                <w:sz w:val="21"/>
              </w:rPr>
              <w:t>CZ-550</w:t>
            </w:r>
          </w:p>
        </w:tc>
        <w:tc>
          <w:tcPr>
            <w:tcW w:w="357" w:type="pct"/>
          </w:tcPr>
          <w:p>
            <w:pPr>
              <w:spacing w:line="240" w:lineRule="auto"/>
              <w:ind w:firstLine="0" w:firstLineChars="0"/>
              <w:jc w:val="center"/>
              <w:rPr>
                <w:rFonts w:eastAsia="Times New Roman"/>
                <w:sz w:val="21"/>
              </w:rPr>
            </w:pPr>
            <w:r>
              <w:rPr>
                <w:rFonts w:eastAsia="Times New Roman"/>
                <w:sz w:val="21"/>
              </w:rPr>
              <w:t>220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釉柜</w:t>
            </w:r>
          </w:p>
        </w:tc>
        <w:tc>
          <w:tcPr>
            <w:tcW w:w="2261" w:type="pct"/>
          </w:tcPr>
          <w:p>
            <w:pPr>
              <w:spacing w:line="240" w:lineRule="auto"/>
              <w:ind w:firstLine="0" w:firstLineChars="0"/>
              <w:jc w:val="center"/>
              <w:rPr>
                <w:sz w:val="21"/>
              </w:rPr>
            </w:pPr>
            <w:r>
              <w:rPr>
                <w:rFonts w:eastAsia="Times New Roman"/>
                <w:sz w:val="21"/>
              </w:rPr>
              <w:t>GB-3J6/YG1100L2.5Y</w:t>
            </w:r>
          </w:p>
        </w:tc>
        <w:tc>
          <w:tcPr>
            <w:tcW w:w="357" w:type="pct"/>
          </w:tcPr>
          <w:p>
            <w:pPr>
              <w:spacing w:line="240" w:lineRule="auto"/>
              <w:ind w:firstLine="0" w:firstLineChars="0"/>
              <w:jc w:val="center"/>
              <w:rPr>
                <w:rFonts w:eastAsia="Times New Roman"/>
                <w:sz w:val="21"/>
              </w:rPr>
            </w:pPr>
            <w:r>
              <w:rPr>
                <w:rFonts w:eastAsia="Times New Roman"/>
                <w:sz w:val="21"/>
              </w:rPr>
              <w:t>132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釉桶及抽釉泵</w:t>
            </w:r>
          </w:p>
        </w:tc>
        <w:tc>
          <w:tcPr>
            <w:tcW w:w="2261" w:type="pct"/>
            <w:vAlign w:val="center"/>
          </w:tcPr>
          <w:p>
            <w:pPr>
              <w:spacing w:line="240" w:lineRule="auto"/>
              <w:ind w:firstLine="0" w:firstLineChars="0"/>
              <w:jc w:val="center"/>
              <w:rPr>
                <w:sz w:val="21"/>
              </w:rPr>
            </w:pPr>
            <w:r>
              <w:rPr>
                <w:rFonts w:eastAsia="Times New Roman"/>
                <w:sz w:val="21"/>
              </w:rPr>
              <w:t>CYB-150</w:t>
            </w:r>
          </w:p>
        </w:tc>
        <w:tc>
          <w:tcPr>
            <w:tcW w:w="357" w:type="pct"/>
            <w:vAlign w:val="center"/>
          </w:tcPr>
          <w:p>
            <w:pPr>
              <w:spacing w:line="240" w:lineRule="auto"/>
              <w:ind w:firstLine="0" w:firstLineChars="0"/>
              <w:jc w:val="center"/>
              <w:rPr>
                <w:rFonts w:eastAsia="Times New Roman"/>
                <w:sz w:val="21"/>
              </w:rPr>
            </w:pPr>
            <w:r>
              <w:rPr>
                <w:rFonts w:eastAsia="Times New Roman"/>
                <w:sz w:val="21"/>
              </w:rPr>
              <w:t>132</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喷墨机</w:t>
            </w:r>
          </w:p>
        </w:tc>
        <w:tc>
          <w:tcPr>
            <w:tcW w:w="2261" w:type="pct"/>
          </w:tcPr>
          <w:p>
            <w:pPr>
              <w:spacing w:line="240" w:lineRule="auto"/>
              <w:ind w:firstLine="0" w:firstLineChars="0"/>
              <w:jc w:val="center"/>
              <w:rPr>
                <w:sz w:val="21"/>
              </w:rPr>
            </w:pPr>
            <w:r>
              <w:rPr>
                <w:sz w:val="21"/>
              </w:rPr>
              <w:t xml:space="preserve">西斯特姆 </w:t>
            </w:r>
            <w:r>
              <w:rPr>
                <w:rFonts w:eastAsia="Times New Roman"/>
                <w:sz w:val="21"/>
              </w:rPr>
              <w:t>DG1300158</w:t>
            </w:r>
          </w:p>
        </w:tc>
        <w:tc>
          <w:tcPr>
            <w:tcW w:w="357" w:type="pct"/>
          </w:tcPr>
          <w:p>
            <w:pPr>
              <w:spacing w:line="240" w:lineRule="auto"/>
              <w:ind w:firstLine="0" w:firstLineChars="0"/>
              <w:jc w:val="center"/>
              <w:rPr>
                <w:rFonts w:eastAsia="Times New Roman"/>
                <w:sz w:val="21"/>
              </w:rPr>
            </w:pPr>
            <w:r>
              <w:rPr>
                <w:rFonts w:eastAsia="Times New Roman"/>
                <w:sz w:val="21"/>
              </w:rPr>
              <w:t>44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平板花机</w:t>
            </w:r>
          </w:p>
        </w:tc>
        <w:tc>
          <w:tcPr>
            <w:tcW w:w="2261" w:type="pct"/>
          </w:tcPr>
          <w:p>
            <w:pPr>
              <w:spacing w:line="240" w:lineRule="auto"/>
              <w:ind w:firstLine="0" w:firstLineChars="0"/>
              <w:jc w:val="center"/>
              <w:rPr>
                <w:sz w:val="21"/>
              </w:rPr>
            </w:pPr>
            <w:r>
              <w:rPr>
                <w:rFonts w:eastAsia="Times New Roman"/>
                <w:sz w:val="21"/>
              </w:rPr>
              <w:t>MXB1000</w:t>
            </w:r>
          </w:p>
        </w:tc>
        <w:tc>
          <w:tcPr>
            <w:tcW w:w="357" w:type="pct"/>
          </w:tcPr>
          <w:p>
            <w:pPr>
              <w:spacing w:line="240" w:lineRule="auto"/>
              <w:ind w:firstLine="0" w:firstLineChars="0"/>
              <w:jc w:val="center"/>
              <w:rPr>
                <w:rFonts w:eastAsia="Times New Roman"/>
                <w:sz w:val="21"/>
              </w:rPr>
            </w:pPr>
            <w:r>
              <w:rPr>
                <w:rFonts w:eastAsia="Times New Roman"/>
                <w:sz w:val="21"/>
              </w:rPr>
              <w:t>88</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烘干箱</w:t>
            </w:r>
          </w:p>
        </w:tc>
        <w:tc>
          <w:tcPr>
            <w:tcW w:w="2261" w:type="pct"/>
          </w:tcPr>
          <w:p>
            <w:pPr>
              <w:spacing w:line="240" w:lineRule="auto"/>
              <w:ind w:firstLine="0" w:firstLineChars="0"/>
              <w:jc w:val="center"/>
              <w:rPr>
                <w:sz w:val="21"/>
              </w:rPr>
            </w:pPr>
            <w:r>
              <w:rPr>
                <w:rFonts w:eastAsia="Times New Roman"/>
                <w:sz w:val="21"/>
              </w:rPr>
              <w:t xml:space="preserve">W1000,L23 </w:t>
            </w:r>
            <w:r>
              <w:rPr>
                <w:sz w:val="21"/>
              </w:rPr>
              <w:t>米</w:t>
            </w:r>
          </w:p>
        </w:tc>
        <w:tc>
          <w:tcPr>
            <w:tcW w:w="357" w:type="pct"/>
          </w:tcPr>
          <w:p>
            <w:pPr>
              <w:spacing w:line="240" w:lineRule="auto"/>
              <w:ind w:firstLine="0" w:firstLineChars="0"/>
              <w:jc w:val="center"/>
              <w:rPr>
                <w:rFonts w:eastAsia="Times New Roman"/>
                <w:sz w:val="21"/>
              </w:rPr>
            </w:pPr>
            <w:r>
              <w:rPr>
                <w:rFonts w:eastAsia="Times New Roman"/>
                <w:sz w:val="21"/>
              </w:rPr>
              <w:t>66</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rPr>
            </w:pPr>
            <w:r>
              <w:rPr>
                <w:sz w:val="21"/>
              </w:rPr>
              <w:t>除尘器</w:t>
            </w:r>
          </w:p>
        </w:tc>
        <w:tc>
          <w:tcPr>
            <w:tcW w:w="2261" w:type="pct"/>
          </w:tcPr>
          <w:p>
            <w:pPr>
              <w:spacing w:line="240" w:lineRule="auto"/>
              <w:ind w:firstLine="0" w:firstLineChars="0"/>
              <w:jc w:val="center"/>
              <w:rPr>
                <w:sz w:val="21"/>
              </w:rPr>
            </w:pPr>
            <w:r>
              <w:rPr>
                <w:rFonts w:eastAsia="Times New Roman"/>
                <w:sz w:val="21"/>
              </w:rPr>
              <w:t>9-19-11.2D</w:t>
            </w:r>
            <w:r>
              <w:rPr>
                <w:sz w:val="21"/>
              </w:rPr>
              <w:t>，流量：</w:t>
            </w:r>
            <w:r>
              <w:rPr>
                <w:rFonts w:eastAsia="Times New Roman"/>
                <w:sz w:val="21"/>
              </w:rPr>
              <w:t>17491-21713</w:t>
            </w:r>
            <w:r>
              <w:rPr>
                <w:sz w:val="21"/>
              </w:rPr>
              <w:t>，</w:t>
            </w:r>
          </w:p>
          <w:p>
            <w:pPr>
              <w:spacing w:line="240" w:lineRule="auto"/>
              <w:ind w:firstLine="0" w:firstLineChars="0"/>
              <w:jc w:val="center"/>
              <w:rPr>
                <w:sz w:val="21"/>
              </w:rPr>
            </w:pPr>
            <w:r>
              <w:rPr>
                <w:sz w:val="21"/>
              </w:rPr>
              <w:t>压力：</w:t>
            </w:r>
            <w:r>
              <w:rPr>
                <w:rFonts w:eastAsia="Times New Roman"/>
                <w:sz w:val="21"/>
              </w:rPr>
              <w:t>6927-6246</w:t>
            </w:r>
          </w:p>
        </w:tc>
        <w:tc>
          <w:tcPr>
            <w:tcW w:w="357" w:type="pct"/>
            <w:vAlign w:val="center"/>
          </w:tcPr>
          <w:p>
            <w:pPr>
              <w:spacing w:line="240" w:lineRule="auto"/>
              <w:ind w:firstLine="0" w:firstLineChars="0"/>
              <w:jc w:val="center"/>
              <w:rPr>
                <w:rFonts w:eastAsia="Times New Roman"/>
                <w:sz w:val="21"/>
              </w:rPr>
            </w:pPr>
            <w:r>
              <w:rPr>
                <w:rFonts w:eastAsia="Times New Roman"/>
                <w:sz w:val="21"/>
              </w:rPr>
              <w:t>3</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szCs w:val="21"/>
              </w:rPr>
            </w:pPr>
            <w:r>
              <w:rPr>
                <w:sz w:val="21"/>
                <w:szCs w:val="21"/>
              </w:rPr>
              <w:t>大板</w:t>
            </w:r>
          </w:p>
          <w:p>
            <w:pPr>
              <w:spacing w:line="240" w:lineRule="auto"/>
              <w:ind w:firstLine="0" w:firstLineChars="0"/>
              <w:jc w:val="center"/>
              <w:rPr>
                <w:sz w:val="21"/>
                <w:szCs w:val="21"/>
              </w:rPr>
            </w:pPr>
            <w:r>
              <w:rPr>
                <w:sz w:val="21"/>
                <w:szCs w:val="21"/>
              </w:rPr>
              <w:t>工艺</w:t>
            </w:r>
          </w:p>
          <w:p>
            <w:pPr>
              <w:spacing w:line="240" w:lineRule="auto"/>
              <w:ind w:firstLine="0" w:firstLineChars="0"/>
              <w:jc w:val="center"/>
              <w:rPr>
                <w:sz w:val="21"/>
                <w:szCs w:val="21"/>
              </w:rPr>
            </w:pPr>
            <w:r>
              <w:rPr>
                <w:sz w:val="21"/>
                <w:szCs w:val="21"/>
              </w:rPr>
              <w:t>釉线</w:t>
            </w:r>
          </w:p>
        </w:tc>
        <w:tc>
          <w:tcPr>
            <w:tcW w:w="865" w:type="pct"/>
          </w:tcPr>
          <w:p>
            <w:pPr>
              <w:spacing w:line="240" w:lineRule="auto"/>
              <w:ind w:firstLine="0" w:firstLineChars="0"/>
              <w:jc w:val="center"/>
              <w:rPr>
                <w:sz w:val="21"/>
              </w:rPr>
            </w:pPr>
            <w:r>
              <w:rPr>
                <w:sz w:val="21"/>
              </w:rPr>
              <w:t>大板釉线</w:t>
            </w:r>
          </w:p>
        </w:tc>
        <w:tc>
          <w:tcPr>
            <w:tcW w:w="2261" w:type="pct"/>
          </w:tcPr>
          <w:p>
            <w:pPr>
              <w:spacing w:line="240" w:lineRule="auto"/>
              <w:ind w:firstLine="0" w:firstLineChars="0"/>
              <w:jc w:val="center"/>
              <w:rPr>
                <w:sz w:val="21"/>
              </w:rPr>
            </w:pPr>
            <w:r>
              <w:rPr>
                <w:rFonts w:eastAsia="Times New Roman"/>
                <w:sz w:val="21"/>
              </w:rPr>
              <w:t>W2200</w:t>
            </w:r>
            <w:r>
              <w:rPr>
                <w:sz w:val="21"/>
              </w:rPr>
              <w:t>，</w:t>
            </w:r>
            <w:r>
              <w:rPr>
                <w:rFonts w:eastAsia="Times New Roman"/>
                <w:sz w:val="21"/>
              </w:rPr>
              <w:t xml:space="preserve">L240 </w:t>
            </w:r>
            <w:r>
              <w:rPr>
                <w:sz w:val="21"/>
              </w:rPr>
              <w:t>米</w:t>
            </w:r>
          </w:p>
        </w:tc>
        <w:tc>
          <w:tcPr>
            <w:tcW w:w="357" w:type="pct"/>
          </w:tcPr>
          <w:p>
            <w:pPr>
              <w:spacing w:line="240" w:lineRule="auto"/>
              <w:ind w:firstLine="0" w:firstLineChars="0"/>
              <w:jc w:val="center"/>
              <w:rPr>
                <w:rFonts w:eastAsia="Times New Roman"/>
                <w:sz w:val="21"/>
              </w:rPr>
            </w:pPr>
            <w:r>
              <w:rPr>
                <w:rFonts w:eastAsia="Times New Roman"/>
                <w:sz w:val="21"/>
              </w:rPr>
              <w:t>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修边机</w:t>
            </w:r>
          </w:p>
        </w:tc>
        <w:tc>
          <w:tcPr>
            <w:tcW w:w="2261" w:type="pct"/>
          </w:tcPr>
          <w:p>
            <w:pPr>
              <w:spacing w:line="240" w:lineRule="auto"/>
              <w:ind w:firstLine="0" w:firstLineChars="0"/>
              <w:jc w:val="center"/>
              <w:rPr>
                <w:sz w:val="21"/>
              </w:rPr>
            </w:pPr>
            <w:r>
              <w:rPr>
                <w:rFonts w:eastAsia="Times New Roman"/>
                <w:sz w:val="21"/>
              </w:rPr>
              <w:t>XB-Z1000</w:t>
            </w:r>
          </w:p>
        </w:tc>
        <w:tc>
          <w:tcPr>
            <w:tcW w:w="357" w:type="pct"/>
          </w:tcPr>
          <w:p>
            <w:pPr>
              <w:spacing w:line="240" w:lineRule="auto"/>
              <w:ind w:firstLine="0" w:firstLineChars="0"/>
              <w:jc w:val="center"/>
              <w:rPr>
                <w:rFonts w:eastAsia="Times New Roman"/>
                <w:sz w:val="21"/>
              </w:rPr>
            </w:pPr>
            <w:r>
              <w:rPr>
                <w:rFonts w:eastAsia="Times New Roman"/>
                <w:sz w:val="21"/>
              </w:rPr>
              <w:t>8</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鸭嘴吹风机</w:t>
            </w:r>
          </w:p>
        </w:tc>
        <w:tc>
          <w:tcPr>
            <w:tcW w:w="2261" w:type="pct"/>
          </w:tcPr>
          <w:p>
            <w:pPr>
              <w:spacing w:line="240" w:lineRule="auto"/>
              <w:ind w:firstLine="0" w:firstLineChars="0"/>
              <w:jc w:val="center"/>
              <w:rPr>
                <w:sz w:val="21"/>
              </w:rPr>
            </w:pPr>
            <w:r>
              <w:rPr>
                <w:rFonts w:eastAsia="Times New Roman"/>
                <w:sz w:val="21"/>
              </w:rPr>
              <w:t>CZ-550</w:t>
            </w:r>
          </w:p>
        </w:tc>
        <w:tc>
          <w:tcPr>
            <w:tcW w:w="357" w:type="pct"/>
          </w:tcPr>
          <w:p>
            <w:pPr>
              <w:spacing w:line="240" w:lineRule="auto"/>
              <w:ind w:firstLine="0" w:firstLineChars="0"/>
              <w:jc w:val="center"/>
              <w:rPr>
                <w:rFonts w:eastAsia="Times New Roman"/>
                <w:sz w:val="21"/>
              </w:rPr>
            </w:pPr>
            <w:r>
              <w:rPr>
                <w:rFonts w:eastAsia="Times New Roman"/>
                <w:sz w:val="21"/>
              </w:rPr>
              <w:t>40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釉柜</w:t>
            </w:r>
          </w:p>
        </w:tc>
        <w:tc>
          <w:tcPr>
            <w:tcW w:w="2261" w:type="pct"/>
          </w:tcPr>
          <w:p>
            <w:pPr>
              <w:spacing w:line="240" w:lineRule="auto"/>
              <w:ind w:firstLine="0" w:firstLineChars="0"/>
              <w:jc w:val="center"/>
              <w:rPr>
                <w:sz w:val="21"/>
              </w:rPr>
            </w:pPr>
            <w:r>
              <w:rPr>
                <w:rFonts w:eastAsia="Times New Roman"/>
                <w:sz w:val="21"/>
              </w:rPr>
              <w:t>GB-3J6/YG1100L2.5Y</w:t>
            </w:r>
          </w:p>
        </w:tc>
        <w:tc>
          <w:tcPr>
            <w:tcW w:w="357" w:type="pct"/>
          </w:tcPr>
          <w:p>
            <w:pPr>
              <w:spacing w:line="240" w:lineRule="auto"/>
              <w:ind w:firstLine="0" w:firstLineChars="0"/>
              <w:jc w:val="center"/>
              <w:rPr>
                <w:rFonts w:eastAsia="Times New Roman"/>
                <w:sz w:val="21"/>
              </w:rPr>
            </w:pPr>
            <w:r>
              <w:rPr>
                <w:rFonts w:eastAsia="Times New Roman"/>
                <w:sz w:val="21"/>
              </w:rPr>
              <w:t>24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釉桶及抽釉泵</w:t>
            </w:r>
          </w:p>
        </w:tc>
        <w:tc>
          <w:tcPr>
            <w:tcW w:w="2261" w:type="pct"/>
            <w:vAlign w:val="center"/>
          </w:tcPr>
          <w:p>
            <w:pPr>
              <w:spacing w:line="240" w:lineRule="auto"/>
              <w:ind w:firstLine="0" w:firstLineChars="0"/>
              <w:jc w:val="center"/>
              <w:rPr>
                <w:sz w:val="21"/>
              </w:rPr>
            </w:pPr>
            <w:r>
              <w:rPr>
                <w:rFonts w:eastAsia="Times New Roman"/>
                <w:sz w:val="21"/>
              </w:rPr>
              <w:t>CYB-150</w:t>
            </w:r>
          </w:p>
        </w:tc>
        <w:tc>
          <w:tcPr>
            <w:tcW w:w="357" w:type="pct"/>
            <w:vAlign w:val="center"/>
          </w:tcPr>
          <w:p>
            <w:pPr>
              <w:spacing w:line="240" w:lineRule="auto"/>
              <w:ind w:firstLine="0" w:firstLineChars="0"/>
              <w:jc w:val="center"/>
              <w:rPr>
                <w:rFonts w:eastAsia="Times New Roman"/>
                <w:sz w:val="21"/>
              </w:rPr>
            </w:pPr>
            <w:r>
              <w:rPr>
                <w:rFonts w:eastAsia="Times New Roman"/>
                <w:sz w:val="21"/>
              </w:rPr>
              <w:t>66</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喷墨机</w:t>
            </w:r>
          </w:p>
        </w:tc>
        <w:tc>
          <w:tcPr>
            <w:tcW w:w="2261" w:type="pct"/>
          </w:tcPr>
          <w:p>
            <w:pPr>
              <w:spacing w:line="240" w:lineRule="auto"/>
              <w:ind w:firstLine="0" w:firstLineChars="0"/>
              <w:jc w:val="center"/>
              <w:rPr>
                <w:sz w:val="21"/>
              </w:rPr>
            </w:pPr>
            <w:r>
              <w:rPr>
                <w:rFonts w:eastAsia="Times New Roman"/>
                <w:sz w:val="21"/>
              </w:rPr>
              <w:t>DG1300158</w:t>
            </w:r>
          </w:p>
        </w:tc>
        <w:tc>
          <w:tcPr>
            <w:tcW w:w="357" w:type="pct"/>
          </w:tcPr>
          <w:p>
            <w:pPr>
              <w:spacing w:line="240" w:lineRule="auto"/>
              <w:ind w:firstLine="0" w:firstLineChars="0"/>
              <w:jc w:val="center"/>
              <w:rPr>
                <w:rFonts w:eastAsia="Times New Roman"/>
                <w:sz w:val="21"/>
              </w:rPr>
            </w:pPr>
            <w:r>
              <w:rPr>
                <w:rFonts w:eastAsia="Times New Roman"/>
                <w:sz w:val="21"/>
              </w:rPr>
              <w:t>8</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干粒自动布料机</w:t>
            </w:r>
          </w:p>
        </w:tc>
        <w:tc>
          <w:tcPr>
            <w:tcW w:w="2261" w:type="pct"/>
            <w:vAlign w:val="center"/>
          </w:tcPr>
          <w:p>
            <w:pPr>
              <w:spacing w:line="240" w:lineRule="auto"/>
              <w:ind w:firstLine="0" w:firstLineChars="0"/>
              <w:jc w:val="center"/>
              <w:rPr>
                <w:sz w:val="21"/>
              </w:rPr>
            </w:pPr>
            <w:r>
              <w:rPr>
                <w:rFonts w:eastAsia="Times New Roman"/>
                <w:sz w:val="21"/>
              </w:rPr>
              <w:t>SGL-30 2200</w:t>
            </w:r>
          </w:p>
        </w:tc>
        <w:tc>
          <w:tcPr>
            <w:tcW w:w="357" w:type="pct"/>
            <w:vAlign w:val="center"/>
          </w:tcPr>
          <w:p>
            <w:pPr>
              <w:spacing w:line="240" w:lineRule="auto"/>
              <w:ind w:firstLine="0" w:firstLineChars="0"/>
              <w:jc w:val="center"/>
              <w:rPr>
                <w:rFonts w:eastAsia="Times New Roman"/>
                <w:sz w:val="21"/>
              </w:rPr>
            </w:pPr>
            <w:r>
              <w:rPr>
                <w:rFonts w:eastAsia="Times New Roman"/>
                <w:sz w:val="21"/>
              </w:rPr>
              <w:t>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烘干箱</w:t>
            </w:r>
          </w:p>
        </w:tc>
        <w:tc>
          <w:tcPr>
            <w:tcW w:w="2261" w:type="pct"/>
          </w:tcPr>
          <w:p>
            <w:pPr>
              <w:spacing w:line="240" w:lineRule="auto"/>
              <w:ind w:firstLine="0" w:firstLineChars="0"/>
              <w:jc w:val="center"/>
              <w:rPr>
                <w:sz w:val="21"/>
              </w:rPr>
            </w:pPr>
            <w:r>
              <w:rPr>
                <w:rFonts w:eastAsia="Times New Roman"/>
                <w:sz w:val="21"/>
              </w:rPr>
              <w:t xml:space="preserve">W1000,L23 </w:t>
            </w:r>
            <w:r>
              <w:rPr>
                <w:sz w:val="21"/>
              </w:rPr>
              <w:t>米</w:t>
            </w:r>
          </w:p>
        </w:tc>
        <w:tc>
          <w:tcPr>
            <w:tcW w:w="357" w:type="pct"/>
          </w:tcPr>
          <w:p>
            <w:pPr>
              <w:spacing w:line="240" w:lineRule="auto"/>
              <w:ind w:firstLine="0" w:firstLineChars="0"/>
              <w:jc w:val="center"/>
              <w:rPr>
                <w:rFonts w:eastAsia="Times New Roman"/>
                <w:sz w:val="21"/>
              </w:rPr>
            </w:pPr>
            <w:r>
              <w:rPr>
                <w:rFonts w:eastAsia="Times New Roman"/>
                <w:sz w:val="21"/>
              </w:rPr>
              <w:t>12</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rPr>
            </w:pPr>
            <w:r>
              <w:rPr>
                <w:sz w:val="21"/>
              </w:rPr>
              <w:t>除尘器</w:t>
            </w:r>
          </w:p>
        </w:tc>
        <w:tc>
          <w:tcPr>
            <w:tcW w:w="2261" w:type="pct"/>
          </w:tcPr>
          <w:p>
            <w:pPr>
              <w:spacing w:line="240" w:lineRule="auto"/>
              <w:ind w:firstLine="0" w:firstLineChars="0"/>
              <w:jc w:val="center"/>
              <w:rPr>
                <w:sz w:val="21"/>
              </w:rPr>
            </w:pPr>
            <w:r>
              <w:rPr>
                <w:rFonts w:eastAsia="Times New Roman"/>
                <w:sz w:val="21"/>
              </w:rPr>
              <w:t>9-19-11.2D</w:t>
            </w:r>
            <w:r>
              <w:rPr>
                <w:sz w:val="21"/>
              </w:rPr>
              <w:t>，流量：</w:t>
            </w:r>
            <w:r>
              <w:rPr>
                <w:rFonts w:eastAsia="Times New Roman"/>
                <w:sz w:val="21"/>
              </w:rPr>
              <w:t>17491-21713</w:t>
            </w:r>
            <w:r>
              <w:rPr>
                <w:sz w:val="21"/>
              </w:rPr>
              <w:t>，</w:t>
            </w:r>
          </w:p>
          <w:p>
            <w:pPr>
              <w:spacing w:line="240" w:lineRule="auto"/>
              <w:ind w:firstLine="0" w:firstLineChars="0"/>
              <w:jc w:val="center"/>
              <w:rPr>
                <w:sz w:val="21"/>
              </w:rPr>
            </w:pPr>
            <w:r>
              <w:rPr>
                <w:sz w:val="21"/>
              </w:rPr>
              <w:t>压力：</w:t>
            </w:r>
            <w:r>
              <w:rPr>
                <w:rFonts w:eastAsia="Times New Roman"/>
                <w:sz w:val="21"/>
              </w:rPr>
              <w:t>6927-6246</w:t>
            </w:r>
          </w:p>
        </w:tc>
        <w:tc>
          <w:tcPr>
            <w:tcW w:w="357" w:type="pct"/>
            <w:vAlign w:val="center"/>
          </w:tcPr>
          <w:p>
            <w:pPr>
              <w:spacing w:line="240" w:lineRule="auto"/>
              <w:ind w:firstLine="0" w:firstLineChars="0"/>
              <w:jc w:val="center"/>
              <w:rPr>
                <w:rFonts w:eastAsia="Times New Roman"/>
                <w:sz w:val="21"/>
              </w:rPr>
            </w:pPr>
            <w:r>
              <w:rPr>
                <w:rFonts w:eastAsia="Times New Roman"/>
                <w:sz w:val="21"/>
              </w:rPr>
              <w:t>1</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球釉</w:t>
            </w:r>
          </w:p>
          <w:p>
            <w:pPr>
              <w:spacing w:line="240" w:lineRule="auto"/>
              <w:ind w:firstLine="0" w:firstLineChars="0"/>
              <w:jc w:val="center"/>
              <w:rPr>
                <w:sz w:val="21"/>
                <w:szCs w:val="21"/>
              </w:rPr>
            </w:pPr>
            <w:r>
              <w:rPr>
                <w:sz w:val="21"/>
                <w:szCs w:val="21"/>
              </w:rPr>
              <w:t>车间</w:t>
            </w:r>
          </w:p>
        </w:tc>
        <w:tc>
          <w:tcPr>
            <w:tcW w:w="621" w:type="pct"/>
            <w:vMerge w:val="restart"/>
            <w:vAlign w:val="center"/>
          </w:tcPr>
          <w:p>
            <w:pPr>
              <w:spacing w:line="240" w:lineRule="auto"/>
              <w:ind w:firstLine="0" w:firstLineChars="0"/>
              <w:jc w:val="center"/>
              <w:rPr>
                <w:sz w:val="21"/>
                <w:szCs w:val="21"/>
              </w:rPr>
            </w:pPr>
            <w:r>
              <w:rPr>
                <w:sz w:val="21"/>
                <w:szCs w:val="21"/>
              </w:rPr>
              <w:t>球釉</w:t>
            </w:r>
          </w:p>
          <w:p>
            <w:pPr>
              <w:spacing w:line="240" w:lineRule="auto"/>
              <w:ind w:firstLine="0" w:firstLineChars="0"/>
              <w:jc w:val="center"/>
              <w:rPr>
                <w:sz w:val="21"/>
                <w:szCs w:val="21"/>
              </w:rPr>
            </w:pPr>
            <w:r>
              <w:rPr>
                <w:sz w:val="21"/>
                <w:szCs w:val="21"/>
              </w:rPr>
              <w:t>工段</w:t>
            </w:r>
          </w:p>
        </w:tc>
        <w:tc>
          <w:tcPr>
            <w:tcW w:w="865" w:type="pct"/>
          </w:tcPr>
          <w:p>
            <w:pPr>
              <w:spacing w:line="240" w:lineRule="auto"/>
              <w:ind w:firstLine="0" w:firstLineChars="0"/>
              <w:jc w:val="center"/>
              <w:rPr>
                <w:sz w:val="21"/>
              </w:rPr>
            </w:pPr>
            <w:r>
              <w:rPr>
                <w:rFonts w:eastAsia="Times New Roman"/>
                <w:sz w:val="21"/>
              </w:rPr>
              <w:t xml:space="preserve">5T </w:t>
            </w:r>
            <w:r>
              <w:rPr>
                <w:sz w:val="21"/>
              </w:rPr>
              <w:t>球釉机</w:t>
            </w:r>
          </w:p>
        </w:tc>
        <w:tc>
          <w:tcPr>
            <w:tcW w:w="2261" w:type="pct"/>
          </w:tcPr>
          <w:p>
            <w:pPr>
              <w:spacing w:line="240" w:lineRule="auto"/>
              <w:ind w:firstLine="0" w:firstLineChars="0"/>
              <w:jc w:val="center"/>
              <w:rPr>
                <w:sz w:val="21"/>
              </w:rPr>
            </w:pPr>
            <w:r>
              <w:rPr>
                <w:rFonts w:eastAsia="Times New Roman"/>
                <w:sz w:val="21"/>
              </w:rPr>
              <w:t>YE3-225M-4</w:t>
            </w:r>
          </w:p>
        </w:tc>
        <w:tc>
          <w:tcPr>
            <w:tcW w:w="357" w:type="pct"/>
          </w:tcPr>
          <w:p>
            <w:pPr>
              <w:spacing w:line="240" w:lineRule="auto"/>
              <w:ind w:firstLine="0" w:firstLineChars="0"/>
              <w:jc w:val="center"/>
              <w:rPr>
                <w:rFonts w:eastAsia="Times New Roman"/>
                <w:sz w:val="21"/>
              </w:rPr>
            </w:pPr>
            <w:r>
              <w:rPr>
                <w:rFonts w:eastAsia="Times New Roman"/>
                <w:sz w:val="21"/>
              </w:rPr>
              <w:t>80</w:t>
            </w:r>
          </w:p>
        </w:tc>
        <w:tc>
          <w:tcPr>
            <w:tcW w:w="342" w:type="pct"/>
          </w:tcPr>
          <w:p>
            <w:pPr>
              <w:spacing w:line="240" w:lineRule="auto"/>
              <w:ind w:firstLine="0" w:firstLineChars="0"/>
              <w:jc w:val="center"/>
              <w:rPr>
                <w:rFonts w:eastAsia="Times New Roman"/>
                <w:sz w:val="21"/>
              </w:rPr>
            </w:pPr>
            <w:r>
              <w:rPr>
                <w:rFonts w:eastAsia="Times New Roman"/>
                <w:sz w:val="21"/>
              </w:rPr>
              <w:t>2</w:t>
            </w:r>
          </w:p>
        </w:tc>
        <w:tc>
          <w:tcPr>
            <w:tcW w:w="322" w:type="pct"/>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rFonts w:eastAsia="Times New Roman"/>
                <w:sz w:val="21"/>
              </w:rPr>
              <w:t xml:space="preserve">3T </w:t>
            </w:r>
            <w:r>
              <w:rPr>
                <w:sz w:val="21"/>
              </w:rPr>
              <w:t>球釉机</w:t>
            </w:r>
          </w:p>
        </w:tc>
        <w:tc>
          <w:tcPr>
            <w:tcW w:w="2261" w:type="pct"/>
          </w:tcPr>
          <w:p>
            <w:pPr>
              <w:spacing w:line="240" w:lineRule="auto"/>
              <w:ind w:firstLine="0" w:firstLineChars="0"/>
              <w:jc w:val="center"/>
              <w:rPr>
                <w:sz w:val="21"/>
              </w:rPr>
            </w:pPr>
            <w:r>
              <w:rPr>
                <w:rFonts w:eastAsia="Times New Roman"/>
                <w:sz w:val="21"/>
              </w:rPr>
              <w:t>YE3-200M-4</w:t>
            </w:r>
          </w:p>
        </w:tc>
        <w:tc>
          <w:tcPr>
            <w:tcW w:w="357" w:type="pct"/>
          </w:tcPr>
          <w:p>
            <w:pPr>
              <w:spacing w:line="240" w:lineRule="auto"/>
              <w:ind w:firstLine="0" w:firstLineChars="0"/>
              <w:jc w:val="center"/>
              <w:rPr>
                <w:rFonts w:eastAsia="Times New Roman"/>
                <w:sz w:val="21"/>
              </w:rPr>
            </w:pPr>
            <w:r>
              <w:rPr>
                <w:rFonts w:eastAsia="Times New Roman"/>
                <w:sz w:val="21"/>
              </w:rPr>
              <w:t>16</w:t>
            </w:r>
          </w:p>
        </w:tc>
        <w:tc>
          <w:tcPr>
            <w:tcW w:w="342" w:type="pct"/>
          </w:tcPr>
          <w:p>
            <w:pPr>
              <w:spacing w:line="240" w:lineRule="auto"/>
              <w:ind w:firstLine="0" w:firstLineChars="0"/>
              <w:jc w:val="center"/>
              <w:rPr>
                <w:rFonts w:eastAsia="Times New Roman"/>
                <w:sz w:val="21"/>
              </w:rPr>
            </w:pPr>
            <w:r>
              <w:rPr>
                <w:rFonts w:eastAsia="Times New Roman"/>
                <w:sz w:val="21"/>
              </w:rPr>
              <w:t>2</w:t>
            </w:r>
          </w:p>
        </w:tc>
        <w:tc>
          <w:tcPr>
            <w:tcW w:w="322" w:type="pct"/>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rFonts w:eastAsia="Times New Roman"/>
                <w:sz w:val="21"/>
              </w:rPr>
              <w:t xml:space="preserve">1.5T </w:t>
            </w:r>
            <w:r>
              <w:rPr>
                <w:sz w:val="21"/>
              </w:rPr>
              <w:t>球釉机</w:t>
            </w:r>
          </w:p>
        </w:tc>
        <w:tc>
          <w:tcPr>
            <w:tcW w:w="2261" w:type="pct"/>
          </w:tcPr>
          <w:p>
            <w:pPr>
              <w:spacing w:line="240" w:lineRule="auto"/>
              <w:ind w:firstLine="0" w:firstLineChars="0"/>
              <w:jc w:val="center"/>
              <w:rPr>
                <w:sz w:val="21"/>
              </w:rPr>
            </w:pPr>
            <w:r>
              <w:rPr>
                <w:rFonts w:eastAsia="Times New Roman"/>
                <w:sz w:val="21"/>
              </w:rPr>
              <w:t>YE3-200M-3</w:t>
            </w:r>
          </w:p>
        </w:tc>
        <w:tc>
          <w:tcPr>
            <w:tcW w:w="357" w:type="pct"/>
          </w:tcPr>
          <w:p>
            <w:pPr>
              <w:spacing w:line="240" w:lineRule="auto"/>
              <w:ind w:firstLine="0" w:firstLineChars="0"/>
              <w:jc w:val="center"/>
              <w:rPr>
                <w:rFonts w:eastAsia="Times New Roman"/>
                <w:sz w:val="21"/>
              </w:rPr>
            </w:pPr>
            <w:r>
              <w:rPr>
                <w:rFonts w:eastAsia="Times New Roman"/>
                <w:sz w:val="21"/>
              </w:rPr>
              <w:t>16</w:t>
            </w:r>
          </w:p>
        </w:tc>
        <w:tc>
          <w:tcPr>
            <w:tcW w:w="342" w:type="pct"/>
          </w:tcPr>
          <w:p>
            <w:pPr>
              <w:spacing w:line="240" w:lineRule="auto"/>
              <w:ind w:firstLine="0" w:firstLineChars="0"/>
              <w:jc w:val="center"/>
              <w:rPr>
                <w:rFonts w:eastAsia="Times New Roman"/>
                <w:sz w:val="21"/>
              </w:rPr>
            </w:pPr>
            <w:r>
              <w:rPr>
                <w:rFonts w:eastAsia="Times New Roman"/>
                <w:sz w:val="21"/>
              </w:rPr>
              <w:t>2</w:t>
            </w:r>
          </w:p>
        </w:tc>
        <w:tc>
          <w:tcPr>
            <w:tcW w:w="322" w:type="pct"/>
          </w:tcPr>
          <w:p>
            <w:pPr>
              <w:spacing w:line="240" w:lineRule="auto"/>
              <w:ind w:firstLine="0" w:firstLineChars="0"/>
              <w:jc w:val="center"/>
              <w:rPr>
                <w:rFonts w:eastAsia="Times New Roman"/>
                <w:sz w:val="21"/>
              </w:rPr>
            </w:pPr>
            <w:r>
              <w:rPr>
                <w:rFonts w:eastAsia="Times New Roman"/>
                <w:sz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搅拌桶</w:t>
            </w:r>
          </w:p>
        </w:tc>
        <w:tc>
          <w:tcPr>
            <w:tcW w:w="2261" w:type="pct"/>
          </w:tcPr>
          <w:p>
            <w:pPr>
              <w:spacing w:line="240" w:lineRule="auto"/>
              <w:ind w:firstLine="0" w:firstLineChars="0"/>
              <w:jc w:val="center"/>
              <w:rPr>
                <w:sz w:val="21"/>
              </w:rPr>
            </w:pPr>
            <w:r>
              <w:rPr>
                <w:rFonts w:eastAsia="Times New Roman"/>
                <w:sz w:val="21"/>
              </w:rPr>
              <w:t>JS-100L-4</w:t>
            </w:r>
          </w:p>
        </w:tc>
        <w:tc>
          <w:tcPr>
            <w:tcW w:w="357" w:type="pct"/>
          </w:tcPr>
          <w:p>
            <w:pPr>
              <w:spacing w:line="240" w:lineRule="auto"/>
              <w:ind w:firstLine="0" w:firstLineChars="0"/>
              <w:jc w:val="center"/>
              <w:rPr>
                <w:rFonts w:eastAsia="Times New Roman"/>
                <w:sz w:val="21"/>
              </w:rPr>
            </w:pPr>
            <w:r>
              <w:rPr>
                <w:rFonts w:eastAsia="Times New Roman"/>
                <w:sz w:val="21"/>
              </w:rPr>
              <w:t>288</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花釉搅拌机</w:t>
            </w:r>
          </w:p>
        </w:tc>
        <w:tc>
          <w:tcPr>
            <w:tcW w:w="2261" w:type="pct"/>
          </w:tcPr>
          <w:p>
            <w:pPr>
              <w:spacing w:line="240" w:lineRule="auto"/>
              <w:ind w:firstLine="0" w:firstLineChars="0"/>
              <w:jc w:val="center"/>
              <w:rPr>
                <w:sz w:val="21"/>
              </w:rPr>
            </w:pPr>
            <w:r>
              <w:rPr>
                <w:rFonts w:eastAsia="Times New Roman"/>
                <w:sz w:val="21"/>
              </w:rPr>
              <w:t>JA-7.5</w:t>
            </w:r>
          </w:p>
        </w:tc>
        <w:tc>
          <w:tcPr>
            <w:tcW w:w="357" w:type="pct"/>
          </w:tcPr>
          <w:p>
            <w:pPr>
              <w:spacing w:line="240" w:lineRule="auto"/>
              <w:ind w:firstLine="0" w:firstLineChars="0"/>
              <w:jc w:val="center"/>
              <w:rPr>
                <w:rFonts w:eastAsia="Times New Roman"/>
                <w:sz w:val="21"/>
              </w:rPr>
            </w:pPr>
            <w:r>
              <w:rPr>
                <w:rFonts w:eastAsia="Times New Roman"/>
                <w:sz w:val="21"/>
              </w:rPr>
              <w:t>24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抛光</w:t>
            </w:r>
          </w:p>
          <w:p>
            <w:pPr>
              <w:spacing w:line="240" w:lineRule="auto"/>
              <w:ind w:firstLine="0" w:firstLineChars="0"/>
              <w:jc w:val="center"/>
              <w:rPr>
                <w:sz w:val="21"/>
                <w:szCs w:val="21"/>
              </w:rPr>
            </w:pPr>
            <w:r>
              <w:rPr>
                <w:sz w:val="21"/>
                <w:szCs w:val="21"/>
              </w:rPr>
              <w:t>磨边</w:t>
            </w:r>
          </w:p>
          <w:p>
            <w:pPr>
              <w:spacing w:line="240" w:lineRule="auto"/>
              <w:ind w:firstLine="0" w:firstLineChars="0"/>
              <w:jc w:val="center"/>
              <w:rPr>
                <w:sz w:val="21"/>
                <w:szCs w:val="21"/>
              </w:rPr>
            </w:pPr>
            <w:r>
              <w:rPr>
                <w:sz w:val="21"/>
                <w:szCs w:val="21"/>
              </w:rPr>
              <w:t>车间</w:t>
            </w:r>
          </w:p>
        </w:tc>
        <w:tc>
          <w:tcPr>
            <w:tcW w:w="621" w:type="pct"/>
            <w:vMerge w:val="restart"/>
            <w:vAlign w:val="center"/>
          </w:tcPr>
          <w:p>
            <w:pPr>
              <w:spacing w:line="240" w:lineRule="auto"/>
              <w:ind w:firstLine="0" w:firstLineChars="0"/>
              <w:jc w:val="center"/>
              <w:rPr>
                <w:sz w:val="21"/>
                <w:szCs w:val="21"/>
              </w:rPr>
            </w:pPr>
            <w:r>
              <w:rPr>
                <w:sz w:val="21"/>
                <w:szCs w:val="21"/>
              </w:rPr>
              <w:t>抛光</w:t>
            </w:r>
          </w:p>
          <w:p>
            <w:pPr>
              <w:spacing w:line="240" w:lineRule="auto"/>
              <w:ind w:firstLine="0" w:firstLineChars="0"/>
              <w:jc w:val="center"/>
              <w:rPr>
                <w:sz w:val="21"/>
                <w:szCs w:val="21"/>
              </w:rPr>
            </w:pPr>
            <w:r>
              <w:rPr>
                <w:sz w:val="21"/>
                <w:szCs w:val="21"/>
              </w:rPr>
              <w:t>工段</w:t>
            </w:r>
          </w:p>
        </w:tc>
        <w:tc>
          <w:tcPr>
            <w:tcW w:w="865" w:type="pct"/>
          </w:tcPr>
          <w:p>
            <w:pPr>
              <w:spacing w:line="240" w:lineRule="auto"/>
              <w:ind w:firstLine="0" w:firstLineChars="0"/>
              <w:jc w:val="center"/>
              <w:rPr>
                <w:sz w:val="21"/>
              </w:rPr>
            </w:pPr>
            <w:r>
              <w:rPr>
                <w:sz w:val="21"/>
              </w:rPr>
              <w:t xml:space="preserve">磨边机 </w:t>
            </w:r>
            <w:r>
              <w:rPr>
                <w:rFonts w:eastAsia="Times New Roman"/>
                <w:sz w:val="21"/>
              </w:rPr>
              <w:t>14+2</w:t>
            </w:r>
          </w:p>
        </w:tc>
        <w:tc>
          <w:tcPr>
            <w:tcW w:w="2261" w:type="pct"/>
          </w:tcPr>
          <w:p>
            <w:pPr>
              <w:spacing w:line="240" w:lineRule="auto"/>
              <w:ind w:firstLine="0" w:firstLineChars="0"/>
              <w:jc w:val="center"/>
              <w:rPr>
                <w:sz w:val="21"/>
              </w:rPr>
            </w:pPr>
            <w:r>
              <w:rPr>
                <w:rFonts w:eastAsia="Times New Roman"/>
                <w:sz w:val="21"/>
              </w:rPr>
              <w:t>KB×S1000/22+2</w:t>
            </w:r>
          </w:p>
        </w:tc>
        <w:tc>
          <w:tcPr>
            <w:tcW w:w="357" w:type="pct"/>
          </w:tcPr>
          <w:p>
            <w:pPr>
              <w:spacing w:line="240" w:lineRule="auto"/>
              <w:ind w:firstLine="0" w:firstLineChars="0"/>
              <w:jc w:val="center"/>
              <w:rPr>
                <w:rFonts w:eastAsia="Times New Roman"/>
                <w:sz w:val="21"/>
              </w:rPr>
            </w:pPr>
            <w:r>
              <w:rPr>
                <w:rFonts w:eastAsia="Times New Roman"/>
                <w:sz w:val="21"/>
              </w:rPr>
              <w:t>64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rPr>
                <w:sz w:val="21"/>
              </w:rPr>
            </w:pPr>
            <w:r>
              <w:rPr>
                <w:sz w:val="21"/>
              </w:rPr>
              <w:t>抛光机</w:t>
            </w:r>
            <w:r>
              <w:rPr>
                <w:rFonts w:eastAsia="Times New Roman"/>
                <w:sz w:val="21"/>
              </w:rPr>
              <w:t>11*20</w:t>
            </w:r>
          </w:p>
        </w:tc>
        <w:tc>
          <w:tcPr>
            <w:tcW w:w="2261" w:type="pct"/>
            <w:vAlign w:val="center"/>
          </w:tcPr>
          <w:p>
            <w:pPr>
              <w:spacing w:line="240" w:lineRule="auto"/>
              <w:ind w:firstLine="0" w:firstLineChars="0"/>
              <w:jc w:val="center"/>
              <w:rPr>
                <w:sz w:val="21"/>
              </w:rPr>
            </w:pPr>
            <w:r>
              <w:rPr>
                <w:rFonts w:eastAsia="Times New Roman"/>
                <w:sz w:val="21"/>
              </w:rPr>
              <w:t>PJ800/20</w:t>
            </w:r>
          </w:p>
        </w:tc>
        <w:tc>
          <w:tcPr>
            <w:tcW w:w="357" w:type="pct"/>
            <w:vAlign w:val="center"/>
          </w:tcPr>
          <w:p>
            <w:pPr>
              <w:spacing w:line="240" w:lineRule="auto"/>
              <w:ind w:firstLine="0" w:firstLineChars="0"/>
              <w:jc w:val="center"/>
              <w:rPr>
                <w:rFonts w:eastAsia="Times New Roman"/>
                <w:sz w:val="21"/>
              </w:rPr>
            </w:pPr>
            <w:r>
              <w:rPr>
                <w:rFonts w:eastAsia="Times New Roman"/>
                <w:sz w:val="21"/>
              </w:rPr>
              <w:t>64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rPr>
                <w:sz w:val="21"/>
              </w:rPr>
            </w:pPr>
            <w:r>
              <w:rPr>
                <w:sz w:val="21"/>
              </w:rPr>
              <w:t>打蜡机</w:t>
            </w:r>
            <w:r>
              <w:rPr>
                <w:rFonts w:eastAsia="Times New Roman"/>
                <w:sz w:val="21"/>
              </w:rPr>
              <w:t>11*10</w:t>
            </w:r>
          </w:p>
        </w:tc>
        <w:tc>
          <w:tcPr>
            <w:tcW w:w="2261" w:type="pct"/>
            <w:vAlign w:val="center"/>
          </w:tcPr>
          <w:p>
            <w:pPr>
              <w:spacing w:line="240" w:lineRule="auto"/>
              <w:ind w:firstLine="0" w:firstLineChars="0"/>
              <w:jc w:val="center"/>
              <w:rPr>
                <w:sz w:val="21"/>
              </w:rPr>
            </w:pPr>
            <w:r>
              <w:rPr>
                <w:rFonts w:eastAsia="Times New Roman"/>
                <w:sz w:val="21"/>
              </w:rPr>
              <w:t>FM800DG/10</w:t>
            </w:r>
          </w:p>
        </w:tc>
        <w:tc>
          <w:tcPr>
            <w:tcW w:w="357" w:type="pct"/>
            <w:vAlign w:val="center"/>
          </w:tcPr>
          <w:p>
            <w:pPr>
              <w:spacing w:line="240" w:lineRule="auto"/>
              <w:ind w:firstLine="0" w:firstLineChars="0"/>
              <w:jc w:val="center"/>
              <w:rPr>
                <w:rFonts w:eastAsia="Times New Roman"/>
                <w:sz w:val="21"/>
              </w:rPr>
            </w:pPr>
            <w:r>
              <w:rPr>
                <w:rFonts w:eastAsia="Times New Roman"/>
                <w:sz w:val="21"/>
              </w:rPr>
              <w:t>64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三头打蜡机</w:t>
            </w:r>
          </w:p>
        </w:tc>
        <w:tc>
          <w:tcPr>
            <w:tcW w:w="2261" w:type="pct"/>
          </w:tcPr>
          <w:p>
            <w:pPr>
              <w:spacing w:line="240" w:lineRule="auto"/>
              <w:ind w:firstLine="0" w:firstLineChars="0"/>
              <w:jc w:val="center"/>
              <w:rPr>
                <w:sz w:val="21"/>
              </w:rPr>
            </w:pPr>
            <w:r>
              <w:rPr>
                <w:rFonts w:eastAsia="Times New Roman"/>
                <w:sz w:val="21"/>
              </w:rPr>
              <w:t xml:space="preserve">FW800/3 </w:t>
            </w:r>
            <w:r>
              <w:rPr>
                <w:sz w:val="21"/>
              </w:rPr>
              <w:t>打腊机</w:t>
            </w:r>
          </w:p>
        </w:tc>
        <w:tc>
          <w:tcPr>
            <w:tcW w:w="357" w:type="pct"/>
          </w:tcPr>
          <w:p>
            <w:pPr>
              <w:spacing w:line="240" w:lineRule="auto"/>
              <w:ind w:firstLine="0" w:firstLineChars="0"/>
              <w:jc w:val="center"/>
              <w:rPr>
                <w:rFonts w:eastAsia="Times New Roman"/>
                <w:sz w:val="21"/>
              </w:rPr>
            </w:pPr>
            <w:r>
              <w:rPr>
                <w:rFonts w:eastAsia="Times New Roman"/>
                <w:sz w:val="21"/>
              </w:rPr>
              <w:t>16</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分级输送线</w:t>
            </w:r>
          </w:p>
        </w:tc>
        <w:tc>
          <w:tcPr>
            <w:tcW w:w="2261" w:type="pct"/>
          </w:tcPr>
          <w:p>
            <w:pPr>
              <w:spacing w:line="240" w:lineRule="auto"/>
              <w:ind w:firstLine="0" w:firstLineChars="0"/>
              <w:jc w:val="center"/>
              <w:rPr>
                <w:sz w:val="21"/>
              </w:rPr>
            </w:pPr>
            <w:r>
              <w:rPr>
                <w:rFonts w:eastAsia="Times New Roman"/>
                <w:sz w:val="21"/>
              </w:rPr>
              <w:t>L1000/6</w:t>
            </w:r>
          </w:p>
        </w:tc>
        <w:tc>
          <w:tcPr>
            <w:tcW w:w="357" w:type="pct"/>
          </w:tcPr>
          <w:p>
            <w:pPr>
              <w:spacing w:line="240" w:lineRule="auto"/>
              <w:ind w:firstLine="0" w:firstLineChars="0"/>
              <w:jc w:val="center"/>
              <w:rPr>
                <w:rFonts w:eastAsia="Times New Roman"/>
                <w:sz w:val="21"/>
              </w:rPr>
            </w:pPr>
            <w:r>
              <w:rPr>
                <w:rFonts w:eastAsia="Times New Roman"/>
                <w:sz w:val="21"/>
              </w:rPr>
              <w:t>16</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打包线</w:t>
            </w:r>
          </w:p>
        </w:tc>
        <w:tc>
          <w:tcPr>
            <w:tcW w:w="2261" w:type="pct"/>
          </w:tcPr>
          <w:p>
            <w:pPr>
              <w:spacing w:line="240" w:lineRule="auto"/>
              <w:ind w:firstLine="0" w:firstLineChars="0"/>
              <w:jc w:val="center"/>
              <w:rPr>
                <w:sz w:val="21"/>
              </w:rPr>
            </w:pPr>
            <w:r>
              <w:rPr>
                <w:rFonts w:eastAsia="Times New Roman"/>
                <w:sz w:val="21"/>
              </w:rPr>
              <w:t>KXCZX8040/600/6030D/FB/JJ</w:t>
            </w:r>
          </w:p>
        </w:tc>
        <w:tc>
          <w:tcPr>
            <w:tcW w:w="357" w:type="pct"/>
          </w:tcPr>
          <w:p>
            <w:pPr>
              <w:spacing w:line="240" w:lineRule="auto"/>
              <w:ind w:firstLine="0" w:firstLineChars="0"/>
              <w:jc w:val="center"/>
              <w:rPr>
                <w:rFonts w:eastAsia="Times New Roman"/>
                <w:sz w:val="21"/>
              </w:rPr>
            </w:pPr>
            <w:r>
              <w:rPr>
                <w:rFonts w:eastAsia="Times New Roman"/>
                <w:sz w:val="21"/>
              </w:rPr>
              <w:t>16</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szCs w:val="21"/>
              </w:rPr>
            </w:pPr>
            <w:r>
              <w:rPr>
                <w:sz w:val="21"/>
                <w:szCs w:val="21"/>
              </w:rPr>
              <w:t>磨边</w:t>
            </w:r>
          </w:p>
          <w:p>
            <w:pPr>
              <w:spacing w:line="240" w:lineRule="auto"/>
              <w:ind w:firstLine="0" w:firstLineChars="0"/>
              <w:jc w:val="center"/>
              <w:rPr>
                <w:sz w:val="21"/>
                <w:szCs w:val="21"/>
              </w:rPr>
            </w:pPr>
            <w:r>
              <w:rPr>
                <w:sz w:val="21"/>
                <w:szCs w:val="21"/>
              </w:rPr>
              <w:t>工段</w:t>
            </w:r>
          </w:p>
        </w:tc>
        <w:tc>
          <w:tcPr>
            <w:tcW w:w="865" w:type="pct"/>
          </w:tcPr>
          <w:p>
            <w:pPr>
              <w:spacing w:line="240" w:lineRule="auto"/>
              <w:ind w:firstLine="0" w:firstLineChars="0"/>
              <w:jc w:val="center"/>
              <w:rPr>
                <w:sz w:val="21"/>
              </w:rPr>
            </w:pPr>
            <w:r>
              <w:rPr>
                <w:sz w:val="21"/>
              </w:rPr>
              <w:t>干磨机</w:t>
            </w:r>
          </w:p>
        </w:tc>
        <w:tc>
          <w:tcPr>
            <w:tcW w:w="2261" w:type="pct"/>
          </w:tcPr>
          <w:p>
            <w:pPr>
              <w:spacing w:line="240" w:lineRule="auto"/>
              <w:ind w:firstLine="0" w:firstLineChars="0"/>
              <w:jc w:val="center"/>
              <w:rPr>
                <w:sz w:val="21"/>
              </w:rPr>
            </w:pPr>
            <w:r>
              <w:rPr>
                <w:rFonts w:eastAsia="Times New Roman"/>
                <w:sz w:val="21"/>
              </w:rPr>
              <w:t>KB×S1000/14+2</w:t>
            </w:r>
          </w:p>
        </w:tc>
        <w:tc>
          <w:tcPr>
            <w:tcW w:w="357" w:type="pct"/>
          </w:tcPr>
          <w:p>
            <w:pPr>
              <w:spacing w:line="240" w:lineRule="auto"/>
              <w:ind w:firstLine="0" w:firstLineChars="0"/>
              <w:jc w:val="center"/>
              <w:rPr>
                <w:rFonts w:eastAsia="Times New Roman"/>
                <w:sz w:val="21"/>
              </w:rPr>
            </w:pPr>
            <w:r>
              <w:rPr>
                <w:rFonts w:eastAsia="Times New Roman"/>
                <w:sz w:val="21"/>
              </w:rPr>
              <w:t>10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陶瓷瓷片切割设备</w:t>
            </w:r>
          </w:p>
        </w:tc>
        <w:tc>
          <w:tcPr>
            <w:tcW w:w="2261" w:type="pct"/>
            <w:vAlign w:val="center"/>
          </w:tcPr>
          <w:p>
            <w:pPr>
              <w:spacing w:line="240" w:lineRule="auto"/>
              <w:ind w:firstLine="0" w:firstLineChars="0"/>
              <w:jc w:val="center"/>
              <w:rPr>
                <w:sz w:val="21"/>
              </w:rPr>
            </w:pPr>
            <w:r>
              <w:rPr>
                <w:sz w:val="21"/>
              </w:rPr>
              <w:t xml:space="preserve">汇陶 </w:t>
            </w:r>
            <w:r>
              <w:rPr>
                <w:rFonts w:eastAsia="Times New Roman"/>
                <w:sz w:val="21"/>
              </w:rPr>
              <w:t>HT-1200</w:t>
            </w:r>
          </w:p>
        </w:tc>
        <w:tc>
          <w:tcPr>
            <w:tcW w:w="357" w:type="pct"/>
            <w:vAlign w:val="center"/>
          </w:tcPr>
          <w:p>
            <w:pPr>
              <w:spacing w:line="240" w:lineRule="auto"/>
              <w:ind w:firstLine="0" w:firstLineChars="0"/>
              <w:jc w:val="center"/>
              <w:rPr>
                <w:rFonts w:eastAsia="Times New Roman"/>
                <w:sz w:val="21"/>
              </w:rPr>
            </w:pPr>
            <w:r>
              <w:rPr>
                <w:rFonts w:eastAsia="Times New Roman"/>
                <w:sz w:val="21"/>
              </w:rPr>
              <w:t>1</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分级线架</w:t>
            </w:r>
          </w:p>
        </w:tc>
        <w:tc>
          <w:tcPr>
            <w:tcW w:w="2261" w:type="pct"/>
          </w:tcPr>
          <w:p>
            <w:pPr>
              <w:spacing w:line="240" w:lineRule="auto"/>
              <w:ind w:firstLine="0" w:firstLineChars="0"/>
              <w:jc w:val="center"/>
              <w:rPr>
                <w:sz w:val="21"/>
              </w:rPr>
            </w:pPr>
            <w:r>
              <w:rPr>
                <w:rFonts w:eastAsia="Times New Roman"/>
                <w:sz w:val="21"/>
              </w:rPr>
              <w:t>W1000</w:t>
            </w:r>
          </w:p>
        </w:tc>
        <w:tc>
          <w:tcPr>
            <w:tcW w:w="357" w:type="pct"/>
          </w:tcPr>
          <w:p>
            <w:pPr>
              <w:spacing w:line="240" w:lineRule="auto"/>
              <w:ind w:firstLine="0" w:firstLineChars="0"/>
              <w:jc w:val="center"/>
              <w:rPr>
                <w:rFonts w:eastAsia="Times New Roman"/>
                <w:sz w:val="21"/>
              </w:rPr>
            </w:pPr>
            <w:r>
              <w:rPr>
                <w:rFonts w:eastAsia="Times New Roman"/>
                <w:sz w:val="21"/>
              </w:rPr>
              <w:t>5</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打包线</w:t>
            </w:r>
          </w:p>
        </w:tc>
        <w:tc>
          <w:tcPr>
            <w:tcW w:w="2261" w:type="pct"/>
          </w:tcPr>
          <w:p>
            <w:pPr>
              <w:spacing w:line="240" w:lineRule="auto"/>
              <w:ind w:firstLine="0" w:firstLineChars="0"/>
              <w:jc w:val="center"/>
              <w:rPr>
                <w:sz w:val="21"/>
              </w:rPr>
            </w:pPr>
            <w:r>
              <w:rPr>
                <w:rFonts w:eastAsia="Times New Roman"/>
                <w:sz w:val="21"/>
              </w:rPr>
              <w:t>KXCZX8040/600/6030D/FB/JJ</w:t>
            </w:r>
          </w:p>
        </w:tc>
        <w:tc>
          <w:tcPr>
            <w:tcW w:w="357" w:type="pct"/>
          </w:tcPr>
          <w:p>
            <w:pPr>
              <w:spacing w:line="240" w:lineRule="auto"/>
              <w:ind w:firstLine="0" w:firstLineChars="0"/>
              <w:jc w:val="center"/>
              <w:rPr>
                <w:rFonts w:eastAsia="Times New Roman"/>
                <w:sz w:val="21"/>
              </w:rPr>
            </w:pPr>
            <w:r>
              <w:rPr>
                <w:rFonts w:eastAsia="Times New Roman"/>
                <w:sz w:val="21"/>
              </w:rPr>
              <w:t>5</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32.39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sz w:val="21"/>
              </w:rPr>
            </w:pPr>
            <w:r>
              <w:rPr>
                <w:sz w:val="21"/>
              </w:rPr>
              <w:t>除尘器</w:t>
            </w:r>
          </w:p>
        </w:tc>
        <w:tc>
          <w:tcPr>
            <w:tcW w:w="2261" w:type="pct"/>
          </w:tcPr>
          <w:p>
            <w:pPr>
              <w:spacing w:line="240" w:lineRule="auto"/>
              <w:ind w:firstLine="0" w:firstLineChars="0"/>
              <w:jc w:val="center"/>
              <w:rPr>
                <w:sz w:val="21"/>
              </w:rPr>
            </w:pPr>
            <w:r>
              <w:rPr>
                <w:rFonts w:eastAsia="Times New Roman"/>
                <w:sz w:val="21"/>
              </w:rPr>
              <w:t xml:space="preserve">LFGM96-12 </w:t>
            </w:r>
            <w:r>
              <w:rPr>
                <w:sz w:val="21"/>
              </w:rPr>
              <w:t>型箱体脉冲袋式除尘器，</w:t>
            </w:r>
          </w:p>
          <w:p>
            <w:pPr>
              <w:spacing w:line="240" w:lineRule="auto"/>
              <w:ind w:firstLine="0" w:firstLineChars="0"/>
              <w:jc w:val="center"/>
              <w:rPr>
                <w:sz w:val="21"/>
              </w:rPr>
            </w:pPr>
            <w:r>
              <w:rPr>
                <w:rFonts w:eastAsia="Times New Roman"/>
                <w:sz w:val="21"/>
              </w:rPr>
              <w:t>100000m³/</w:t>
            </w:r>
            <w:r>
              <w:rPr>
                <w:sz w:val="21"/>
              </w:rPr>
              <w:t xml:space="preserve">小时 </w:t>
            </w:r>
            <w:r>
              <w:rPr>
                <w:rFonts w:eastAsia="Times New Roman"/>
                <w:sz w:val="21"/>
              </w:rPr>
              <w:t>160KW</w:t>
            </w:r>
          </w:p>
        </w:tc>
        <w:tc>
          <w:tcPr>
            <w:tcW w:w="357" w:type="pct"/>
            <w:vAlign w:val="center"/>
          </w:tcPr>
          <w:p>
            <w:pPr>
              <w:spacing w:line="240" w:lineRule="auto"/>
              <w:ind w:firstLine="0" w:firstLineChars="0"/>
              <w:jc w:val="center"/>
              <w:rPr>
                <w:rFonts w:eastAsia="Times New Roman"/>
                <w:sz w:val="21"/>
              </w:rPr>
            </w:pPr>
            <w:r>
              <w:rPr>
                <w:rFonts w:eastAsia="Times New Roman"/>
                <w:sz w:val="21"/>
              </w:rPr>
              <w:t>1</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上砖机</w:t>
            </w:r>
          </w:p>
        </w:tc>
        <w:tc>
          <w:tcPr>
            <w:tcW w:w="2261" w:type="pct"/>
          </w:tcPr>
          <w:p>
            <w:pPr>
              <w:spacing w:line="240" w:lineRule="auto"/>
              <w:ind w:firstLine="0" w:firstLineChars="0"/>
              <w:jc w:val="center"/>
              <w:rPr>
                <w:sz w:val="21"/>
              </w:rPr>
            </w:pPr>
            <w:r>
              <w:rPr>
                <w:rFonts w:eastAsia="Times New Roman"/>
                <w:sz w:val="21"/>
              </w:rPr>
              <w:t>XSS-GSA-3-8080</w:t>
            </w:r>
          </w:p>
        </w:tc>
        <w:tc>
          <w:tcPr>
            <w:tcW w:w="357" w:type="pct"/>
          </w:tcPr>
          <w:p>
            <w:pPr>
              <w:spacing w:line="240" w:lineRule="auto"/>
              <w:ind w:firstLine="0" w:firstLineChars="0"/>
              <w:jc w:val="center"/>
              <w:rPr>
                <w:rFonts w:eastAsia="Times New Roman"/>
                <w:sz w:val="21"/>
              </w:rPr>
            </w:pPr>
            <w:r>
              <w:rPr>
                <w:rFonts w:eastAsia="Times New Roman"/>
                <w:sz w:val="21"/>
              </w:rPr>
              <w:t>6</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半成</w:t>
            </w:r>
          </w:p>
          <w:p>
            <w:pPr>
              <w:spacing w:line="240" w:lineRule="auto"/>
              <w:ind w:firstLine="0" w:firstLineChars="0"/>
              <w:jc w:val="center"/>
              <w:rPr>
                <w:sz w:val="21"/>
                <w:szCs w:val="21"/>
              </w:rPr>
            </w:pPr>
            <w:r>
              <w:rPr>
                <w:sz w:val="21"/>
                <w:szCs w:val="21"/>
              </w:rPr>
              <w:t>品储</w:t>
            </w:r>
          </w:p>
          <w:p>
            <w:pPr>
              <w:spacing w:line="240" w:lineRule="auto"/>
              <w:ind w:firstLine="0" w:firstLineChars="0"/>
              <w:jc w:val="center"/>
              <w:rPr>
                <w:sz w:val="21"/>
                <w:szCs w:val="21"/>
              </w:rPr>
            </w:pPr>
            <w:r>
              <w:rPr>
                <w:sz w:val="21"/>
                <w:szCs w:val="21"/>
              </w:rPr>
              <w:t>砖车</w:t>
            </w:r>
          </w:p>
          <w:p>
            <w:pPr>
              <w:spacing w:line="240" w:lineRule="auto"/>
              <w:ind w:firstLine="0" w:firstLineChars="0"/>
              <w:jc w:val="center"/>
              <w:rPr>
                <w:sz w:val="21"/>
                <w:szCs w:val="21"/>
              </w:rPr>
            </w:pPr>
            <w:r>
              <w:rPr>
                <w:sz w:val="21"/>
                <w:szCs w:val="21"/>
              </w:rPr>
              <w:t>间</w:t>
            </w:r>
          </w:p>
        </w:tc>
        <w:tc>
          <w:tcPr>
            <w:tcW w:w="621" w:type="pct"/>
            <w:vMerge w:val="restart"/>
            <w:vAlign w:val="center"/>
          </w:tcPr>
          <w:p>
            <w:pPr>
              <w:spacing w:line="240" w:lineRule="auto"/>
              <w:ind w:firstLine="0" w:firstLineChars="0"/>
              <w:jc w:val="center"/>
              <w:rPr>
                <w:sz w:val="21"/>
                <w:szCs w:val="21"/>
              </w:rPr>
            </w:pPr>
            <w:r>
              <w:rPr>
                <w:sz w:val="21"/>
              </w:rPr>
              <w:t>出窑储砖线</w:t>
            </w:r>
          </w:p>
        </w:tc>
        <w:tc>
          <w:tcPr>
            <w:tcW w:w="865" w:type="pct"/>
          </w:tcPr>
          <w:p>
            <w:pPr>
              <w:spacing w:line="240" w:lineRule="auto"/>
              <w:ind w:firstLine="0" w:firstLineChars="0"/>
              <w:jc w:val="center"/>
              <w:rPr>
                <w:sz w:val="21"/>
              </w:rPr>
            </w:pPr>
            <w:r>
              <w:rPr>
                <w:sz w:val="21"/>
              </w:rPr>
              <w:t>下砖机</w:t>
            </w:r>
          </w:p>
        </w:tc>
        <w:tc>
          <w:tcPr>
            <w:tcW w:w="2261" w:type="pct"/>
          </w:tcPr>
          <w:p>
            <w:pPr>
              <w:spacing w:line="240" w:lineRule="auto"/>
              <w:ind w:firstLine="0" w:firstLineChars="0"/>
              <w:jc w:val="center"/>
              <w:rPr>
                <w:sz w:val="21"/>
              </w:rPr>
            </w:pPr>
            <w:r>
              <w:rPr>
                <w:rFonts w:eastAsia="Times New Roman"/>
                <w:sz w:val="21"/>
              </w:rPr>
              <w:t>XSS-GSA-3-8080</w:t>
            </w:r>
          </w:p>
        </w:tc>
        <w:tc>
          <w:tcPr>
            <w:tcW w:w="357" w:type="pct"/>
          </w:tcPr>
          <w:p>
            <w:pPr>
              <w:spacing w:line="240" w:lineRule="auto"/>
              <w:ind w:firstLine="0" w:firstLineChars="0"/>
              <w:jc w:val="center"/>
              <w:rPr>
                <w:rFonts w:eastAsia="Times New Roman"/>
                <w:sz w:val="21"/>
              </w:rPr>
            </w:pPr>
            <w:r>
              <w:rPr>
                <w:rFonts w:eastAsia="Times New Roman"/>
                <w:sz w:val="21"/>
              </w:rPr>
              <w:t>40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储砖线</w:t>
            </w:r>
          </w:p>
        </w:tc>
        <w:tc>
          <w:tcPr>
            <w:tcW w:w="2261" w:type="pct"/>
          </w:tcPr>
          <w:p>
            <w:pPr>
              <w:spacing w:line="240" w:lineRule="auto"/>
              <w:ind w:firstLine="0" w:firstLineChars="0"/>
              <w:jc w:val="center"/>
              <w:rPr>
                <w:sz w:val="21"/>
              </w:rPr>
            </w:pPr>
            <w:r>
              <w:rPr>
                <w:rFonts w:eastAsia="Times New Roman"/>
                <w:sz w:val="21"/>
              </w:rPr>
              <w:t>W1000</w:t>
            </w:r>
          </w:p>
        </w:tc>
        <w:tc>
          <w:tcPr>
            <w:tcW w:w="357" w:type="pct"/>
          </w:tcPr>
          <w:p>
            <w:pPr>
              <w:spacing w:line="240" w:lineRule="auto"/>
              <w:ind w:firstLine="0" w:firstLineChars="0"/>
              <w:jc w:val="center"/>
              <w:rPr>
                <w:rFonts w:eastAsia="Times New Roman"/>
                <w:sz w:val="21"/>
              </w:rPr>
            </w:pPr>
            <w:r>
              <w:rPr>
                <w:rFonts w:eastAsia="Times New Roman"/>
                <w:sz w:val="21"/>
              </w:rPr>
              <w:t>160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szCs w:val="21"/>
              </w:rPr>
            </w:pPr>
            <w:r>
              <w:rPr>
                <w:sz w:val="21"/>
              </w:rPr>
              <w:t>抛光前上砖线</w:t>
            </w:r>
          </w:p>
        </w:tc>
        <w:tc>
          <w:tcPr>
            <w:tcW w:w="865" w:type="pct"/>
          </w:tcPr>
          <w:p>
            <w:pPr>
              <w:spacing w:line="240" w:lineRule="auto"/>
              <w:ind w:firstLine="0" w:firstLineChars="0"/>
              <w:jc w:val="center"/>
              <w:rPr>
                <w:sz w:val="21"/>
              </w:rPr>
            </w:pPr>
            <w:r>
              <w:rPr>
                <w:sz w:val="21"/>
              </w:rPr>
              <w:t>上砖机</w:t>
            </w:r>
          </w:p>
        </w:tc>
        <w:tc>
          <w:tcPr>
            <w:tcW w:w="2261" w:type="pct"/>
          </w:tcPr>
          <w:p>
            <w:pPr>
              <w:spacing w:line="240" w:lineRule="auto"/>
              <w:ind w:firstLine="0" w:firstLineChars="0"/>
              <w:jc w:val="center"/>
              <w:rPr>
                <w:sz w:val="21"/>
              </w:rPr>
            </w:pPr>
            <w:r>
              <w:rPr>
                <w:rFonts w:eastAsia="Times New Roman"/>
                <w:sz w:val="21"/>
              </w:rPr>
              <w:t>XSS-GSA-3-8080</w:t>
            </w:r>
          </w:p>
        </w:tc>
        <w:tc>
          <w:tcPr>
            <w:tcW w:w="357" w:type="pct"/>
          </w:tcPr>
          <w:p>
            <w:pPr>
              <w:spacing w:line="240" w:lineRule="auto"/>
              <w:ind w:firstLine="0" w:firstLineChars="0"/>
              <w:jc w:val="center"/>
              <w:rPr>
                <w:rFonts w:eastAsia="Times New Roman"/>
                <w:sz w:val="21"/>
              </w:rPr>
            </w:pPr>
            <w:r>
              <w:rPr>
                <w:rFonts w:eastAsia="Times New Roman"/>
                <w:sz w:val="21"/>
              </w:rPr>
              <w:t>40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送砖线架</w:t>
            </w:r>
          </w:p>
        </w:tc>
        <w:tc>
          <w:tcPr>
            <w:tcW w:w="2261" w:type="pct"/>
          </w:tcPr>
          <w:p>
            <w:pPr>
              <w:spacing w:line="240" w:lineRule="auto"/>
              <w:ind w:firstLine="0" w:firstLineChars="0"/>
              <w:jc w:val="center"/>
              <w:rPr>
                <w:sz w:val="21"/>
              </w:rPr>
            </w:pPr>
            <w:r>
              <w:rPr>
                <w:rFonts w:eastAsia="Times New Roman"/>
                <w:sz w:val="21"/>
              </w:rPr>
              <w:t>W1000</w:t>
            </w:r>
          </w:p>
        </w:tc>
        <w:tc>
          <w:tcPr>
            <w:tcW w:w="357" w:type="pct"/>
          </w:tcPr>
          <w:p>
            <w:pPr>
              <w:spacing w:line="240" w:lineRule="auto"/>
              <w:ind w:firstLine="0" w:firstLineChars="0"/>
              <w:jc w:val="center"/>
              <w:rPr>
                <w:rFonts w:eastAsia="Times New Roman"/>
                <w:sz w:val="21"/>
              </w:rPr>
            </w:pPr>
            <w:r>
              <w:rPr>
                <w:rFonts w:eastAsia="Times New Roman"/>
                <w:sz w:val="21"/>
              </w:rPr>
              <w:t>40</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烟气</w:t>
            </w:r>
          </w:p>
          <w:p>
            <w:pPr>
              <w:spacing w:line="240" w:lineRule="auto"/>
              <w:ind w:firstLine="0" w:firstLineChars="0"/>
              <w:jc w:val="center"/>
              <w:rPr>
                <w:sz w:val="21"/>
                <w:szCs w:val="21"/>
              </w:rPr>
            </w:pPr>
            <w:r>
              <w:rPr>
                <w:sz w:val="21"/>
                <w:szCs w:val="21"/>
              </w:rPr>
              <w:t>处理</w:t>
            </w:r>
          </w:p>
        </w:tc>
        <w:tc>
          <w:tcPr>
            <w:tcW w:w="621" w:type="pct"/>
            <w:vMerge w:val="restart"/>
            <w:vAlign w:val="center"/>
          </w:tcPr>
          <w:p>
            <w:pPr>
              <w:spacing w:line="240" w:lineRule="auto"/>
              <w:ind w:firstLine="0" w:firstLineChars="0"/>
              <w:jc w:val="center"/>
              <w:rPr>
                <w:sz w:val="21"/>
                <w:szCs w:val="21"/>
              </w:rPr>
            </w:pPr>
            <w:r>
              <w:rPr>
                <w:sz w:val="21"/>
                <w:szCs w:val="21"/>
              </w:rPr>
              <w:t>半干</w:t>
            </w:r>
          </w:p>
          <w:p>
            <w:pPr>
              <w:spacing w:line="240" w:lineRule="auto"/>
              <w:ind w:firstLine="0" w:firstLineChars="0"/>
              <w:jc w:val="center"/>
              <w:rPr>
                <w:sz w:val="21"/>
                <w:szCs w:val="21"/>
              </w:rPr>
            </w:pPr>
            <w:r>
              <w:rPr>
                <w:sz w:val="21"/>
                <w:szCs w:val="21"/>
              </w:rPr>
              <w:t>法烟</w:t>
            </w:r>
          </w:p>
          <w:p>
            <w:pPr>
              <w:spacing w:line="240" w:lineRule="auto"/>
              <w:ind w:firstLine="0" w:firstLineChars="0"/>
              <w:jc w:val="center"/>
              <w:rPr>
                <w:sz w:val="21"/>
                <w:szCs w:val="21"/>
              </w:rPr>
            </w:pPr>
            <w:r>
              <w:rPr>
                <w:sz w:val="21"/>
                <w:szCs w:val="21"/>
              </w:rPr>
              <w:t>气脱</w:t>
            </w:r>
          </w:p>
          <w:p>
            <w:pPr>
              <w:spacing w:line="240" w:lineRule="auto"/>
              <w:ind w:firstLine="0" w:firstLineChars="0"/>
              <w:jc w:val="center"/>
              <w:rPr>
                <w:sz w:val="21"/>
                <w:szCs w:val="21"/>
              </w:rPr>
            </w:pPr>
            <w:r>
              <w:rPr>
                <w:sz w:val="21"/>
                <w:szCs w:val="21"/>
              </w:rPr>
              <w:t>硫塔</w:t>
            </w:r>
          </w:p>
          <w:p>
            <w:pPr>
              <w:spacing w:line="240" w:lineRule="auto"/>
              <w:ind w:firstLine="0" w:firstLineChars="0"/>
              <w:jc w:val="center"/>
              <w:rPr>
                <w:sz w:val="21"/>
                <w:szCs w:val="21"/>
              </w:rPr>
            </w:pPr>
            <w:r>
              <w:rPr>
                <w:sz w:val="21"/>
                <w:szCs w:val="21"/>
              </w:rPr>
              <w:t>工段</w:t>
            </w:r>
          </w:p>
        </w:tc>
        <w:tc>
          <w:tcPr>
            <w:tcW w:w="865" w:type="pct"/>
          </w:tcPr>
          <w:p>
            <w:pPr>
              <w:spacing w:line="240" w:lineRule="auto"/>
              <w:ind w:firstLine="0" w:firstLineChars="0"/>
              <w:jc w:val="center"/>
              <w:rPr>
                <w:sz w:val="21"/>
              </w:rPr>
            </w:pPr>
            <w:r>
              <w:rPr>
                <w:sz w:val="21"/>
              </w:rPr>
              <w:t>循环流化床脱硫塔</w:t>
            </w:r>
          </w:p>
        </w:tc>
        <w:tc>
          <w:tcPr>
            <w:tcW w:w="2261" w:type="pct"/>
          </w:tcPr>
          <w:p>
            <w:pPr>
              <w:spacing w:line="240" w:lineRule="auto"/>
              <w:ind w:firstLine="0" w:firstLineChars="0"/>
              <w:jc w:val="center"/>
            </w:pPr>
            <w:r>
              <w:rPr>
                <w:rFonts w:eastAsia="Times New Roman"/>
                <w:sz w:val="21"/>
              </w:rPr>
              <w:t>Φ3800</w:t>
            </w:r>
            <w:r>
              <w:rPr>
                <w:sz w:val="21"/>
              </w:rPr>
              <w:t>，配引风机</w:t>
            </w:r>
          </w:p>
          <w:p>
            <w:pPr>
              <w:spacing w:line="240" w:lineRule="auto"/>
              <w:ind w:firstLine="0" w:firstLineChars="0"/>
              <w:jc w:val="center"/>
              <w:rPr>
                <w:sz w:val="21"/>
              </w:rPr>
            </w:pPr>
            <w:r>
              <w:rPr>
                <w:rFonts w:eastAsia="Times New Roman"/>
                <w:sz w:val="21"/>
              </w:rPr>
              <w:t>GF-51-14D,Q=100000m³</w:t>
            </w:r>
          </w:p>
        </w:tc>
        <w:tc>
          <w:tcPr>
            <w:tcW w:w="357" w:type="pct"/>
            <w:vAlign w:val="center"/>
          </w:tcPr>
          <w:p>
            <w:pPr>
              <w:spacing w:line="240" w:lineRule="auto"/>
              <w:ind w:firstLine="0" w:firstLineChars="0"/>
              <w:jc w:val="center"/>
              <w:rPr>
                <w:rFonts w:eastAsia="Times New Roman"/>
                <w:sz w:val="21"/>
              </w:rPr>
            </w:pPr>
            <w:r>
              <w:rPr>
                <w:rFonts w:eastAsia="Times New Roman"/>
                <w:sz w:val="21"/>
              </w:rPr>
              <w:t>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罗茨风机</w:t>
            </w:r>
          </w:p>
        </w:tc>
        <w:tc>
          <w:tcPr>
            <w:tcW w:w="2261" w:type="pct"/>
          </w:tcPr>
          <w:p>
            <w:pPr>
              <w:spacing w:line="240" w:lineRule="auto"/>
              <w:ind w:firstLine="0" w:firstLineChars="0"/>
              <w:jc w:val="center"/>
              <w:rPr>
                <w:sz w:val="21"/>
              </w:rPr>
            </w:pPr>
            <w:r>
              <w:rPr>
                <w:rFonts w:eastAsia="Times New Roman"/>
                <w:sz w:val="21"/>
              </w:rPr>
              <w:t>CKSP-11kw</w:t>
            </w:r>
          </w:p>
        </w:tc>
        <w:tc>
          <w:tcPr>
            <w:tcW w:w="357" w:type="pct"/>
          </w:tcPr>
          <w:p>
            <w:pPr>
              <w:spacing w:line="240" w:lineRule="auto"/>
              <w:ind w:firstLine="0" w:firstLineChars="0"/>
              <w:jc w:val="center"/>
              <w:rPr>
                <w:rFonts w:eastAsia="Times New Roman"/>
                <w:sz w:val="21"/>
              </w:rPr>
            </w:pPr>
            <w:r>
              <w:rPr>
                <w:rFonts w:eastAsia="Times New Roman"/>
                <w:sz w:val="21"/>
              </w:rPr>
              <w:t>8</w:t>
            </w:r>
          </w:p>
        </w:tc>
        <w:tc>
          <w:tcPr>
            <w:tcW w:w="342" w:type="pct"/>
          </w:tcPr>
          <w:p>
            <w:pPr>
              <w:spacing w:line="240" w:lineRule="auto"/>
              <w:ind w:firstLine="0" w:firstLineChars="0"/>
              <w:jc w:val="center"/>
              <w:rPr>
                <w:rFonts w:eastAsia="Times New Roman"/>
                <w:sz w:val="21"/>
              </w:rPr>
            </w:pPr>
            <w:r>
              <w:rPr>
                <w:rFonts w:eastAsia="Times New Roman"/>
                <w:sz w:val="21"/>
              </w:rPr>
              <w:t>8</w:t>
            </w:r>
          </w:p>
        </w:tc>
        <w:tc>
          <w:tcPr>
            <w:tcW w:w="322" w:type="pct"/>
          </w:tcPr>
          <w:p>
            <w:pPr>
              <w:spacing w:line="240" w:lineRule="auto"/>
              <w:ind w:firstLine="0" w:firstLineChars="0"/>
              <w:jc w:val="center"/>
              <w:rPr>
                <w:rFonts w:eastAsia="Times New Roman"/>
                <w:sz w:val="21"/>
              </w:rPr>
            </w:pPr>
            <w:r>
              <w:rPr>
                <w:rFonts w:eastAsia="Times New Roman"/>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喷湿水泵系统</w:t>
            </w:r>
          </w:p>
        </w:tc>
        <w:tc>
          <w:tcPr>
            <w:tcW w:w="2261" w:type="pct"/>
            <w:vAlign w:val="center"/>
          </w:tcPr>
          <w:p>
            <w:pPr>
              <w:spacing w:line="240" w:lineRule="auto"/>
              <w:ind w:firstLine="0" w:firstLineChars="0"/>
              <w:jc w:val="center"/>
              <w:rPr>
                <w:rFonts w:eastAsia="Times New Roman"/>
                <w:sz w:val="21"/>
              </w:rPr>
            </w:pPr>
            <w:r>
              <w:rPr>
                <w:rFonts w:eastAsia="Times New Roman"/>
                <w:sz w:val="21"/>
              </w:rPr>
              <w:t>200UFB-400-22-22kw</w:t>
            </w:r>
          </w:p>
        </w:tc>
        <w:tc>
          <w:tcPr>
            <w:tcW w:w="357" w:type="pct"/>
            <w:vAlign w:val="center"/>
          </w:tcPr>
          <w:p>
            <w:pPr>
              <w:spacing w:line="240" w:lineRule="auto"/>
              <w:ind w:firstLine="0" w:firstLineChars="0"/>
              <w:jc w:val="center"/>
              <w:rPr>
                <w:rFonts w:eastAsia="Times New Roman"/>
                <w:sz w:val="21"/>
              </w:rPr>
            </w:pPr>
            <w:r>
              <w:rPr>
                <w:rFonts w:eastAsia="Times New Roman"/>
                <w:sz w:val="21"/>
              </w:rPr>
              <w:t>8</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电加热器</w:t>
            </w:r>
          </w:p>
        </w:tc>
        <w:tc>
          <w:tcPr>
            <w:tcW w:w="2261" w:type="pct"/>
          </w:tcPr>
          <w:p>
            <w:pPr>
              <w:spacing w:line="240" w:lineRule="auto"/>
              <w:ind w:firstLine="0" w:firstLineChars="0"/>
              <w:jc w:val="center"/>
              <w:rPr>
                <w:rFonts w:eastAsia="Times New Roman"/>
                <w:sz w:val="21"/>
              </w:rPr>
            </w:pPr>
            <w:r>
              <w:rPr>
                <w:sz w:val="21"/>
              </w:rPr>
              <w:t>板式</w:t>
            </w:r>
          </w:p>
        </w:tc>
        <w:tc>
          <w:tcPr>
            <w:tcW w:w="357" w:type="pct"/>
          </w:tcPr>
          <w:p>
            <w:pPr>
              <w:spacing w:line="240" w:lineRule="auto"/>
              <w:ind w:firstLine="0" w:firstLineChars="0"/>
              <w:jc w:val="center"/>
              <w:rPr>
                <w:rFonts w:eastAsia="Times New Roman"/>
                <w:sz w:val="21"/>
              </w:rPr>
            </w:pPr>
            <w:r>
              <w:rPr>
                <w:rFonts w:eastAsia="Times New Roman"/>
                <w:sz w:val="21"/>
              </w:rPr>
              <w:t>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废渣浆搅拌系统</w:t>
            </w:r>
          </w:p>
        </w:tc>
        <w:tc>
          <w:tcPr>
            <w:tcW w:w="2261" w:type="pct"/>
            <w:vAlign w:val="center"/>
          </w:tcPr>
          <w:p>
            <w:pPr>
              <w:spacing w:line="240" w:lineRule="auto"/>
              <w:ind w:firstLine="0" w:firstLineChars="0"/>
              <w:jc w:val="center"/>
              <w:rPr>
                <w:sz w:val="21"/>
              </w:rPr>
            </w:pPr>
            <w:r>
              <w:rPr>
                <w:rFonts w:eastAsia="Times New Roman"/>
                <w:sz w:val="21"/>
              </w:rPr>
              <w:t>Φ2000</w:t>
            </w:r>
            <w:r>
              <w:rPr>
                <w:sz w:val="21"/>
              </w:rPr>
              <w:t>，</w:t>
            </w:r>
            <w:r>
              <w:rPr>
                <w:rFonts w:eastAsia="Times New Roman"/>
                <w:sz w:val="21"/>
              </w:rPr>
              <w:t>5.5KW</w:t>
            </w:r>
          </w:p>
        </w:tc>
        <w:tc>
          <w:tcPr>
            <w:tcW w:w="357" w:type="pct"/>
            <w:vAlign w:val="center"/>
          </w:tcPr>
          <w:p>
            <w:pPr>
              <w:spacing w:line="240" w:lineRule="auto"/>
              <w:ind w:firstLine="0" w:firstLineChars="0"/>
              <w:jc w:val="center"/>
              <w:rPr>
                <w:rFonts w:eastAsia="Times New Roman"/>
                <w:sz w:val="21"/>
              </w:rPr>
            </w:pPr>
            <w:r>
              <w:rPr>
                <w:rFonts w:eastAsia="Times New Roman"/>
                <w:sz w:val="21"/>
              </w:rPr>
              <w:t>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石灰乳搅拌机</w:t>
            </w:r>
          </w:p>
        </w:tc>
        <w:tc>
          <w:tcPr>
            <w:tcW w:w="2261" w:type="pct"/>
            <w:vAlign w:val="center"/>
          </w:tcPr>
          <w:p>
            <w:pPr>
              <w:spacing w:line="240" w:lineRule="auto"/>
              <w:ind w:firstLine="0" w:firstLineChars="0"/>
              <w:jc w:val="center"/>
              <w:rPr>
                <w:rFonts w:eastAsia="Times New Roman"/>
                <w:sz w:val="21"/>
              </w:rPr>
            </w:pPr>
            <w:r>
              <w:rPr>
                <w:rFonts w:eastAsia="Times New Roman"/>
                <w:sz w:val="21"/>
              </w:rPr>
              <w:t>Φ2000</w:t>
            </w:r>
            <w:r>
              <w:rPr>
                <w:sz w:val="21"/>
              </w:rPr>
              <w:t>，</w:t>
            </w:r>
            <w:r>
              <w:rPr>
                <w:rFonts w:eastAsia="Times New Roman"/>
                <w:sz w:val="21"/>
              </w:rPr>
              <w:t>7.5KW</w:t>
            </w:r>
          </w:p>
        </w:tc>
        <w:tc>
          <w:tcPr>
            <w:tcW w:w="357" w:type="pct"/>
            <w:vAlign w:val="center"/>
          </w:tcPr>
          <w:p>
            <w:pPr>
              <w:spacing w:line="240" w:lineRule="auto"/>
              <w:ind w:firstLine="0" w:firstLineChars="0"/>
              <w:jc w:val="center"/>
              <w:rPr>
                <w:rFonts w:eastAsia="Times New Roman"/>
                <w:sz w:val="21"/>
              </w:rPr>
            </w:pPr>
            <w:r>
              <w:rPr>
                <w:rFonts w:eastAsia="Times New Roman"/>
                <w:sz w:val="21"/>
              </w:rPr>
              <w:t>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循环搅拌系统</w:t>
            </w:r>
          </w:p>
        </w:tc>
        <w:tc>
          <w:tcPr>
            <w:tcW w:w="2261" w:type="pct"/>
            <w:vAlign w:val="center"/>
          </w:tcPr>
          <w:p>
            <w:pPr>
              <w:spacing w:line="240" w:lineRule="auto"/>
              <w:ind w:firstLine="0" w:firstLineChars="0"/>
              <w:jc w:val="center"/>
              <w:rPr>
                <w:rFonts w:eastAsia="Times New Roman"/>
                <w:sz w:val="21"/>
              </w:rPr>
            </w:pPr>
            <w:r>
              <w:rPr>
                <w:rFonts w:eastAsia="Times New Roman"/>
                <w:sz w:val="21"/>
              </w:rPr>
              <w:t>HKAF87</w:t>
            </w:r>
            <w:r>
              <w:rPr>
                <w:sz w:val="21"/>
              </w:rPr>
              <w:t xml:space="preserve">，速比 </w:t>
            </w:r>
            <w:r>
              <w:rPr>
                <w:rFonts w:eastAsia="Times New Roman"/>
                <w:sz w:val="21"/>
              </w:rPr>
              <w:t>7.2,11KW</w:t>
            </w:r>
          </w:p>
        </w:tc>
        <w:tc>
          <w:tcPr>
            <w:tcW w:w="357" w:type="pct"/>
            <w:vAlign w:val="center"/>
          </w:tcPr>
          <w:p>
            <w:pPr>
              <w:spacing w:line="240" w:lineRule="auto"/>
              <w:ind w:firstLine="0" w:firstLineChars="0"/>
              <w:jc w:val="center"/>
              <w:rPr>
                <w:rFonts w:eastAsia="Times New Roman"/>
                <w:sz w:val="21"/>
              </w:rPr>
            </w:pPr>
            <w:r>
              <w:rPr>
                <w:rFonts w:eastAsia="Times New Roman"/>
                <w:sz w:val="21"/>
              </w:rPr>
              <w:t>4</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压滤机柱塞泵</w:t>
            </w:r>
          </w:p>
        </w:tc>
        <w:tc>
          <w:tcPr>
            <w:tcW w:w="2261" w:type="pct"/>
            <w:vAlign w:val="center"/>
          </w:tcPr>
          <w:p>
            <w:pPr>
              <w:spacing w:line="240" w:lineRule="auto"/>
              <w:ind w:firstLine="0" w:firstLineChars="0"/>
              <w:jc w:val="center"/>
              <w:rPr>
                <w:rFonts w:eastAsia="Times New Roman"/>
                <w:sz w:val="21"/>
              </w:rPr>
            </w:pPr>
            <w:r>
              <w:rPr>
                <w:rFonts w:eastAsia="Times New Roman"/>
                <w:sz w:val="21"/>
              </w:rPr>
              <w:t>YB250</w:t>
            </w:r>
          </w:p>
        </w:tc>
        <w:tc>
          <w:tcPr>
            <w:tcW w:w="357" w:type="pct"/>
            <w:vAlign w:val="center"/>
          </w:tcPr>
          <w:p>
            <w:pPr>
              <w:spacing w:line="240" w:lineRule="auto"/>
              <w:ind w:firstLine="0" w:firstLineChars="0"/>
              <w:jc w:val="center"/>
              <w:rPr>
                <w:rFonts w:eastAsia="Times New Roman"/>
                <w:sz w:val="21"/>
              </w:rPr>
            </w:pPr>
            <w:r>
              <w:rPr>
                <w:rFonts w:eastAsia="Times New Roman"/>
                <w:sz w:val="21"/>
              </w:rPr>
              <w:t>8</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循环</w:t>
            </w:r>
          </w:p>
          <w:p>
            <w:pPr>
              <w:spacing w:line="240" w:lineRule="auto"/>
              <w:ind w:firstLine="0" w:firstLineChars="0"/>
              <w:jc w:val="center"/>
              <w:rPr>
                <w:sz w:val="21"/>
                <w:szCs w:val="21"/>
              </w:rPr>
            </w:pPr>
            <w:r>
              <w:rPr>
                <w:sz w:val="21"/>
                <w:szCs w:val="21"/>
              </w:rPr>
              <w:t>水</w:t>
            </w:r>
          </w:p>
          <w:p>
            <w:pPr>
              <w:spacing w:line="240" w:lineRule="auto"/>
              <w:ind w:firstLine="0" w:firstLineChars="0"/>
              <w:jc w:val="center"/>
              <w:rPr>
                <w:sz w:val="21"/>
                <w:szCs w:val="21"/>
              </w:rPr>
            </w:pPr>
            <w:r>
              <w:rPr>
                <w:sz w:val="21"/>
                <w:szCs w:val="21"/>
              </w:rPr>
              <w:t>处理</w:t>
            </w:r>
          </w:p>
        </w:tc>
        <w:tc>
          <w:tcPr>
            <w:tcW w:w="621" w:type="pct"/>
            <w:vMerge w:val="restart"/>
            <w:vAlign w:val="center"/>
          </w:tcPr>
          <w:p>
            <w:pPr>
              <w:spacing w:line="240" w:lineRule="auto"/>
              <w:ind w:firstLine="0" w:firstLineChars="0"/>
              <w:jc w:val="center"/>
              <w:rPr>
                <w:sz w:val="21"/>
                <w:szCs w:val="21"/>
              </w:rPr>
            </w:pPr>
            <w:r>
              <w:rPr>
                <w:sz w:val="21"/>
                <w:szCs w:val="21"/>
              </w:rPr>
              <w:t>釉渣水处理泵</w:t>
            </w:r>
          </w:p>
        </w:tc>
        <w:tc>
          <w:tcPr>
            <w:tcW w:w="865" w:type="pct"/>
            <w:vAlign w:val="center"/>
          </w:tcPr>
          <w:p>
            <w:pPr>
              <w:spacing w:line="240" w:lineRule="auto"/>
              <w:ind w:firstLine="0" w:firstLineChars="0"/>
              <w:jc w:val="center"/>
              <w:rPr>
                <w:sz w:val="21"/>
              </w:rPr>
            </w:pPr>
            <w:r>
              <w:rPr>
                <w:sz w:val="21"/>
              </w:rPr>
              <w:t>压滤机</w:t>
            </w:r>
          </w:p>
        </w:tc>
        <w:tc>
          <w:tcPr>
            <w:tcW w:w="2261" w:type="pct"/>
            <w:vAlign w:val="center"/>
          </w:tcPr>
          <w:p>
            <w:pPr>
              <w:spacing w:line="240" w:lineRule="auto"/>
              <w:ind w:firstLine="0" w:firstLineChars="0"/>
              <w:jc w:val="center"/>
              <w:rPr>
                <w:rFonts w:eastAsia="Times New Roman"/>
                <w:sz w:val="21"/>
              </w:rPr>
            </w:pPr>
            <w:r>
              <w:rPr>
                <w:sz w:val="21"/>
              </w:rPr>
              <w:t>板框式</w:t>
            </w:r>
          </w:p>
        </w:tc>
        <w:tc>
          <w:tcPr>
            <w:tcW w:w="357" w:type="pct"/>
            <w:vAlign w:val="center"/>
          </w:tcPr>
          <w:p>
            <w:pPr>
              <w:spacing w:line="240" w:lineRule="auto"/>
              <w:ind w:firstLine="0" w:firstLineChars="0"/>
              <w:jc w:val="center"/>
              <w:rPr>
                <w:rFonts w:eastAsia="Times New Roman"/>
                <w:sz w:val="21"/>
              </w:rPr>
            </w:pPr>
            <w:r>
              <w:rPr>
                <w:rFonts w:eastAsia="Times New Roman"/>
                <w:sz w:val="21"/>
              </w:rPr>
              <w:t>8</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渣浆泵</w:t>
            </w:r>
          </w:p>
        </w:tc>
        <w:tc>
          <w:tcPr>
            <w:tcW w:w="2261" w:type="pct"/>
          </w:tcPr>
          <w:p>
            <w:pPr>
              <w:spacing w:line="240" w:lineRule="auto"/>
              <w:ind w:firstLine="0" w:firstLineChars="0"/>
              <w:jc w:val="center"/>
              <w:rPr>
                <w:sz w:val="21"/>
              </w:rPr>
            </w:pPr>
            <w:r>
              <w:rPr>
                <w:rFonts w:eastAsia="Times New Roman"/>
                <w:sz w:val="21"/>
              </w:rPr>
              <w:t>NB140</w:t>
            </w:r>
          </w:p>
        </w:tc>
        <w:tc>
          <w:tcPr>
            <w:tcW w:w="357" w:type="pct"/>
          </w:tcPr>
          <w:p>
            <w:pPr>
              <w:spacing w:line="240" w:lineRule="auto"/>
              <w:ind w:firstLine="0" w:firstLineChars="0"/>
              <w:jc w:val="center"/>
              <w:rPr>
                <w:rFonts w:eastAsia="Times New Roman"/>
                <w:sz w:val="21"/>
              </w:rPr>
            </w:pPr>
            <w:r>
              <w:rPr>
                <w:rFonts w:eastAsia="Times New Roman"/>
                <w:sz w:val="21"/>
              </w:rPr>
              <w:t>8</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渣浆泵</w:t>
            </w:r>
            <w:r>
              <w:rPr>
                <w:rFonts w:eastAsia="Times New Roman"/>
                <w:sz w:val="21"/>
              </w:rPr>
              <w:t>+</w:t>
            </w:r>
            <w:r>
              <w:rPr>
                <w:sz w:val="21"/>
              </w:rPr>
              <w:t>搅拌</w:t>
            </w:r>
          </w:p>
        </w:tc>
        <w:tc>
          <w:tcPr>
            <w:tcW w:w="2261" w:type="pct"/>
            <w:vAlign w:val="center"/>
          </w:tcPr>
          <w:p>
            <w:pPr>
              <w:spacing w:line="240" w:lineRule="auto"/>
              <w:ind w:firstLine="0" w:firstLineChars="0"/>
              <w:jc w:val="center"/>
              <w:rPr>
                <w:rFonts w:eastAsia="Times New Roman"/>
                <w:sz w:val="21"/>
              </w:rPr>
            </w:pPr>
            <w:r>
              <w:rPr>
                <w:rFonts w:eastAsia="Times New Roman"/>
                <w:sz w:val="21"/>
              </w:rPr>
              <w:t>2.2KW</w:t>
            </w:r>
          </w:p>
        </w:tc>
        <w:tc>
          <w:tcPr>
            <w:tcW w:w="357" w:type="pct"/>
            <w:vAlign w:val="center"/>
          </w:tcPr>
          <w:p>
            <w:pPr>
              <w:spacing w:line="240" w:lineRule="auto"/>
              <w:ind w:firstLine="0" w:firstLineChars="0"/>
              <w:jc w:val="center"/>
              <w:rPr>
                <w:rFonts w:eastAsia="Times New Roman"/>
                <w:sz w:val="21"/>
              </w:rPr>
            </w:pPr>
            <w:r>
              <w:rPr>
                <w:rFonts w:eastAsia="Times New Roman"/>
                <w:sz w:val="21"/>
              </w:rPr>
              <w:t>8</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清水泵</w:t>
            </w:r>
          </w:p>
        </w:tc>
        <w:tc>
          <w:tcPr>
            <w:tcW w:w="2261" w:type="pct"/>
          </w:tcPr>
          <w:p>
            <w:pPr>
              <w:spacing w:line="240" w:lineRule="auto"/>
              <w:ind w:firstLine="0" w:firstLineChars="0"/>
              <w:jc w:val="center"/>
              <w:rPr>
                <w:rFonts w:eastAsia="Times New Roman"/>
                <w:sz w:val="21"/>
              </w:rPr>
            </w:pPr>
            <w:r>
              <w:rPr>
                <w:rFonts w:eastAsia="Times New Roman"/>
                <w:sz w:val="21"/>
              </w:rPr>
              <w:t>130-22-5.5kw</w:t>
            </w:r>
          </w:p>
        </w:tc>
        <w:tc>
          <w:tcPr>
            <w:tcW w:w="357" w:type="pct"/>
          </w:tcPr>
          <w:p>
            <w:pPr>
              <w:spacing w:line="240" w:lineRule="auto"/>
              <w:ind w:firstLine="0" w:firstLineChars="0"/>
              <w:jc w:val="center"/>
              <w:rPr>
                <w:rFonts w:eastAsia="Times New Roman"/>
                <w:sz w:val="21"/>
              </w:rPr>
            </w:pPr>
            <w:r>
              <w:rPr>
                <w:rFonts w:eastAsia="Times New Roman"/>
                <w:sz w:val="21"/>
              </w:rPr>
              <w:t>8</w:t>
            </w:r>
          </w:p>
        </w:tc>
        <w:tc>
          <w:tcPr>
            <w:tcW w:w="342" w:type="pct"/>
          </w:tcPr>
          <w:p>
            <w:pPr>
              <w:spacing w:line="240" w:lineRule="auto"/>
              <w:ind w:firstLine="0" w:firstLineChars="0"/>
              <w:jc w:val="center"/>
              <w:rPr>
                <w:rFonts w:eastAsia="Times New Roman"/>
                <w:sz w:val="21"/>
              </w:rPr>
            </w:pPr>
            <w:r>
              <w:rPr>
                <w:rFonts w:eastAsia="Times New Roman"/>
                <w:sz w:val="21"/>
              </w:rPr>
              <w:t>8</w:t>
            </w:r>
          </w:p>
        </w:tc>
        <w:tc>
          <w:tcPr>
            <w:tcW w:w="322" w:type="pct"/>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restart"/>
            <w:vAlign w:val="center"/>
          </w:tcPr>
          <w:p>
            <w:pPr>
              <w:spacing w:line="240" w:lineRule="auto"/>
              <w:ind w:firstLine="0" w:firstLineChars="0"/>
              <w:jc w:val="center"/>
              <w:rPr>
                <w:sz w:val="21"/>
                <w:szCs w:val="21"/>
              </w:rPr>
            </w:pPr>
            <w:r>
              <w:rPr>
                <w:sz w:val="21"/>
                <w:szCs w:val="21"/>
              </w:rPr>
              <w:t>抛光水处理池</w:t>
            </w:r>
          </w:p>
        </w:tc>
        <w:tc>
          <w:tcPr>
            <w:tcW w:w="865" w:type="pct"/>
            <w:vAlign w:val="center"/>
          </w:tcPr>
          <w:p>
            <w:pPr>
              <w:spacing w:line="240" w:lineRule="auto"/>
              <w:ind w:firstLine="0" w:firstLineChars="0"/>
              <w:jc w:val="center"/>
              <w:rPr>
                <w:sz w:val="21"/>
              </w:rPr>
            </w:pPr>
            <w:r>
              <w:rPr>
                <w:sz w:val="21"/>
              </w:rPr>
              <w:t>污水泵</w:t>
            </w:r>
          </w:p>
        </w:tc>
        <w:tc>
          <w:tcPr>
            <w:tcW w:w="2261" w:type="pct"/>
            <w:vAlign w:val="center"/>
          </w:tcPr>
          <w:p>
            <w:pPr>
              <w:spacing w:line="240" w:lineRule="auto"/>
              <w:ind w:firstLine="0" w:firstLineChars="0"/>
              <w:jc w:val="center"/>
              <w:rPr>
                <w:rFonts w:eastAsia="Times New Roman"/>
                <w:sz w:val="21"/>
              </w:rPr>
            </w:pPr>
            <w:r>
              <w:rPr>
                <w:rFonts w:eastAsia="Times New Roman"/>
                <w:sz w:val="21"/>
              </w:rPr>
              <w:t>200JSH450-25-55KW</w:t>
            </w:r>
          </w:p>
        </w:tc>
        <w:tc>
          <w:tcPr>
            <w:tcW w:w="357" w:type="pct"/>
            <w:vAlign w:val="center"/>
          </w:tcPr>
          <w:p>
            <w:pPr>
              <w:spacing w:line="240" w:lineRule="auto"/>
              <w:ind w:firstLine="0" w:firstLineChars="0"/>
              <w:jc w:val="center"/>
              <w:rPr>
                <w:rFonts w:eastAsia="Times New Roman"/>
                <w:sz w:val="21"/>
              </w:rPr>
            </w:pPr>
            <w:r>
              <w:rPr>
                <w:rFonts w:eastAsia="Times New Roman"/>
                <w:sz w:val="21"/>
              </w:rPr>
              <w:t>16</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抽沙泵</w:t>
            </w:r>
          </w:p>
        </w:tc>
        <w:tc>
          <w:tcPr>
            <w:tcW w:w="2261" w:type="pct"/>
          </w:tcPr>
          <w:p>
            <w:pPr>
              <w:spacing w:line="240" w:lineRule="auto"/>
              <w:ind w:firstLine="0" w:firstLineChars="0"/>
              <w:jc w:val="center"/>
              <w:rPr>
                <w:rFonts w:eastAsia="Times New Roman"/>
                <w:sz w:val="21"/>
              </w:rPr>
            </w:pPr>
            <w:r>
              <w:rPr>
                <w:rFonts w:eastAsia="Times New Roman"/>
                <w:sz w:val="21"/>
              </w:rPr>
              <w:t>YZJL35-25-15</w:t>
            </w:r>
          </w:p>
        </w:tc>
        <w:tc>
          <w:tcPr>
            <w:tcW w:w="357" w:type="pct"/>
          </w:tcPr>
          <w:p>
            <w:pPr>
              <w:spacing w:line="240" w:lineRule="auto"/>
              <w:ind w:firstLine="0" w:firstLineChars="0"/>
              <w:jc w:val="center"/>
              <w:rPr>
                <w:rFonts w:eastAsia="Times New Roman"/>
                <w:sz w:val="21"/>
              </w:rPr>
            </w:pPr>
            <w:r>
              <w:rPr>
                <w:rFonts w:eastAsia="Times New Roman"/>
                <w:sz w:val="21"/>
              </w:rPr>
              <w:t>8</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大颗粒脱水筛</w:t>
            </w:r>
          </w:p>
        </w:tc>
        <w:tc>
          <w:tcPr>
            <w:tcW w:w="2261" w:type="pct"/>
            <w:vAlign w:val="center"/>
          </w:tcPr>
          <w:p>
            <w:pPr>
              <w:spacing w:line="240" w:lineRule="auto"/>
              <w:ind w:firstLine="0" w:firstLineChars="0"/>
              <w:jc w:val="center"/>
              <w:rPr>
                <w:rFonts w:eastAsia="Times New Roman"/>
                <w:sz w:val="21"/>
              </w:rPr>
            </w:pPr>
            <w:r>
              <w:rPr>
                <w:rFonts w:eastAsia="Times New Roman"/>
                <w:sz w:val="21"/>
              </w:rPr>
              <w:t>10T/</w:t>
            </w:r>
            <w:r>
              <w:rPr>
                <w:sz w:val="21"/>
              </w:rPr>
              <w:t>小时</w:t>
            </w:r>
          </w:p>
        </w:tc>
        <w:tc>
          <w:tcPr>
            <w:tcW w:w="357" w:type="pct"/>
            <w:vAlign w:val="center"/>
          </w:tcPr>
          <w:p>
            <w:pPr>
              <w:spacing w:line="240" w:lineRule="auto"/>
              <w:ind w:firstLine="0" w:firstLineChars="0"/>
              <w:jc w:val="center"/>
              <w:rPr>
                <w:rFonts w:eastAsia="Times New Roman"/>
                <w:sz w:val="21"/>
              </w:rPr>
            </w:pPr>
            <w:r>
              <w:rPr>
                <w:rFonts w:eastAsia="Times New Roman"/>
                <w:sz w:val="21"/>
              </w:rPr>
              <w:t>8</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rFonts w:eastAsia="Times New Roman"/>
                <w:sz w:val="21"/>
              </w:rPr>
              <w:t xml:space="preserve">PAC </w:t>
            </w:r>
            <w:r>
              <w:rPr>
                <w:sz w:val="21"/>
              </w:rPr>
              <w:t>药剂机</w:t>
            </w:r>
          </w:p>
        </w:tc>
        <w:tc>
          <w:tcPr>
            <w:tcW w:w="2261" w:type="pct"/>
          </w:tcPr>
          <w:p>
            <w:pPr>
              <w:spacing w:line="240" w:lineRule="auto"/>
              <w:ind w:firstLine="0" w:firstLineChars="0"/>
              <w:jc w:val="center"/>
              <w:rPr>
                <w:rFonts w:eastAsia="Times New Roman"/>
                <w:sz w:val="21"/>
              </w:rPr>
            </w:pPr>
            <w:r>
              <w:rPr>
                <w:sz w:val="21"/>
              </w:rPr>
              <w:t xml:space="preserve">齿轮减速机 </w:t>
            </w:r>
            <w:r>
              <w:rPr>
                <w:rFonts w:eastAsia="Times New Roman"/>
                <w:sz w:val="21"/>
              </w:rPr>
              <w:t>1.5KW</w:t>
            </w:r>
          </w:p>
        </w:tc>
        <w:tc>
          <w:tcPr>
            <w:tcW w:w="357" w:type="pct"/>
          </w:tcPr>
          <w:p>
            <w:pPr>
              <w:spacing w:line="240" w:lineRule="auto"/>
              <w:ind w:firstLine="0" w:firstLineChars="0"/>
              <w:jc w:val="center"/>
              <w:rPr>
                <w:rFonts w:eastAsia="Times New Roman"/>
                <w:sz w:val="21"/>
              </w:rPr>
            </w:pPr>
            <w:r>
              <w:rPr>
                <w:rFonts w:eastAsia="Times New Roman"/>
                <w:sz w:val="21"/>
              </w:rPr>
              <w:t>8</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rFonts w:eastAsia="Times New Roman"/>
                <w:sz w:val="21"/>
              </w:rPr>
            </w:pPr>
            <w:r>
              <w:rPr>
                <w:sz w:val="21"/>
              </w:rPr>
              <w:t>污水处理塔</w:t>
            </w:r>
          </w:p>
        </w:tc>
        <w:tc>
          <w:tcPr>
            <w:tcW w:w="2261" w:type="pct"/>
          </w:tcPr>
          <w:p>
            <w:pPr>
              <w:spacing w:line="240" w:lineRule="auto"/>
              <w:ind w:firstLine="0" w:firstLineChars="0"/>
              <w:jc w:val="center"/>
              <w:rPr>
                <w:sz w:val="21"/>
              </w:rPr>
            </w:pPr>
            <w:r>
              <w:rPr>
                <w:sz w:val="21"/>
              </w:rPr>
              <w:t xml:space="preserve">直径 </w:t>
            </w:r>
            <w:r>
              <w:rPr>
                <w:rFonts w:eastAsia="Times New Roman"/>
                <w:sz w:val="21"/>
              </w:rPr>
              <w:t xml:space="preserve">8 </w:t>
            </w:r>
            <w:r>
              <w:rPr>
                <w:sz w:val="21"/>
              </w:rPr>
              <w:t xml:space="preserve">米，高 </w:t>
            </w:r>
            <w:r>
              <w:rPr>
                <w:rFonts w:eastAsia="Times New Roman"/>
                <w:sz w:val="21"/>
              </w:rPr>
              <w:t xml:space="preserve">15.7 </w:t>
            </w:r>
            <w:r>
              <w:rPr>
                <w:sz w:val="21"/>
              </w:rPr>
              <w:t>米</w:t>
            </w:r>
          </w:p>
        </w:tc>
        <w:tc>
          <w:tcPr>
            <w:tcW w:w="357" w:type="pct"/>
          </w:tcPr>
          <w:p>
            <w:pPr>
              <w:spacing w:line="240" w:lineRule="auto"/>
              <w:ind w:firstLine="0" w:firstLineChars="0"/>
              <w:jc w:val="center"/>
              <w:rPr>
                <w:rFonts w:eastAsia="Times New Roman"/>
                <w:sz w:val="21"/>
              </w:rPr>
            </w:pPr>
            <w:r>
              <w:rPr>
                <w:rFonts w:eastAsia="Times New Roman"/>
                <w:sz w:val="21"/>
              </w:rPr>
              <w:t>16</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清水塔</w:t>
            </w:r>
          </w:p>
        </w:tc>
        <w:tc>
          <w:tcPr>
            <w:tcW w:w="2261" w:type="pct"/>
          </w:tcPr>
          <w:p>
            <w:pPr>
              <w:spacing w:line="240" w:lineRule="auto"/>
              <w:ind w:firstLine="0" w:firstLineChars="0"/>
              <w:jc w:val="center"/>
              <w:rPr>
                <w:sz w:val="21"/>
              </w:rPr>
            </w:pPr>
            <w:r>
              <w:rPr>
                <w:sz w:val="21"/>
              </w:rPr>
              <w:t xml:space="preserve">直径 </w:t>
            </w:r>
            <w:r>
              <w:rPr>
                <w:rFonts w:eastAsia="Times New Roman"/>
                <w:sz w:val="21"/>
              </w:rPr>
              <w:t xml:space="preserve">6 </w:t>
            </w:r>
            <w:r>
              <w:rPr>
                <w:sz w:val="21"/>
              </w:rPr>
              <w:t xml:space="preserve">米，高 </w:t>
            </w:r>
            <w:r>
              <w:rPr>
                <w:rFonts w:eastAsia="Times New Roman"/>
                <w:sz w:val="21"/>
              </w:rPr>
              <w:t xml:space="preserve">15 </w:t>
            </w:r>
            <w:r>
              <w:rPr>
                <w:sz w:val="21"/>
              </w:rPr>
              <w:t>米</w:t>
            </w:r>
          </w:p>
        </w:tc>
        <w:tc>
          <w:tcPr>
            <w:tcW w:w="357" w:type="pct"/>
          </w:tcPr>
          <w:p>
            <w:pPr>
              <w:spacing w:line="240" w:lineRule="auto"/>
              <w:ind w:firstLine="0" w:firstLineChars="0"/>
              <w:jc w:val="center"/>
              <w:rPr>
                <w:rFonts w:eastAsia="Times New Roman"/>
                <w:sz w:val="21"/>
              </w:rPr>
            </w:pPr>
            <w:r>
              <w:rPr>
                <w:rFonts w:eastAsia="Times New Roman"/>
                <w:sz w:val="21"/>
              </w:rPr>
              <w:t>16</w:t>
            </w:r>
          </w:p>
        </w:tc>
        <w:tc>
          <w:tcPr>
            <w:tcW w:w="342" w:type="pct"/>
          </w:tcPr>
          <w:p>
            <w:pPr>
              <w:spacing w:line="240" w:lineRule="auto"/>
              <w:ind w:firstLine="0" w:firstLineChars="0"/>
              <w:jc w:val="center"/>
              <w:rPr>
                <w:rFonts w:eastAsia="Times New Roman"/>
                <w:sz w:val="21"/>
              </w:rPr>
            </w:pPr>
            <w:r>
              <w:rPr>
                <w:rFonts w:eastAsia="Times New Roman"/>
                <w:sz w:val="21"/>
              </w:rPr>
              <w:t>16</w:t>
            </w:r>
          </w:p>
        </w:tc>
        <w:tc>
          <w:tcPr>
            <w:tcW w:w="322" w:type="pct"/>
          </w:tcPr>
          <w:p>
            <w:pPr>
              <w:spacing w:line="240" w:lineRule="auto"/>
              <w:ind w:firstLine="0" w:firstLineChars="0"/>
              <w:jc w:val="center"/>
              <w:rPr>
                <w:rFonts w:eastAsia="Times New Roman"/>
                <w:sz w:val="21"/>
              </w:rPr>
            </w:pPr>
            <w:r>
              <w:rPr>
                <w:rFonts w:eastAsia="Times New Roman"/>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真空陶瓷过滤机</w:t>
            </w:r>
          </w:p>
        </w:tc>
        <w:tc>
          <w:tcPr>
            <w:tcW w:w="2261" w:type="pct"/>
            <w:vAlign w:val="center"/>
          </w:tcPr>
          <w:p>
            <w:pPr>
              <w:spacing w:line="240" w:lineRule="auto"/>
              <w:ind w:firstLine="0" w:firstLineChars="0"/>
              <w:jc w:val="center"/>
              <w:rPr>
                <w:sz w:val="21"/>
              </w:rPr>
            </w:pPr>
            <w:r>
              <w:rPr>
                <w:rFonts w:eastAsia="Times New Roman"/>
                <w:sz w:val="21"/>
              </w:rPr>
              <w:t>POR-40</w:t>
            </w:r>
          </w:p>
        </w:tc>
        <w:tc>
          <w:tcPr>
            <w:tcW w:w="357" w:type="pct"/>
            <w:vAlign w:val="center"/>
          </w:tcPr>
          <w:p>
            <w:pPr>
              <w:spacing w:line="240" w:lineRule="auto"/>
              <w:ind w:firstLine="0" w:firstLineChars="0"/>
              <w:jc w:val="center"/>
              <w:rPr>
                <w:rFonts w:eastAsia="Times New Roman"/>
                <w:sz w:val="21"/>
              </w:rPr>
            </w:pPr>
            <w:r>
              <w:rPr>
                <w:rFonts w:eastAsia="Times New Roman"/>
                <w:sz w:val="21"/>
              </w:rPr>
              <w:t>16</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tcPr>
          <w:p>
            <w:pPr>
              <w:spacing w:line="240" w:lineRule="auto"/>
              <w:ind w:firstLine="0" w:firstLineChars="0"/>
              <w:jc w:val="center"/>
              <w:rPr>
                <w:sz w:val="21"/>
              </w:rPr>
            </w:pPr>
            <w:r>
              <w:rPr>
                <w:sz w:val="21"/>
              </w:rPr>
              <w:t>抛光抽水泵</w:t>
            </w:r>
          </w:p>
        </w:tc>
        <w:tc>
          <w:tcPr>
            <w:tcW w:w="2261" w:type="pct"/>
          </w:tcPr>
          <w:p>
            <w:pPr>
              <w:spacing w:line="240" w:lineRule="auto"/>
              <w:ind w:firstLine="0" w:firstLineChars="0"/>
              <w:jc w:val="center"/>
              <w:rPr>
                <w:rFonts w:eastAsia="Times New Roman"/>
                <w:sz w:val="21"/>
              </w:rPr>
            </w:pPr>
            <w:r>
              <w:rPr>
                <w:rFonts w:eastAsia="Times New Roman"/>
                <w:sz w:val="21"/>
              </w:rPr>
              <w:t xml:space="preserve">37KW </w:t>
            </w:r>
            <w:r>
              <w:rPr>
                <w:sz w:val="21"/>
              </w:rPr>
              <w:t>双吸</w:t>
            </w:r>
          </w:p>
        </w:tc>
        <w:tc>
          <w:tcPr>
            <w:tcW w:w="357" w:type="pct"/>
          </w:tcPr>
          <w:p>
            <w:pPr>
              <w:spacing w:line="240" w:lineRule="auto"/>
              <w:ind w:firstLine="0" w:firstLineChars="0"/>
              <w:jc w:val="center"/>
              <w:rPr>
                <w:rFonts w:eastAsia="Times New Roman"/>
                <w:sz w:val="21"/>
              </w:rPr>
            </w:pPr>
            <w:r>
              <w:rPr>
                <w:rFonts w:eastAsia="Times New Roman"/>
                <w:sz w:val="21"/>
              </w:rPr>
              <w:t>16</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restart"/>
            <w:vAlign w:val="center"/>
          </w:tcPr>
          <w:p>
            <w:pPr>
              <w:spacing w:line="240" w:lineRule="auto"/>
              <w:ind w:firstLine="0" w:firstLineChars="0"/>
              <w:jc w:val="center"/>
              <w:rPr>
                <w:sz w:val="21"/>
                <w:szCs w:val="21"/>
              </w:rPr>
            </w:pPr>
            <w:r>
              <w:rPr>
                <w:sz w:val="21"/>
                <w:szCs w:val="21"/>
              </w:rPr>
              <w:t>消防</w:t>
            </w:r>
          </w:p>
        </w:tc>
        <w:tc>
          <w:tcPr>
            <w:tcW w:w="621" w:type="pct"/>
            <w:vMerge w:val="restart"/>
            <w:vAlign w:val="center"/>
          </w:tcPr>
          <w:p>
            <w:pPr>
              <w:spacing w:line="240" w:lineRule="auto"/>
              <w:ind w:firstLine="0" w:firstLineChars="0"/>
              <w:jc w:val="center"/>
              <w:rPr>
                <w:sz w:val="21"/>
                <w:szCs w:val="21"/>
              </w:rPr>
            </w:pPr>
            <w:r>
              <w:rPr>
                <w:sz w:val="21"/>
                <w:szCs w:val="21"/>
              </w:rPr>
              <w:t>消防水泵</w:t>
            </w:r>
          </w:p>
        </w:tc>
        <w:tc>
          <w:tcPr>
            <w:tcW w:w="865" w:type="pct"/>
          </w:tcPr>
          <w:p>
            <w:pPr>
              <w:spacing w:line="240" w:lineRule="auto"/>
              <w:ind w:firstLine="0" w:firstLineChars="0"/>
              <w:jc w:val="center"/>
              <w:rPr>
                <w:sz w:val="21"/>
              </w:rPr>
            </w:pPr>
            <w:r>
              <w:rPr>
                <w:rFonts w:eastAsia="Times New Roman"/>
                <w:sz w:val="21"/>
              </w:rPr>
              <w:t>600-22-75kw</w:t>
            </w:r>
          </w:p>
        </w:tc>
        <w:tc>
          <w:tcPr>
            <w:tcW w:w="2261" w:type="pct"/>
          </w:tcPr>
          <w:p>
            <w:pPr>
              <w:spacing w:line="240" w:lineRule="auto"/>
              <w:ind w:firstLine="0" w:firstLineChars="0"/>
              <w:jc w:val="center"/>
              <w:rPr>
                <w:rFonts w:eastAsia="Times New Roman"/>
                <w:sz w:val="21"/>
              </w:rPr>
            </w:pPr>
            <w:r>
              <w:rPr>
                <w:rFonts w:eastAsia="Times New Roman"/>
                <w:sz w:val="21"/>
              </w:rPr>
              <w:t>600-22-75kw</w:t>
            </w:r>
          </w:p>
        </w:tc>
        <w:tc>
          <w:tcPr>
            <w:tcW w:w="357" w:type="pct"/>
          </w:tcPr>
          <w:p>
            <w:pPr>
              <w:spacing w:line="240" w:lineRule="auto"/>
              <w:ind w:firstLine="0" w:firstLineChars="0"/>
              <w:jc w:val="center"/>
              <w:rPr>
                <w:rFonts w:eastAsia="Times New Roman"/>
                <w:sz w:val="21"/>
              </w:rPr>
            </w:pPr>
            <w:r>
              <w:rPr>
                <w:rFonts w:eastAsia="Times New Roman"/>
                <w:sz w:val="21"/>
              </w:rPr>
              <w:t>4</w:t>
            </w:r>
          </w:p>
        </w:tc>
        <w:tc>
          <w:tcPr>
            <w:tcW w:w="342" w:type="pct"/>
          </w:tcPr>
          <w:p>
            <w:pPr>
              <w:spacing w:line="240" w:lineRule="auto"/>
              <w:ind w:firstLine="0" w:firstLineChars="0"/>
              <w:jc w:val="center"/>
              <w:rPr>
                <w:rFonts w:eastAsia="Times New Roman"/>
                <w:sz w:val="21"/>
              </w:rPr>
            </w:pPr>
            <w:r>
              <w:rPr>
                <w:rFonts w:eastAsia="Times New Roman"/>
                <w:sz w:val="21"/>
              </w:rPr>
              <w:t>0</w:t>
            </w:r>
          </w:p>
        </w:tc>
        <w:tc>
          <w:tcPr>
            <w:tcW w:w="322" w:type="pct"/>
          </w:tcPr>
          <w:p>
            <w:pPr>
              <w:spacing w:line="240" w:lineRule="auto"/>
              <w:ind w:firstLine="0" w:firstLineChars="0"/>
              <w:jc w:val="center"/>
              <w:rPr>
                <w:rFonts w:eastAsia="Times New Roman"/>
                <w:sz w:val="21"/>
              </w:rPr>
            </w:pPr>
            <w:r>
              <w:rPr>
                <w:rFonts w:eastAsia="Times New Roman"/>
                <w:sz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 w:type="pct"/>
            <w:vMerge w:val="continue"/>
            <w:vAlign w:val="center"/>
          </w:tcPr>
          <w:p>
            <w:pPr>
              <w:spacing w:line="240" w:lineRule="auto"/>
              <w:ind w:firstLine="0" w:firstLineChars="0"/>
              <w:jc w:val="center"/>
              <w:rPr>
                <w:sz w:val="21"/>
                <w:szCs w:val="21"/>
              </w:rPr>
            </w:pPr>
          </w:p>
        </w:tc>
        <w:tc>
          <w:tcPr>
            <w:tcW w:w="621" w:type="pct"/>
            <w:vMerge w:val="continue"/>
            <w:vAlign w:val="center"/>
          </w:tcPr>
          <w:p>
            <w:pPr>
              <w:spacing w:line="240" w:lineRule="auto"/>
              <w:ind w:firstLine="0" w:firstLineChars="0"/>
              <w:jc w:val="center"/>
              <w:rPr>
                <w:sz w:val="21"/>
                <w:szCs w:val="21"/>
              </w:rPr>
            </w:pPr>
          </w:p>
        </w:tc>
        <w:tc>
          <w:tcPr>
            <w:tcW w:w="865" w:type="pct"/>
            <w:vAlign w:val="center"/>
          </w:tcPr>
          <w:p>
            <w:pPr>
              <w:spacing w:line="240" w:lineRule="auto"/>
              <w:ind w:firstLine="0" w:firstLineChars="0"/>
              <w:jc w:val="center"/>
              <w:rPr>
                <w:rFonts w:eastAsia="Times New Roman"/>
                <w:sz w:val="21"/>
              </w:rPr>
            </w:pPr>
            <w:r>
              <w:rPr>
                <w:rFonts w:eastAsia="Times New Roman"/>
                <w:sz w:val="21"/>
              </w:rPr>
              <w:t>300-22-45kw</w:t>
            </w:r>
          </w:p>
        </w:tc>
        <w:tc>
          <w:tcPr>
            <w:tcW w:w="2261" w:type="pct"/>
            <w:vAlign w:val="center"/>
          </w:tcPr>
          <w:p>
            <w:pPr>
              <w:spacing w:line="240" w:lineRule="auto"/>
              <w:ind w:firstLine="0" w:firstLineChars="0"/>
              <w:jc w:val="center"/>
              <w:rPr>
                <w:rFonts w:eastAsia="Times New Roman"/>
                <w:sz w:val="21"/>
              </w:rPr>
            </w:pPr>
            <w:r>
              <w:rPr>
                <w:rFonts w:eastAsia="Times New Roman"/>
                <w:sz w:val="21"/>
              </w:rPr>
              <w:t>300-22-45kw</w:t>
            </w:r>
          </w:p>
        </w:tc>
        <w:tc>
          <w:tcPr>
            <w:tcW w:w="357" w:type="pct"/>
            <w:vAlign w:val="center"/>
          </w:tcPr>
          <w:p>
            <w:pPr>
              <w:spacing w:line="240" w:lineRule="auto"/>
              <w:ind w:firstLine="0" w:firstLineChars="0"/>
              <w:jc w:val="center"/>
              <w:rPr>
                <w:rFonts w:eastAsia="Times New Roman"/>
                <w:sz w:val="21"/>
              </w:rPr>
            </w:pPr>
            <w:r>
              <w:rPr>
                <w:rFonts w:eastAsia="Times New Roman"/>
                <w:sz w:val="21"/>
              </w:rPr>
              <w:t>8</w:t>
            </w:r>
          </w:p>
        </w:tc>
        <w:tc>
          <w:tcPr>
            <w:tcW w:w="342" w:type="pct"/>
            <w:vAlign w:val="center"/>
          </w:tcPr>
          <w:p>
            <w:pPr>
              <w:spacing w:line="240" w:lineRule="auto"/>
              <w:ind w:firstLine="0" w:firstLineChars="0"/>
              <w:jc w:val="center"/>
              <w:rPr>
                <w:rFonts w:eastAsia="Times New Roman"/>
                <w:sz w:val="21"/>
              </w:rPr>
            </w:pPr>
            <w:r>
              <w:rPr>
                <w:rFonts w:eastAsia="Times New Roman"/>
                <w:sz w:val="21"/>
              </w:rPr>
              <w:t>0</w:t>
            </w:r>
          </w:p>
        </w:tc>
        <w:tc>
          <w:tcPr>
            <w:tcW w:w="322" w:type="pct"/>
            <w:vAlign w:val="center"/>
          </w:tcPr>
          <w:p>
            <w:pPr>
              <w:spacing w:line="240" w:lineRule="auto"/>
              <w:ind w:firstLine="0" w:firstLineChars="0"/>
              <w:jc w:val="center"/>
              <w:rPr>
                <w:rFonts w:eastAsia="Times New Roman"/>
                <w:sz w:val="21"/>
              </w:rPr>
            </w:pPr>
            <w:r>
              <w:rPr>
                <w:rFonts w:eastAsia="Times New Roman"/>
                <w:sz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79" w:type="pct"/>
            <w:gridSpan w:val="4"/>
            <w:vAlign w:val="center"/>
          </w:tcPr>
          <w:p>
            <w:pPr>
              <w:spacing w:line="240" w:lineRule="auto"/>
              <w:ind w:firstLine="0" w:firstLineChars="0"/>
              <w:jc w:val="center"/>
              <w:rPr>
                <w:rFonts w:eastAsia="Times New Roman"/>
                <w:sz w:val="21"/>
              </w:rPr>
            </w:pPr>
            <w:r>
              <w:rPr>
                <w:sz w:val="21"/>
              </w:rPr>
              <w:t>合计</w:t>
            </w:r>
          </w:p>
        </w:tc>
        <w:tc>
          <w:tcPr>
            <w:tcW w:w="357" w:type="pct"/>
            <w:vAlign w:val="center"/>
          </w:tcPr>
          <w:p>
            <w:pPr>
              <w:spacing w:line="240" w:lineRule="auto"/>
              <w:ind w:firstLine="0" w:firstLineChars="0"/>
              <w:jc w:val="center"/>
              <w:rPr>
                <w:rFonts w:eastAsia="Times New Roman"/>
                <w:sz w:val="21"/>
              </w:rPr>
            </w:pPr>
            <w:r>
              <w:rPr>
                <w:rFonts w:eastAsia="Times New Roman"/>
                <w:sz w:val="21"/>
              </w:rPr>
              <w:t>3991</w:t>
            </w:r>
          </w:p>
        </w:tc>
        <w:tc>
          <w:tcPr>
            <w:tcW w:w="342" w:type="pct"/>
            <w:vAlign w:val="center"/>
          </w:tcPr>
          <w:p>
            <w:pPr>
              <w:spacing w:line="240" w:lineRule="auto"/>
              <w:ind w:firstLine="0" w:firstLineChars="0"/>
              <w:jc w:val="center"/>
              <w:rPr>
                <w:rFonts w:eastAsia="Times New Roman"/>
                <w:sz w:val="21"/>
              </w:rPr>
            </w:pPr>
            <w:r>
              <w:rPr>
                <w:rFonts w:eastAsia="Times New Roman"/>
                <w:sz w:val="21"/>
              </w:rPr>
              <w:t>219</w:t>
            </w:r>
          </w:p>
        </w:tc>
        <w:tc>
          <w:tcPr>
            <w:tcW w:w="322" w:type="pct"/>
            <w:vAlign w:val="center"/>
          </w:tcPr>
          <w:p>
            <w:pPr>
              <w:spacing w:line="240" w:lineRule="auto"/>
              <w:ind w:firstLine="0" w:firstLineChars="0"/>
              <w:jc w:val="center"/>
              <w:rPr>
                <w:rFonts w:eastAsia="Times New Roman"/>
                <w:sz w:val="21"/>
              </w:rPr>
            </w:pPr>
            <w:r>
              <w:rPr>
                <w:rFonts w:eastAsia="Times New Roman"/>
                <w:sz w:val="21"/>
              </w:rPr>
              <w:t>10501</w:t>
            </w:r>
          </w:p>
        </w:tc>
      </w:tr>
    </w:tbl>
    <w:p>
      <w:pPr>
        <w:pStyle w:val="4"/>
        <w:rPr>
          <w:rFonts w:cs="Times New Roman"/>
        </w:rPr>
      </w:pPr>
      <w:bookmarkStart w:id="77" w:name="_Toc86611255"/>
      <w:r>
        <w:rPr>
          <w:rFonts w:cs="Times New Roman"/>
        </w:rPr>
        <w:t>3.1.6总平面布置</w:t>
      </w:r>
      <w:bookmarkEnd w:id="77"/>
    </w:p>
    <w:p>
      <w:pPr>
        <w:ind w:firstLine="480"/>
        <w:rPr>
          <w:rFonts w:cs="Times New Roman"/>
        </w:rPr>
      </w:pPr>
      <w:r>
        <w:rPr>
          <w:rFonts w:cs="Times New Roman"/>
        </w:rPr>
        <w:t>本项目拟征地1748亩，位于衡阳县界牌陶瓷循环经济特色工业园区内。本项目总平面布置根据厂区土地的地块形状，从整个厂区的地理位置、风向以及与外围交通的便利性等方面进行合理规划和布置。</w:t>
      </w:r>
    </w:p>
    <w:p>
      <w:pPr>
        <w:ind w:firstLine="480"/>
        <w:rPr>
          <w:rFonts w:cs="Times New Roman"/>
        </w:rPr>
      </w:pPr>
      <w:r>
        <w:rPr>
          <w:rFonts w:cs="Times New Roman"/>
        </w:rPr>
        <w:t>项目区域呈不规则多边形，总平面布置从县界牌陶瓷循环经济特色工业园区整体思路出发，充分考虑与周边的协调统一。</w:t>
      </w:r>
    </w:p>
    <w:p>
      <w:pPr>
        <w:ind w:firstLine="480"/>
        <w:rPr>
          <w:rFonts w:cs="Times New Roman"/>
        </w:rPr>
      </w:pPr>
      <w:r>
        <w:rPr>
          <w:rFonts w:cs="Times New Roman"/>
        </w:rPr>
        <w:t>根据工艺要求，结合现有地形条件，根据工艺要求，结合现有地形条件，拟从西往东布置办公生活区、生产区、原料制备车间、原料堆场。</w:t>
      </w:r>
    </w:p>
    <w:p>
      <w:pPr>
        <w:ind w:firstLine="480"/>
        <w:rPr>
          <w:rFonts w:cs="Times New Roman"/>
        </w:rPr>
      </w:pPr>
      <w:r>
        <w:rPr>
          <w:rFonts w:cs="Times New Roman"/>
        </w:rPr>
        <w:t>生产区由北向南依次布置洁具生产车间、6条抛釉砖车间、4条岩板/大板车间、3条抛釉砖车间。</w:t>
      </w:r>
    </w:p>
    <w:p>
      <w:pPr>
        <w:ind w:firstLine="480"/>
        <w:rPr>
          <w:rFonts w:cs="Times New Roman"/>
        </w:rPr>
      </w:pPr>
      <w:r>
        <w:rPr>
          <w:rFonts w:cs="Times New Roman"/>
        </w:rPr>
        <w:t>成品仓库位于项目场地西北侧。厂区西北角为纸箱包装物生产车间，厂区东北角为熔块化工仓库、110KV 变电站等。</w:t>
      </w:r>
    </w:p>
    <w:p>
      <w:pPr>
        <w:ind w:firstLine="480"/>
        <w:rPr>
          <w:rFonts w:cs="Times New Roman"/>
        </w:rPr>
      </w:pPr>
      <w:r>
        <w:rPr>
          <w:rFonts w:cs="Times New Roman"/>
        </w:rPr>
        <w:t>厂区设置3个出入口，分别为原辅料运输出入口（位于厂区东南侧，设在创业大道旁）、成品运输出入口（位于厂区西南侧）和生活区出入口（位于厂区西南侧，设在创业大道旁）；出入口均布置有门卫及保安室，进出厂区主入口与厂区外工业园区道路相连。</w:t>
      </w:r>
    </w:p>
    <w:p>
      <w:pPr>
        <w:ind w:firstLine="480"/>
        <w:rPr>
          <w:rFonts w:cs="Times New Roman"/>
        </w:rPr>
      </w:pPr>
      <w:r>
        <w:rPr>
          <w:rFonts w:cs="Times New Roman"/>
        </w:rPr>
        <w:t>本项目办公生活区位于本项目厂区西端，与主要噪声源距离较远，项目所在地常年主导风向为北偏东风，办公生活区处于常年主导方向的侧风向，且办公生活区与生产区经绿化带相隔，车间噪声不会对项目员工与周边环境产生太大的不良影响。</w:t>
      </w:r>
    </w:p>
    <w:p>
      <w:pPr>
        <w:ind w:firstLine="480"/>
        <w:rPr>
          <w:rFonts w:cs="Times New Roman"/>
        </w:rPr>
      </w:pPr>
      <w:r>
        <w:rPr>
          <w:rFonts w:cs="Times New Roman"/>
        </w:rPr>
        <w:t>项目的总图布置合理利用地形地界，人流物流通畅，各种建筑物、构筑物间距符合防火规范要求，主要生产功能区周围道路构成环形，满足厂区运输和消防要求。</w:t>
      </w:r>
    </w:p>
    <w:p>
      <w:pPr>
        <w:pStyle w:val="4"/>
        <w:rPr>
          <w:rFonts w:cs="Times New Roman"/>
        </w:rPr>
      </w:pPr>
      <w:bookmarkStart w:id="78" w:name="_Toc86611256"/>
      <w:r>
        <w:rPr>
          <w:rFonts w:cs="Times New Roman"/>
        </w:rPr>
        <w:t>3.1.7劳动组织</w:t>
      </w:r>
      <w:bookmarkEnd w:id="78"/>
    </w:p>
    <w:p>
      <w:pPr>
        <w:ind w:firstLine="480"/>
        <w:rPr>
          <w:rFonts w:cs="Times New Roman"/>
        </w:rPr>
      </w:pPr>
      <w:r>
        <w:rPr>
          <w:rFonts w:cs="Times New Roman"/>
        </w:rPr>
        <w:t>项目实施后，根据项目的工作制度和生产运转需要，全厂职工为1600人。生产车间实行三班工作制，每班8小时，每天24小时连续生产，公司年生产天数安排为330天，年运行时间为7920小时。</w:t>
      </w:r>
    </w:p>
    <w:p>
      <w:pPr>
        <w:pStyle w:val="4"/>
        <w:rPr>
          <w:rFonts w:cs="Times New Roman"/>
        </w:rPr>
      </w:pPr>
      <w:bookmarkStart w:id="79" w:name="_Toc86611257"/>
      <w:r>
        <w:rPr>
          <w:rFonts w:cs="Times New Roman"/>
        </w:rPr>
        <w:t>3.1.8公用工程</w:t>
      </w:r>
      <w:bookmarkEnd w:id="79"/>
    </w:p>
    <w:p>
      <w:pPr>
        <w:ind w:firstLine="480"/>
        <w:rPr>
          <w:rFonts w:cs="Times New Roman"/>
        </w:rPr>
      </w:pPr>
      <w:r>
        <w:rPr>
          <w:rFonts w:cs="Times New Roman"/>
        </w:rPr>
        <w:t>1、给水</w:t>
      </w:r>
    </w:p>
    <w:p>
      <w:pPr>
        <w:ind w:firstLine="480"/>
        <w:rPr>
          <w:rFonts w:cs="Times New Roman"/>
        </w:rPr>
      </w:pPr>
      <w:r>
        <w:rPr>
          <w:rFonts w:cs="Times New Roman"/>
        </w:rPr>
        <w:t>由衡阳县界牌陶瓷循环经济特色工业园区的园区给水管网供给；供水压力为0.3Mpa，厂区内以生产、生活用水管网供水。管网采用球墨铸铁材质，埋地铺设。</w:t>
      </w:r>
    </w:p>
    <w:p>
      <w:pPr>
        <w:ind w:firstLine="480"/>
        <w:rPr>
          <w:rFonts w:cs="Times New Roman"/>
        </w:rPr>
      </w:pPr>
      <w:r>
        <w:rPr>
          <w:rFonts w:cs="Times New Roman"/>
        </w:rPr>
        <w:t>供水系统为生产、生活、消防及循环水系统，厂区由市政管引入DN600给水铸铁管，进入清水池，再经过恒压系统通过管道在厂区内形成环状到各用水点。厂区室外采用低压消防给水系统，火灾时由城市消防站的消防设施灭火；室外设地上式消防栓，每个消防栓间距不超过120m。</w:t>
      </w:r>
    </w:p>
    <w:p>
      <w:pPr>
        <w:ind w:firstLine="480"/>
        <w:rPr>
          <w:rFonts w:cs="Times New Roman"/>
        </w:rPr>
      </w:pPr>
      <w:r>
        <w:rPr>
          <w:rFonts w:cs="Times New Roman"/>
        </w:rPr>
        <w:t>2、排水</w:t>
      </w:r>
    </w:p>
    <w:p>
      <w:pPr>
        <w:ind w:firstLine="480"/>
        <w:rPr>
          <w:rFonts w:cs="Times New Roman"/>
        </w:rPr>
      </w:pPr>
      <w:r>
        <w:rPr>
          <w:rFonts w:cs="Times New Roman"/>
        </w:rPr>
        <w:t>本项目生产废水经处理后返回生产车间作为生产用水，排水主要是员工日常生活废水。生活污水产生量按员工生活用水量的80%计算，经化粪池处理后达《污水综合排放标准》标准</w:t>
      </w:r>
      <w:r>
        <w:rPr>
          <w:rFonts w:hint="eastAsia" w:cs="Times New Roman"/>
        </w:rPr>
        <w:t>一级标准</w:t>
      </w:r>
      <w:r>
        <w:rPr>
          <w:rFonts w:cs="Times New Roman"/>
        </w:rPr>
        <w:t>后排放。</w:t>
      </w:r>
    </w:p>
    <w:p>
      <w:pPr>
        <w:ind w:firstLine="480"/>
        <w:rPr>
          <w:rFonts w:cs="Times New Roman"/>
        </w:rPr>
      </w:pPr>
      <w:r>
        <w:rPr>
          <w:rFonts w:cs="Times New Roman"/>
        </w:rPr>
        <w:t>厂区采用雨污分流制，雨水管渠采用暗管，每隔一定距离设置雨水检查井及雨水口，管道在改变管径、方向、坡度处、支管接入处和管道交汇处都设检查井。厂区内雨水管道管径为DN400～DN500。</w:t>
      </w:r>
    </w:p>
    <w:p>
      <w:pPr>
        <w:ind w:firstLine="480"/>
        <w:rPr>
          <w:rFonts w:cs="Times New Roman"/>
        </w:rPr>
      </w:pPr>
      <w:r>
        <w:rPr>
          <w:rFonts w:cs="Times New Roman"/>
        </w:rPr>
        <w:t>厂区内的初期雨水经项目区南侧初期雨水收集池收集澄清后用作原料配料球磨工序用水，其余经道路排水系统排出，进入园区雨水管网，流入白象河。</w:t>
      </w:r>
    </w:p>
    <w:p>
      <w:pPr>
        <w:ind w:firstLine="480"/>
        <w:rPr>
          <w:rFonts w:cs="Times New Roman"/>
        </w:rPr>
      </w:pPr>
      <w:r>
        <w:rPr>
          <w:rFonts w:cs="Times New Roman"/>
        </w:rPr>
        <w:t>3、供电</w:t>
      </w:r>
    </w:p>
    <w:p>
      <w:pPr>
        <w:ind w:firstLine="480"/>
        <w:rPr>
          <w:rFonts w:cs="Times New Roman"/>
        </w:rPr>
      </w:pPr>
      <w:r>
        <w:rPr>
          <w:rFonts w:cs="Times New Roman"/>
        </w:rPr>
        <w:t>本工程从由衡阳县界牌陶瓷循环经济特色工业园区高压管网引来2路髙压电源。在地块东侧设置110KV 变电站，经配电室配电系统向用电设施提供动力和照明负荷供电。</w:t>
      </w:r>
    </w:p>
    <w:p>
      <w:pPr>
        <w:ind w:firstLine="480"/>
        <w:rPr>
          <w:rFonts w:cs="Times New Roman"/>
        </w:rPr>
      </w:pPr>
      <w:r>
        <w:rPr>
          <w:rFonts w:cs="Times New Roman"/>
        </w:rPr>
        <w:t>根据各专业所提用电条件，本工程的消防控制室、火灾自动报警及联动控制装置、火灾应急照明及疏散指示标志、防烟及排烟设施、自动灭火系统、消防水泵等消防负荷用电设备，生活水泵，电子信息设备机房用电等为一级负荷（如仪表电源等）；其余的用电负荷为三级负荷。</w:t>
      </w:r>
    </w:p>
    <w:p>
      <w:pPr>
        <w:ind w:firstLine="480"/>
        <w:rPr>
          <w:rFonts w:cs="Times New Roman"/>
        </w:rPr>
      </w:pPr>
      <w:r>
        <w:rPr>
          <w:rFonts w:cs="Times New Roman"/>
        </w:rPr>
        <w:t>动力、办公、照明配电电压为380/220V，三相五线制供电。由项目变配压站向用电建筑供电；厂区照明由厂区变配电站及配电间供电。</w:t>
      </w:r>
    </w:p>
    <w:p>
      <w:pPr>
        <w:ind w:firstLine="480"/>
        <w:rPr>
          <w:rFonts w:cs="Times New Roman"/>
        </w:rPr>
      </w:pPr>
      <w:r>
        <w:rPr>
          <w:rFonts w:cs="Times New Roman"/>
        </w:rPr>
        <w:t>4、通风</w:t>
      </w:r>
    </w:p>
    <w:p>
      <w:pPr>
        <w:ind w:firstLine="480"/>
        <w:rPr>
          <w:rFonts w:cs="Times New Roman"/>
        </w:rPr>
      </w:pPr>
      <w:r>
        <w:rPr>
          <w:rFonts w:cs="Times New Roman"/>
        </w:rPr>
        <w:t>项目区内建筑通风采取以自然通风为主、机械通风为辅，自然通风满足不了要求时，可开启设在屋顶的轴流风机进行通风。</w:t>
      </w:r>
    </w:p>
    <w:p>
      <w:pPr>
        <w:pStyle w:val="3"/>
        <w:rPr>
          <w:rFonts w:cs="Times New Roman"/>
        </w:rPr>
      </w:pPr>
      <w:bookmarkStart w:id="80" w:name="_Toc86611258"/>
      <w:r>
        <w:rPr>
          <w:rFonts w:cs="Times New Roman"/>
        </w:rPr>
        <w:t>3.2影响因素分析</w:t>
      </w:r>
      <w:bookmarkEnd w:id="80"/>
    </w:p>
    <w:p>
      <w:pPr>
        <w:pStyle w:val="4"/>
        <w:rPr>
          <w:rFonts w:cs="Times New Roman"/>
        </w:rPr>
      </w:pPr>
      <w:bookmarkStart w:id="81" w:name="_Toc86611259"/>
      <w:r>
        <w:rPr>
          <w:rFonts w:cs="Times New Roman"/>
        </w:rPr>
        <w:t>3.2.1工艺流程及产污环节</w:t>
      </w:r>
      <w:bookmarkEnd w:id="81"/>
    </w:p>
    <w:p>
      <w:pPr>
        <w:ind w:firstLine="480"/>
        <w:rPr>
          <w:rFonts w:cs="Times New Roman"/>
        </w:rPr>
      </w:pPr>
      <w:r>
        <w:rPr>
          <w:rFonts w:cs="Times New Roman"/>
        </w:rPr>
        <w:t>1、生产工艺流程及产污环节图</w:t>
      </w:r>
    </w:p>
    <w:p>
      <w:pPr>
        <w:ind w:firstLine="0" w:firstLineChars="0"/>
        <w:rPr>
          <w:rFonts w:cs="Times New Roman"/>
        </w:rPr>
      </w:pPr>
      <w:r>
        <w:rPr>
          <w:rFonts w:cs="Times New Roman"/>
        </w:rPr>
        <w:object>
          <v:shape id="_x0000_i1025" o:spt="75" type="#_x0000_t75" style="height:342.3pt;width:431.45pt;" o:ole="t" filled="f" o:preferrelative="t" stroked="f" coordsize="21600,21600">
            <v:path/>
            <v:fill on="f" focussize="0,0"/>
            <v:stroke on="f" joinstyle="miter"/>
            <v:imagedata r:id="rId24" o:title=""/>
            <o:lock v:ext="edit" aspectratio="t"/>
            <w10:wrap type="none"/>
            <w10:anchorlock/>
          </v:shape>
          <o:OLEObject Type="Embed" ProgID="Visio.Drawing.15" ShapeID="_x0000_i1025" DrawAspect="Content" ObjectID="_1468075725" r:id="rId23">
            <o:LockedField>false</o:LockedField>
          </o:OLEObject>
        </w:object>
      </w:r>
    </w:p>
    <w:p>
      <w:pPr>
        <w:ind w:firstLine="0" w:firstLineChars="0"/>
        <w:jc w:val="center"/>
        <w:rPr>
          <w:rFonts w:cs="Times New Roman"/>
        </w:rPr>
      </w:pPr>
      <w:r>
        <w:rPr>
          <w:rFonts w:cs="Times New Roman"/>
        </w:rPr>
        <w:t>图3.2-1  抛光砖生产工艺流程及产污环节图</w:t>
      </w:r>
    </w:p>
    <w:p>
      <w:pPr>
        <w:ind w:firstLine="0" w:firstLineChars="0"/>
        <w:jc w:val="center"/>
        <w:rPr>
          <w:rFonts w:cs="Times New Roman"/>
        </w:rPr>
      </w:pPr>
      <w:r>
        <w:rPr>
          <w:rFonts w:cs="Times New Roman"/>
        </w:rPr>
        <w:object>
          <v:shape id="_x0000_i1026" o:spt="75" type="#_x0000_t75" style="height:278.6pt;width:414.3pt;" o:ole="t" filled="f" o:preferrelative="t" stroked="f" coordsize="21600,21600">
            <v:path/>
            <v:fill on="f" focussize="0,0"/>
            <v:stroke on="f" joinstyle="miter"/>
            <v:imagedata r:id="rId26" o:title=""/>
            <o:lock v:ext="edit" aspectratio="t"/>
            <w10:wrap type="none"/>
            <w10:anchorlock/>
          </v:shape>
          <o:OLEObject Type="Embed" ProgID="Visio.Drawing.15" ShapeID="_x0000_i1026" DrawAspect="Content" ObjectID="_1468075726" r:id="rId25">
            <o:LockedField>false</o:LockedField>
          </o:OLEObject>
        </w:object>
      </w:r>
    </w:p>
    <w:p>
      <w:pPr>
        <w:ind w:firstLine="0" w:firstLineChars="0"/>
        <w:jc w:val="center"/>
        <w:rPr>
          <w:rFonts w:cs="Times New Roman"/>
        </w:rPr>
      </w:pPr>
      <w:r>
        <w:rPr>
          <w:rFonts w:cs="Times New Roman"/>
        </w:rPr>
        <w:t>图3.2-2  仿古/抛釉砖生产工艺流程及产污环节图</w:t>
      </w:r>
    </w:p>
    <w:p>
      <w:pPr>
        <w:ind w:firstLine="0" w:firstLineChars="0"/>
        <w:jc w:val="center"/>
        <w:rPr>
          <w:rFonts w:cs="Times New Roman"/>
        </w:rPr>
      </w:pPr>
      <w:r>
        <w:rPr>
          <w:rFonts w:cs="Times New Roman"/>
        </w:rPr>
        <w:object>
          <v:shape id="_x0000_i1027" o:spt="75" type="#_x0000_t75" style="height:228.75pt;width:126.3pt;" o:ole="t" filled="f" o:preferrelative="t" stroked="f" coordsize="21600,21600">
            <v:path/>
            <v:fill on="f" focussize="0,0"/>
            <v:stroke on="f" joinstyle="miter"/>
            <v:imagedata r:id="rId28" o:title=""/>
            <o:lock v:ext="edit" aspectratio="t"/>
            <w10:wrap type="none"/>
            <w10:anchorlock/>
          </v:shape>
          <o:OLEObject Type="Embed" ProgID="Visio.Drawing.15" ShapeID="_x0000_i1027" DrawAspect="Content" ObjectID="_1468075727" r:id="rId27">
            <o:LockedField>false</o:LockedField>
          </o:OLEObject>
        </w:object>
      </w:r>
    </w:p>
    <w:p>
      <w:pPr>
        <w:ind w:firstLine="0" w:firstLineChars="0"/>
        <w:jc w:val="center"/>
        <w:rPr>
          <w:rFonts w:cs="Times New Roman"/>
        </w:rPr>
      </w:pPr>
      <w:r>
        <w:rPr>
          <w:rFonts w:cs="Times New Roman"/>
        </w:rPr>
        <w:t>图3.2-3  微晶大板生产工艺及产污环节图</w:t>
      </w:r>
    </w:p>
    <w:p>
      <w:pPr>
        <w:ind w:firstLine="0" w:firstLineChars="0"/>
        <w:jc w:val="center"/>
        <w:rPr>
          <w:rFonts w:cs="Times New Roman"/>
        </w:rPr>
      </w:pPr>
      <w:r>
        <w:rPr>
          <w:rFonts w:cs="Times New Roman"/>
        </w:rPr>
        <w:object>
          <v:shape id="_x0000_i1028" o:spt="75" type="#_x0000_t75" style="height:167.25pt;width:414.85pt;" o:ole="t" filled="f" o:preferrelative="t" stroked="f" coordsize="21600,21600">
            <v:path/>
            <v:fill on="f" focussize="0,0"/>
            <v:stroke on="f" joinstyle="miter"/>
            <v:imagedata r:id="rId30" o:title=""/>
            <o:lock v:ext="edit" aspectratio="t"/>
            <w10:wrap type="none"/>
            <w10:anchorlock/>
          </v:shape>
          <o:OLEObject Type="Embed" ProgID="Visio.Drawing.15" ShapeID="_x0000_i1028" DrawAspect="Content" ObjectID="_1468075728" r:id="rId29">
            <o:LockedField>false</o:LockedField>
          </o:OLEObject>
        </w:object>
      </w:r>
    </w:p>
    <w:p>
      <w:pPr>
        <w:ind w:firstLine="0" w:firstLineChars="0"/>
        <w:jc w:val="center"/>
        <w:rPr>
          <w:rFonts w:cs="Times New Roman"/>
        </w:rPr>
      </w:pPr>
      <w:r>
        <w:rPr>
          <w:rFonts w:cs="Times New Roman"/>
        </w:rPr>
        <w:t>图3.2-5  卫生洁具生产工艺流程及产污环节图</w:t>
      </w:r>
    </w:p>
    <w:p>
      <w:pPr>
        <w:ind w:firstLine="0" w:firstLineChars="0"/>
        <w:jc w:val="center"/>
        <w:rPr>
          <w:rFonts w:cs="Times New Roman"/>
        </w:rPr>
      </w:pPr>
      <w:r>
        <w:rPr>
          <w:rFonts w:cs="Times New Roman"/>
        </w:rPr>
        <w:object>
          <v:shape id="_x0000_i1029" o:spt="75" type="#_x0000_t75" style="height:53.7pt;width:415.4pt;" o:ole="t" filled="f" o:preferrelative="t" stroked="f" coordsize="21600,21600">
            <v:path/>
            <v:fill on="f" focussize="0,0"/>
            <v:stroke on="f" joinstyle="miter"/>
            <v:imagedata r:id="rId32" o:title=""/>
            <o:lock v:ext="edit" aspectratio="t"/>
            <w10:wrap type="none"/>
            <w10:anchorlock/>
          </v:shape>
          <o:OLEObject Type="Embed" ProgID="Visio.Drawing.15" ShapeID="_x0000_i1029" DrawAspect="Content" ObjectID="_1468075729" r:id="rId31">
            <o:LockedField>false</o:LockedField>
          </o:OLEObject>
        </w:object>
      </w:r>
    </w:p>
    <w:p>
      <w:pPr>
        <w:ind w:firstLine="0" w:firstLineChars="0"/>
        <w:jc w:val="center"/>
        <w:rPr>
          <w:rFonts w:cs="Times New Roman"/>
        </w:rPr>
      </w:pPr>
      <w:r>
        <w:rPr>
          <w:rFonts w:cs="Times New Roman"/>
        </w:rPr>
        <w:t>图3.2-6  纸箱生产工艺流程图</w:t>
      </w:r>
    </w:p>
    <w:p>
      <w:pPr>
        <w:autoSpaceDE w:val="0"/>
        <w:autoSpaceDN w:val="0"/>
        <w:adjustRightInd w:val="0"/>
        <w:ind w:firstLine="482"/>
        <w:rPr>
          <w:rFonts w:cs="Times New Roman"/>
          <w:b/>
          <w:kern w:val="0"/>
        </w:rPr>
      </w:pPr>
      <w:r>
        <w:rPr>
          <w:rFonts w:cs="Times New Roman"/>
          <w:b/>
          <w:kern w:val="0"/>
        </w:rPr>
        <w:t>2、生产工艺流程简述：</w:t>
      </w:r>
    </w:p>
    <w:p>
      <w:pPr>
        <w:ind w:firstLine="482"/>
        <w:rPr>
          <w:rFonts w:cs="Times New Roman"/>
          <w:b/>
        </w:rPr>
      </w:pPr>
      <w:r>
        <w:rPr>
          <w:rFonts w:cs="Times New Roman"/>
          <w:b/>
        </w:rPr>
        <w:t>（1）抛光砖、仿古砖/抛釉砖生产工艺流程说明</w:t>
      </w:r>
    </w:p>
    <w:p>
      <w:pPr>
        <w:ind w:firstLine="482"/>
        <w:rPr>
          <w:rFonts w:cs="Times New Roman"/>
          <w:b/>
        </w:rPr>
      </w:pPr>
      <w:r>
        <w:rPr>
          <w:rFonts w:cs="Times New Roman"/>
          <w:b/>
        </w:rPr>
        <w:t>1）原料预处理</w:t>
      </w:r>
    </w:p>
    <w:p>
      <w:pPr>
        <w:ind w:firstLine="480"/>
        <w:rPr>
          <w:rFonts w:cs="Times New Roman"/>
          <w:szCs w:val="20"/>
        </w:rPr>
      </w:pPr>
      <w:r>
        <w:rPr>
          <w:rFonts w:cs="Times New Roman"/>
        </w:rPr>
        <w:t>为保证矿物原料的质量，稳定和容易加工要求，原料进入加工工序之前进行预处理，包括手工挑出选明显杂质或进行粉碎达到入磨要求等。</w:t>
      </w:r>
    </w:p>
    <w:p>
      <w:pPr>
        <w:ind w:firstLine="482"/>
        <w:rPr>
          <w:rFonts w:cs="Times New Roman"/>
          <w:bCs/>
        </w:rPr>
      </w:pPr>
      <w:r>
        <w:rPr>
          <w:rFonts w:cs="Times New Roman"/>
          <w:b/>
        </w:rPr>
        <w:t>2）</w:t>
      </w:r>
      <w:r>
        <w:rPr>
          <w:rFonts w:cs="Times New Roman"/>
          <w:b/>
          <w:bCs/>
        </w:rPr>
        <w:t>原料输送及配料</w:t>
      </w:r>
    </w:p>
    <w:p>
      <w:pPr>
        <w:ind w:firstLine="480"/>
        <w:rPr>
          <w:rFonts w:cs="Times New Roman"/>
        </w:rPr>
      </w:pPr>
      <w:r>
        <w:rPr>
          <w:rFonts w:cs="Times New Roman"/>
          <w:bCs/>
        </w:rPr>
        <w:t>装载车将各种原料和水按配比倒入喂料机料斗内，由电子称称量后均匀喂入皮带输送机，再通过可逆移动式皮带输送机将原料送到球磨机入料口，实现球磨机的自动加料。</w:t>
      </w:r>
    </w:p>
    <w:p>
      <w:pPr>
        <w:tabs>
          <w:tab w:val="left" w:pos="3990"/>
        </w:tabs>
        <w:snapToGrid w:val="0"/>
        <w:ind w:firstLine="436" w:firstLineChars="181"/>
        <w:rPr>
          <w:rFonts w:cs="Times New Roman"/>
        </w:rPr>
      </w:pPr>
      <w:r>
        <w:rPr>
          <w:rFonts w:cs="Times New Roman"/>
          <w:b/>
        </w:rPr>
        <w:t>3）球磨</w:t>
      </w:r>
    </w:p>
    <w:p>
      <w:pPr>
        <w:ind w:firstLine="480"/>
        <w:rPr>
          <w:rFonts w:cs="Times New Roman"/>
        </w:rPr>
      </w:pPr>
      <w:r>
        <w:rPr>
          <w:rFonts w:cs="Times New Roman"/>
        </w:rPr>
        <w:t>将配好料后的原材料送入球磨机细碎，使得颗粒物性状、大小达到所需细度。本项目采用湿法球磨，</w:t>
      </w:r>
      <w:r>
        <w:rPr>
          <w:rFonts w:cs="Times New Roman"/>
          <w:bCs/>
        </w:rPr>
        <w:t>球磨机内按比例加入研磨体、水及稀释剂等</w:t>
      </w:r>
      <w:r>
        <w:rPr>
          <w:rFonts w:cs="Times New Roman"/>
        </w:rPr>
        <w:t>，将原料和水磨成</w:t>
      </w:r>
      <w:r>
        <w:rPr>
          <w:rFonts w:cs="Times New Roman"/>
          <w:bCs/>
        </w:rPr>
        <w:t>合格细度的泥浆</w:t>
      </w:r>
      <w:r>
        <w:rPr>
          <w:rFonts w:cs="Times New Roman"/>
        </w:rPr>
        <w:t>。</w:t>
      </w:r>
    </w:p>
    <w:p>
      <w:pPr>
        <w:tabs>
          <w:tab w:val="left" w:pos="3990"/>
        </w:tabs>
        <w:snapToGrid w:val="0"/>
        <w:ind w:firstLine="482"/>
        <w:rPr>
          <w:rFonts w:cs="Times New Roman"/>
        </w:rPr>
      </w:pPr>
      <w:r>
        <w:rPr>
          <w:rFonts w:cs="Times New Roman"/>
          <w:b/>
        </w:rPr>
        <w:t>4）放浆除铁过筛</w:t>
      </w:r>
    </w:p>
    <w:p>
      <w:pPr>
        <w:tabs>
          <w:tab w:val="left" w:pos="3990"/>
        </w:tabs>
        <w:snapToGrid w:val="0"/>
        <w:ind w:firstLine="480"/>
        <w:rPr>
          <w:rFonts w:cs="Times New Roman"/>
        </w:rPr>
      </w:pPr>
      <w:r>
        <w:rPr>
          <w:rFonts w:cs="Times New Roman"/>
        </w:rPr>
        <w:t>去除球磨过程中未能粉碎的粗粒原料和碎的研磨体。过筛后可以有效的除去有害杂质。铁和云母是陶瓷生产中最应避免的杂质，有些铁质矿物较硬，多以粗颗粒存在，而云母的层状结构难以磨细，且无磁性，泥浆过筛可进一步清除铁质和云母等杂质。</w:t>
      </w:r>
    </w:p>
    <w:p>
      <w:pPr>
        <w:adjustRightInd w:val="0"/>
        <w:snapToGrid w:val="0"/>
        <w:ind w:firstLine="482"/>
        <w:rPr>
          <w:rFonts w:cs="Times New Roman"/>
          <w:b/>
        </w:rPr>
      </w:pPr>
      <w:r>
        <w:rPr>
          <w:rFonts w:cs="Times New Roman"/>
          <w:b/>
        </w:rPr>
        <w:t>5）搅拌均化陈腐</w:t>
      </w:r>
    </w:p>
    <w:p>
      <w:pPr>
        <w:ind w:firstLine="480"/>
        <w:rPr>
          <w:rFonts w:cs="Times New Roman"/>
          <w:bCs/>
        </w:rPr>
      </w:pPr>
      <w:r>
        <w:rPr>
          <w:rFonts w:cs="Times New Roman"/>
        </w:rPr>
        <w:t>将过筛后的浆料送入浆池进行进一步充分混合均化，同时不断的对泥浆进行搅拌。不仅使储存的泥浆保持悬浮状态，防止离析分层，并且使得泥浆内的各成分更加均匀分布。还用于回坯泥的加水浸散以及各种泥浆的加入混合等。本项目泥浆搅拌采用机械搅拌的方式。</w:t>
      </w:r>
    </w:p>
    <w:p>
      <w:pPr>
        <w:tabs>
          <w:tab w:val="left" w:pos="3990"/>
        </w:tabs>
        <w:snapToGrid w:val="0"/>
        <w:ind w:firstLine="482"/>
        <w:rPr>
          <w:rFonts w:cs="Times New Roman"/>
          <w:b/>
        </w:rPr>
      </w:pPr>
      <w:r>
        <w:rPr>
          <w:rFonts w:cs="Times New Roman"/>
          <w:b/>
        </w:rPr>
        <w:t>6）喷雾塔制粉</w:t>
      </w:r>
    </w:p>
    <w:p>
      <w:pPr>
        <w:tabs>
          <w:tab w:val="left" w:pos="3990"/>
        </w:tabs>
        <w:snapToGrid w:val="0"/>
        <w:ind w:firstLine="480"/>
        <w:rPr>
          <w:rFonts w:cs="Times New Roman"/>
        </w:rPr>
      </w:pPr>
      <w:r>
        <w:rPr>
          <w:rFonts w:cs="Times New Roman"/>
        </w:rPr>
        <w:t>泥浆输送到喷雾塔干燥，将雾状粉料迅速干燥，喷雾塔以微煤粉为燃料，喷雾塔废气经喷脱氮剂（尿素）脱硝+布袋除尘器和碱液喷淋处理达标后经烟囱排放。喷淋用水循环使用。</w:t>
      </w:r>
    </w:p>
    <w:p>
      <w:pPr>
        <w:snapToGrid w:val="0"/>
        <w:ind w:firstLine="480"/>
        <w:rPr>
          <w:rFonts w:cs="Times New Roman"/>
        </w:rPr>
      </w:pPr>
      <w:r>
        <w:rPr>
          <w:rFonts w:cs="Times New Roman"/>
        </w:rPr>
        <w:t>喷雾塔干燥原理：喷雾干燥要求将料液通过喷浆系统分散成极细的雾滴，因此料液能形成很大的比表面积，使雾滴同微煤粉燃烧后产生的热空气产生剧烈的热质交换，在几秒至几十秒内迅速排除物料水分而获得干燥。干燥后的粉末沉于干燥塔底部，从干燥塔底部排出并输送到粉箱存放。废气中夹带的微粉用除尘装置回收。</w:t>
      </w:r>
    </w:p>
    <w:p>
      <w:pPr>
        <w:tabs>
          <w:tab w:val="left" w:pos="3990"/>
        </w:tabs>
        <w:snapToGrid w:val="0"/>
        <w:ind w:firstLine="482"/>
        <w:rPr>
          <w:rFonts w:cs="Times New Roman"/>
          <w:b/>
        </w:rPr>
      </w:pPr>
      <w:r>
        <w:rPr>
          <w:rFonts w:cs="Times New Roman"/>
          <w:b/>
        </w:rPr>
        <w:t>7）压制成型</w:t>
      </w:r>
    </w:p>
    <w:p>
      <w:pPr>
        <w:tabs>
          <w:tab w:val="left" w:pos="3990"/>
        </w:tabs>
        <w:snapToGrid w:val="0"/>
        <w:ind w:firstLine="480"/>
        <w:rPr>
          <w:rFonts w:cs="Times New Roman"/>
        </w:rPr>
      </w:pPr>
      <w:r>
        <w:rPr>
          <w:rFonts w:cs="Times New Roman"/>
        </w:rPr>
        <w:t>将粉料箱内存放陈腐的粉料用输送带送到全自动压砖机压制成坯体，压机配套设有除尘器。</w:t>
      </w:r>
    </w:p>
    <w:p>
      <w:pPr>
        <w:tabs>
          <w:tab w:val="left" w:pos="3990"/>
        </w:tabs>
        <w:snapToGrid w:val="0"/>
        <w:ind w:firstLine="482"/>
        <w:rPr>
          <w:rFonts w:cs="Times New Roman"/>
          <w:b/>
        </w:rPr>
      </w:pPr>
      <w:r>
        <w:rPr>
          <w:rFonts w:cs="Times New Roman"/>
          <w:b/>
        </w:rPr>
        <w:t>8）干燥</w:t>
      </w:r>
    </w:p>
    <w:p>
      <w:pPr>
        <w:tabs>
          <w:tab w:val="left" w:pos="3990"/>
        </w:tabs>
        <w:snapToGrid w:val="0"/>
        <w:ind w:firstLine="480"/>
        <w:rPr>
          <w:rFonts w:cs="Times New Roman"/>
        </w:rPr>
      </w:pPr>
      <w:r>
        <w:rPr>
          <w:rFonts w:cs="Times New Roman"/>
        </w:rPr>
        <w:t>将压制好的坯体送到干燥窑，干燥窑将含水率为5.5%~7.5%坯体干燥除水至含水率在1%以下，干燥窑热能由辊道窑产生废气的余热提供。</w:t>
      </w:r>
    </w:p>
    <w:p>
      <w:pPr>
        <w:tabs>
          <w:tab w:val="left" w:pos="3990"/>
        </w:tabs>
        <w:snapToGrid w:val="0"/>
        <w:ind w:firstLine="482"/>
        <w:rPr>
          <w:rFonts w:cs="Times New Roman"/>
          <w:b/>
        </w:rPr>
      </w:pPr>
      <w:r>
        <w:rPr>
          <w:rFonts w:cs="Times New Roman"/>
          <w:b/>
        </w:rPr>
        <w:t>9）烧制成品</w:t>
      </w:r>
    </w:p>
    <w:p>
      <w:pPr>
        <w:tabs>
          <w:tab w:val="left" w:pos="3990"/>
        </w:tabs>
        <w:snapToGrid w:val="0"/>
        <w:ind w:firstLine="480"/>
        <w:rPr>
          <w:rFonts w:cs="Times New Roman"/>
          <w:bCs/>
          <w:lang w:val="zh-CN"/>
        </w:rPr>
      </w:pPr>
      <w:r>
        <w:rPr>
          <w:rFonts w:cs="Times New Roman"/>
          <w:bCs/>
          <w:lang w:val="zh-CN"/>
        </w:rPr>
        <w:t xml:space="preserve">A </w:t>
      </w:r>
      <w:r>
        <w:rPr>
          <w:rFonts w:cs="Times New Roman"/>
          <w:bCs/>
        </w:rPr>
        <w:t>仿古/</w:t>
      </w:r>
      <w:r>
        <w:rPr>
          <w:rFonts w:cs="Times New Roman"/>
          <w:bCs/>
          <w:lang w:val="zh-CN"/>
        </w:rPr>
        <w:t>抛釉砖：将素坯施釉后送入辊道窑烧制成成品(釉料由厂外购买，不自行生产)。</w:t>
      </w:r>
    </w:p>
    <w:p>
      <w:pPr>
        <w:tabs>
          <w:tab w:val="left" w:pos="3990"/>
        </w:tabs>
        <w:snapToGrid w:val="0"/>
        <w:ind w:firstLine="480"/>
        <w:rPr>
          <w:rFonts w:cs="Times New Roman"/>
          <w:bCs/>
        </w:rPr>
      </w:pPr>
      <w:r>
        <w:rPr>
          <w:rFonts w:cs="Times New Roman"/>
          <w:bCs/>
          <w:lang w:val="zh-CN"/>
        </w:rPr>
        <w:t xml:space="preserve">B </w:t>
      </w:r>
      <w:r>
        <w:rPr>
          <w:rFonts w:cs="Times New Roman"/>
          <w:bCs/>
        </w:rPr>
        <w:t>抛光砖</w:t>
      </w:r>
      <w:r>
        <w:rPr>
          <w:rFonts w:cs="Times New Roman"/>
          <w:bCs/>
          <w:lang w:val="zh-CN"/>
        </w:rPr>
        <w:t>：先素烧，再施釉釉烧制成成品(釉料由厂外购买，不自行生产)，</w:t>
      </w:r>
      <w:r>
        <w:rPr>
          <w:rFonts w:cs="Times New Roman"/>
          <w:bCs/>
        </w:rPr>
        <w:t>抛光处理。</w:t>
      </w:r>
    </w:p>
    <w:p>
      <w:pPr>
        <w:tabs>
          <w:tab w:val="left" w:pos="3990"/>
        </w:tabs>
        <w:snapToGrid w:val="0"/>
        <w:ind w:firstLine="482"/>
        <w:rPr>
          <w:rFonts w:cs="Times New Roman"/>
        </w:rPr>
      </w:pPr>
      <w:r>
        <w:rPr>
          <w:rFonts w:cs="Times New Roman"/>
          <w:b/>
        </w:rPr>
        <w:t>10）拣选包装、入库</w:t>
      </w:r>
    </w:p>
    <w:p>
      <w:pPr>
        <w:tabs>
          <w:tab w:val="left" w:pos="3990"/>
        </w:tabs>
        <w:snapToGrid w:val="0"/>
        <w:ind w:firstLine="480"/>
        <w:rPr>
          <w:rFonts w:cs="Times New Roman"/>
        </w:rPr>
      </w:pPr>
      <w:r>
        <w:rPr>
          <w:rFonts w:cs="Times New Roman"/>
        </w:rPr>
        <w:t>按质检要求将成品分级、包装和入库。</w:t>
      </w:r>
    </w:p>
    <w:p>
      <w:pPr>
        <w:ind w:firstLine="482"/>
        <w:rPr>
          <w:rFonts w:cs="Times New Roman"/>
          <w:b/>
        </w:rPr>
      </w:pPr>
      <w:r>
        <w:rPr>
          <w:rFonts w:cs="Times New Roman"/>
          <w:b/>
        </w:rPr>
        <w:t>（2）微晶大板生产工艺流程说明</w:t>
      </w:r>
    </w:p>
    <w:p>
      <w:pPr>
        <w:tabs>
          <w:tab w:val="left" w:pos="3990"/>
        </w:tabs>
        <w:snapToGrid w:val="0"/>
        <w:ind w:firstLine="482"/>
        <w:rPr>
          <w:rFonts w:cs="Times New Roman"/>
          <w:b/>
          <w:lang w:val="zh-CN"/>
        </w:rPr>
      </w:pPr>
      <w:r>
        <w:rPr>
          <w:rFonts w:cs="Times New Roman"/>
          <w:b/>
        </w:rPr>
        <w:t>1</w:t>
      </w:r>
      <w:r>
        <w:rPr>
          <w:rFonts w:cs="Times New Roman"/>
          <w:b/>
          <w:lang w:val="zh-CN"/>
        </w:rPr>
        <w:t>）配料</w:t>
      </w:r>
    </w:p>
    <w:p>
      <w:pPr>
        <w:tabs>
          <w:tab w:val="left" w:pos="3990"/>
        </w:tabs>
        <w:snapToGrid w:val="0"/>
        <w:ind w:firstLine="480"/>
        <w:rPr>
          <w:rFonts w:cs="Times New Roman"/>
          <w:bCs/>
          <w:lang w:val="zh-CN"/>
        </w:rPr>
      </w:pPr>
      <w:r>
        <w:rPr>
          <w:rFonts w:cs="Times New Roman"/>
          <w:bCs/>
          <w:lang w:val="zh-CN"/>
        </w:rPr>
        <w:t>配料车间布置生产线东侧，各种原辅材料经过配料进入喂料机前料斗</w:t>
      </w:r>
    </w:p>
    <w:p>
      <w:pPr>
        <w:tabs>
          <w:tab w:val="left" w:pos="3990"/>
        </w:tabs>
        <w:snapToGrid w:val="0"/>
        <w:ind w:firstLine="482"/>
        <w:rPr>
          <w:rFonts w:cs="Times New Roman"/>
          <w:b/>
          <w:lang w:val="zh-CN"/>
        </w:rPr>
      </w:pPr>
      <w:r>
        <w:rPr>
          <w:rFonts w:cs="Times New Roman"/>
          <w:b/>
        </w:rPr>
        <w:t>2</w:t>
      </w:r>
      <w:r>
        <w:rPr>
          <w:rFonts w:cs="Times New Roman"/>
          <w:b/>
          <w:lang w:val="zh-CN"/>
        </w:rPr>
        <w:t>）均化喂料</w:t>
      </w:r>
    </w:p>
    <w:p>
      <w:pPr>
        <w:tabs>
          <w:tab w:val="left" w:pos="3990"/>
        </w:tabs>
        <w:snapToGrid w:val="0"/>
        <w:ind w:firstLine="480"/>
        <w:rPr>
          <w:rFonts w:cs="Times New Roman"/>
          <w:bCs/>
          <w:lang w:val="zh-CN"/>
        </w:rPr>
      </w:pPr>
      <w:r>
        <w:rPr>
          <w:rFonts w:cs="Times New Roman"/>
          <w:bCs/>
          <w:lang w:val="zh-CN"/>
        </w:rPr>
        <w:t>配好的微晶粉料从多个粉仓按比例和流量设定，均匀稳定地推入熔窑内部</w:t>
      </w:r>
    </w:p>
    <w:p>
      <w:pPr>
        <w:tabs>
          <w:tab w:val="left" w:pos="3990"/>
        </w:tabs>
        <w:snapToGrid w:val="0"/>
        <w:ind w:firstLine="482"/>
        <w:rPr>
          <w:rFonts w:cs="Times New Roman"/>
          <w:b/>
          <w:lang w:val="zh-CN"/>
        </w:rPr>
      </w:pPr>
      <w:r>
        <w:rPr>
          <w:rFonts w:cs="Times New Roman"/>
          <w:b/>
        </w:rPr>
        <w:t>3</w:t>
      </w:r>
      <w:r>
        <w:rPr>
          <w:rFonts w:cs="Times New Roman"/>
          <w:b/>
          <w:lang w:val="zh-CN"/>
        </w:rPr>
        <w:t>）熔制</w:t>
      </w:r>
    </w:p>
    <w:p>
      <w:pPr>
        <w:tabs>
          <w:tab w:val="left" w:pos="3990"/>
        </w:tabs>
        <w:snapToGrid w:val="0"/>
        <w:ind w:firstLine="480"/>
        <w:rPr>
          <w:rFonts w:cs="Times New Roman"/>
          <w:bCs/>
          <w:lang w:val="zh-CN"/>
        </w:rPr>
      </w:pPr>
      <w:r>
        <w:rPr>
          <w:rFonts w:cs="Times New Roman"/>
          <w:bCs/>
          <w:lang w:val="zh-CN"/>
        </w:rPr>
        <w:t>微晶粉料1600℃高温熔化</w:t>
      </w:r>
    </w:p>
    <w:p>
      <w:pPr>
        <w:tabs>
          <w:tab w:val="left" w:pos="3990"/>
        </w:tabs>
        <w:snapToGrid w:val="0"/>
        <w:ind w:firstLine="482"/>
        <w:rPr>
          <w:rFonts w:cs="Times New Roman"/>
          <w:b/>
          <w:lang w:val="zh-CN"/>
        </w:rPr>
      </w:pPr>
      <w:r>
        <w:rPr>
          <w:rFonts w:cs="Times New Roman"/>
          <w:b/>
        </w:rPr>
        <w:t>4</w:t>
      </w:r>
      <w:r>
        <w:rPr>
          <w:rFonts w:cs="Times New Roman"/>
          <w:b/>
          <w:lang w:val="zh-CN"/>
        </w:rPr>
        <w:t>）图案布料辊压成型</w:t>
      </w:r>
    </w:p>
    <w:p>
      <w:pPr>
        <w:tabs>
          <w:tab w:val="left" w:pos="3990"/>
        </w:tabs>
        <w:snapToGrid w:val="0"/>
        <w:ind w:firstLine="480"/>
        <w:rPr>
          <w:rFonts w:cs="Times New Roman"/>
          <w:bCs/>
          <w:lang w:val="zh-CN"/>
        </w:rPr>
      </w:pPr>
      <w:r>
        <w:rPr>
          <w:rFonts w:cs="Times New Roman"/>
          <w:bCs/>
          <w:lang w:val="zh-CN"/>
        </w:rPr>
        <w:t>微晶熔液经过图案布料后，流出熔窑逐渐冷却，在软化状态下经过高压辊压成板状</w:t>
      </w:r>
    </w:p>
    <w:p>
      <w:pPr>
        <w:tabs>
          <w:tab w:val="left" w:pos="3990"/>
        </w:tabs>
        <w:snapToGrid w:val="0"/>
        <w:ind w:firstLine="482"/>
        <w:rPr>
          <w:rFonts w:cs="Times New Roman"/>
          <w:b/>
          <w:lang w:val="zh-CN"/>
        </w:rPr>
      </w:pPr>
      <w:r>
        <w:rPr>
          <w:rFonts w:cs="Times New Roman"/>
          <w:b/>
        </w:rPr>
        <w:t>5</w:t>
      </w:r>
      <w:r>
        <w:rPr>
          <w:rFonts w:cs="Times New Roman"/>
          <w:b/>
          <w:lang w:val="zh-CN"/>
        </w:rPr>
        <w:t>）晶化窑</w:t>
      </w:r>
    </w:p>
    <w:p>
      <w:pPr>
        <w:tabs>
          <w:tab w:val="left" w:pos="3990"/>
        </w:tabs>
        <w:snapToGrid w:val="0"/>
        <w:ind w:firstLine="480"/>
        <w:rPr>
          <w:rFonts w:cs="Times New Roman"/>
          <w:bCs/>
          <w:lang w:val="zh-CN"/>
        </w:rPr>
      </w:pPr>
      <w:r>
        <w:rPr>
          <w:rFonts w:cs="Times New Roman"/>
          <w:bCs/>
          <w:lang w:val="zh-CN"/>
        </w:rPr>
        <w:t>微晶板进入晶化辊道窑在800~900℃进行晶化烧成</w:t>
      </w:r>
    </w:p>
    <w:p>
      <w:pPr>
        <w:tabs>
          <w:tab w:val="left" w:pos="3990"/>
        </w:tabs>
        <w:snapToGrid w:val="0"/>
        <w:ind w:firstLine="482"/>
        <w:rPr>
          <w:rFonts w:cs="Times New Roman"/>
          <w:b/>
          <w:lang w:val="zh-CN"/>
        </w:rPr>
      </w:pPr>
      <w:r>
        <w:rPr>
          <w:rFonts w:cs="Times New Roman"/>
          <w:b/>
        </w:rPr>
        <w:t>6</w:t>
      </w:r>
      <w:r>
        <w:rPr>
          <w:rFonts w:cs="Times New Roman"/>
          <w:b/>
          <w:lang w:val="zh-CN"/>
        </w:rPr>
        <w:t>）产品出窑后处理</w:t>
      </w:r>
    </w:p>
    <w:p>
      <w:pPr>
        <w:tabs>
          <w:tab w:val="left" w:pos="3990"/>
        </w:tabs>
        <w:snapToGrid w:val="0"/>
        <w:ind w:firstLine="480"/>
        <w:rPr>
          <w:rFonts w:cs="Times New Roman"/>
          <w:bCs/>
          <w:lang w:val="zh-CN"/>
        </w:rPr>
      </w:pPr>
      <w:r>
        <w:rPr>
          <w:rFonts w:cs="Times New Roman"/>
          <w:bCs/>
          <w:lang w:val="zh-CN"/>
        </w:rPr>
        <w:t>烧成生产线西侧设有抛光磨边工段，配备在线切割、磨边（湿磨）/抛光（水拋）达到规格要求</w:t>
      </w:r>
    </w:p>
    <w:p>
      <w:pPr>
        <w:tabs>
          <w:tab w:val="left" w:pos="3990"/>
        </w:tabs>
        <w:snapToGrid w:val="0"/>
        <w:ind w:firstLine="482"/>
        <w:rPr>
          <w:rFonts w:cs="Times New Roman"/>
          <w:b/>
          <w:lang w:val="zh-CN"/>
        </w:rPr>
      </w:pPr>
      <w:r>
        <w:rPr>
          <w:rFonts w:cs="Times New Roman"/>
          <w:b/>
        </w:rPr>
        <w:t>7</w:t>
      </w:r>
      <w:r>
        <w:rPr>
          <w:rFonts w:cs="Times New Roman"/>
          <w:b/>
          <w:lang w:val="zh-CN"/>
        </w:rPr>
        <w:t>）包装</w:t>
      </w:r>
    </w:p>
    <w:p>
      <w:pPr>
        <w:tabs>
          <w:tab w:val="left" w:pos="3990"/>
        </w:tabs>
        <w:snapToGrid w:val="0"/>
        <w:ind w:firstLine="480"/>
        <w:rPr>
          <w:rFonts w:cs="Times New Roman"/>
          <w:bCs/>
          <w:lang w:val="zh-CN"/>
        </w:rPr>
      </w:pPr>
      <w:r>
        <w:rPr>
          <w:rFonts w:cs="Times New Roman"/>
          <w:bCs/>
          <w:lang w:val="zh-CN"/>
        </w:rPr>
        <w:t>每台磨边机/抛光机后配套包装机</w:t>
      </w:r>
    </w:p>
    <w:p>
      <w:pPr>
        <w:tabs>
          <w:tab w:val="left" w:pos="3990"/>
        </w:tabs>
        <w:snapToGrid w:val="0"/>
        <w:ind w:firstLine="482"/>
        <w:rPr>
          <w:rFonts w:cs="Times New Roman"/>
          <w:b/>
          <w:lang w:val="zh-CN"/>
        </w:rPr>
      </w:pPr>
      <w:r>
        <w:rPr>
          <w:rFonts w:cs="Times New Roman"/>
          <w:b/>
        </w:rPr>
        <w:t>8</w:t>
      </w:r>
      <w:r>
        <w:rPr>
          <w:rFonts w:cs="Times New Roman"/>
          <w:b/>
          <w:lang w:val="zh-CN"/>
        </w:rPr>
        <w:t>）输送</w:t>
      </w:r>
    </w:p>
    <w:p>
      <w:pPr>
        <w:tabs>
          <w:tab w:val="left" w:pos="3990"/>
        </w:tabs>
        <w:snapToGrid w:val="0"/>
        <w:ind w:firstLine="480"/>
        <w:rPr>
          <w:rFonts w:cs="Times New Roman"/>
          <w:bCs/>
          <w:lang w:val="zh-CN"/>
        </w:rPr>
      </w:pPr>
      <w:r>
        <w:rPr>
          <w:rFonts w:cs="Times New Roman"/>
          <w:bCs/>
          <w:lang w:val="zh-CN"/>
        </w:rPr>
        <w:t>包装完成的合格品通过内部运输机械运输至成品仓库堆放</w:t>
      </w:r>
    </w:p>
    <w:p>
      <w:pPr>
        <w:ind w:firstLine="482"/>
        <w:rPr>
          <w:rFonts w:cs="Times New Roman"/>
          <w:b/>
        </w:rPr>
      </w:pPr>
      <w:r>
        <w:rPr>
          <w:rFonts w:cs="Times New Roman"/>
          <w:b/>
        </w:rPr>
        <w:t>（3）卫生洁具生产工艺流程说明</w:t>
      </w:r>
    </w:p>
    <w:p>
      <w:pPr>
        <w:tabs>
          <w:tab w:val="left" w:pos="3990"/>
        </w:tabs>
        <w:snapToGrid w:val="0"/>
        <w:ind w:firstLine="482"/>
        <w:rPr>
          <w:rFonts w:cs="Times New Roman"/>
          <w:b/>
          <w:lang w:val="zh-CN"/>
        </w:rPr>
      </w:pPr>
      <w:r>
        <w:rPr>
          <w:rFonts w:cs="Times New Roman"/>
          <w:b/>
        </w:rPr>
        <w:t>1</w:t>
      </w:r>
      <w:r>
        <w:rPr>
          <w:rFonts w:cs="Times New Roman"/>
          <w:b/>
          <w:lang w:val="zh-CN"/>
        </w:rPr>
        <w:t>）配料</w:t>
      </w:r>
    </w:p>
    <w:p>
      <w:pPr>
        <w:tabs>
          <w:tab w:val="left" w:pos="3990"/>
        </w:tabs>
        <w:snapToGrid w:val="0"/>
        <w:ind w:firstLine="480"/>
        <w:rPr>
          <w:rFonts w:cs="Times New Roman"/>
          <w:bCs/>
          <w:lang w:val="zh-CN"/>
        </w:rPr>
      </w:pPr>
      <w:r>
        <w:rPr>
          <w:rFonts w:cs="Times New Roman"/>
          <w:bCs/>
          <w:lang w:val="zh-CN"/>
        </w:rPr>
        <w:t>将各种原辅材料按配方进行配料，并送入球磨机进行制浆</w:t>
      </w:r>
    </w:p>
    <w:p>
      <w:pPr>
        <w:tabs>
          <w:tab w:val="left" w:pos="3990"/>
        </w:tabs>
        <w:snapToGrid w:val="0"/>
        <w:ind w:firstLine="482"/>
        <w:rPr>
          <w:rFonts w:cs="Times New Roman"/>
          <w:b/>
          <w:lang w:val="zh-CN"/>
        </w:rPr>
      </w:pPr>
      <w:r>
        <w:rPr>
          <w:rFonts w:cs="Times New Roman"/>
          <w:b/>
        </w:rPr>
        <w:t>2</w:t>
      </w:r>
      <w:r>
        <w:rPr>
          <w:rFonts w:cs="Times New Roman"/>
          <w:b/>
          <w:lang w:val="zh-CN"/>
        </w:rPr>
        <w:t>）制浆</w:t>
      </w:r>
    </w:p>
    <w:p>
      <w:pPr>
        <w:tabs>
          <w:tab w:val="left" w:pos="3990"/>
        </w:tabs>
        <w:snapToGrid w:val="0"/>
        <w:ind w:firstLine="480"/>
        <w:rPr>
          <w:rFonts w:cs="Times New Roman"/>
          <w:bCs/>
          <w:lang w:val="zh-CN"/>
        </w:rPr>
      </w:pPr>
      <w:r>
        <w:rPr>
          <w:rFonts w:cs="Times New Roman"/>
          <w:bCs/>
          <w:lang w:val="zh-CN"/>
        </w:rPr>
        <w:t>球磨机球磨到工艺参数要求后，过筛除铁后放浆进入地下浆池，搅拌均化陈腐备用</w:t>
      </w:r>
    </w:p>
    <w:p>
      <w:pPr>
        <w:tabs>
          <w:tab w:val="left" w:pos="3990"/>
        </w:tabs>
        <w:snapToGrid w:val="0"/>
        <w:ind w:firstLine="482"/>
        <w:rPr>
          <w:rFonts w:cs="Times New Roman"/>
          <w:b/>
          <w:lang w:val="zh-CN"/>
        </w:rPr>
      </w:pPr>
      <w:r>
        <w:rPr>
          <w:rFonts w:cs="Times New Roman"/>
          <w:b/>
        </w:rPr>
        <w:t>3</w:t>
      </w:r>
      <w:r>
        <w:rPr>
          <w:rFonts w:cs="Times New Roman"/>
          <w:b/>
          <w:lang w:val="zh-CN"/>
        </w:rPr>
        <w:t>）高压注浆成型</w:t>
      </w:r>
    </w:p>
    <w:p>
      <w:pPr>
        <w:tabs>
          <w:tab w:val="left" w:pos="3990"/>
        </w:tabs>
        <w:snapToGrid w:val="0"/>
        <w:ind w:firstLine="480"/>
        <w:rPr>
          <w:rFonts w:cs="Times New Roman"/>
          <w:bCs/>
          <w:lang w:val="zh-CN"/>
        </w:rPr>
      </w:pPr>
      <w:r>
        <w:rPr>
          <w:rFonts w:cs="Times New Roman"/>
          <w:bCs/>
          <w:lang w:val="zh-CN"/>
        </w:rPr>
        <w:t>成型设备布置生产线东侧，浆料经高压泥浆泵进入注浆机成型</w:t>
      </w:r>
    </w:p>
    <w:p>
      <w:pPr>
        <w:tabs>
          <w:tab w:val="left" w:pos="3990"/>
        </w:tabs>
        <w:snapToGrid w:val="0"/>
        <w:ind w:firstLine="482"/>
        <w:rPr>
          <w:rFonts w:cs="Times New Roman"/>
          <w:b/>
          <w:lang w:val="zh-CN"/>
        </w:rPr>
      </w:pPr>
      <w:r>
        <w:rPr>
          <w:rFonts w:cs="Times New Roman"/>
          <w:b/>
        </w:rPr>
        <w:t>4</w:t>
      </w:r>
      <w:r>
        <w:rPr>
          <w:rFonts w:cs="Times New Roman"/>
          <w:b/>
          <w:lang w:val="zh-CN"/>
        </w:rPr>
        <w:t>）干燥</w:t>
      </w:r>
    </w:p>
    <w:p>
      <w:pPr>
        <w:tabs>
          <w:tab w:val="left" w:pos="3990"/>
        </w:tabs>
        <w:snapToGrid w:val="0"/>
        <w:ind w:firstLine="480"/>
        <w:rPr>
          <w:rFonts w:cs="Times New Roman"/>
          <w:bCs/>
          <w:lang w:val="zh-CN"/>
        </w:rPr>
      </w:pPr>
      <w:r>
        <w:rPr>
          <w:rFonts w:cs="Times New Roman"/>
          <w:bCs/>
          <w:lang w:val="zh-CN"/>
        </w:rPr>
        <w:t>成型的洁具坯体脱模，进入干燥器进行干燥，干燥器热能由辊道窑产生的余热提供，温度约250℃</w:t>
      </w:r>
    </w:p>
    <w:p>
      <w:pPr>
        <w:tabs>
          <w:tab w:val="left" w:pos="3990"/>
        </w:tabs>
        <w:snapToGrid w:val="0"/>
        <w:ind w:firstLine="482"/>
        <w:rPr>
          <w:rFonts w:cs="Times New Roman"/>
          <w:b/>
          <w:lang w:val="zh-CN"/>
        </w:rPr>
      </w:pPr>
      <w:r>
        <w:rPr>
          <w:rFonts w:cs="Times New Roman"/>
          <w:b/>
        </w:rPr>
        <w:t>5</w:t>
      </w:r>
      <w:r>
        <w:rPr>
          <w:rFonts w:cs="Times New Roman"/>
          <w:b/>
          <w:lang w:val="zh-CN"/>
        </w:rPr>
        <w:t>）坯体清理修整</w:t>
      </w:r>
    </w:p>
    <w:p>
      <w:pPr>
        <w:tabs>
          <w:tab w:val="left" w:pos="3990"/>
        </w:tabs>
        <w:snapToGrid w:val="0"/>
        <w:ind w:firstLine="480"/>
        <w:rPr>
          <w:rFonts w:cs="Times New Roman"/>
          <w:bCs/>
          <w:lang w:val="zh-CN"/>
        </w:rPr>
      </w:pPr>
      <w:r>
        <w:rPr>
          <w:rFonts w:cs="Times New Roman"/>
          <w:bCs/>
          <w:lang w:val="zh-CN"/>
        </w:rPr>
        <w:t>干燥后的洁具坯件人工进行表面清理和修补。</w:t>
      </w:r>
    </w:p>
    <w:p>
      <w:pPr>
        <w:tabs>
          <w:tab w:val="left" w:pos="3990"/>
        </w:tabs>
        <w:snapToGrid w:val="0"/>
        <w:ind w:firstLine="482"/>
        <w:rPr>
          <w:rFonts w:cs="Times New Roman"/>
          <w:b/>
          <w:lang w:val="zh-CN"/>
        </w:rPr>
      </w:pPr>
      <w:r>
        <w:rPr>
          <w:rFonts w:cs="Times New Roman"/>
          <w:b/>
        </w:rPr>
        <w:t>6</w:t>
      </w:r>
      <w:r>
        <w:rPr>
          <w:rFonts w:cs="Times New Roman"/>
          <w:b/>
          <w:lang w:val="zh-CN"/>
        </w:rPr>
        <w:t>）施釉</w:t>
      </w:r>
    </w:p>
    <w:p>
      <w:pPr>
        <w:tabs>
          <w:tab w:val="left" w:pos="3990"/>
        </w:tabs>
        <w:snapToGrid w:val="0"/>
        <w:ind w:firstLine="480"/>
        <w:rPr>
          <w:rFonts w:cs="Times New Roman"/>
          <w:bCs/>
          <w:lang w:val="zh-CN"/>
        </w:rPr>
      </w:pPr>
      <w:r>
        <w:rPr>
          <w:rFonts w:cs="Times New Roman"/>
          <w:bCs/>
          <w:lang w:val="zh-CN"/>
        </w:rPr>
        <w:t>修整后的洁具坯件进入施釉线进行自动施釉。</w:t>
      </w:r>
    </w:p>
    <w:p>
      <w:pPr>
        <w:tabs>
          <w:tab w:val="left" w:pos="3990"/>
        </w:tabs>
        <w:snapToGrid w:val="0"/>
        <w:ind w:firstLine="482"/>
        <w:rPr>
          <w:rFonts w:cs="Times New Roman"/>
          <w:b/>
          <w:lang w:val="zh-CN"/>
        </w:rPr>
      </w:pPr>
      <w:r>
        <w:rPr>
          <w:rFonts w:cs="Times New Roman"/>
          <w:b/>
        </w:rPr>
        <w:t>7</w:t>
      </w:r>
      <w:r>
        <w:rPr>
          <w:rFonts w:cs="Times New Roman"/>
          <w:b/>
          <w:lang w:val="zh-CN"/>
        </w:rPr>
        <w:t>）快速干燥窑</w:t>
      </w:r>
    </w:p>
    <w:p>
      <w:pPr>
        <w:tabs>
          <w:tab w:val="left" w:pos="3990"/>
        </w:tabs>
        <w:snapToGrid w:val="0"/>
        <w:ind w:firstLine="480"/>
        <w:rPr>
          <w:rFonts w:cs="Times New Roman"/>
          <w:bCs/>
          <w:lang w:val="zh-CN"/>
        </w:rPr>
      </w:pPr>
      <w:r>
        <w:rPr>
          <w:rFonts w:cs="Times New Roman"/>
          <w:bCs/>
          <w:lang w:val="zh-CN"/>
        </w:rPr>
        <w:t>施釉后的洁具坯件进入干燥窑进行干燥，干燥窑热能由辊道窑产生的余热提供，温度约250℃。</w:t>
      </w:r>
    </w:p>
    <w:p>
      <w:pPr>
        <w:tabs>
          <w:tab w:val="left" w:pos="3990"/>
        </w:tabs>
        <w:snapToGrid w:val="0"/>
        <w:ind w:firstLine="482"/>
        <w:rPr>
          <w:rFonts w:cs="Times New Roman"/>
          <w:b/>
          <w:lang w:val="zh-CN"/>
        </w:rPr>
      </w:pPr>
      <w:r>
        <w:rPr>
          <w:rFonts w:cs="Times New Roman"/>
          <w:b/>
        </w:rPr>
        <w:t>8</w:t>
      </w:r>
      <w:r>
        <w:rPr>
          <w:rFonts w:cs="Times New Roman"/>
          <w:b/>
          <w:lang w:val="zh-CN"/>
        </w:rPr>
        <w:t>）釉烧窑</w:t>
      </w:r>
    </w:p>
    <w:p>
      <w:pPr>
        <w:tabs>
          <w:tab w:val="left" w:pos="3990"/>
        </w:tabs>
        <w:snapToGrid w:val="0"/>
        <w:ind w:firstLine="480"/>
        <w:rPr>
          <w:rFonts w:cs="Times New Roman"/>
          <w:bCs/>
          <w:lang w:val="zh-CN"/>
        </w:rPr>
      </w:pPr>
      <w:r>
        <w:rPr>
          <w:rFonts w:cs="Times New Roman"/>
          <w:bCs/>
          <w:lang w:val="zh-CN"/>
        </w:rPr>
        <w:t>经干燥后的坯件进入辊道窑进行高温烧成，烧成温度约为1300℃。</w:t>
      </w:r>
    </w:p>
    <w:p>
      <w:pPr>
        <w:tabs>
          <w:tab w:val="left" w:pos="3990"/>
        </w:tabs>
        <w:snapToGrid w:val="0"/>
        <w:ind w:firstLine="482"/>
        <w:rPr>
          <w:rFonts w:cs="Times New Roman"/>
          <w:b/>
          <w:lang w:val="zh-CN"/>
        </w:rPr>
      </w:pPr>
      <w:r>
        <w:rPr>
          <w:rFonts w:cs="Times New Roman"/>
          <w:b/>
        </w:rPr>
        <w:t>9</w:t>
      </w:r>
      <w:r>
        <w:rPr>
          <w:rFonts w:cs="Times New Roman"/>
          <w:b/>
          <w:lang w:val="zh-CN"/>
        </w:rPr>
        <w:t>）产品后处理</w:t>
      </w:r>
    </w:p>
    <w:p>
      <w:pPr>
        <w:tabs>
          <w:tab w:val="left" w:pos="3990"/>
        </w:tabs>
        <w:snapToGrid w:val="0"/>
        <w:ind w:firstLine="480"/>
        <w:rPr>
          <w:rFonts w:cs="Times New Roman"/>
          <w:bCs/>
          <w:lang w:val="zh-CN"/>
        </w:rPr>
      </w:pPr>
      <w:r>
        <w:rPr>
          <w:rFonts w:cs="Times New Roman"/>
          <w:bCs/>
          <w:lang w:val="zh-CN"/>
        </w:rPr>
        <w:t>烧成生产线西侧设有分级车间，进行质量分级。</w:t>
      </w:r>
    </w:p>
    <w:p>
      <w:pPr>
        <w:tabs>
          <w:tab w:val="left" w:pos="3990"/>
        </w:tabs>
        <w:snapToGrid w:val="0"/>
        <w:ind w:firstLine="482"/>
        <w:rPr>
          <w:rFonts w:cs="Times New Roman"/>
          <w:b/>
          <w:lang w:val="zh-CN"/>
        </w:rPr>
      </w:pPr>
      <w:r>
        <w:rPr>
          <w:rFonts w:cs="Times New Roman"/>
          <w:b/>
        </w:rPr>
        <w:t>10</w:t>
      </w:r>
      <w:r>
        <w:rPr>
          <w:rFonts w:cs="Times New Roman"/>
          <w:b/>
          <w:lang w:val="zh-CN"/>
        </w:rPr>
        <w:t>）包装</w:t>
      </w:r>
    </w:p>
    <w:p>
      <w:pPr>
        <w:tabs>
          <w:tab w:val="left" w:pos="3990"/>
        </w:tabs>
        <w:snapToGrid w:val="0"/>
        <w:ind w:firstLine="480"/>
        <w:rPr>
          <w:rFonts w:cs="Times New Roman"/>
          <w:bCs/>
          <w:lang w:val="zh-CN"/>
        </w:rPr>
      </w:pPr>
      <w:r>
        <w:rPr>
          <w:rFonts w:cs="Times New Roman"/>
          <w:bCs/>
          <w:lang w:val="zh-CN"/>
        </w:rPr>
        <w:t>配套自动包装机。</w:t>
      </w:r>
    </w:p>
    <w:p>
      <w:pPr>
        <w:tabs>
          <w:tab w:val="left" w:pos="3990"/>
        </w:tabs>
        <w:snapToGrid w:val="0"/>
        <w:ind w:firstLine="482"/>
        <w:rPr>
          <w:rFonts w:cs="Times New Roman"/>
          <w:b/>
          <w:lang w:val="zh-CN"/>
        </w:rPr>
      </w:pPr>
      <w:r>
        <w:rPr>
          <w:rFonts w:cs="Times New Roman"/>
          <w:b/>
        </w:rPr>
        <w:t>11</w:t>
      </w:r>
      <w:r>
        <w:rPr>
          <w:rFonts w:cs="Times New Roman"/>
          <w:b/>
          <w:lang w:val="zh-CN"/>
        </w:rPr>
        <w:t>）输送</w:t>
      </w:r>
    </w:p>
    <w:p>
      <w:pPr>
        <w:ind w:firstLine="480"/>
        <w:rPr>
          <w:rFonts w:cs="Times New Roman"/>
          <w:lang w:val="zh-CN"/>
        </w:rPr>
      </w:pPr>
      <w:r>
        <w:rPr>
          <w:rFonts w:cs="Times New Roman"/>
          <w:lang w:val="zh-CN"/>
        </w:rPr>
        <w:t>包装完成的合格品通过内部运输机械运输至成品仓库堆放。</w:t>
      </w:r>
    </w:p>
    <w:p>
      <w:pPr>
        <w:ind w:firstLine="482"/>
        <w:rPr>
          <w:rFonts w:cs="Times New Roman"/>
          <w:b/>
          <w:bCs/>
        </w:rPr>
      </w:pPr>
      <w:r>
        <w:rPr>
          <w:rFonts w:cs="Times New Roman"/>
          <w:b/>
          <w:bCs/>
        </w:rPr>
        <w:t>（4）纸箱生产工艺流程</w:t>
      </w:r>
    </w:p>
    <w:p>
      <w:pPr>
        <w:ind w:firstLine="480"/>
        <w:rPr>
          <w:rFonts w:cs="Times New Roman"/>
        </w:rPr>
      </w:pPr>
      <w:r>
        <w:rPr>
          <w:rFonts w:cs="Times New Roman"/>
        </w:rPr>
        <w:t>1）外购瓦楞</w:t>
      </w:r>
    </w:p>
    <w:p>
      <w:pPr>
        <w:ind w:firstLine="480"/>
        <w:rPr>
          <w:rFonts w:cs="Times New Roman"/>
        </w:rPr>
      </w:pPr>
      <w:r>
        <w:rPr>
          <w:rFonts w:cs="Times New Roman"/>
        </w:rPr>
        <w:t>2）印刷利用印刷机在瓦楞纸板上印刷出所需的图案和文字。</w:t>
      </w:r>
    </w:p>
    <w:p>
      <w:pPr>
        <w:ind w:firstLine="480"/>
        <w:rPr>
          <w:rFonts w:cs="Times New Roman"/>
        </w:rPr>
      </w:pPr>
      <w:r>
        <w:rPr>
          <w:rFonts w:cs="Times New Roman"/>
        </w:rPr>
        <w:t>3）切边把印刷完成的纸板，按设计好的图形裁切，去除多余的边角料。</w:t>
      </w:r>
    </w:p>
    <w:p>
      <w:pPr>
        <w:ind w:firstLine="480"/>
        <w:rPr>
          <w:rFonts w:cs="Times New Roman"/>
        </w:rPr>
      </w:pPr>
      <w:r>
        <w:rPr>
          <w:rFonts w:cs="Times New Roman"/>
        </w:rPr>
        <w:t>4）打钉成箱工序</w:t>
      </w:r>
    </w:p>
    <w:p>
      <w:pPr>
        <w:ind w:firstLine="480"/>
        <w:rPr>
          <w:rFonts w:cs="Times New Roman"/>
        </w:rPr>
      </w:pPr>
      <w:r>
        <w:rPr>
          <w:rFonts w:cs="Times New Roman"/>
        </w:rPr>
        <w:t>将切好的纸板进行装订成各种规格的纸箱，形成成品，并进行检验，剔除不合格的产品。</w:t>
      </w:r>
    </w:p>
    <w:p>
      <w:pPr>
        <w:pStyle w:val="4"/>
        <w:rPr>
          <w:rFonts w:cs="Times New Roman"/>
        </w:rPr>
      </w:pPr>
      <w:bookmarkStart w:id="82" w:name="_Toc86611260"/>
      <w:r>
        <w:rPr>
          <w:rFonts w:cs="Times New Roman"/>
        </w:rPr>
        <w:t>3.2.2主要产污环节及污染因子识别</w:t>
      </w:r>
      <w:bookmarkEnd w:id="82"/>
    </w:p>
    <w:p>
      <w:pPr>
        <w:ind w:firstLine="0" w:firstLineChars="0"/>
        <w:jc w:val="center"/>
        <w:rPr>
          <w:rFonts w:cs="Times New Roman"/>
        </w:rPr>
      </w:pPr>
      <w:r>
        <w:rPr>
          <w:rFonts w:cs="Times New Roman"/>
        </w:rPr>
        <w:t>表3.2-1  主要产污环节污染因子识别</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1"/>
        <w:gridCol w:w="1111"/>
        <w:gridCol w:w="670"/>
        <w:gridCol w:w="2661"/>
        <w:gridCol w:w="3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Align w:val="center"/>
          </w:tcPr>
          <w:p>
            <w:pPr>
              <w:spacing w:line="240" w:lineRule="auto"/>
              <w:ind w:firstLine="0" w:firstLineChars="0"/>
              <w:jc w:val="center"/>
              <w:rPr>
                <w:sz w:val="21"/>
                <w:szCs w:val="16"/>
              </w:rPr>
            </w:pPr>
            <w:r>
              <w:rPr>
                <w:sz w:val="21"/>
                <w:szCs w:val="16"/>
              </w:rPr>
              <w:t>生产线</w:t>
            </w:r>
          </w:p>
        </w:tc>
        <w:tc>
          <w:tcPr>
            <w:tcW w:w="652" w:type="pct"/>
            <w:vAlign w:val="center"/>
          </w:tcPr>
          <w:p>
            <w:pPr>
              <w:spacing w:line="240" w:lineRule="auto"/>
              <w:ind w:firstLine="0" w:firstLineChars="0"/>
              <w:jc w:val="center"/>
              <w:rPr>
                <w:sz w:val="21"/>
                <w:szCs w:val="16"/>
              </w:rPr>
            </w:pPr>
            <w:r>
              <w:rPr>
                <w:sz w:val="21"/>
                <w:szCs w:val="16"/>
              </w:rPr>
              <w:t>污染类型</w:t>
            </w:r>
          </w:p>
        </w:tc>
        <w:tc>
          <w:tcPr>
            <w:tcW w:w="393" w:type="pct"/>
            <w:vAlign w:val="center"/>
          </w:tcPr>
          <w:p>
            <w:pPr>
              <w:spacing w:line="240" w:lineRule="auto"/>
              <w:ind w:firstLine="0" w:firstLineChars="0"/>
              <w:jc w:val="center"/>
              <w:rPr>
                <w:sz w:val="21"/>
                <w:szCs w:val="16"/>
              </w:rPr>
            </w:pPr>
            <w:r>
              <w:rPr>
                <w:sz w:val="21"/>
                <w:szCs w:val="16"/>
              </w:rPr>
              <w:t>编号</w:t>
            </w:r>
          </w:p>
        </w:tc>
        <w:tc>
          <w:tcPr>
            <w:tcW w:w="1561" w:type="pct"/>
            <w:vAlign w:val="center"/>
          </w:tcPr>
          <w:p>
            <w:pPr>
              <w:spacing w:line="240" w:lineRule="auto"/>
              <w:ind w:firstLine="0" w:firstLineChars="0"/>
              <w:jc w:val="center"/>
              <w:rPr>
                <w:sz w:val="21"/>
                <w:szCs w:val="16"/>
              </w:rPr>
            </w:pPr>
            <w:r>
              <w:rPr>
                <w:sz w:val="21"/>
                <w:szCs w:val="16"/>
              </w:rPr>
              <w:t>产污环节</w:t>
            </w:r>
          </w:p>
        </w:tc>
        <w:tc>
          <w:tcPr>
            <w:tcW w:w="1871" w:type="pct"/>
            <w:vAlign w:val="center"/>
          </w:tcPr>
          <w:p>
            <w:pPr>
              <w:spacing w:line="240" w:lineRule="auto"/>
              <w:ind w:firstLine="0" w:firstLineChars="0"/>
              <w:jc w:val="center"/>
              <w:rPr>
                <w:sz w:val="21"/>
                <w:szCs w:val="16"/>
              </w:rPr>
            </w:pPr>
            <w:r>
              <w:rPr>
                <w:sz w:val="21"/>
                <w:szCs w:val="16"/>
              </w:rPr>
              <w:t>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restart"/>
            <w:vAlign w:val="center"/>
          </w:tcPr>
          <w:p>
            <w:pPr>
              <w:spacing w:line="240" w:lineRule="auto"/>
              <w:ind w:firstLine="0" w:firstLineChars="0"/>
              <w:jc w:val="center"/>
              <w:rPr>
                <w:sz w:val="21"/>
                <w:szCs w:val="16"/>
              </w:rPr>
            </w:pPr>
            <w:r>
              <w:rPr>
                <w:sz w:val="21"/>
                <w:szCs w:val="16"/>
              </w:rPr>
              <w:t>抛光</w:t>
            </w:r>
          </w:p>
          <w:p>
            <w:pPr>
              <w:spacing w:line="240" w:lineRule="auto"/>
              <w:ind w:firstLine="0" w:firstLineChars="0"/>
              <w:jc w:val="center"/>
              <w:rPr>
                <w:sz w:val="21"/>
                <w:szCs w:val="16"/>
              </w:rPr>
            </w:pPr>
            <w:r>
              <w:rPr>
                <w:sz w:val="21"/>
                <w:szCs w:val="16"/>
              </w:rPr>
              <w:t>砖生</w:t>
            </w:r>
          </w:p>
          <w:p>
            <w:pPr>
              <w:spacing w:line="240" w:lineRule="auto"/>
              <w:ind w:firstLine="0" w:firstLineChars="0"/>
              <w:jc w:val="center"/>
              <w:rPr>
                <w:sz w:val="21"/>
                <w:szCs w:val="16"/>
              </w:rPr>
            </w:pPr>
            <w:r>
              <w:rPr>
                <w:sz w:val="21"/>
                <w:szCs w:val="16"/>
              </w:rPr>
              <w:t>产线</w:t>
            </w:r>
          </w:p>
        </w:tc>
        <w:tc>
          <w:tcPr>
            <w:tcW w:w="652" w:type="pct"/>
            <w:vMerge w:val="restart"/>
            <w:vAlign w:val="center"/>
          </w:tcPr>
          <w:p>
            <w:pPr>
              <w:spacing w:line="240" w:lineRule="auto"/>
              <w:ind w:firstLine="0" w:firstLineChars="0"/>
              <w:jc w:val="center"/>
              <w:rPr>
                <w:sz w:val="21"/>
                <w:szCs w:val="16"/>
              </w:rPr>
            </w:pPr>
            <w:r>
              <w:rPr>
                <w:sz w:val="21"/>
                <w:szCs w:val="16"/>
              </w:rPr>
              <w:t>废气</w:t>
            </w:r>
          </w:p>
        </w:tc>
        <w:tc>
          <w:tcPr>
            <w:tcW w:w="393" w:type="pct"/>
            <w:vAlign w:val="center"/>
          </w:tcPr>
          <w:p>
            <w:pPr>
              <w:spacing w:line="240" w:lineRule="auto"/>
              <w:ind w:firstLine="0" w:firstLineChars="0"/>
              <w:jc w:val="center"/>
              <w:rPr>
                <w:sz w:val="21"/>
                <w:szCs w:val="16"/>
              </w:rPr>
            </w:pPr>
            <w:r>
              <w:rPr>
                <w:sz w:val="21"/>
                <w:szCs w:val="16"/>
              </w:rPr>
              <w:t>G1</w:t>
            </w:r>
          </w:p>
        </w:tc>
        <w:tc>
          <w:tcPr>
            <w:tcW w:w="1561" w:type="pct"/>
            <w:vAlign w:val="center"/>
          </w:tcPr>
          <w:p>
            <w:pPr>
              <w:spacing w:line="240" w:lineRule="auto"/>
              <w:ind w:firstLine="0" w:firstLineChars="0"/>
              <w:jc w:val="center"/>
              <w:rPr>
                <w:sz w:val="21"/>
                <w:szCs w:val="16"/>
              </w:rPr>
            </w:pPr>
            <w:r>
              <w:rPr>
                <w:sz w:val="21"/>
                <w:szCs w:val="16"/>
              </w:rPr>
              <w:t>预处理、配料、输送</w:t>
            </w:r>
          </w:p>
        </w:tc>
        <w:tc>
          <w:tcPr>
            <w:tcW w:w="1871" w:type="pct"/>
            <w:vAlign w:val="center"/>
          </w:tcPr>
          <w:p>
            <w:pPr>
              <w:spacing w:line="240" w:lineRule="auto"/>
              <w:ind w:firstLine="0" w:firstLineChars="0"/>
              <w:jc w:val="center"/>
              <w:rPr>
                <w:sz w:val="21"/>
                <w:szCs w:val="16"/>
              </w:rPr>
            </w:pPr>
            <w:r>
              <w:rPr>
                <w:sz w:val="21"/>
                <w:szCs w:val="16"/>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G2</w:t>
            </w:r>
          </w:p>
        </w:tc>
        <w:tc>
          <w:tcPr>
            <w:tcW w:w="1561" w:type="pct"/>
            <w:vAlign w:val="center"/>
          </w:tcPr>
          <w:p>
            <w:pPr>
              <w:spacing w:line="240" w:lineRule="auto"/>
              <w:ind w:firstLine="0" w:firstLineChars="0"/>
              <w:jc w:val="center"/>
              <w:rPr>
                <w:sz w:val="21"/>
                <w:szCs w:val="16"/>
              </w:rPr>
            </w:pPr>
            <w:r>
              <w:rPr>
                <w:sz w:val="21"/>
                <w:szCs w:val="16"/>
              </w:rPr>
              <w:t>喷雾制粉（热风炉废气）</w:t>
            </w:r>
          </w:p>
        </w:tc>
        <w:tc>
          <w:tcPr>
            <w:tcW w:w="1871" w:type="pct"/>
            <w:vAlign w:val="center"/>
          </w:tcPr>
          <w:p>
            <w:pPr>
              <w:spacing w:line="240" w:lineRule="auto"/>
              <w:ind w:firstLine="0" w:firstLineChars="0"/>
              <w:jc w:val="center"/>
              <w:rPr>
                <w:sz w:val="21"/>
                <w:szCs w:val="16"/>
              </w:rPr>
            </w:pPr>
            <w:r>
              <w:rPr>
                <w:sz w:val="21"/>
                <w:szCs w:val="16"/>
              </w:rPr>
              <w:t>SO</w:t>
            </w:r>
            <w:r>
              <w:rPr>
                <w:sz w:val="21"/>
                <w:szCs w:val="16"/>
                <w:vertAlign w:val="subscript"/>
              </w:rPr>
              <w:t>2</w:t>
            </w:r>
            <w:r>
              <w:rPr>
                <w:sz w:val="21"/>
                <w:szCs w:val="16"/>
              </w:rPr>
              <w:t>、NO</w:t>
            </w:r>
            <w:r>
              <w:rPr>
                <w:sz w:val="21"/>
                <w:szCs w:val="16"/>
                <w:vertAlign w:val="subscript"/>
              </w:rPr>
              <w:t>x</w:t>
            </w:r>
            <w:r>
              <w:rPr>
                <w:sz w:val="21"/>
                <w:szCs w:val="16"/>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G3</w:t>
            </w:r>
          </w:p>
        </w:tc>
        <w:tc>
          <w:tcPr>
            <w:tcW w:w="1561" w:type="pct"/>
            <w:vAlign w:val="center"/>
          </w:tcPr>
          <w:p>
            <w:pPr>
              <w:spacing w:line="240" w:lineRule="auto"/>
              <w:ind w:firstLine="0" w:firstLineChars="0"/>
              <w:jc w:val="center"/>
              <w:rPr>
                <w:sz w:val="21"/>
                <w:szCs w:val="16"/>
              </w:rPr>
            </w:pPr>
            <w:r>
              <w:rPr>
                <w:sz w:val="21"/>
                <w:szCs w:val="16"/>
              </w:rPr>
              <w:t>压制成型</w:t>
            </w:r>
          </w:p>
        </w:tc>
        <w:tc>
          <w:tcPr>
            <w:tcW w:w="1871" w:type="pct"/>
            <w:vAlign w:val="center"/>
          </w:tcPr>
          <w:p>
            <w:pPr>
              <w:spacing w:line="240" w:lineRule="auto"/>
              <w:ind w:firstLine="0" w:firstLineChars="0"/>
              <w:jc w:val="center"/>
              <w:rPr>
                <w:sz w:val="21"/>
                <w:szCs w:val="16"/>
              </w:rPr>
            </w:pPr>
            <w:r>
              <w:rPr>
                <w:sz w:val="21"/>
                <w:szCs w:val="16"/>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G4</w:t>
            </w:r>
          </w:p>
        </w:tc>
        <w:tc>
          <w:tcPr>
            <w:tcW w:w="1561" w:type="pct"/>
            <w:vAlign w:val="center"/>
          </w:tcPr>
          <w:p>
            <w:pPr>
              <w:spacing w:line="240" w:lineRule="auto"/>
              <w:ind w:firstLine="0" w:firstLineChars="0"/>
              <w:jc w:val="center"/>
              <w:rPr>
                <w:sz w:val="21"/>
                <w:szCs w:val="16"/>
              </w:rPr>
            </w:pPr>
            <w:r>
              <w:rPr>
                <w:sz w:val="21"/>
                <w:szCs w:val="16"/>
              </w:rPr>
              <w:t>釉烧</w:t>
            </w:r>
          </w:p>
        </w:tc>
        <w:tc>
          <w:tcPr>
            <w:tcW w:w="1871" w:type="pct"/>
            <w:vAlign w:val="center"/>
          </w:tcPr>
          <w:p>
            <w:pPr>
              <w:spacing w:line="240" w:lineRule="auto"/>
              <w:ind w:firstLine="0" w:firstLineChars="0"/>
              <w:jc w:val="center"/>
              <w:rPr>
                <w:sz w:val="21"/>
                <w:szCs w:val="16"/>
              </w:rPr>
            </w:pPr>
            <w:r>
              <w:rPr>
                <w:sz w:val="21"/>
                <w:szCs w:val="16"/>
              </w:rPr>
              <w:t>颗粒物、SO</w:t>
            </w:r>
            <w:r>
              <w:rPr>
                <w:sz w:val="21"/>
                <w:szCs w:val="16"/>
                <w:vertAlign w:val="subscript"/>
              </w:rPr>
              <w:t>2</w:t>
            </w:r>
            <w:r>
              <w:rPr>
                <w:sz w:val="21"/>
                <w:szCs w:val="16"/>
              </w:rPr>
              <w:t>、NO</w:t>
            </w:r>
            <w:r>
              <w:rPr>
                <w:sz w:val="21"/>
                <w:szCs w:val="16"/>
                <w:vertAlign w:val="subscript"/>
              </w:rPr>
              <w:t>x</w:t>
            </w:r>
            <w:r>
              <w:rPr>
                <w:sz w:val="21"/>
                <w:szCs w:val="16"/>
              </w:rPr>
              <w:t>、氟化物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restart"/>
            <w:vAlign w:val="center"/>
          </w:tcPr>
          <w:p>
            <w:pPr>
              <w:spacing w:line="240" w:lineRule="auto"/>
              <w:ind w:firstLine="0" w:firstLineChars="0"/>
              <w:jc w:val="center"/>
              <w:rPr>
                <w:sz w:val="21"/>
                <w:szCs w:val="16"/>
              </w:rPr>
            </w:pPr>
            <w:r>
              <w:rPr>
                <w:sz w:val="21"/>
                <w:szCs w:val="16"/>
              </w:rPr>
              <w:t>废水</w:t>
            </w:r>
          </w:p>
        </w:tc>
        <w:tc>
          <w:tcPr>
            <w:tcW w:w="393" w:type="pct"/>
            <w:vAlign w:val="center"/>
          </w:tcPr>
          <w:p>
            <w:pPr>
              <w:spacing w:line="240" w:lineRule="auto"/>
              <w:ind w:firstLine="0" w:firstLineChars="0"/>
              <w:jc w:val="center"/>
              <w:rPr>
                <w:sz w:val="21"/>
                <w:szCs w:val="16"/>
              </w:rPr>
            </w:pPr>
            <w:r>
              <w:rPr>
                <w:sz w:val="21"/>
                <w:szCs w:val="16"/>
              </w:rPr>
              <w:t>W1</w:t>
            </w:r>
          </w:p>
        </w:tc>
        <w:tc>
          <w:tcPr>
            <w:tcW w:w="1561" w:type="pct"/>
            <w:vAlign w:val="center"/>
          </w:tcPr>
          <w:p>
            <w:pPr>
              <w:spacing w:line="240" w:lineRule="auto"/>
              <w:ind w:firstLine="0" w:firstLineChars="0"/>
              <w:jc w:val="center"/>
              <w:rPr>
                <w:sz w:val="21"/>
                <w:szCs w:val="16"/>
              </w:rPr>
            </w:pPr>
            <w:r>
              <w:rPr>
                <w:sz w:val="21"/>
                <w:szCs w:val="16"/>
              </w:rPr>
              <w:t>球磨</w:t>
            </w:r>
          </w:p>
        </w:tc>
        <w:tc>
          <w:tcPr>
            <w:tcW w:w="1871" w:type="pct"/>
            <w:vAlign w:val="center"/>
          </w:tcPr>
          <w:p>
            <w:pPr>
              <w:spacing w:line="240" w:lineRule="auto"/>
              <w:ind w:firstLine="0" w:firstLineChars="0"/>
              <w:jc w:val="center"/>
              <w:rPr>
                <w:sz w:val="21"/>
                <w:szCs w:val="16"/>
              </w:rPr>
            </w:pPr>
            <w:r>
              <w:rPr>
                <w:sz w:val="21"/>
                <w:szCs w:val="16"/>
              </w:rPr>
              <w:t>不排放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W2</w:t>
            </w:r>
          </w:p>
        </w:tc>
        <w:tc>
          <w:tcPr>
            <w:tcW w:w="1561" w:type="pct"/>
            <w:vAlign w:val="center"/>
          </w:tcPr>
          <w:p>
            <w:pPr>
              <w:spacing w:line="240" w:lineRule="auto"/>
              <w:ind w:firstLine="0" w:firstLineChars="0"/>
              <w:jc w:val="center"/>
              <w:rPr>
                <w:sz w:val="21"/>
                <w:szCs w:val="16"/>
              </w:rPr>
            </w:pPr>
            <w:r>
              <w:rPr>
                <w:sz w:val="21"/>
                <w:szCs w:val="16"/>
              </w:rPr>
              <w:t>施釉</w:t>
            </w:r>
          </w:p>
        </w:tc>
        <w:tc>
          <w:tcPr>
            <w:tcW w:w="1871" w:type="pct"/>
            <w:vAlign w:val="center"/>
          </w:tcPr>
          <w:p>
            <w:pPr>
              <w:spacing w:line="240" w:lineRule="auto"/>
              <w:ind w:firstLine="0" w:firstLineChars="0"/>
              <w:jc w:val="center"/>
              <w:rPr>
                <w:sz w:val="21"/>
                <w:szCs w:val="16"/>
              </w:rPr>
            </w:pPr>
            <w:r>
              <w:rPr>
                <w:sz w:val="21"/>
                <w:szCs w:val="16"/>
              </w:rPr>
              <w:t>不排放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W3</w:t>
            </w:r>
          </w:p>
        </w:tc>
        <w:tc>
          <w:tcPr>
            <w:tcW w:w="1561" w:type="pct"/>
            <w:vAlign w:val="center"/>
          </w:tcPr>
          <w:p>
            <w:pPr>
              <w:spacing w:line="240" w:lineRule="auto"/>
              <w:ind w:firstLine="0" w:firstLineChars="0"/>
              <w:jc w:val="center"/>
              <w:rPr>
                <w:sz w:val="21"/>
                <w:szCs w:val="16"/>
              </w:rPr>
            </w:pPr>
            <w:r>
              <w:rPr>
                <w:sz w:val="21"/>
                <w:szCs w:val="16"/>
              </w:rPr>
              <w:t>抛光</w:t>
            </w:r>
          </w:p>
        </w:tc>
        <w:tc>
          <w:tcPr>
            <w:tcW w:w="1871" w:type="pct"/>
            <w:vAlign w:val="center"/>
          </w:tcPr>
          <w:p>
            <w:pPr>
              <w:spacing w:line="240" w:lineRule="auto"/>
              <w:ind w:firstLine="0" w:firstLineChars="0"/>
              <w:jc w:val="center"/>
              <w:rPr>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Align w:val="center"/>
          </w:tcPr>
          <w:p>
            <w:pPr>
              <w:spacing w:line="240" w:lineRule="auto"/>
              <w:ind w:firstLine="0" w:firstLineChars="0"/>
              <w:jc w:val="center"/>
              <w:rPr>
                <w:sz w:val="21"/>
                <w:szCs w:val="16"/>
              </w:rPr>
            </w:pPr>
            <w:r>
              <w:rPr>
                <w:sz w:val="21"/>
                <w:szCs w:val="16"/>
              </w:rPr>
              <w:t>噪声</w:t>
            </w:r>
          </w:p>
        </w:tc>
        <w:tc>
          <w:tcPr>
            <w:tcW w:w="393" w:type="pct"/>
            <w:vAlign w:val="center"/>
          </w:tcPr>
          <w:p>
            <w:pPr>
              <w:spacing w:line="240" w:lineRule="auto"/>
              <w:ind w:firstLine="0" w:firstLineChars="0"/>
              <w:jc w:val="center"/>
              <w:rPr>
                <w:sz w:val="21"/>
                <w:szCs w:val="16"/>
              </w:rPr>
            </w:pPr>
            <w:r>
              <w:rPr>
                <w:sz w:val="21"/>
                <w:szCs w:val="16"/>
              </w:rPr>
              <w:t>N</w:t>
            </w:r>
          </w:p>
        </w:tc>
        <w:tc>
          <w:tcPr>
            <w:tcW w:w="1561" w:type="pct"/>
            <w:vAlign w:val="center"/>
          </w:tcPr>
          <w:p>
            <w:pPr>
              <w:spacing w:line="240" w:lineRule="auto"/>
              <w:ind w:firstLine="0" w:firstLineChars="0"/>
              <w:jc w:val="center"/>
              <w:rPr>
                <w:sz w:val="21"/>
                <w:szCs w:val="16"/>
              </w:rPr>
            </w:pPr>
            <w:r>
              <w:rPr>
                <w:sz w:val="21"/>
                <w:szCs w:val="16"/>
              </w:rPr>
              <w:t>生产设备</w:t>
            </w:r>
          </w:p>
        </w:tc>
        <w:tc>
          <w:tcPr>
            <w:tcW w:w="1871" w:type="pct"/>
            <w:vAlign w:val="center"/>
          </w:tcPr>
          <w:p>
            <w:pPr>
              <w:spacing w:line="240" w:lineRule="auto"/>
              <w:ind w:firstLine="0" w:firstLineChars="0"/>
              <w:jc w:val="center"/>
              <w:rPr>
                <w:sz w:val="21"/>
                <w:szCs w:val="16"/>
              </w:rPr>
            </w:pPr>
            <w:r>
              <w:rPr>
                <w:sz w:val="21"/>
                <w:szCs w:val="16"/>
              </w:rPr>
              <w:t>LeqA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restart"/>
            <w:vAlign w:val="center"/>
          </w:tcPr>
          <w:p>
            <w:pPr>
              <w:spacing w:line="240" w:lineRule="auto"/>
              <w:ind w:firstLine="0" w:firstLineChars="0"/>
              <w:jc w:val="center"/>
              <w:rPr>
                <w:sz w:val="21"/>
                <w:szCs w:val="16"/>
              </w:rPr>
            </w:pPr>
            <w:r>
              <w:rPr>
                <w:sz w:val="21"/>
                <w:szCs w:val="16"/>
              </w:rPr>
              <w:t>固废</w:t>
            </w:r>
          </w:p>
        </w:tc>
        <w:tc>
          <w:tcPr>
            <w:tcW w:w="393" w:type="pct"/>
            <w:vAlign w:val="center"/>
          </w:tcPr>
          <w:p>
            <w:pPr>
              <w:spacing w:line="240" w:lineRule="auto"/>
              <w:ind w:firstLine="0" w:firstLineChars="0"/>
              <w:jc w:val="center"/>
              <w:rPr>
                <w:sz w:val="21"/>
                <w:szCs w:val="16"/>
              </w:rPr>
            </w:pPr>
            <w:r>
              <w:rPr>
                <w:sz w:val="21"/>
                <w:szCs w:val="16"/>
              </w:rPr>
              <w:t>S1</w:t>
            </w:r>
          </w:p>
        </w:tc>
        <w:tc>
          <w:tcPr>
            <w:tcW w:w="1561" w:type="pct"/>
            <w:vAlign w:val="center"/>
          </w:tcPr>
          <w:p>
            <w:pPr>
              <w:spacing w:line="240" w:lineRule="auto"/>
              <w:ind w:firstLine="0" w:firstLineChars="0"/>
              <w:jc w:val="center"/>
              <w:rPr>
                <w:sz w:val="21"/>
                <w:szCs w:val="16"/>
              </w:rPr>
            </w:pPr>
            <w:r>
              <w:rPr>
                <w:sz w:val="21"/>
                <w:szCs w:val="16"/>
              </w:rPr>
              <w:t>预处理</w:t>
            </w:r>
          </w:p>
        </w:tc>
        <w:tc>
          <w:tcPr>
            <w:tcW w:w="1871" w:type="pct"/>
            <w:vAlign w:val="center"/>
          </w:tcPr>
          <w:p>
            <w:pPr>
              <w:spacing w:line="240" w:lineRule="auto"/>
              <w:ind w:firstLine="0" w:firstLineChars="0"/>
              <w:jc w:val="center"/>
              <w:rPr>
                <w:sz w:val="21"/>
                <w:szCs w:val="16"/>
              </w:rPr>
            </w:pPr>
            <w:r>
              <w:rPr>
                <w:sz w:val="21"/>
                <w:szCs w:val="16"/>
              </w:rPr>
              <w:t>粗料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S2</w:t>
            </w:r>
          </w:p>
        </w:tc>
        <w:tc>
          <w:tcPr>
            <w:tcW w:w="1561" w:type="pct"/>
            <w:vAlign w:val="center"/>
          </w:tcPr>
          <w:p>
            <w:pPr>
              <w:spacing w:line="240" w:lineRule="auto"/>
              <w:ind w:firstLine="0" w:firstLineChars="0"/>
              <w:jc w:val="center"/>
              <w:rPr>
                <w:sz w:val="21"/>
                <w:szCs w:val="16"/>
              </w:rPr>
            </w:pPr>
            <w:r>
              <w:rPr>
                <w:sz w:val="21"/>
                <w:szCs w:val="16"/>
              </w:rPr>
              <w:t>压制成型</w:t>
            </w:r>
          </w:p>
        </w:tc>
        <w:tc>
          <w:tcPr>
            <w:tcW w:w="1871" w:type="pct"/>
            <w:vAlign w:val="center"/>
          </w:tcPr>
          <w:p>
            <w:pPr>
              <w:spacing w:line="240" w:lineRule="auto"/>
              <w:ind w:firstLine="0" w:firstLineChars="0"/>
              <w:jc w:val="center"/>
              <w:rPr>
                <w:sz w:val="21"/>
                <w:szCs w:val="16"/>
              </w:rPr>
            </w:pPr>
            <w:r>
              <w:rPr>
                <w:sz w:val="21"/>
                <w:szCs w:val="16"/>
              </w:rPr>
              <w:t>废坯、废瓷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restart"/>
            <w:vAlign w:val="center"/>
          </w:tcPr>
          <w:p>
            <w:pPr>
              <w:spacing w:line="240" w:lineRule="auto"/>
              <w:ind w:firstLine="0" w:firstLineChars="0"/>
              <w:jc w:val="center"/>
              <w:rPr>
                <w:sz w:val="21"/>
                <w:szCs w:val="16"/>
              </w:rPr>
            </w:pPr>
            <w:r>
              <w:rPr>
                <w:sz w:val="21"/>
                <w:szCs w:val="16"/>
              </w:rPr>
              <w:t>仿古/</w:t>
            </w:r>
          </w:p>
          <w:p>
            <w:pPr>
              <w:spacing w:line="240" w:lineRule="auto"/>
              <w:ind w:firstLine="0" w:firstLineChars="0"/>
              <w:jc w:val="center"/>
              <w:rPr>
                <w:sz w:val="21"/>
                <w:szCs w:val="16"/>
              </w:rPr>
            </w:pPr>
            <w:r>
              <w:rPr>
                <w:sz w:val="21"/>
                <w:szCs w:val="16"/>
              </w:rPr>
              <w:t>抛釉</w:t>
            </w:r>
          </w:p>
          <w:p>
            <w:pPr>
              <w:spacing w:line="240" w:lineRule="auto"/>
              <w:ind w:firstLine="0" w:firstLineChars="0"/>
              <w:jc w:val="center"/>
              <w:rPr>
                <w:sz w:val="21"/>
                <w:szCs w:val="16"/>
              </w:rPr>
            </w:pPr>
            <w:r>
              <w:rPr>
                <w:sz w:val="21"/>
                <w:szCs w:val="16"/>
              </w:rPr>
              <w:t>砖生</w:t>
            </w:r>
          </w:p>
          <w:p>
            <w:pPr>
              <w:spacing w:line="240" w:lineRule="auto"/>
              <w:ind w:firstLine="0" w:firstLineChars="0"/>
              <w:jc w:val="center"/>
              <w:rPr>
                <w:sz w:val="21"/>
                <w:szCs w:val="16"/>
              </w:rPr>
            </w:pPr>
            <w:r>
              <w:rPr>
                <w:sz w:val="21"/>
                <w:szCs w:val="16"/>
              </w:rPr>
              <w:t>产线</w:t>
            </w:r>
          </w:p>
        </w:tc>
        <w:tc>
          <w:tcPr>
            <w:tcW w:w="652" w:type="pct"/>
            <w:vMerge w:val="restart"/>
            <w:vAlign w:val="center"/>
          </w:tcPr>
          <w:p>
            <w:pPr>
              <w:spacing w:line="240" w:lineRule="auto"/>
              <w:ind w:firstLine="0" w:firstLineChars="0"/>
              <w:jc w:val="center"/>
              <w:rPr>
                <w:sz w:val="21"/>
                <w:szCs w:val="16"/>
              </w:rPr>
            </w:pPr>
            <w:r>
              <w:rPr>
                <w:sz w:val="21"/>
                <w:szCs w:val="16"/>
              </w:rPr>
              <w:t>废气</w:t>
            </w:r>
          </w:p>
        </w:tc>
        <w:tc>
          <w:tcPr>
            <w:tcW w:w="393" w:type="pct"/>
            <w:vAlign w:val="center"/>
          </w:tcPr>
          <w:p>
            <w:pPr>
              <w:spacing w:line="240" w:lineRule="auto"/>
              <w:ind w:firstLine="0" w:firstLineChars="0"/>
              <w:jc w:val="center"/>
              <w:rPr>
                <w:sz w:val="21"/>
                <w:szCs w:val="16"/>
              </w:rPr>
            </w:pPr>
            <w:r>
              <w:rPr>
                <w:sz w:val="21"/>
                <w:szCs w:val="16"/>
              </w:rPr>
              <w:t>G5</w:t>
            </w:r>
          </w:p>
        </w:tc>
        <w:tc>
          <w:tcPr>
            <w:tcW w:w="1561" w:type="pct"/>
            <w:vAlign w:val="center"/>
          </w:tcPr>
          <w:p>
            <w:pPr>
              <w:spacing w:line="240" w:lineRule="auto"/>
              <w:ind w:firstLine="0" w:firstLineChars="0"/>
              <w:jc w:val="center"/>
              <w:rPr>
                <w:sz w:val="21"/>
                <w:szCs w:val="16"/>
              </w:rPr>
            </w:pPr>
            <w:r>
              <w:rPr>
                <w:sz w:val="21"/>
                <w:szCs w:val="16"/>
              </w:rPr>
              <w:t>预处理、配料、输送</w:t>
            </w:r>
          </w:p>
        </w:tc>
        <w:tc>
          <w:tcPr>
            <w:tcW w:w="1871" w:type="pct"/>
            <w:vAlign w:val="center"/>
          </w:tcPr>
          <w:p>
            <w:pPr>
              <w:spacing w:line="240" w:lineRule="auto"/>
              <w:ind w:firstLine="0" w:firstLineChars="0"/>
              <w:jc w:val="center"/>
              <w:rPr>
                <w:sz w:val="21"/>
                <w:szCs w:val="16"/>
              </w:rPr>
            </w:pPr>
            <w:r>
              <w:rPr>
                <w:sz w:val="21"/>
                <w:szCs w:val="16"/>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G6</w:t>
            </w:r>
          </w:p>
        </w:tc>
        <w:tc>
          <w:tcPr>
            <w:tcW w:w="1561" w:type="pct"/>
            <w:vAlign w:val="center"/>
          </w:tcPr>
          <w:p>
            <w:pPr>
              <w:spacing w:line="240" w:lineRule="auto"/>
              <w:ind w:firstLine="0" w:firstLineChars="0"/>
              <w:jc w:val="center"/>
              <w:rPr>
                <w:sz w:val="21"/>
                <w:szCs w:val="16"/>
              </w:rPr>
            </w:pPr>
            <w:r>
              <w:rPr>
                <w:sz w:val="21"/>
                <w:szCs w:val="16"/>
              </w:rPr>
              <w:t>喷雾制粉（热风炉废气）</w:t>
            </w:r>
          </w:p>
        </w:tc>
        <w:tc>
          <w:tcPr>
            <w:tcW w:w="1871" w:type="pct"/>
            <w:vAlign w:val="center"/>
          </w:tcPr>
          <w:p>
            <w:pPr>
              <w:spacing w:line="240" w:lineRule="auto"/>
              <w:ind w:firstLine="0" w:firstLineChars="0"/>
              <w:jc w:val="center"/>
              <w:rPr>
                <w:sz w:val="21"/>
                <w:szCs w:val="16"/>
              </w:rPr>
            </w:pPr>
            <w:r>
              <w:rPr>
                <w:sz w:val="21"/>
                <w:szCs w:val="16"/>
              </w:rPr>
              <w:t>SO</w:t>
            </w:r>
            <w:r>
              <w:rPr>
                <w:sz w:val="21"/>
                <w:szCs w:val="16"/>
                <w:vertAlign w:val="subscript"/>
              </w:rPr>
              <w:t>2</w:t>
            </w:r>
            <w:r>
              <w:rPr>
                <w:sz w:val="21"/>
                <w:szCs w:val="16"/>
              </w:rPr>
              <w:t>、NO</w:t>
            </w:r>
            <w:r>
              <w:rPr>
                <w:sz w:val="21"/>
                <w:szCs w:val="16"/>
                <w:vertAlign w:val="subscript"/>
              </w:rPr>
              <w:t>x</w:t>
            </w:r>
            <w:r>
              <w:rPr>
                <w:sz w:val="21"/>
                <w:szCs w:val="16"/>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G7</w:t>
            </w:r>
          </w:p>
        </w:tc>
        <w:tc>
          <w:tcPr>
            <w:tcW w:w="1561" w:type="pct"/>
            <w:vAlign w:val="center"/>
          </w:tcPr>
          <w:p>
            <w:pPr>
              <w:spacing w:line="240" w:lineRule="auto"/>
              <w:ind w:firstLine="0" w:firstLineChars="0"/>
              <w:jc w:val="center"/>
              <w:rPr>
                <w:sz w:val="21"/>
                <w:szCs w:val="16"/>
              </w:rPr>
            </w:pPr>
            <w:r>
              <w:rPr>
                <w:sz w:val="21"/>
                <w:szCs w:val="16"/>
              </w:rPr>
              <w:t>压制成型</w:t>
            </w:r>
          </w:p>
        </w:tc>
        <w:tc>
          <w:tcPr>
            <w:tcW w:w="1871" w:type="pct"/>
            <w:vAlign w:val="center"/>
          </w:tcPr>
          <w:p>
            <w:pPr>
              <w:spacing w:line="240" w:lineRule="auto"/>
              <w:ind w:firstLine="0" w:firstLineChars="0"/>
              <w:jc w:val="center"/>
              <w:rPr>
                <w:sz w:val="21"/>
                <w:szCs w:val="16"/>
              </w:rPr>
            </w:pPr>
            <w:r>
              <w:rPr>
                <w:sz w:val="21"/>
                <w:szCs w:val="16"/>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G8</w:t>
            </w:r>
          </w:p>
        </w:tc>
        <w:tc>
          <w:tcPr>
            <w:tcW w:w="1561" w:type="pct"/>
            <w:vAlign w:val="center"/>
          </w:tcPr>
          <w:p>
            <w:pPr>
              <w:spacing w:line="240" w:lineRule="auto"/>
              <w:ind w:firstLine="0" w:firstLineChars="0"/>
              <w:jc w:val="center"/>
              <w:rPr>
                <w:sz w:val="21"/>
                <w:szCs w:val="16"/>
              </w:rPr>
            </w:pPr>
            <w:r>
              <w:rPr>
                <w:sz w:val="21"/>
                <w:szCs w:val="16"/>
              </w:rPr>
              <w:t>干燥（热风炉废气）</w:t>
            </w:r>
          </w:p>
        </w:tc>
        <w:tc>
          <w:tcPr>
            <w:tcW w:w="1871" w:type="pct"/>
            <w:vAlign w:val="center"/>
          </w:tcPr>
          <w:p>
            <w:pPr>
              <w:spacing w:line="240" w:lineRule="auto"/>
              <w:ind w:firstLine="0" w:firstLineChars="0"/>
              <w:jc w:val="center"/>
              <w:rPr>
                <w:sz w:val="21"/>
                <w:szCs w:val="16"/>
              </w:rPr>
            </w:pPr>
            <w:r>
              <w:rPr>
                <w:sz w:val="21"/>
                <w:szCs w:val="16"/>
              </w:rPr>
              <w:t>SO</w:t>
            </w:r>
            <w:r>
              <w:rPr>
                <w:sz w:val="21"/>
                <w:szCs w:val="16"/>
                <w:vertAlign w:val="subscript"/>
              </w:rPr>
              <w:t>2</w:t>
            </w:r>
            <w:r>
              <w:rPr>
                <w:sz w:val="21"/>
                <w:szCs w:val="16"/>
              </w:rPr>
              <w:t>、NO</w:t>
            </w:r>
            <w:r>
              <w:rPr>
                <w:sz w:val="21"/>
                <w:szCs w:val="16"/>
                <w:vertAlign w:val="subscript"/>
              </w:rPr>
              <w:t>x</w:t>
            </w:r>
            <w:r>
              <w:rPr>
                <w:sz w:val="21"/>
                <w:szCs w:val="16"/>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G9</w:t>
            </w:r>
          </w:p>
        </w:tc>
        <w:tc>
          <w:tcPr>
            <w:tcW w:w="1561" w:type="pct"/>
            <w:vAlign w:val="center"/>
          </w:tcPr>
          <w:p>
            <w:pPr>
              <w:spacing w:line="240" w:lineRule="auto"/>
              <w:ind w:firstLine="0" w:firstLineChars="0"/>
              <w:jc w:val="center"/>
              <w:rPr>
                <w:sz w:val="21"/>
                <w:szCs w:val="16"/>
              </w:rPr>
            </w:pPr>
            <w:r>
              <w:rPr>
                <w:sz w:val="21"/>
                <w:szCs w:val="16"/>
              </w:rPr>
              <w:t>釉烧、素烧</w:t>
            </w:r>
          </w:p>
        </w:tc>
        <w:tc>
          <w:tcPr>
            <w:tcW w:w="1871" w:type="pct"/>
            <w:vAlign w:val="center"/>
          </w:tcPr>
          <w:p>
            <w:pPr>
              <w:spacing w:line="240" w:lineRule="auto"/>
              <w:ind w:firstLine="0" w:firstLineChars="0"/>
              <w:jc w:val="center"/>
              <w:rPr>
                <w:sz w:val="21"/>
                <w:szCs w:val="16"/>
              </w:rPr>
            </w:pPr>
            <w:r>
              <w:rPr>
                <w:sz w:val="21"/>
                <w:szCs w:val="16"/>
              </w:rPr>
              <w:t>颗粒物、SO</w:t>
            </w:r>
            <w:r>
              <w:rPr>
                <w:sz w:val="21"/>
                <w:szCs w:val="16"/>
                <w:vertAlign w:val="subscript"/>
              </w:rPr>
              <w:t>2</w:t>
            </w:r>
            <w:r>
              <w:rPr>
                <w:sz w:val="21"/>
                <w:szCs w:val="16"/>
              </w:rPr>
              <w:t>、NO</w:t>
            </w:r>
            <w:r>
              <w:rPr>
                <w:sz w:val="21"/>
                <w:szCs w:val="16"/>
                <w:vertAlign w:val="subscript"/>
              </w:rPr>
              <w:t>x</w:t>
            </w:r>
            <w:r>
              <w:rPr>
                <w:sz w:val="21"/>
                <w:szCs w:val="16"/>
              </w:rPr>
              <w:t>、氟化物、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restart"/>
            <w:vAlign w:val="center"/>
          </w:tcPr>
          <w:p>
            <w:pPr>
              <w:spacing w:line="240" w:lineRule="auto"/>
              <w:ind w:firstLine="0" w:firstLineChars="0"/>
              <w:jc w:val="center"/>
              <w:rPr>
                <w:sz w:val="21"/>
                <w:szCs w:val="16"/>
              </w:rPr>
            </w:pPr>
            <w:r>
              <w:rPr>
                <w:sz w:val="21"/>
                <w:szCs w:val="16"/>
              </w:rPr>
              <w:t>废水</w:t>
            </w:r>
          </w:p>
        </w:tc>
        <w:tc>
          <w:tcPr>
            <w:tcW w:w="393" w:type="pct"/>
            <w:vAlign w:val="center"/>
          </w:tcPr>
          <w:p>
            <w:pPr>
              <w:spacing w:line="240" w:lineRule="auto"/>
              <w:ind w:firstLine="0" w:firstLineChars="0"/>
              <w:jc w:val="center"/>
              <w:rPr>
                <w:sz w:val="21"/>
                <w:szCs w:val="16"/>
              </w:rPr>
            </w:pPr>
            <w:r>
              <w:rPr>
                <w:sz w:val="21"/>
                <w:szCs w:val="16"/>
              </w:rPr>
              <w:t>W4</w:t>
            </w:r>
          </w:p>
        </w:tc>
        <w:tc>
          <w:tcPr>
            <w:tcW w:w="1561" w:type="pct"/>
            <w:vAlign w:val="center"/>
          </w:tcPr>
          <w:p>
            <w:pPr>
              <w:spacing w:line="240" w:lineRule="auto"/>
              <w:ind w:firstLine="0" w:firstLineChars="0"/>
              <w:jc w:val="center"/>
              <w:rPr>
                <w:sz w:val="21"/>
                <w:szCs w:val="16"/>
              </w:rPr>
            </w:pPr>
            <w:r>
              <w:rPr>
                <w:sz w:val="21"/>
                <w:szCs w:val="16"/>
              </w:rPr>
              <w:t>球磨</w:t>
            </w:r>
          </w:p>
        </w:tc>
        <w:tc>
          <w:tcPr>
            <w:tcW w:w="1871" w:type="pct"/>
            <w:vAlign w:val="center"/>
          </w:tcPr>
          <w:p>
            <w:pPr>
              <w:spacing w:line="240" w:lineRule="auto"/>
              <w:ind w:firstLine="0" w:firstLineChars="0"/>
              <w:jc w:val="center"/>
              <w:rPr>
                <w:sz w:val="21"/>
                <w:szCs w:val="16"/>
              </w:rPr>
            </w:pPr>
            <w:r>
              <w:rPr>
                <w:sz w:val="21"/>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W5</w:t>
            </w:r>
          </w:p>
        </w:tc>
        <w:tc>
          <w:tcPr>
            <w:tcW w:w="1561" w:type="pct"/>
            <w:vAlign w:val="center"/>
          </w:tcPr>
          <w:p>
            <w:pPr>
              <w:spacing w:line="240" w:lineRule="auto"/>
              <w:ind w:firstLine="0" w:firstLineChars="0"/>
              <w:jc w:val="center"/>
              <w:rPr>
                <w:sz w:val="21"/>
                <w:szCs w:val="16"/>
              </w:rPr>
            </w:pPr>
            <w:r>
              <w:rPr>
                <w:sz w:val="21"/>
                <w:szCs w:val="16"/>
              </w:rPr>
              <w:t>施釉</w:t>
            </w:r>
          </w:p>
        </w:tc>
        <w:tc>
          <w:tcPr>
            <w:tcW w:w="1871" w:type="pct"/>
            <w:vAlign w:val="center"/>
          </w:tcPr>
          <w:p>
            <w:pPr>
              <w:spacing w:line="240" w:lineRule="auto"/>
              <w:ind w:firstLine="0" w:firstLineChars="0"/>
              <w:jc w:val="center"/>
              <w:rPr>
                <w:sz w:val="21"/>
                <w:szCs w:val="16"/>
              </w:rPr>
            </w:pPr>
            <w:r>
              <w:rPr>
                <w:sz w:val="21"/>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W6</w:t>
            </w:r>
          </w:p>
        </w:tc>
        <w:tc>
          <w:tcPr>
            <w:tcW w:w="1561" w:type="pct"/>
            <w:vAlign w:val="center"/>
          </w:tcPr>
          <w:p>
            <w:pPr>
              <w:spacing w:line="240" w:lineRule="auto"/>
              <w:ind w:firstLine="0" w:firstLineChars="0"/>
              <w:jc w:val="center"/>
              <w:rPr>
                <w:sz w:val="21"/>
                <w:szCs w:val="16"/>
              </w:rPr>
            </w:pPr>
            <w:r>
              <w:rPr>
                <w:sz w:val="21"/>
                <w:szCs w:val="16"/>
              </w:rPr>
              <w:t>抛光</w:t>
            </w:r>
          </w:p>
        </w:tc>
        <w:tc>
          <w:tcPr>
            <w:tcW w:w="1871" w:type="pct"/>
            <w:vAlign w:val="center"/>
          </w:tcPr>
          <w:p>
            <w:pPr>
              <w:spacing w:line="240" w:lineRule="auto"/>
              <w:ind w:firstLine="0" w:firstLineChars="0"/>
              <w:jc w:val="center"/>
              <w:rPr>
                <w:sz w:val="21"/>
                <w:szCs w:val="16"/>
              </w:rPr>
            </w:pPr>
            <w:r>
              <w:rPr>
                <w:sz w:val="21"/>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Align w:val="center"/>
          </w:tcPr>
          <w:p>
            <w:pPr>
              <w:spacing w:line="240" w:lineRule="auto"/>
              <w:ind w:firstLine="0" w:firstLineChars="0"/>
              <w:jc w:val="center"/>
              <w:rPr>
                <w:sz w:val="21"/>
                <w:szCs w:val="16"/>
              </w:rPr>
            </w:pPr>
            <w:r>
              <w:rPr>
                <w:sz w:val="21"/>
                <w:szCs w:val="16"/>
              </w:rPr>
              <w:t>噪声</w:t>
            </w:r>
          </w:p>
        </w:tc>
        <w:tc>
          <w:tcPr>
            <w:tcW w:w="393" w:type="pct"/>
            <w:vAlign w:val="center"/>
          </w:tcPr>
          <w:p>
            <w:pPr>
              <w:spacing w:line="240" w:lineRule="auto"/>
              <w:ind w:firstLine="0" w:firstLineChars="0"/>
              <w:jc w:val="center"/>
              <w:rPr>
                <w:sz w:val="21"/>
                <w:szCs w:val="16"/>
              </w:rPr>
            </w:pPr>
            <w:r>
              <w:rPr>
                <w:sz w:val="21"/>
                <w:szCs w:val="16"/>
              </w:rPr>
              <w:t>N</w:t>
            </w:r>
          </w:p>
        </w:tc>
        <w:tc>
          <w:tcPr>
            <w:tcW w:w="1561" w:type="pct"/>
            <w:vAlign w:val="center"/>
          </w:tcPr>
          <w:p>
            <w:pPr>
              <w:spacing w:line="240" w:lineRule="auto"/>
              <w:ind w:firstLine="0" w:firstLineChars="0"/>
              <w:jc w:val="center"/>
              <w:rPr>
                <w:sz w:val="21"/>
                <w:szCs w:val="16"/>
              </w:rPr>
            </w:pPr>
            <w:r>
              <w:rPr>
                <w:sz w:val="21"/>
                <w:szCs w:val="16"/>
              </w:rPr>
              <w:t>生产设备</w:t>
            </w:r>
          </w:p>
        </w:tc>
        <w:tc>
          <w:tcPr>
            <w:tcW w:w="1871" w:type="pct"/>
            <w:vAlign w:val="center"/>
          </w:tcPr>
          <w:p>
            <w:pPr>
              <w:spacing w:line="240" w:lineRule="auto"/>
              <w:ind w:firstLine="0" w:firstLineChars="0"/>
              <w:jc w:val="center"/>
              <w:rPr>
                <w:sz w:val="21"/>
                <w:szCs w:val="16"/>
              </w:rPr>
            </w:pPr>
            <w:r>
              <w:rPr>
                <w:sz w:val="21"/>
                <w:szCs w:val="16"/>
              </w:rPr>
              <w:t>LeqA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restart"/>
            <w:vAlign w:val="center"/>
          </w:tcPr>
          <w:p>
            <w:pPr>
              <w:spacing w:line="240" w:lineRule="auto"/>
              <w:ind w:firstLine="420"/>
              <w:jc w:val="center"/>
              <w:rPr>
                <w:sz w:val="21"/>
                <w:szCs w:val="16"/>
              </w:rPr>
            </w:pPr>
            <w:r>
              <w:rPr>
                <w:sz w:val="21"/>
                <w:szCs w:val="16"/>
              </w:rPr>
              <w:t>固废</w:t>
            </w:r>
          </w:p>
        </w:tc>
        <w:tc>
          <w:tcPr>
            <w:tcW w:w="393" w:type="pct"/>
            <w:vAlign w:val="center"/>
          </w:tcPr>
          <w:p>
            <w:pPr>
              <w:spacing w:line="240" w:lineRule="auto"/>
              <w:ind w:firstLine="0" w:firstLineChars="0"/>
              <w:jc w:val="center"/>
              <w:rPr>
                <w:sz w:val="21"/>
                <w:szCs w:val="16"/>
              </w:rPr>
            </w:pPr>
            <w:r>
              <w:rPr>
                <w:sz w:val="21"/>
                <w:szCs w:val="16"/>
              </w:rPr>
              <w:t>S3</w:t>
            </w:r>
          </w:p>
        </w:tc>
        <w:tc>
          <w:tcPr>
            <w:tcW w:w="1561" w:type="pct"/>
            <w:vAlign w:val="center"/>
          </w:tcPr>
          <w:p>
            <w:pPr>
              <w:spacing w:line="240" w:lineRule="auto"/>
              <w:ind w:firstLine="0" w:firstLineChars="0"/>
              <w:jc w:val="center"/>
              <w:rPr>
                <w:sz w:val="21"/>
                <w:szCs w:val="16"/>
              </w:rPr>
            </w:pPr>
            <w:r>
              <w:rPr>
                <w:sz w:val="21"/>
                <w:szCs w:val="16"/>
              </w:rPr>
              <w:t>预处理</w:t>
            </w:r>
          </w:p>
        </w:tc>
        <w:tc>
          <w:tcPr>
            <w:tcW w:w="1871" w:type="pct"/>
            <w:vAlign w:val="center"/>
          </w:tcPr>
          <w:p>
            <w:pPr>
              <w:spacing w:line="240" w:lineRule="auto"/>
              <w:ind w:firstLine="0" w:firstLineChars="0"/>
              <w:jc w:val="center"/>
              <w:rPr>
                <w:sz w:val="21"/>
                <w:szCs w:val="16"/>
              </w:rPr>
            </w:pPr>
            <w:r>
              <w:rPr>
                <w:sz w:val="21"/>
                <w:szCs w:val="16"/>
              </w:rPr>
              <w:t>粗料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S4</w:t>
            </w:r>
          </w:p>
        </w:tc>
        <w:tc>
          <w:tcPr>
            <w:tcW w:w="1561" w:type="pct"/>
            <w:vAlign w:val="center"/>
          </w:tcPr>
          <w:p>
            <w:pPr>
              <w:spacing w:line="240" w:lineRule="auto"/>
              <w:ind w:firstLine="0" w:firstLineChars="0"/>
              <w:jc w:val="center"/>
              <w:rPr>
                <w:sz w:val="21"/>
                <w:szCs w:val="16"/>
              </w:rPr>
            </w:pPr>
            <w:r>
              <w:rPr>
                <w:sz w:val="21"/>
                <w:szCs w:val="16"/>
              </w:rPr>
              <w:t>压制成型</w:t>
            </w:r>
          </w:p>
        </w:tc>
        <w:tc>
          <w:tcPr>
            <w:tcW w:w="1871" w:type="pct"/>
            <w:vAlign w:val="center"/>
          </w:tcPr>
          <w:p>
            <w:pPr>
              <w:spacing w:line="240" w:lineRule="auto"/>
              <w:ind w:firstLine="0" w:firstLineChars="0"/>
              <w:jc w:val="center"/>
              <w:rPr>
                <w:sz w:val="21"/>
                <w:szCs w:val="16"/>
              </w:rPr>
            </w:pPr>
            <w:r>
              <w:rPr>
                <w:sz w:val="21"/>
                <w:szCs w:val="16"/>
              </w:rPr>
              <w:t>废坯、废瓷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restart"/>
            <w:vAlign w:val="center"/>
          </w:tcPr>
          <w:p>
            <w:pPr>
              <w:spacing w:line="240" w:lineRule="auto"/>
              <w:ind w:firstLine="0" w:firstLineChars="0"/>
              <w:jc w:val="center"/>
              <w:rPr>
                <w:sz w:val="21"/>
                <w:szCs w:val="16"/>
              </w:rPr>
            </w:pPr>
            <w:r>
              <w:rPr>
                <w:sz w:val="21"/>
                <w:szCs w:val="16"/>
              </w:rPr>
              <w:t>微晶</w:t>
            </w:r>
          </w:p>
          <w:p>
            <w:pPr>
              <w:spacing w:line="240" w:lineRule="auto"/>
              <w:ind w:firstLine="0" w:firstLineChars="0"/>
              <w:jc w:val="center"/>
              <w:rPr>
                <w:sz w:val="21"/>
                <w:szCs w:val="16"/>
              </w:rPr>
            </w:pPr>
            <w:r>
              <w:rPr>
                <w:sz w:val="21"/>
                <w:szCs w:val="16"/>
              </w:rPr>
              <w:t>大板</w:t>
            </w:r>
          </w:p>
          <w:p>
            <w:pPr>
              <w:spacing w:line="240" w:lineRule="auto"/>
              <w:ind w:firstLine="0" w:firstLineChars="0"/>
              <w:jc w:val="center"/>
              <w:rPr>
                <w:sz w:val="21"/>
                <w:szCs w:val="16"/>
              </w:rPr>
            </w:pPr>
            <w:r>
              <w:rPr>
                <w:sz w:val="21"/>
                <w:szCs w:val="16"/>
              </w:rPr>
              <w:t>生产</w:t>
            </w:r>
          </w:p>
          <w:p>
            <w:pPr>
              <w:spacing w:line="240" w:lineRule="auto"/>
              <w:ind w:firstLine="0" w:firstLineChars="0"/>
              <w:jc w:val="center"/>
              <w:rPr>
                <w:sz w:val="21"/>
                <w:szCs w:val="16"/>
              </w:rPr>
            </w:pPr>
            <w:r>
              <w:rPr>
                <w:sz w:val="21"/>
                <w:szCs w:val="16"/>
              </w:rPr>
              <w:t>线</w:t>
            </w:r>
          </w:p>
        </w:tc>
        <w:tc>
          <w:tcPr>
            <w:tcW w:w="652" w:type="pct"/>
            <w:vAlign w:val="center"/>
          </w:tcPr>
          <w:p>
            <w:pPr>
              <w:spacing w:line="240" w:lineRule="auto"/>
              <w:ind w:firstLine="0" w:firstLineChars="0"/>
              <w:jc w:val="center"/>
              <w:rPr>
                <w:sz w:val="21"/>
                <w:szCs w:val="16"/>
              </w:rPr>
            </w:pPr>
            <w:r>
              <w:rPr>
                <w:sz w:val="21"/>
                <w:szCs w:val="16"/>
              </w:rPr>
              <w:t>废气</w:t>
            </w:r>
          </w:p>
        </w:tc>
        <w:tc>
          <w:tcPr>
            <w:tcW w:w="393" w:type="pct"/>
            <w:vAlign w:val="center"/>
          </w:tcPr>
          <w:p>
            <w:pPr>
              <w:spacing w:line="240" w:lineRule="auto"/>
              <w:ind w:firstLine="0" w:firstLineChars="0"/>
              <w:jc w:val="center"/>
              <w:rPr>
                <w:sz w:val="21"/>
                <w:szCs w:val="16"/>
              </w:rPr>
            </w:pPr>
            <w:r>
              <w:rPr>
                <w:sz w:val="21"/>
                <w:szCs w:val="16"/>
              </w:rPr>
              <w:t>G10</w:t>
            </w:r>
          </w:p>
        </w:tc>
        <w:tc>
          <w:tcPr>
            <w:tcW w:w="1561" w:type="pct"/>
            <w:vAlign w:val="center"/>
          </w:tcPr>
          <w:p>
            <w:pPr>
              <w:spacing w:line="240" w:lineRule="auto"/>
              <w:ind w:firstLine="0" w:firstLineChars="0"/>
              <w:jc w:val="center"/>
              <w:rPr>
                <w:sz w:val="21"/>
                <w:szCs w:val="16"/>
              </w:rPr>
            </w:pPr>
            <w:r>
              <w:rPr>
                <w:sz w:val="21"/>
                <w:szCs w:val="16"/>
              </w:rPr>
              <w:t>熔制</w:t>
            </w:r>
          </w:p>
        </w:tc>
        <w:tc>
          <w:tcPr>
            <w:tcW w:w="1871" w:type="pct"/>
            <w:vAlign w:val="center"/>
          </w:tcPr>
          <w:p>
            <w:pPr>
              <w:spacing w:line="240" w:lineRule="auto"/>
              <w:ind w:firstLine="0" w:firstLineChars="0"/>
              <w:jc w:val="center"/>
              <w:rPr>
                <w:sz w:val="21"/>
                <w:szCs w:val="16"/>
              </w:rPr>
            </w:pPr>
            <w:r>
              <w:rPr>
                <w:sz w:val="21"/>
                <w:szCs w:val="16"/>
              </w:rPr>
              <w:t>颗粒物、SO</w:t>
            </w:r>
            <w:r>
              <w:rPr>
                <w:sz w:val="21"/>
                <w:szCs w:val="16"/>
                <w:vertAlign w:val="subscript"/>
              </w:rPr>
              <w:t>2</w:t>
            </w:r>
            <w:r>
              <w:rPr>
                <w:sz w:val="21"/>
                <w:szCs w:val="16"/>
              </w:rPr>
              <w:t>、NO</w:t>
            </w:r>
            <w:r>
              <w:rPr>
                <w:sz w:val="21"/>
                <w:szCs w:val="16"/>
                <w:vertAlign w:val="subscript"/>
              </w:rPr>
              <w:t>x</w:t>
            </w:r>
            <w:r>
              <w:rPr>
                <w:sz w:val="21"/>
                <w:szCs w:val="16"/>
              </w:rPr>
              <w:t>、氟化物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Align w:val="center"/>
          </w:tcPr>
          <w:p>
            <w:pPr>
              <w:spacing w:line="240" w:lineRule="auto"/>
              <w:ind w:firstLine="0" w:firstLineChars="0"/>
              <w:jc w:val="center"/>
              <w:rPr>
                <w:sz w:val="21"/>
                <w:szCs w:val="16"/>
              </w:rPr>
            </w:pPr>
            <w:r>
              <w:rPr>
                <w:sz w:val="21"/>
                <w:szCs w:val="16"/>
              </w:rPr>
              <w:t>废水</w:t>
            </w:r>
          </w:p>
        </w:tc>
        <w:tc>
          <w:tcPr>
            <w:tcW w:w="393" w:type="pct"/>
            <w:vAlign w:val="center"/>
          </w:tcPr>
          <w:p>
            <w:pPr>
              <w:spacing w:line="240" w:lineRule="auto"/>
              <w:ind w:firstLine="0" w:firstLineChars="0"/>
              <w:jc w:val="center"/>
              <w:rPr>
                <w:sz w:val="21"/>
                <w:szCs w:val="16"/>
              </w:rPr>
            </w:pPr>
            <w:r>
              <w:rPr>
                <w:sz w:val="21"/>
                <w:szCs w:val="16"/>
              </w:rPr>
              <w:t>W7</w:t>
            </w:r>
          </w:p>
        </w:tc>
        <w:tc>
          <w:tcPr>
            <w:tcW w:w="1561" w:type="pct"/>
            <w:vAlign w:val="center"/>
          </w:tcPr>
          <w:p>
            <w:pPr>
              <w:spacing w:line="240" w:lineRule="auto"/>
              <w:ind w:firstLine="0" w:firstLineChars="0"/>
              <w:jc w:val="center"/>
              <w:rPr>
                <w:sz w:val="21"/>
                <w:szCs w:val="16"/>
              </w:rPr>
            </w:pPr>
            <w:r>
              <w:rPr>
                <w:sz w:val="21"/>
                <w:szCs w:val="16"/>
              </w:rPr>
              <w:t>磨边抛光</w:t>
            </w:r>
          </w:p>
        </w:tc>
        <w:tc>
          <w:tcPr>
            <w:tcW w:w="1871" w:type="pct"/>
            <w:vAlign w:val="center"/>
          </w:tcPr>
          <w:p>
            <w:pPr>
              <w:spacing w:line="240" w:lineRule="auto"/>
              <w:ind w:firstLine="0" w:firstLineChars="0"/>
              <w:jc w:val="center"/>
              <w:rPr>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Align w:val="center"/>
          </w:tcPr>
          <w:p>
            <w:pPr>
              <w:spacing w:line="240" w:lineRule="auto"/>
              <w:ind w:firstLine="0" w:firstLineChars="0"/>
              <w:jc w:val="center"/>
              <w:rPr>
                <w:sz w:val="21"/>
                <w:szCs w:val="16"/>
              </w:rPr>
            </w:pPr>
            <w:r>
              <w:rPr>
                <w:sz w:val="21"/>
                <w:szCs w:val="16"/>
              </w:rPr>
              <w:t>噪声</w:t>
            </w:r>
          </w:p>
        </w:tc>
        <w:tc>
          <w:tcPr>
            <w:tcW w:w="393" w:type="pct"/>
            <w:vAlign w:val="center"/>
          </w:tcPr>
          <w:p>
            <w:pPr>
              <w:spacing w:line="240" w:lineRule="auto"/>
              <w:ind w:firstLine="0" w:firstLineChars="0"/>
              <w:jc w:val="center"/>
              <w:rPr>
                <w:sz w:val="21"/>
                <w:szCs w:val="16"/>
              </w:rPr>
            </w:pPr>
            <w:r>
              <w:rPr>
                <w:sz w:val="21"/>
                <w:szCs w:val="16"/>
              </w:rPr>
              <w:t>N</w:t>
            </w:r>
          </w:p>
        </w:tc>
        <w:tc>
          <w:tcPr>
            <w:tcW w:w="1561" w:type="pct"/>
            <w:vAlign w:val="center"/>
          </w:tcPr>
          <w:p>
            <w:pPr>
              <w:spacing w:line="240" w:lineRule="auto"/>
              <w:ind w:firstLine="0" w:firstLineChars="0"/>
              <w:jc w:val="center"/>
              <w:rPr>
                <w:sz w:val="21"/>
                <w:szCs w:val="16"/>
              </w:rPr>
            </w:pPr>
            <w:r>
              <w:rPr>
                <w:sz w:val="21"/>
                <w:szCs w:val="16"/>
              </w:rPr>
              <w:t>生产设备</w:t>
            </w:r>
          </w:p>
        </w:tc>
        <w:tc>
          <w:tcPr>
            <w:tcW w:w="1871" w:type="pct"/>
            <w:vAlign w:val="center"/>
          </w:tcPr>
          <w:p>
            <w:pPr>
              <w:spacing w:line="240" w:lineRule="auto"/>
              <w:ind w:firstLine="0" w:firstLineChars="0"/>
              <w:jc w:val="center"/>
              <w:rPr>
                <w:sz w:val="21"/>
                <w:szCs w:val="16"/>
              </w:rPr>
            </w:pPr>
            <w:r>
              <w:rPr>
                <w:sz w:val="21"/>
                <w:szCs w:val="16"/>
              </w:rPr>
              <w:t>LeqA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restart"/>
            <w:vAlign w:val="center"/>
          </w:tcPr>
          <w:p>
            <w:pPr>
              <w:spacing w:line="240" w:lineRule="auto"/>
              <w:ind w:firstLine="0" w:firstLineChars="0"/>
              <w:jc w:val="center"/>
              <w:rPr>
                <w:sz w:val="21"/>
                <w:szCs w:val="16"/>
              </w:rPr>
            </w:pPr>
            <w:r>
              <w:rPr>
                <w:sz w:val="21"/>
                <w:szCs w:val="16"/>
              </w:rPr>
              <w:t>卫生</w:t>
            </w:r>
          </w:p>
          <w:p>
            <w:pPr>
              <w:spacing w:line="240" w:lineRule="auto"/>
              <w:ind w:firstLine="0" w:firstLineChars="0"/>
              <w:jc w:val="center"/>
              <w:rPr>
                <w:sz w:val="21"/>
                <w:szCs w:val="16"/>
              </w:rPr>
            </w:pPr>
            <w:r>
              <w:rPr>
                <w:sz w:val="21"/>
                <w:szCs w:val="16"/>
              </w:rPr>
              <w:t>洁具</w:t>
            </w:r>
          </w:p>
          <w:p>
            <w:pPr>
              <w:spacing w:line="240" w:lineRule="auto"/>
              <w:ind w:firstLine="0" w:firstLineChars="0"/>
              <w:jc w:val="center"/>
              <w:rPr>
                <w:sz w:val="21"/>
                <w:szCs w:val="16"/>
              </w:rPr>
            </w:pPr>
            <w:r>
              <w:rPr>
                <w:sz w:val="21"/>
                <w:szCs w:val="16"/>
              </w:rPr>
              <w:t>生产</w:t>
            </w:r>
          </w:p>
          <w:p>
            <w:pPr>
              <w:spacing w:line="240" w:lineRule="auto"/>
              <w:ind w:firstLine="0" w:firstLineChars="0"/>
              <w:jc w:val="center"/>
              <w:rPr>
                <w:sz w:val="21"/>
                <w:szCs w:val="16"/>
              </w:rPr>
            </w:pPr>
            <w:r>
              <w:rPr>
                <w:sz w:val="21"/>
                <w:szCs w:val="16"/>
              </w:rPr>
              <w:t>线</w:t>
            </w:r>
          </w:p>
        </w:tc>
        <w:tc>
          <w:tcPr>
            <w:tcW w:w="652" w:type="pct"/>
            <w:vMerge w:val="restart"/>
            <w:vAlign w:val="center"/>
          </w:tcPr>
          <w:p>
            <w:pPr>
              <w:spacing w:line="240" w:lineRule="auto"/>
              <w:ind w:firstLine="0" w:firstLineChars="0"/>
              <w:jc w:val="center"/>
              <w:rPr>
                <w:sz w:val="21"/>
                <w:szCs w:val="16"/>
              </w:rPr>
            </w:pPr>
            <w:r>
              <w:rPr>
                <w:sz w:val="21"/>
                <w:szCs w:val="16"/>
              </w:rPr>
              <w:t>废气</w:t>
            </w:r>
          </w:p>
        </w:tc>
        <w:tc>
          <w:tcPr>
            <w:tcW w:w="393" w:type="pct"/>
            <w:vAlign w:val="center"/>
          </w:tcPr>
          <w:p>
            <w:pPr>
              <w:spacing w:line="240" w:lineRule="auto"/>
              <w:ind w:firstLine="0" w:firstLineChars="0"/>
              <w:jc w:val="center"/>
              <w:rPr>
                <w:sz w:val="21"/>
                <w:szCs w:val="16"/>
              </w:rPr>
            </w:pPr>
            <w:r>
              <w:rPr>
                <w:sz w:val="21"/>
                <w:szCs w:val="16"/>
              </w:rPr>
              <w:t>G11</w:t>
            </w:r>
          </w:p>
        </w:tc>
        <w:tc>
          <w:tcPr>
            <w:tcW w:w="1561" w:type="pct"/>
            <w:vAlign w:val="center"/>
          </w:tcPr>
          <w:p>
            <w:pPr>
              <w:spacing w:line="240" w:lineRule="auto"/>
              <w:ind w:firstLine="0" w:firstLineChars="0"/>
              <w:jc w:val="center"/>
              <w:rPr>
                <w:sz w:val="21"/>
                <w:szCs w:val="16"/>
              </w:rPr>
            </w:pPr>
            <w:r>
              <w:rPr>
                <w:sz w:val="21"/>
                <w:szCs w:val="16"/>
              </w:rPr>
              <w:t>胚体清理修整</w:t>
            </w:r>
          </w:p>
        </w:tc>
        <w:tc>
          <w:tcPr>
            <w:tcW w:w="1871" w:type="pct"/>
            <w:vAlign w:val="center"/>
          </w:tcPr>
          <w:p>
            <w:pPr>
              <w:spacing w:line="240" w:lineRule="auto"/>
              <w:ind w:firstLine="0" w:firstLineChars="0"/>
              <w:jc w:val="center"/>
              <w:rPr>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G12</w:t>
            </w:r>
          </w:p>
        </w:tc>
        <w:tc>
          <w:tcPr>
            <w:tcW w:w="1561" w:type="pct"/>
            <w:vAlign w:val="center"/>
          </w:tcPr>
          <w:p>
            <w:pPr>
              <w:spacing w:line="240" w:lineRule="auto"/>
              <w:ind w:firstLine="0" w:firstLineChars="0"/>
              <w:jc w:val="center"/>
              <w:rPr>
                <w:sz w:val="21"/>
                <w:szCs w:val="16"/>
              </w:rPr>
            </w:pPr>
            <w:r>
              <w:rPr>
                <w:sz w:val="21"/>
                <w:szCs w:val="16"/>
              </w:rPr>
              <w:t>釉烧</w:t>
            </w:r>
          </w:p>
        </w:tc>
        <w:tc>
          <w:tcPr>
            <w:tcW w:w="1871" w:type="pct"/>
            <w:vAlign w:val="center"/>
          </w:tcPr>
          <w:p>
            <w:pPr>
              <w:spacing w:line="240" w:lineRule="auto"/>
              <w:ind w:firstLine="0" w:firstLineChars="0"/>
              <w:jc w:val="center"/>
              <w:rPr>
                <w:sz w:val="21"/>
                <w:szCs w:val="16"/>
              </w:rPr>
            </w:pPr>
            <w:r>
              <w:rPr>
                <w:sz w:val="21"/>
                <w:szCs w:val="16"/>
              </w:rPr>
              <w:t>颗粒物、SO</w:t>
            </w:r>
            <w:r>
              <w:rPr>
                <w:sz w:val="21"/>
                <w:szCs w:val="16"/>
                <w:vertAlign w:val="subscript"/>
              </w:rPr>
              <w:t>2</w:t>
            </w:r>
            <w:r>
              <w:rPr>
                <w:sz w:val="21"/>
                <w:szCs w:val="16"/>
              </w:rPr>
              <w:t>、NO</w:t>
            </w:r>
            <w:r>
              <w:rPr>
                <w:sz w:val="21"/>
                <w:szCs w:val="16"/>
                <w:vertAlign w:val="subscript"/>
              </w:rPr>
              <w:t>x</w:t>
            </w:r>
            <w:r>
              <w:rPr>
                <w:sz w:val="21"/>
                <w:szCs w:val="16"/>
              </w:rPr>
              <w:t>、氟化物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restart"/>
            <w:vAlign w:val="center"/>
          </w:tcPr>
          <w:p>
            <w:pPr>
              <w:spacing w:line="240" w:lineRule="auto"/>
              <w:ind w:firstLine="0" w:firstLineChars="0"/>
              <w:jc w:val="center"/>
              <w:rPr>
                <w:sz w:val="21"/>
                <w:szCs w:val="16"/>
              </w:rPr>
            </w:pPr>
            <w:r>
              <w:rPr>
                <w:sz w:val="21"/>
                <w:szCs w:val="16"/>
              </w:rPr>
              <w:t>废水</w:t>
            </w:r>
          </w:p>
        </w:tc>
        <w:tc>
          <w:tcPr>
            <w:tcW w:w="393" w:type="pct"/>
            <w:vAlign w:val="center"/>
          </w:tcPr>
          <w:p>
            <w:pPr>
              <w:spacing w:line="240" w:lineRule="auto"/>
              <w:ind w:firstLine="0" w:firstLineChars="0"/>
              <w:jc w:val="center"/>
              <w:rPr>
                <w:sz w:val="21"/>
                <w:szCs w:val="16"/>
              </w:rPr>
            </w:pPr>
            <w:r>
              <w:rPr>
                <w:sz w:val="21"/>
                <w:szCs w:val="16"/>
              </w:rPr>
              <w:t>W8</w:t>
            </w:r>
          </w:p>
        </w:tc>
        <w:tc>
          <w:tcPr>
            <w:tcW w:w="1561" w:type="pct"/>
            <w:vAlign w:val="center"/>
          </w:tcPr>
          <w:p>
            <w:pPr>
              <w:spacing w:line="240" w:lineRule="auto"/>
              <w:ind w:firstLine="0" w:firstLineChars="0"/>
              <w:jc w:val="center"/>
              <w:rPr>
                <w:sz w:val="21"/>
                <w:szCs w:val="16"/>
              </w:rPr>
            </w:pPr>
            <w:r>
              <w:rPr>
                <w:sz w:val="21"/>
                <w:szCs w:val="16"/>
              </w:rPr>
              <w:t>球磨制浆</w:t>
            </w:r>
          </w:p>
        </w:tc>
        <w:tc>
          <w:tcPr>
            <w:tcW w:w="1871" w:type="pct"/>
            <w:vAlign w:val="center"/>
          </w:tcPr>
          <w:p>
            <w:pPr>
              <w:spacing w:line="240" w:lineRule="auto"/>
              <w:ind w:firstLine="0" w:firstLineChars="0"/>
              <w:jc w:val="center"/>
              <w:rPr>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W9</w:t>
            </w:r>
          </w:p>
        </w:tc>
        <w:tc>
          <w:tcPr>
            <w:tcW w:w="1561" w:type="pct"/>
            <w:vAlign w:val="center"/>
          </w:tcPr>
          <w:p>
            <w:pPr>
              <w:spacing w:line="240" w:lineRule="auto"/>
              <w:ind w:firstLine="0" w:firstLineChars="0"/>
              <w:jc w:val="center"/>
              <w:rPr>
                <w:sz w:val="21"/>
                <w:szCs w:val="16"/>
              </w:rPr>
            </w:pPr>
            <w:r>
              <w:rPr>
                <w:sz w:val="21"/>
                <w:szCs w:val="16"/>
              </w:rPr>
              <w:t>施釉</w:t>
            </w:r>
          </w:p>
        </w:tc>
        <w:tc>
          <w:tcPr>
            <w:tcW w:w="1871" w:type="pct"/>
            <w:vAlign w:val="center"/>
          </w:tcPr>
          <w:p>
            <w:pPr>
              <w:spacing w:line="240" w:lineRule="auto"/>
              <w:ind w:firstLine="0" w:firstLineChars="0"/>
              <w:jc w:val="center"/>
              <w:rPr>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Align w:val="center"/>
          </w:tcPr>
          <w:p>
            <w:pPr>
              <w:spacing w:line="240" w:lineRule="auto"/>
              <w:ind w:firstLine="0" w:firstLineChars="0"/>
              <w:jc w:val="center"/>
              <w:rPr>
                <w:sz w:val="21"/>
                <w:szCs w:val="16"/>
              </w:rPr>
            </w:pPr>
            <w:r>
              <w:rPr>
                <w:sz w:val="21"/>
                <w:szCs w:val="16"/>
              </w:rPr>
              <w:t>噪声</w:t>
            </w:r>
          </w:p>
        </w:tc>
        <w:tc>
          <w:tcPr>
            <w:tcW w:w="393" w:type="pct"/>
            <w:vAlign w:val="center"/>
          </w:tcPr>
          <w:p>
            <w:pPr>
              <w:spacing w:line="240" w:lineRule="auto"/>
              <w:ind w:firstLine="0" w:firstLineChars="0"/>
              <w:jc w:val="center"/>
              <w:rPr>
                <w:sz w:val="21"/>
                <w:szCs w:val="16"/>
              </w:rPr>
            </w:pPr>
            <w:r>
              <w:rPr>
                <w:sz w:val="21"/>
                <w:szCs w:val="16"/>
              </w:rPr>
              <w:t>N</w:t>
            </w:r>
          </w:p>
        </w:tc>
        <w:tc>
          <w:tcPr>
            <w:tcW w:w="1561" w:type="pct"/>
            <w:vAlign w:val="center"/>
          </w:tcPr>
          <w:p>
            <w:pPr>
              <w:spacing w:line="240" w:lineRule="auto"/>
              <w:ind w:firstLine="0" w:firstLineChars="0"/>
              <w:jc w:val="center"/>
              <w:rPr>
                <w:sz w:val="21"/>
                <w:szCs w:val="16"/>
              </w:rPr>
            </w:pPr>
            <w:r>
              <w:rPr>
                <w:sz w:val="21"/>
                <w:szCs w:val="16"/>
              </w:rPr>
              <w:t>生产设备</w:t>
            </w:r>
          </w:p>
        </w:tc>
        <w:tc>
          <w:tcPr>
            <w:tcW w:w="1871" w:type="pct"/>
            <w:vAlign w:val="center"/>
          </w:tcPr>
          <w:p>
            <w:pPr>
              <w:spacing w:line="240" w:lineRule="auto"/>
              <w:ind w:firstLine="0" w:firstLineChars="0"/>
              <w:jc w:val="center"/>
              <w:rPr>
                <w:sz w:val="21"/>
                <w:szCs w:val="16"/>
              </w:rPr>
            </w:pPr>
            <w:r>
              <w:rPr>
                <w:sz w:val="21"/>
                <w:szCs w:val="16"/>
              </w:rPr>
              <w:t>LeqA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Align w:val="center"/>
          </w:tcPr>
          <w:p>
            <w:pPr>
              <w:spacing w:line="240" w:lineRule="auto"/>
              <w:ind w:firstLine="0" w:firstLineChars="0"/>
              <w:jc w:val="center"/>
              <w:rPr>
                <w:sz w:val="21"/>
                <w:szCs w:val="16"/>
              </w:rPr>
            </w:pPr>
            <w:r>
              <w:rPr>
                <w:sz w:val="21"/>
                <w:szCs w:val="16"/>
              </w:rPr>
              <w:t>固废</w:t>
            </w:r>
          </w:p>
        </w:tc>
        <w:tc>
          <w:tcPr>
            <w:tcW w:w="393" w:type="pct"/>
            <w:vAlign w:val="center"/>
          </w:tcPr>
          <w:p>
            <w:pPr>
              <w:spacing w:line="240" w:lineRule="auto"/>
              <w:ind w:firstLine="0" w:firstLineChars="0"/>
              <w:jc w:val="center"/>
              <w:rPr>
                <w:sz w:val="21"/>
                <w:szCs w:val="16"/>
              </w:rPr>
            </w:pPr>
            <w:r>
              <w:rPr>
                <w:sz w:val="21"/>
                <w:szCs w:val="16"/>
              </w:rPr>
              <w:t>S5</w:t>
            </w:r>
          </w:p>
        </w:tc>
        <w:tc>
          <w:tcPr>
            <w:tcW w:w="1561" w:type="pct"/>
            <w:vAlign w:val="center"/>
          </w:tcPr>
          <w:p>
            <w:pPr>
              <w:spacing w:line="240" w:lineRule="auto"/>
              <w:ind w:firstLine="0" w:firstLineChars="0"/>
              <w:jc w:val="center"/>
              <w:rPr>
                <w:sz w:val="21"/>
                <w:szCs w:val="16"/>
              </w:rPr>
            </w:pPr>
            <w:r>
              <w:rPr>
                <w:sz w:val="21"/>
                <w:szCs w:val="16"/>
              </w:rPr>
              <w:t>胚体清理修整</w:t>
            </w:r>
          </w:p>
        </w:tc>
        <w:tc>
          <w:tcPr>
            <w:tcW w:w="1871" w:type="pct"/>
            <w:vAlign w:val="center"/>
          </w:tcPr>
          <w:p>
            <w:pPr>
              <w:spacing w:line="240" w:lineRule="auto"/>
              <w:ind w:firstLine="0" w:firstLineChars="0"/>
              <w:jc w:val="center"/>
              <w:rPr>
                <w:sz w:val="21"/>
                <w:szCs w:val="16"/>
              </w:rPr>
            </w:pPr>
            <w:r>
              <w:rPr>
                <w:sz w:val="21"/>
                <w:szCs w:val="16"/>
              </w:rPr>
              <w:t>废坯、废瓷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restart"/>
            <w:vAlign w:val="center"/>
          </w:tcPr>
          <w:p>
            <w:pPr>
              <w:spacing w:line="240" w:lineRule="auto"/>
              <w:ind w:firstLine="0" w:firstLineChars="0"/>
              <w:jc w:val="center"/>
              <w:rPr>
                <w:sz w:val="21"/>
                <w:szCs w:val="16"/>
              </w:rPr>
            </w:pPr>
            <w:r>
              <w:rPr>
                <w:sz w:val="21"/>
                <w:szCs w:val="16"/>
              </w:rPr>
              <w:t>纸箱</w:t>
            </w:r>
          </w:p>
          <w:p>
            <w:pPr>
              <w:spacing w:line="240" w:lineRule="auto"/>
              <w:ind w:firstLine="0" w:firstLineChars="0"/>
              <w:jc w:val="center"/>
              <w:rPr>
                <w:sz w:val="21"/>
                <w:szCs w:val="16"/>
              </w:rPr>
            </w:pPr>
            <w:r>
              <w:rPr>
                <w:sz w:val="21"/>
                <w:szCs w:val="16"/>
              </w:rPr>
              <w:t>生产</w:t>
            </w:r>
          </w:p>
          <w:p>
            <w:pPr>
              <w:spacing w:line="240" w:lineRule="auto"/>
              <w:ind w:firstLine="0" w:firstLineChars="0"/>
              <w:jc w:val="center"/>
              <w:rPr>
                <w:sz w:val="21"/>
                <w:szCs w:val="16"/>
              </w:rPr>
            </w:pPr>
            <w:r>
              <w:rPr>
                <w:sz w:val="21"/>
                <w:szCs w:val="16"/>
              </w:rPr>
              <w:t>线</w:t>
            </w:r>
          </w:p>
        </w:tc>
        <w:tc>
          <w:tcPr>
            <w:tcW w:w="652" w:type="pct"/>
            <w:vAlign w:val="center"/>
          </w:tcPr>
          <w:p>
            <w:pPr>
              <w:spacing w:line="240" w:lineRule="auto"/>
              <w:ind w:firstLine="0" w:firstLineChars="0"/>
              <w:jc w:val="center"/>
              <w:rPr>
                <w:sz w:val="21"/>
                <w:szCs w:val="16"/>
              </w:rPr>
            </w:pPr>
            <w:r>
              <w:rPr>
                <w:sz w:val="21"/>
                <w:szCs w:val="16"/>
              </w:rPr>
              <w:t>废气</w:t>
            </w:r>
          </w:p>
        </w:tc>
        <w:tc>
          <w:tcPr>
            <w:tcW w:w="393" w:type="pct"/>
            <w:vAlign w:val="center"/>
          </w:tcPr>
          <w:p>
            <w:pPr>
              <w:spacing w:line="240" w:lineRule="auto"/>
              <w:ind w:firstLine="0" w:firstLineChars="0"/>
              <w:jc w:val="center"/>
              <w:rPr>
                <w:sz w:val="21"/>
                <w:szCs w:val="16"/>
              </w:rPr>
            </w:pPr>
            <w:r>
              <w:rPr>
                <w:sz w:val="21"/>
                <w:szCs w:val="16"/>
              </w:rPr>
              <w:t>G13</w:t>
            </w:r>
          </w:p>
        </w:tc>
        <w:tc>
          <w:tcPr>
            <w:tcW w:w="1561" w:type="pct"/>
            <w:vAlign w:val="center"/>
          </w:tcPr>
          <w:p>
            <w:pPr>
              <w:spacing w:line="240" w:lineRule="auto"/>
              <w:ind w:firstLine="0" w:firstLineChars="0"/>
              <w:jc w:val="center"/>
              <w:rPr>
                <w:sz w:val="21"/>
                <w:szCs w:val="16"/>
              </w:rPr>
            </w:pPr>
            <w:r>
              <w:rPr>
                <w:sz w:val="21"/>
                <w:szCs w:val="16"/>
              </w:rPr>
              <w:t>印刷</w:t>
            </w:r>
          </w:p>
        </w:tc>
        <w:tc>
          <w:tcPr>
            <w:tcW w:w="1871" w:type="pct"/>
            <w:vAlign w:val="center"/>
          </w:tcPr>
          <w:p>
            <w:pPr>
              <w:spacing w:line="240" w:lineRule="auto"/>
              <w:ind w:firstLine="0" w:firstLineChars="0"/>
              <w:jc w:val="center"/>
              <w:rPr>
                <w:sz w:val="21"/>
                <w:szCs w:val="16"/>
              </w:rPr>
            </w:pPr>
            <w:r>
              <w:rPr>
                <w:sz w:val="21"/>
                <w:szCs w:val="16"/>
              </w:rPr>
              <w:t>VOCs（用NMHC表征）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Align w:val="center"/>
          </w:tcPr>
          <w:p>
            <w:pPr>
              <w:spacing w:line="240" w:lineRule="auto"/>
              <w:ind w:firstLine="0" w:firstLineChars="0"/>
              <w:jc w:val="center"/>
              <w:rPr>
                <w:sz w:val="21"/>
                <w:szCs w:val="16"/>
              </w:rPr>
            </w:pPr>
            <w:r>
              <w:rPr>
                <w:sz w:val="21"/>
                <w:szCs w:val="16"/>
              </w:rPr>
              <w:t>噪声</w:t>
            </w:r>
          </w:p>
        </w:tc>
        <w:tc>
          <w:tcPr>
            <w:tcW w:w="393" w:type="pct"/>
            <w:vAlign w:val="center"/>
          </w:tcPr>
          <w:p>
            <w:pPr>
              <w:spacing w:line="240" w:lineRule="auto"/>
              <w:ind w:firstLine="0" w:firstLineChars="0"/>
              <w:jc w:val="center"/>
              <w:rPr>
                <w:sz w:val="21"/>
                <w:szCs w:val="16"/>
              </w:rPr>
            </w:pPr>
            <w:r>
              <w:rPr>
                <w:sz w:val="21"/>
                <w:szCs w:val="16"/>
              </w:rPr>
              <w:t>N</w:t>
            </w:r>
          </w:p>
        </w:tc>
        <w:tc>
          <w:tcPr>
            <w:tcW w:w="1561" w:type="pct"/>
            <w:vAlign w:val="center"/>
          </w:tcPr>
          <w:p>
            <w:pPr>
              <w:spacing w:line="240" w:lineRule="auto"/>
              <w:ind w:firstLine="0" w:firstLineChars="0"/>
              <w:jc w:val="center"/>
              <w:rPr>
                <w:sz w:val="21"/>
                <w:szCs w:val="16"/>
              </w:rPr>
            </w:pPr>
            <w:r>
              <w:rPr>
                <w:sz w:val="21"/>
                <w:szCs w:val="16"/>
              </w:rPr>
              <w:t>生产设备</w:t>
            </w:r>
          </w:p>
        </w:tc>
        <w:tc>
          <w:tcPr>
            <w:tcW w:w="1871" w:type="pct"/>
            <w:vAlign w:val="center"/>
          </w:tcPr>
          <w:p>
            <w:pPr>
              <w:spacing w:line="240" w:lineRule="auto"/>
              <w:ind w:firstLine="0" w:firstLineChars="0"/>
              <w:jc w:val="center"/>
              <w:rPr>
                <w:sz w:val="21"/>
                <w:szCs w:val="16"/>
              </w:rPr>
            </w:pPr>
            <w:r>
              <w:rPr>
                <w:sz w:val="21"/>
                <w:szCs w:val="16"/>
              </w:rPr>
              <w:t>LeqA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Align w:val="center"/>
          </w:tcPr>
          <w:p>
            <w:pPr>
              <w:spacing w:line="240" w:lineRule="auto"/>
              <w:ind w:firstLine="0" w:firstLineChars="0"/>
              <w:jc w:val="center"/>
              <w:rPr>
                <w:sz w:val="21"/>
                <w:szCs w:val="16"/>
              </w:rPr>
            </w:pPr>
            <w:r>
              <w:rPr>
                <w:sz w:val="21"/>
                <w:szCs w:val="16"/>
              </w:rPr>
              <w:t>固废</w:t>
            </w:r>
          </w:p>
        </w:tc>
        <w:tc>
          <w:tcPr>
            <w:tcW w:w="393" w:type="pct"/>
            <w:vAlign w:val="center"/>
          </w:tcPr>
          <w:p>
            <w:pPr>
              <w:spacing w:line="240" w:lineRule="auto"/>
              <w:ind w:firstLine="0" w:firstLineChars="0"/>
              <w:jc w:val="center"/>
              <w:rPr>
                <w:sz w:val="21"/>
                <w:szCs w:val="16"/>
              </w:rPr>
            </w:pPr>
            <w:r>
              <w:rPr>
                <w:sz w:val="21"/>
                <w:szCs w:val="16"/>
              </w:rPr>
              <w:t>S6</w:t>
            </w:r>
          </w:p>
        </w:tc>
        <w:tc>
          <w:tcPr>
            <w:tcW w:w="1561" w:type="pct"/>
            <w:vAlign w:val="center"/>
          </w:tcPr>
          <w:p>
            <w:pPr>
              <w:spacing w:line="240" w:lineRule="auto"/>
              <w:ind w:firstLine="0" w:firstLineChars="0"/>
              <w:jc w:val="center"/>
              <w:rPr>
                <w:sz w:val="21"/>
                <w:szCs w:val="16"/>
              </w:rPr>
            </w:pPr>
            <w:r>
              <w:rPr>
                <w:sz w:val="21"/>
                <w:szCs w:val="16"/>
              </w:rPr>
              <w:t>切边</w:t>
            </w:r>
          </w:p>
        </w:tc>
        <w:tc>
          <w:tcPr>
            <w:tcW w:w="1871" w:type="pct"/>
            <w:vAlign w:val="center"/>
          </w:tcPr>
          <w:p>
            <w:pPr>
              <w:spacing w:line="240" w:lineRule="auto"/>
              <w:ind w:firstLine="0" w:firstLineChars="0"/>
              <w:jc w:val="center"/>
              <w:rPr>
                <w:sz w:val="21"/>
                <w:szCs w:val="16"/>
              </w:rPr>
            </w:pPr>
            <w:r>
              <w:rPr>
                <w:sz w:val="21"/>
                <w:szCs w:val="16"/>
              </w:rPr>
              <w:t>边角料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restart"/>
            <w:vAlign w:val="center"/>
          </w:tcPr>
          <w:p>
            <w:pPr>
              <w:spacing w:line="240" w:lineRule="auto"/>
              <w:ind w:firstLine="0" w:firstLineChars="0"/>
              <w:jc w:val="center"/>
              <w:rPr>
                <w:sz w:val="21"/>
                <w:szCs w:val="16"/>
              </w:rPr>
            </w:pPr>
            <w:r>
              <w:rPr>
                <w:rFonts w:hint="eastAsia"/>
                <w:sz w:val="21"/>
                <w:szCs w:val="16"/>
              </w:rPr>
              <w:t>原煤</w:t>
            </w:r>
          </w:p>
          <w:p>
            <w:pPr>
              <w:spacing w:line="240" w:lineRule="auto"/>
              <w:ind w:firstLine="0" w:firstLineChars="0"/>
              <w:jc w:val="center"/>
              <w:rPr>
                <w:sz w:val="21"/>
                <w:szCs w:val="16"/>
              </w:rPr>
            </w:pPr>
            <w:r>
              <w:rPr>
                <w:rFonts w:hint="eastAsia"/>
                <w:sz w:val="21"/>
                <w:szCs w:val="16"/>
              </w:rPr>
              <w:t>加工</w:t>
            </w:r>
          </w:p>
        </w:tc>
        <w:tc>
          <w:tcPr>
            <w:tcW w:w="652" w:type="pct"/>
            <w:vAlign w:val="center"/>
          </w:tcPr>
          <w:p>
            <w:pPr>
              <w:spacing w:line="240" w:lineRule="auto"/>
              <w:ind w:firstLine="0" w:firstLineChars="0"/>
              <w:jc w:val="center"/>
              <w:rPr>
                <w:sz w:val="21"/>
                <w:szCs w:val="16"/>
              </w:rPr>
            </w:pPr>
            <w:r>
              <w:rPr>
                <w:sz w:val="21"/>
                <w:szCs w:val="16"/>
              </w:rPr>
              <w:t>废气</w:t>
            </w:r>
          </w:p>
        </w:tc>
        <w:tc>
          <w:tcPr>
            <w:tcW w:w="393" w:type="pct"/>
            <w:vAlign w:val="center"/>
          </w:tcPr>
          <w:p>
            <w:pPr>
              <w:spacing w:line="240" w:lineRule="auto"/>
              <w:ind w:firstLine="0" w:firstLineChars="0"/>
              <w:jc w:val="center"/>
              <w:rPr>
                <w:sz w:val="21"/>
                <w:szCs w:val="16"/>
              </w:rPr>
            </w:pPr>
            <w:r>
              <w:rPr>
                <w:sz w:val="21"/>
                <w:szCs w:val="16"/>
              </w:rPr>
              <w:t>G14</w:t>
            </w:r>
          </w:p>
        </w:tc>
        <w:tc>
          <w:tcPr>
            <w:tcW w:w="1561" w:type="pct"/>
            <w:vAlign w:val="center"/>
          </w:tcPr>
          <w:p>
            <w:pPr>
              <w:spacing w:line="240" w:lineRule="auto"/>
              <w:ind w:firstLine="0" w:firstLineChars="0"/>
              <w:jc w:val="center"/>
              <w:rPr>
                <w:sz w:val="21"/>
                <w:szCs w:val="16"/>
              </w:rPr>
            </w:pPr>
            <w:r>
              <w:rPr>
                <w:sz w:val="21"/>
                <w:szCs w:val="16"/>
              </w:rPr>
              <w:t>煤堆场扬尘、装卸</w:t>
            </w:r>
          </w:p>
          <w:p>
            <w:pPr>
              <w:spacing w:line="240" w:lineRule="auto"/>
              <w:ind w:firstLine="0" w:firstLineChars="0"/>
              <w:jc w:val="center"/>
              <w:rPr>
                <w:sz w:val="21"/>
                <w:szCs w:val="16"/>
              </w:rPr>
            </w:pPr>
            <w:r>
              <w:rPr>
                <w:sz w:val="21"/>
                <w:szCs w:val="16"/>
              </w:rPr>
              <w:t>扬尘、筛分扬尘</w:t>
            </w:r>
            <w:r>
              <w:rPr>
                <w:rFonts w:hint="eastAsia"/>
                <w:sz w:val="21"/>
                <w:szCs w:val="16"/>
              </w:rPr>
              <w:t>、制粉扬尘</w:t>
            </w:r>
          </w:p>
        </w:tc>
        <w:tc>
          <w:tcPr>
            <w:tcW w:w="1871" w:type="pct"/>
            <w:vAlign w:val="center"/>
          </w:tcPr>
          <w:p>
            <w:pPr>
              <w:spacing w:line="240" w:lineRule="auto"/>
              <w:ind w:firstLine="0" w:firstLineChars="0"/>
              <w:jc w:val="center"/>
              <w:rPr>
                <w:sz w:val="21"/>
                <w:szCs w:val="16"/>
              </w:rPr>
            </w:pPr>
            <w:r>
              <w:rPr>
                <w:sz w:val="21"/>
                <w:szCs w:val="16"/>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Align w:val="center"/>
          </w:tcPr>
          <w:p>
            <w:pPr>
              <w:spacing w:line="240" w:lineRule="auto"/>
              <w:ind w:firstLine="0" w:firstLineChars="0"/>
              <w:jc w:val="center"/>
              <w:rPr>
                <w:sz w:val="21"/>
                <w:szCs w:val="16"/>
              </w:rPr>
            </w:pPr>
            <w:r>
              <w:rPr>
                <w:sz w:val="21"/>
                <w:szCs w:val="16"/>
              </w:rPr>
              <w:t>噪声</w:t>
            </w:r>
          </w:p>
        </w:tc>
        <w:tc>
          <w:tcPr>
            <w:tcW w:w="393" w:type="pct"/>
            <w:vAlign w:val="center"/>
          </w:tcPr>
          <w:p>
            <w:pPr>
              <w:spacing w:line="240" w:lineRule="auto"/>
              <w:ind w:firstLine="0" w:firstLineChars="0"/>
              <w:jc w:val="center"/>
              <w:rPr>
                <w:sz w:val="21"/>
                <w:szCs w:val="16"/>
              </w:rPr>
            </w:pPr>
            <w:r>
              <w:rPr>
                <w:sz w:val="21"/>
                <w:szCs w:val="16"/>
              </w:rPr>
              <w:t>N</w:t>
            </w:r>
          </w:p>
        </w:tc>
        <w:tc>
          <w:tcPr>
            <w:tcW w:w="1561" w:type="pct"/>
            <w:vAlign w:val="center"/>
          </w:tcPr>
          <w:p>
            <w:pPr>
              <w:spacing w:line="240" w:lineRule="auto"/>
              <w:ind w:firstLine="0" w:firstLineChars="0"/>
              <w:jc w:val="center"/>
              <w:rPr>
                <w:sz w:val="21"/>
                <w:szCs w:val="16"/>
              </w:rPr>
            </w:pPr>
            <w:r>
              <w:rPr>
                <w:sz w:val="21"/>
                <w:szCs w:val="16"/>
              </w:rPr>
              <w:t>设备噪声</w:t>
            </w:r>
          </w:p>
        </w:tc>
        <w:tc>
          <w:tcPr>
            <w:tcW w:w="1871" w:type="pct"/>
            <w:vAlign w:val="center"/>
          </w:tcPr>
          <w:p>
            <w:pPr>
              <w:spacing w:line="240" w:lineRule="auto"/>
              <w:ind w:firstLine="0" w:firstLineChars="0"/>
              <w:jc w:val="center"/>
              <w:rPr>
                <w:sz w:val="21"/>
                <w:szCs w:val="16"/>
              </w:rPr>
            </w:pPr>
            <w:r>
              <w:rPr>
                <w:sz w:val="21"/>
                <w:szCs w:val="16"/>
              </w:rPr>
              <w:t>LeqA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restart"/>
            <w:vAlign w:val="center"/>
          </w:tcPr>
          <w:p>
            <w:pPr>
              <w:spacing w:line="240" w:lineRule="auto"/>
              <w:ind w:firstLine="0" w:firstLineChars="0"/>
              <w:jc w:val="center"/>
              <w:rPr>
                <w:sz w:val="21"/>
                <w:szCs w:val="16"/>
              </w:rPr>
            </w:pPr>
            <w:r>
              <w:rPr>
                <w:sz w:val="21"/>
                <w:szCs w:val="16"/>
              </w:rPr>
              <w:t>其他</w:t>
            </w:r>
          </w:p>
        </w:tc>
        <w:tc>
          <w:tcPr>
            <w:tcW w:w="652" w:type="pct"/>
            <w:vMerge w:val="restart"/>
            <w:vAlign w:val="center"/>
          </w:tcPr>
          <w:p>
            <w:pPr>
              <w:spacing w:line="240" w:lineRule="auto"/>
              <w:ind w:firstLine="0" w:firstLineChars="0"/>
              <w:jc w:val="center"/>
              <w:rPr>
                <w:sz w:val="21"/>
                <w:szCs w:val="16"/>
              </w:rPr>
            </w:pPr>
            <w:r>
              <w:rPr>
                <w:sz w:val="21"/>
                <w:szCs w:val="16"/>
              </w:rPr>
              <w:t>废气</w:t>
            </w:r>
          </w:p>
        </w:tc>
        <w:tc>
          <w:tcPr>
            <w:tcW w:w="393" w:type="pct"/>
            <w:vAlign w:val="center"/>
          </w:tcPr>
          <w:p>
            <w:pPr>
              <w:spacing w:line="240" w:lineRule="auto"/>
              <w:ind w:firstLine="0" w:firstLineChars="0"/>
              <w:jc w:val="center"/>
              <w:rPr>
                <w:sz w:val="21"/>
                <w:szCs w:val="16"/>
              </w:rPr>
            </w:pPr>
            <w:r>
              <w:rPr>
                <w:sz w:val="21"/>
                <w:szCs w:val="16"/>
              </w:rPr>
              <w:t>G15</w:t>
            </w:r>
          </w:p>
        </w:tc>
        <w:tc>
          <w:tcPr>
            <w:tcW w:w="1561" w:type="pct"/>
            <w:vAlign w:val="center"/>
          </w:tcPr>
          <w:p>
            <w:pPr>
              <w:spacing w:line="240" w:lineRule="auto"/>
              <w:ind w:firstLine="0" w:firstLineChars="0"/>
              <w:jc w:val="center"/>
              <w:rPr>
                <w:sz w:val="21"/>
                <w:szCs w:val="16"/>
              </w:rPr>
            </w:pPr>
            <w:r>
              <w:rPr>
                <w:sz w:val="21"/>
                <w:szCs w:val="16"/>
              </w:rPr>
              <w:t>食堂油烟</w:t>
            </w:r>
          </w:p>
        </w:tc>
        <w:tc>
          <w:tcPr>
            <w:tcW w:w="1871" w:type="pct"/>
            <w:vAlign w:val="center"/>
          </w:tcPr>
          <w:p>
            <w:pPr>
              <w:spacing w:line="240" w:lineRule="auto"/>
              <w:ind w:firstLine="0" w:firstLineChars="0"/>
              <w:jc w:val="center"/>
              <w:rPr>
                <w:sz w:val="21"/>
                <w:szCs w:val="16"/>
              </w:rPr>
            </w:pPr>
            <w:r>
              <w:rPr>
                <w:sz w:val="21"/>
                <w:szCs w:val="16"/>
              </w:rPr>
              <w:t>油烟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G16</w:t>
            </w:r>
          </w:p>
        </w:tc>
        <w:tc>
          <w:tcPr>
            <w:tcW w:w="1561" w:type="pct"/>
            <w:vAlign w:val="center"/>
          </w:tcPr>
          <w:p>
            <w:pPr>
              <w:spacing w:line="240" w:lineRule="auto"/>
              <w:ind w:firstLine="0" w:firstLineChars="0"/>
              <w:jc w:val="center"/>
              <w:rPr>
                <w:sz w:val="21"/>
                <w:szCs w:val="16"/>
              </w:rPr>
            </w:pPr>
            <w:r>
              <w:rPr>
                <w:sz w:val="21"/>
                <w:szCs w:val="16"/>
              </w:rPr>
              <w:t>原料堆场扬尘</w:t>
            </w:r>
          </w:p>
        </w:tc>
        <w:tc>
          <w:tcPr>
            <w:tcW w:w="1871" w:type="pct"/>
            <w:vAlign w:val="center"/>
          </w:tcPr>
          <w:p>
            <w:pPr>
              <w:spacing w:line="240" w:lineRule="auto"/>
              <w:ind w:firstLine="0" w:firstLineChars="0"/>
              <w:jc w:val="center"/>
              <w:rPr>
                <w:sz w:val="21"/>
                <w:szCs w:val="16"/>
              </w:rPr>
            </w:pPr>
            <w:r>
              <w:rPr>
                <w:sz w:val="21"/>
                <w:szCs w:val="16"/>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restart"/>
            <w:vAlign w:val="center"/>
          </w:tcPr>
          <w:p>
            <w:pPr>
              <w:spacing w:line="240" w:lineRule="auto"/>
              <w:ind w:firstLine="0" w:firstLineChars="0"/>
              <w:jc w:val="center"/>
              <w:rPr>
                <w:sz w:val="21"/>
                <w:szCs w:val="16"/>
              </w:rPr>
            </w:pPr>
            <w:r>
              <w:rPr>
                <w:sz w:val="21"/>
                <w:szCs w:val="16"/>
              </w:rPr>
              <w:t>废水</w:t>
            </w:r>
          </w:p>
        </w:tc>
        <w:tc>
          <w:tcPr>
            <w:tcW w:w="393" w:type="pct"/>
            <w:vAlign w:val="center"/>
          </w:tcPr>
          <w:p>
            <w:pPr>
              <w:spacing w:line="240" w:lineRule="auto"/>
              <w:ind w:firstLine="0" w:firstLineChars="0"/>
              <w:jc w:val="center"/>
              <w:rPr>
                <w:sz w:val="21"/>
                <w:szCs w:val="16"/>
              </w:rPr>
            </w:pPr>
            <w:r>
              <w:rPr>
                <w:sz w:val="21"/>
                <w:szCs w:val="16"/>
              </w:rPr>
              <w:t>W10</w:t>
            </w:r>
          </w:p>
        </w:tc>
        <w:tc>
          <w:tcPr>
            <w:tcW w:w="1561" w:type="pct"/>
            <w:vAlign w:val="center"/>
          </w:tcPr>
          <w:p>
            <w:pPr>
              <w:spacing w:line="240" w:lineRule="auto"/>
              <w:ind w:firstLine="0" w:firstLineChars="0"/>
              <w:jc w:val="center"/>
              <w:rPr>
                <w:sz w:val="21"/>
                <w:szCs w:val="16"/>
              </w:rPr>
            </w:pPr>
            <w:r>
              <w:rPr>
                <w:sz w:val="21"/>
                <w:szCs w:val="16"/>
              </w:rPr>
              <w:t>地面及设备冲洗用水</w:t>
            </w:r>
          </w:p>
        </w:tc>
        <w:tc>
          <w:tcPr>
            <w:tcW w:w="1871" w:type="pct"/>
            <w:vAlign w:val="center"/>
          </w:tcPr>
          <w:p>
            <w:pPr>
              <w:spacing w:line="240" w:lineRule="auto"/>
              <w:ind w:firstLine="0" w:firstLineChars="0"/>
              <w:jc w:val="center"/>
              <w:rPr>
                <w:sz w:val="21"/>
                <w:szCs w:val="16"/>
              </w:rPr>
            </w:pPr>
            <w:r>
              <w:rPr>
                <w:sz w:val="21"/>
                <w:szCs w:val="16"/>
              </w:rPr>
              <w:t>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W11</w:t>
            </w:r>
          </w:p>
        </w:tc>
        <w:tc>
          <w:tcPr>
            <w:tcW w:w="1561" w:type="pct"/>
            <w:vAlign w:val="center"/>
          </w:tcPr>
          <w:p>
            <w:pPr>
              <w:spacing w:line="240" w:lineRule="auto"/>
              <w:ind w:firstLine="0" w:firstLineChars="0"/>
              <w:jc w:val="center"/>
              <w:rPr>
                <w:sz w:val="21"/>
                <w:szCs w:val="16"/>
              </w:rPr>
            </w:pPr>
            <w:r>
              <w:rPr>
                <w:sz w:val="21"/>
                <w:szCs w:val="16"/>
              </w:rPr>
              <w:t>间接冷却用、排水</w:t>
            </w:r>
          </w:p>
        </w:tc>
        <w:tc>
          <w:tcPr>
            <w:tcW w:w="1871" w:type="pct"/>
            <w:vAlign w:val="center"/>
          </w:tcPr>
          <w:p>
            <w:pPr>
              <w:spacing w:line="240" w:lineRule="auto"/>
              <w:ind w:firstLine="0" w:firstLineChars="0"/>
              <w:jc w:val="center"/>
              <w:rPr>
                <w:sz w:val="21"/>
                <w:szCs w:val="16"/>
              </w:rPr>
            </w:pPr>
            <w:r>
              <w:rPr>
                <w:sz w:val="21"/>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W12</w:t>
            </w:r>
          </w:p>
        </w:tc>
        <w:tc>
          <w:tcPr>
            <w:tcW w:w="1561" w:type="pct"/>
            <w:vAlign w:val="center"/>
          </w:tcPr>
          <w:p>
            <w:pPr>
              <w:spacing w:line="240" w:lineRule="auto"/>
              <w:ind w:firstLine="0" w:firstLineChars="0"/>
              <w:jc w:val="center"/>
              <w:rPr>
                <w:sz w:val="21"/>
                <w:szCs w:val="16"/>
              </w:rPr>
            </w:pPr>
            <w:r>
              <w:rPr>
                <w:sz w:val="21"/>
                <w:szCs w:val="16"/>
              </w:rPr>
              <w:t>脱硫废水</w:t>
            </w:r>
          </w:p>
        </w:tc>
        <w:tc>
          <w:tcPr>
            <w:tcW w:w="1871" w:type="pct"/>
            <w:vAlign w:val="center"/>
          </w:tcPr>
          <w:p>
            <w:pPr>
              <w:spacing w:line="240" w:lineRule="auto"/>
              <w:ind w:firstLine="0" w:firstLineChars="0"/>
              <w:jc w:val="center"/>
              <w:rPr>
                <w:sz w:val="21"/>
                <w:szCs w:val="16"/>
              </w:rPr>
            </w:pPr>
            <w:r>
              <w:rPr>
                <w:sz w:val="21"/>
                <w:szCs w:val="16"/>
              </w:rPr>
              <w:t>pH、COD、SS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W13</w:t>
            </w:r>
          </w:p>
        </w:tc>
        <w:tc>
          <w:tcPr>
            <w:tcW w:w="1561" w:type="pct"/>
            <w:vAlign w:val="center"/>
          </w:tcPr>
          <w:p>
            <w:pPr>
              <w:spacing w:line="240" w:lineRule="auto"/>
              <w:ind w:firstLine="0" w:firstLineChars="0"/>
              <w:jc w:val="center"/>
              <w:rPr>
                <w:sz w:val="21"/>
                <w:szCs w:val="16"/>
              </w:rPr>
            </w:pPr>
            <w:r>
              <w:rPr>
                <w:sz w:val="21"/>
                <w:szCs w:val="16"/>
              </w:rPr>
              <w:t>生活污水</w:t>
            </w:r>
          </w:p>
        </w:tc>
        <w:tc>
          <w:tcPr>
            <w:tcW w:w="1871" w:type="pct"/>
            <w:vAlign w:val="center"/>
          </w:tcPr>
          <w:p>
            <w:pPr>
              <w:spacing w:line="240" w:lineRule="auto"/>
              <w:ind w:firstLine="0" w:firstLineChars="0"/>
              <w:jc w:val="center"/>
              <w:rPr>
                <w:sz w:val="21"/>
                <w:szCs w:val="16"/>
              </w:rPr>
            </w:pPr>
            <w:r>
              <w:rPr>
                <w:sz w:val="21"/>
                <w:szCs w:val="16"/>
              </w:rPr>
              <w:t>生活污水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restart"/>
            <w:vAlign w:val="center"/>
          </w:tcPr>
          <w:p>
            <w:pPr>
              <w:spacing w:line="240" w:lineRule="auto"/>
              <w:ind w:firstLine="0" w:firstLineChars="0"/>
              <w:jc w:val="center"/>
              <w:rPr>
                <w:sz w:val="21"/>
                <w:szCs w:val="16"/>
              </w:rPr>
            </w:pPr>
            <w:r>
              <w:rPr>
                <w:sz w:val="21"/>
                <w:szCs w:val="16"/>
              </w:rPr>
              <w:t>固废</w:t>
            </w:r>
          </w:p>
        </w:tc>
        <w:tc>
          <w:tcPr>
            <w:tcW w:w="393" w:type="pct"/>
            <w:vAlign w:val="center"/>
          </w:tcPr>
          <w:p>
            <w:pPr>
              <w:spacing w:line="240" w:lineRule="auto"/>
              <w:ind w:firstLine="0" w:firstLineChars="0"/>
              <w:jc w:val="center"/>
              <w:rPr>
                <w:sz w:val="21"/>
                <w:szCs w:val="16"/>
              </w:rPr>
            </w:pPr>
            <w:r>
              <w:rPr>
                <w:sz w:val="21"/>
                <w:szCs w:val="16"/>
              </w:rPr>
              <w:t>S7</w:t>
            </w:r>
          </w:p>
        </w:tc>
        <w:tc>
          <w:tcPr>
            <w:tcW w:w="1561" w:type="pct"/>
            <w:vAlign w:val="center"/>
          </w:tcPr>
          <w:p>
            <w:pPr>
              <w:spacing w:line="240" w:lineRule="auto"/>
              <w:ind w:firstLine="0" w:firstLineChars="0"/>
              <w:jc w:val="center"/>
              <w:rPr>
                <w:sz w:val="21"/>
                <w:szCs w:val="16"/>
              </w:rPr>
            </w:pPr>
            <w:r>
              <w:rPr>
                <w:sz w:val="21"/>
                <w:szCs w:val="16"/>
              </w:rPr>
              <w:t>生产废水沉淀池污泥</w:t>
            </w:r>
          </w:p>
        </w:tc>
        <w:tc>
          <w:tcPr>
            <w:tcW w:w="1871" w:type="pct"/>
            <w:vAlign w:val="center"/>
          </w:tcPr>
          <w:p>
            <w:pPr>
              <w:spacing w:line="240" w:lineRule="auto"/>
              <w:ind w:firstLine="0" w:firstLineChars="0"/>
              <w:jc w:val="center"/>
              <w:rPr>
                <w:sz w:val="21"/>
                <w:szCs w:val="16"/>
              </w:rPr>
            </w:pPr>
            <w:r>
              <w:rPr>
                <w:sz w:val="21"/>
                <w:szCs w:val="16"/>
              </w:rPr>
              <w:t>污泥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S8</w:t>
            </w:r>
          </w:p>
        </w:tc>
        <w:tc>
          <w:tcPr>
            <w:tcW w:w="1561" w:type="pct"/>
            <w:vAlign w:val="center"/>
          </w:tcPr>
          <w:p>
            <w:pPr>
              <w:spacing w:line="240" w:lineRule="auto"/>
              <w:ind w:firstLine="0" w:firstLineChars="0"/>
              <w:jc w:val="center"/>
              <w:rPr>
                <w:sz w:val="21"/>
                <w:szCs w:val="16"/>
              </w:rPr>
            </w:pPr>
            <w:r>
              <w:rPr>
                <w:sz w:val="21"/>
                <w:szCs w:val="16"/>
              </w:rPr>
              <w:t>生活废水处理设施污泥</w:t>
            </w:r>
          </w:p>
        </w:tc>
        <w:tc>
          <w:tcPr>
            <w:tcW w:w="1871" w:type="pct"/>
            <w:vAlign w:val="center"/>
          </w:tcPr>
          <w:p>
            <w:pPr>
              <w:spacing w:line="240" w:lineRule="auto"/>
              <w:ind w:firstLine="0" w:firstLineChars="0"/>
              <w:jc w:val="center"/>
              <w:rPr>
                <w:sz w:val="21"/>
                <w:szCs w:val="16"/>
              </w:rPr>
            </w:pPr>
            <w:r>
              <w:rPr>
                <w:sz w:val="21"/>
                <w:szCs w:val="16"/>
              </w:rPr>
              <w:t>污泥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S9</w:t>
            </w:r>
          </w:p>
        </w:tc>
        <w:tc>
          <w:tcPr>
            <w:tcW w:w="1561" w:type="pct"/>
            <w:vAlign w:val="center"/>
          </w:tcPr>
          <w:p>
            <w:pPr>
              <w:spacing w:line="240" w:lineRule="auto"/>
              <w:ind w:firstLine="0" w:firstLineChars="0"/>
              <w:jc w:val="center"/>
              <w:rPr>
                <w:sz w:val="21"/>
                <w:szCs w:val="16"/>
              </w:rPr>
            </w:pPr>
            <w:r>
              <w:rPr>
                <w:sz w:val="21"/>
                <w:szCs w:val="16"/>
              </w:rPr>
              <w:t>除尘灰</w:t>
            </w:r>
          </w:p>
        </w:tc>
        <w:tc>
          <w:tcPr>
            <w:tcW w:w="1871" w:type="pct"/>
            <w:vAlign w:val="center"/>
          </w:tcPr>
          <w:p>
            <w:pPr>
              <w:spacing w:line="240" w:lineRule="auto"/>
              <w:ind w:firstLine="0" w:firstLineChars="0"/>
              <w:jc w:val="center"/>
              <w:rPr>
                <w:sz w:val="21"/>
                <w:szCs w:val="16"/>
              </w:rPr>
            </w:pPr>
            <w:r>
              <w:rPr>
                <w:sz w:val="21"/>
                <w:szCs w:val="16"/>
              </w:rPr>
              <w:t>除尘灰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S10</w:t>
            </w:r>
          </w:p>
        </w:tc>
        <w:tc>
          <w:tcPr>
            <w:tcW w:w="1561" w:type="pct"/>
            <w:vAlign w:val="center"/>
          </w:tcPr>
          <w:p>
            <w:pPr>
              <w:spacing w:line="240" w:lineRule="auto"/>
              <w:ind w:firstLine="0" w:firstLineChars="0"/>
              <w:jc w:val="center"/>
              <w:rPr>
                <w:sz w:val="21"/>
                <w:szCs w:val="16"/>
              </w:rPr>
            </w:pPr>
            <w:r>
              <w:rPr>
                <w:sz w:val="21"/>
                <w:szCs w:val="16"/>
              </w:rPr>
              <w:t>脱硫石膏</w:t>
            </w:r>
          </w:p>
        </w:tc>
        <w:tc>
          <w:tcPr>
            <w:tcW w:w="1871" w:type="pct"/>
            <w:vAlign w:val="center"/>
          </w:tcPr>
          <w:p>
            <w:pPr>
              <w:spacing w:line="240" w:lineRule="auto"/>
              <w:ind w:firstLine="0" w:firstLineChars="0"/>
              <w:jc w:val="center"/>
              <w:rPr>
                <w:sz w:val="21"/>
                <w:szCs w:val="16"/>
              </w:rPr>
            </w:pPr>
            <w:r>
              <w:rPr>
                <w:sz w:val="21"/>
                <w:szCs w:val="16"/>
              </w:rPr>
              <w:t>脱硫石膏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S11</w:t>
            </w:r>
          </w:p>
        </w:tc>
        <w:tc>
          <w:tcPr>
            <w:tcW w:w="1561" w:type="pct"/>
            <w:vAlign w:val="center"/>
          </w:tcPr>
          <w:p>
            <w:pPr>
              <w:spacing w:line="240" w:lineRule="auto"/>
              <w:ind w:firstLine="0" w:firstLineChars="0"/>
              <w:jc w:val="center"/>
              <w:rPr>
                <w:sz w:val="21"/>
                <w:szCs w:val="16"/>
              </w:rPr>
            </w:pPr>
            <w:r>
              <w:rPr>
                <w:sz w:val="21"/>
                <w:szCs w:val="16"/>
              </w:rPr>
              <w:t>废油墨盒</w:t>
            </w:r>
          </w:p>
        </w:tc>
        <w:tc>
          <w:tcPr>
            <w:tcW w:w="1871" w:type="pct"/>
            <w:vAlign w:val="center"/>
          </w:tcPr>
          <w:p>
            <w:pPr>
              <w:spacing w:line="240" w:lineRule="auto"/>
              <w:ind w:firstLine="0" w:firstLineChars="0"/>
              <w:jc w:val="center"/>
              <w:rPr>
                <w:sz w:val="21"/>
                <w:szCs w:val="16"/>
              </w:rPr>
            </w:pPr>
            <w:r>
              <w:rPr>
                <w:sz w:val="21"/>
                <w:szCs w:val="16"/>
              </w:rPr>
              <w:t>废油墨盒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S12</w:t>
            </w:r>
          </w:p>
        </w:tc>
        <w:tc>
          <w:tcPr>
            <w:tcW w:w="1561" w:type="pct"/>
            <w:vAlign w:val="center"/>
          </w:tcPr>
          <w:p>
            <w:pPr>
              <w:spacing w:line="240" w:lineRule="auto"/>
              <w:ind w:firstLine="0" w:firstLineChars="0"/>
              <w:jc w:val="center"/>
              <w:rPr>
                <w:sz w:val="21"/>
                <w:szCs w:val="16"/>
              </w:rPr>
            </w:pPr>
            <w:r>
              <w:rPr>
                <w:sz w:val="21"/>
                <w:szCs w:val="16"/>
              </w:rPr>
              <w:t>废陶瓷辊棒</w:t>
            </w:r>
          </w:p>
        </w:tc>
        <w:tc>
          <w:tcPr>
            <w:tcW w:w="1871" w:type="pct"/>
            <w:vAlign w:val="center"/>
          </w:tcPr>
          <w:p>
            <w:pPr>
              <w:spacing w:line="240" w:lineRule="auto"/>
              <w:ind w:firstLine="0" w:firstLineChars="0"/>
              <w:jc w:val="center"/>
              <w:rPr>
                <w:sz w:val="21"/>
                <w:szCs w:val="16"/>
              </w:rPr>
            </w:pPr>
            <w:r>
              <w:rPr>
                <w:sz w:val="21"/>
                <w:szCs w:val="16"/>
              </w:rPr>
              <w:t>废陶瓷辊棒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S13</w:t>
            </w:r>
          </w:p>
        </w:tc>
        <w:tc>
          <w:tcPr>
            <w:tcW w:w="1561" w:type="pct"/>
            <w:vAlign w:val="center"/>
          </w:tcPr>
          <w:p>
            <w:pPr>
              <w:spacing w:line="240" w:lineRule="auto"/>
              <w:ind w:firstLine="0" w:firstLineChars="0"/>
              <w:jc w:val="center"/>
              <w:rPr>
                <w:sz w:val="21"/>
                <w:szCs w:val="16"/>
              </w:rPr>
            </w:pPr>
            <w:r>
              <w:rPr>
                <w:sz w:val="21"/>
                <w:szCs w:val="16"/>
              </w:rPr>
              <w:t>废机油</w:t>
            </w:r>
          </w:p>
        </w:tc>
        <w:tc>
          <w:tcPr>
            <w:tcW w:w="1871" w:type="pct"/>
            <w:vAlign w:val="center"/>
          </w:tcPr>
          <w:p>
            <w:pPr>
              <w:spacing w:line="240" w:lineRule="auto"/>
              <w:ind w:firstLine="0" w:firstLineChars="0"/>
              <w:jc w:val="center"/>
              <w:rPr>
                <w:sz w:val="21"/>
                <w:szCs w:val="16"/>
              </w:rPr>
            </w:pPr>
            <w:r>
              <w:rPr>
                <w:sz w:val="21"/>
                <w:szCs w:val="16"/>
              </w:rPr>
              <w:t>废机油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S14</w:t>
            </w:r>
          </w:p>
        </w:tc>
        <w:tc>
          <w:tcPr>
            <w:tcW w:w="1561" w:type="pct"/>
            <w:vAlign w:val="center"/>
          </w:tcPr>
          <w:p>
            <w:pPr>
              <w:spacing w:line="240" w:lineRule="auto"/>
              <w:ind w:firstLine="0" w:firstLineChars="0"/>
              <w:jc w:val="center"/>
              <w:rPr>
                <w:sz w:val="21"/>
                <w:szCs w:val="16"/>
              </w:rPr>
            </w:pPr>
            <w:r>
              <w:rPr>
                <w:sz w:val="21"/>
                <w:szCs w:val="16"/>
              </w:rPr>
              <w:t>废岩棉</w:t>
            </w:r>
          </w:p>
        </w:tc>
        <w:tc>
          <w:tcPr>
            <w:tcW w:w="1871" w:type="pct"/>
            <w:vAlign w:val="center"/>
          </w:tcPr>
          <w:p>
            <w:pPr>
              <w:spacing w:line="240" w:lineRule="auto"/>
              <w:ind w:firstLine="0" w:firstLineChars="0"/>
              <w:jc w:val="center"/>
              <w:rPr>
                <w:sz w:val="21"/>
                <w:szCs w:val="16"/>
              </w:rPr>
            </w:pPr>
            <w:r>
              <w:rPr>
                <w:sz w:val="21"/>
                <w:szCs w:val="16"/>
              </w:rPr>
              <w:t>废岩棉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pPr>
              <w:spacing w:line="240" w:lineRule="auto"/>
              <w:ind w:firstLine="0" w:firstLineChars="0"/>
              <w:jc w:val="center"/>
              <w:rPr>
                <w:sz w:val="21"/>
                <w:szCs w:val="16"/>
              </w:rPr>
            </w:pPr>
          </w:p>
        </w:tc>
        <w:tc>
          <w:tcPr>
            <w:tcW w:w="652" w:type="pct"/>
            <w:vMerge w:val="continue"/>
            <w:vAlign w:val="center"/>
          </w:tcPr>
          <w:p>
            <w:pPr>
              <w:spacing w:line="240" w:lineRule="auto"/>
              <w:ind w:firstLine="0" w:firstLineChars="0"/>
              <w:jc w:val="center"/>
              <w:rPr>
                <w:sz w:val="21"/>
                <w:szCs w:val="16"/>
              </w:rPr>
            </w:pPr>
          </w:p>
        </w:tc>
        <w:tc>
          <w:tcPr>
            <w:tcW w:w="393" w:type="pct"/>
            <w:vAlign w:val="center"/>
          </w:tcPr>
          <w:p>
            <w:pPr>
              <w:spacing w:line="240" w:lineRule="auto"/>
              <w:ind w:firstLine="0" w:firstLineChars="0"/>
              <w:jc w:val="center"/>
              <w:rPr>
                <w:sz w:val="21"/>
                <w:szCs w:val="16"/>
              </w:rPr>
            </w:pPr>
            <w:r>
              <w:rPr>
                <w:sz w:val="21"/>
                <w:szCs w:val="16"/>
              </w:rPr>
              <w:t>S15</w:t>
            </w:r>
          </w:p>
        </w:tc>
        <w:tc>
          <w:tcPr>
            <w:tcW w:w="1561" w:type="pct"/>
            <w:vAlign w:val="center"/>
          </w:tcPr>
          <w:p>
            <w:pPr>
              <w:spacing w:line="240" w:lineRule="auto"/>
              <w:ind w:firstLine="0" w:firstLineChars="0"/>
              <w:jc w:val="center"/>
              <w:rPr>
                <w:sz w:val="21"/>
                <w:szCs w:val="16"/>
              </w:rPr>
            </w:pPr>
            <w:r>
              <w:rPr>
                <w:sz w:val="21"/>
                <w:szCs w:val="16"/>
              </w:rPr>
              <w:t>生活垃圾</w:t>
            </w:r>
          </w:p>
        </w:tc>
        <w:tc>
          <w:tcPr>
            <w:tcW w:w="1871" w:type="pct"/>
            <w:vAlign w:val="center"/>
          </w:tcPr>
          <w:p>
            <w:pPr>
              <w:spacing w:line="240" w:lineRule="auto"/>
              <w:ind w:firstLine="0" w:firstLineChars="0"/>
              <w:jc w:val="center"/>
              <w:rPr>
                <w:sz w:val="21"/>
                <w:szCs w:val="16"/>
              </w:rPr>
            </w:pPr>
            <w:r>
              <w:rPr>
                <w:sz w:val="21"/>
                <w:szCs w:val="16"/>
              </w:rPr>
              <w:t>生活垃圾</w:t>
            </w:r>
          </w:p>
        </w:tc>
      </w:tr>
    </w:tbl>
    <w:p>
      <w:pPr>
        <w:pStyle w:val="4"/>
        <w:rPr>
          <w:rFonts w:cs="Times New Roman"/>
        </w:rPr>
      </w:pPr>
      <w:bookmarkStart w:id="83" w:name="_Toc86611261"/>
      <w:r>
        <w:rPr>
          <w:rFonts w:cs="Times New Roman"/>
        </w:rPr>
        <w:t>3.2.3水平衡</w:t>
      </w:r>
      <w:bookmarkEnd w:id="83"/>
    </w:p>
    <w:p>
      <w:pPr>
        <w:ind w:firstLine="480"/>
        <w:rPr>
          <w:rFonts w:cs="Times New Roman"/>
          <w:u w:val="single"/>
        </w:rPr>
      </w:pPr>
      <w:r>
        <w:rPr>
          <w:rFonts w:cs="Times New Roman"/>
          <w:u w:val="single"/>
        </w:rPr>
        <w:t>1、用排水项目分析</w:t>
      </w:r>
    </w:p>
    <w:p>
      <w:pPr>
        <w:ind w:firstLine="480"/>
        <w:rPr>
          <w:rFonts w:cs="Times New Roman"/>
          <w:u w:val="single"/>
        </w:rPr>
      </w:pPr>
      <w:r>
        <w:rPr>
          <w:rFonts w:cs="Times New Roman"/>
          <w:u w:val="single"/>
        </w:rPr>
        <w:t>（1）制釉工段</w:t>
      </w:r>
    </w:p>
    <w:p>
      <w:pPr>
        <w:ind w:firstLine="480"/>
        <w:rPr>
          <w:rFonts w:cs="Times New Roman"/>
          <w:u w:val="single"/>
        </w:rPr>
      </w:pPr>
      <w:r>
        <w:rPr>
          <w:rFonts w:cs="Times New Roman"/>
          <w:u w:val="single"/>
        </w:rPr>
        <w:t>工程釉料用量108904.19t/a，制釉配料球磨需加入一定量的水，使釉料含水46%左右，则制釉过程用水量约为298.19m</w:t>
      </w:r>
      <w:r>
        <w:rPr>
          <w:rFonts w:cs="Times New Roman"/>
          <w:u w:val="single"/>
          <w:vertAlign w:val="superscript"/>
        </w:rPr>
        <w:t>3</w:t>
      </w:r>
      <w:r>
        <w:rPr>
          <w:rFonts w:cs="Times New Roman"/>
          <w:u w:val="single"/>
        </w:rPr>
        <w:t>/d，全部消耗于釉料中，无废水产生。</w:t>
      </w:r>
    </w:p>
    <w:p>
      <w:pPr>
        <w:ind w:firstLine="480"/>
        <w:rPr>
          <w:rFonts w:cs="Times New Roman"/>
          <w:u w:val="single"/>
        </w:rPr>
      </w:pPr>
      <w:r>
        <w:rPr>
          <w:rFonts w:cs="Times New Roman"/>
          <w:u w:val="single"/>
        </w:rPr>
        <w:t>（2）配料、球磨用水（泥浆制备）</w:t>
      </w:r>
    </w:p>
    <w:p>
      <w:pPr>
        <w:ind w:firstLine="480"/>
        <w:rPr>
          <w:rFonts w:cs="Times New Roman"/>
          <w:u w:val="single"/>
        </w:rPr>
      </w:pPr>
      <w:r>
        <w:rPr>
          <w:rFonts w:cs="Times New Roman"/>
          <w:u w:val="single"/>
        </w:rPr>
        <w:t>配料、球磨工序均会产生少量废水，主要是球磨机滴漏和清洗废水，总用水量约为1350.11t/d，废水经排水渠流入污水池直接回用原料制浆，或进行混凝沉淀处理后，上清液（70%）流入清水池用泵回流作循环利用，循环水量为945.08t/d，回收利用不外排。根据生产需要，每天补充水量约405.03t。</w:t>
      </w:r>
    </w:p>
    <w:p>
      <w:pPr>
        <w:ind w:firstLine="480"/>
        <w:rPr>
          <w:rFonts w:cs="Times New Roman"/>
          <w:u w:val="single"/>
        </w:rPr>
      </w:pPr>
      <w:r>
        <w:rPr>
          <w:rFonts w:cs="Times New Roman"/>
          <w:u w:val="single"/>
        </w:rPr>
        <w:t>（3）磨边抛光废水</w:t>
      </w:r>
    </w:p>
    <w:p>
      <w:pPr>
        <w:ind w:firstLine="480"/>
        <w:rPr>
          <w:rFonts w:cs="Times New Roman"/>
          <w:u w:val="single"/>
        </w:rPr>
      </w:pPr>
      <w:r>
        <w:rPr>
          <w:rFonts w:cs="Times New Roman"/>
          <w:u w:val="single"/>
        </w:rPr>
        <w:t>本项目生产线磨、抛光采用湿式磨边、抛光废水产生量为1565.72t/d。磨边、抛光废水经排水渠流入沉淀池进行混凝沉淀处理后，不外排。损耗水量按20%计算，则每天补充水量约313.14m</w:t>
      </w:r>
      <w:r>
        <w:rPr>
          <w:rFonts w:cs="Times New Roman"/>
          <w:u w:val="single"/>
          <w:vertAlign w:val="superscript"/>
        </w:rPr>
        <w:t>3</w:t>
      </w:r>
      <w:r>
        <w:rPr>
          <w:rFonts w:cs="Times New Roman"/>
          <w:u w:val="single"/>
        </w:rPr>
        <w:t>/d，循环水量为1252.58m</w:t>
      </w:r>
      <w:r>
        <w:rPr>
          <w:rFonts w:cs="Times New Roman"/>
          <w:u w:val="single"/>
          <w:vertAlign w:val="superscript"/>
        </w:rPr>
        <w:t>3</w:t>
      </w:r>
      <w:r>
        <w:rPr>
          <w:rFonts w:cs="Times New Roman"/>
          <w:u w:val="single"/>
        </w:rPr>
        <w:t>/d。</w:t>
      </w:r>
    </w:p>
    <w:p>
      <w:pPr>
        <w:ind w:firstLine="480"/>
        <w:rPr>
          <w:rFonts w:cs="Times New Roman"/>
          <w:u w:val="single"/>
        </w:rPr>
      </w:pPr>
      <w:r>
        <w:rPr>
          <w:rFonts w:cs="Times New Roman"/>
          <w:u w:val="single"/>
        </w:rPr>
        <w:t>（4）地面及设备冲洗用水</w:t>
      </w:r>
    </w:p>
    <w:p>
      <w:pPr>
        <w:ind w:firstLine="480"/>
        <w:rPr>
          <w:rFonts w:cs="Times New Roman"/>
          <w:u w:val="single"/>
        </w:rPr>
      </w:pPr>
      <w:r>
        <w:rPr>
          <w:rFonts w:cs="Times New Roman"/>
          <w:u w:val="single"/>
        </w:rPr>
        <w:t>项目设备和车间地面冲洗水需水量约为500m</w:t>
      </w:r>
      <w:r>
        <w:rPr>
          <w:rFonts w:cs="Times New Roman"/>
          <w:u w:val="single"/>
          <w:vertAlign w:val="superscript"/>
        </w:rPr>
        <w:t>3</w:t>
      </w:r>
      <w:r>
        <w:rPr>
          <w:rFonts w:cs="Times New Roman"/>
          <w:u w:val="single"/>
        </w:rPr>
        <w:t>/d，废水经处理达标后全部回用，回用水量为400t/d，每天补充水量约100t。</w:t>
      </w:r>
    </w:p>
    <w:p>
      <w:pPr>
        <w:ind w:firstLine="480"/>
        <w:rPr>
          <w:rFonts w:cs="Times New Roman"/>
          <w:u w:val="single"/>
        </w:rPr>
      </w:pPr>
      <w:r>
        <w:rPr>
          <w:rFonts w:cs="Times New Roman"/>
          <w:u w:val="single"/>
        </w:rPr>
        <w:t>（5）间接冷却用、排水</w:t>
      </w:r>
    </w:p>
    <w:p>
      <w:pPr>
        <w:ind w:firstLine="480"/>
        <w:rPr>
          <w:rFonts w:cs="Times New Roman"/>
          <w:u w:val="single"/>
        </w:rPr>
      </w:pPr>
      <w:r>
        <w:rPr>
          <w:rFonts w:cs="Times New Roman"/>
          <w:u w:val="single"/>
        </w:rPr>
        <w:t>陶瓷生产间接冷却用水主要包括辊道窑风机冷却水、球磨机冷却水、空压机冷却用水、压砖机冷却水。该部分冷却需水量约为100m</w:t>
      </w:r>
      <w:r>
        <w:rPr>
          <w:rFonts w:cs="Times New Roman"/>
          <w:u w:val="single"/>
          <w:vertAlign w:val="superscript"/>
        </w:rPr>
        <w:t>3</w:t>
      </w:r>
      <w:r>
        <w:rPr>
          <w:rFonts w:cs="Times New Roman"/>
          <w:u w:val="single"/>
        </w:rPr>
        <w:t>/d。间接循环总用水量为84m</w:t>
      </w:r>
      <w:r>
        <w:rPr>
          <w:rFonts w:cs="Times New Roman"/>
          <w:u w:val="single"/>
          <w:vertAlign w:val="superscript"/>
        </w:rPr>
        <w:t>3</w:t>
      </w:r>
      <w:r>
        <w:rPr>
          <w:rFonts w:cs="Times New Roman"/>
          <w:u w:val="single"/>
        </w:rPr>
        <w:t>/d，循环回水量84m</w:t>
      </w:r>
      <w:r>
        <w:rPr>
          <w:rFonts w:cs="Times New Roman"/>
          <w:u w:val="single"/>
          <w:vertAlign w:val="superscript"/>
        </w:rPr>
        <w:t>3</w:t>
      </w:r>
      <w:r>
        <w:rPr>
          <w:rFonts w:cs="Times New Roman"/>
          <w:u w:val="single"/>
        </w:rPr>
        <w:t>/d，循环冷却水补充新水16m</w:t>
      </w:r>
      <w:r>
        <w:rPr>
          <w:rFonts w:cs="Times New Roman"/>
          <w:u w:val="single"/>
          <w:vertAlign w:val="superscript"/>
        </w:rPr>
        <w:t>3</w:t>
      </w:r>
      <w:r>
        <w:rPr>
          <w:rFonts w:cs="Times New Roman"/>
          <w:u w:val="single"/>
        </w:rPr>
        <w:t>/d。冷却废水经处理后全部循环使用。</w:t>
      </w:r>
    </w:p>
    <w:p>
      <w:pPr>
        <w:ind w:firstLine="480"/>
        <w:rPr>
          <w:rFonts w:cs="Times New Roman"/>
          <w:u w:val="single"/>
        </w:rPr>
      </w:pPr>
      <w:r>
        <w:rPr>
          <w:rFonts w:cs="Times New Roman"/>
          <w:u w:val="single"/>
        </w:rPr>
        <w:t>（6）脱硫废水</w:t>
      </w:r>
    </w:p>
    <w:p>
      <w:pPr>
        <w:ind w:firstLine="480"/>
        <w:rPr>
          <w:rFonts w:cs="Times New Roman"/>
          <w:u w:val="single"/>
        </w:rPr>
      </w:pPr>
      <w:r>
        <w:rPr>
          <w:rFonts w:cs="Times New Roman"/>
          <w:u w:val="single"/>
        </w:rPr>
        <w:t>废气环保处理设施（石灰碱水喷淋装置）运行过程中会产生的除尘废水，总用水量约为1500t/d。废水经沉淀处理后，上清液流入清水池用泵回流作循环再用，不外排，回用利用水量为1200t/d，脱硫石膏经浓缩压滤后集中处理。根据生产需要，每天补充水量约300t。</w:t>
      </w:r>
    </w:p>
    <w:p>
      <w:pPr>
        <w:ind w:firstLine="480"/>
        <w:rPr>
          <w:rFonts w:cs="Times New Roman"/>
          <w:u w:val="single"/>
        </w:rPr>
      </w:pPr>
      <w:r>
        <w:rPr>
          <w:rFonts w:cs="Times New Roman"/>
          <w:u w:val="single"/>
        </w:rPr>
        <w:t>（7）纸箱印刷冲洗废水</w:t>
      </w:r>
    </w:p>
    <w:p>
      <w:pPr>
        <w:pStyle w:val="19"/>
        <w:ind w:firstLine="480"/>
        <w:rPr>
          <w:rFonts w:cs="Times New Roman"/>
          <w:u w:val="single"/>
        </w:rPr>
      </w:pPr>
      <w:r>
        <w:rPr>
          <w:rFonts w:cs="Times New Roman"/>
          <w:u w:val="single"/>
        </w:rPr>
        <w:t>项目纸箱印刷过程中需对印刷机晒网进行清洗，不使用清洗剂，用水枪冲洗，根据建设单位提供资料，清洗废水间歇性排放，平均每天用水量1m</w:t>
      </w:r>
      <w:r>
        <w:rPr>
          <w:rFonts w:cs="Times New Roman"/>
          <w:u w:val="single"/>
          <w:vertAlign w:val="superscript"/>
        </w:rPr>
        <w:t>3</w:t>
      </w:r>
      <w:r>
        <w:rPr>
          <w:rFonts w:cs="Times New Roman"/>
          <w:u w:val="single"/>
        </w:rPr>
        <w:t>，排水量约为0.9m</w:t>
      </w:r>
      <w:r>
        <w:rPr>
          <w:rFonts w:cs="Times New Roman"/>
          <w:u w:val="single"/>
          <w:vertAlign w:val="superscript"/>
        </w:rPr>
        <w:t>3</w:t>
      </w:r>
      <w:r>
        <w:rPr>
          <w:rFonts w:cs="Times New Roman"/>
          <w:u w:val="single"/>
        </w:rPr>
        <w:t>。</w:t>
      </w:r>
    </w:p>
    <w:p>
      <w:pPr>
        <w:ind w:firstLine="480"/>
        <w:rPr>
          <w:rFonts w:cs="Times New Roman"/>
          <w:u w:val="single"/>
        </w:rPr>
      </w:pPr>
      <w:r>
        <w:rPr>
          <w:rFonts w:cs="Times New Roman"/>
          <w:u w:val="single"/>
        </w:rPr>
        <w:t>（8）堆场降尘、绿化、道路洒浇用水</w:t>
      </w:r>
    </w:p>
    <w:p>
      <w:pPr>
        <w:ind w:firstLine="480"/>
        <w:rPr>
          <w:rFonts w:cs="Times New Roman"/>
          <w:u w:val="single"/>
        </w:rPr>
      </w:pPr>
      <w:r>
        <w:rPr>
          <w:rFonts w:cs="Times New Roman"/>
          <w:u w:val="single"/>
        </w:rPr>
        <w:t>项目厂区绿化总面积约为43117.33m</w:t>
      </w:r>
      <w:r>
        <w:rPr>
          <w:rFonts w:cs="Times New Roman"/>
          <w:u w:val="single"/>
          <w:vertAlign w:val="superscript"/>
        </w:rPr>
        <w:t>2</w:t>
      </w:r>
      <w:r>
        <w:rPr>
          <w:rFonts w:cs="Times New Roman"/>
          <w:u w:val="single"/>
        </w:rPr>
        <w:t>，绿化用水取3.0L/m</w:t>
      </w:r>
      <w:r>
        <w:rPr>
          <w:rFonts w:cs="Times New Roman"/>
          <w:u w:val="single"/>
          <w:vertAlign w:val="superscript"/>
        </w:rPr>
        <w:t>2</w:t>
      </w:r>
      <w:r>
        <w:rPr>
          <w:rFonts w:cs="Times New Roman"/>
          <w:u w:val="single"/>
        </w:rPr>
        <w:t>·d，则厂区绿化用水量约为129.35m</w:t>
      </w:r>
      <w:r>
        <w:rPr>
          <w:rFonts w:cs="Times New Roman"/>
          <w:u w:val="single"/>
          <w:vertAlign w:val="superscript"/>
        </w:rPr>
        <w:t>3</w:t>
      </w:r>
      <w:r>
        <w:rPr>
          <w:rFonts w:cs="Times New Roman"/>
          <w:u w:val="single"/>
        </w:rPr>
        <w:t>/d；由于厂区内原物料堆场为封闭式堆棚，仅需对其作业面进行洒水降尘，厂区堆场作业面、厂区内道路、广场面积约为349599.96m</w:t>
      </w:r>
      <w:r>
        <w:rPr>
          <w:rFonts w:cs="Times New Roman"/>
          <w:u w:val="single"/>
          <w:vertAlign w:val="superscript"/>
        </w:rPr>
        <w:t>2</w:t>
      </w:r>
      <w:r>
        <w:rPr>
          <w:rFonts w:cs="Times New Roman"/>
          <w:u w:val="single"/>
        </w:rPr>
        <w:t>，每天洒浇降尘1 次，每次每平方米1.0L，降尘用水量共计349.60m</w:t>
      </w:r>
      <w:r>
        <w:rPr>
          <w:rFonts w:cs="Times New Roman"/>
          <w:u w:val="single"/>
          <w:vertAlign w:val="superscript"/>
        </w:rPr>
        <w:t>3</w:t>
      </w:r>
      <w:r>
        <w:rPr>
          <w:rFonts w:cs="Times New Roman"/>
          <w:u w:val="single"/>
        </w:rPr>
        <w:t>/d。则项目厂区绿化、降尘用水量共为478.95m</w:t>
      </w:r>
      <w:r>
        <w:rPr>
          <w:rFonts w:cs="Times New Roman"/>
          <w:u w:val="single"/>
          <w:vertAlign w:val="superscript"/>
        </w:rPr>
        <w:t>3</w:t>
      </w:r>
      <w:r>
        <w:rPr>
          <w:rFonts w:cs="Times New Roman"/>
          <w:u w:val="single"/>
        </w:rPr>
        <w:t>/d。</w:t>
      </w:r>
    </w:p>
    <w:p>
      <w:pPr>
        <w:ind w:firstLine="480"/>
        <w:rPr>
          <w:rFonts w:cs="Times New Roman"/>
          <w:u w:val="single"/>
        </w:rPr>
      </w:pPr>
      <w:r>
        <w:rPr>
          <w:rFonts w:cs="Times New Roman"/>
          <w:u w:val="single"/>
        </w:rPr>
        <w:t>（9）生活用水量</w:t>
      </w:r>
    </w:p>
    <w:p>
      <w:pPr>
        <w:ind w:firstLine="480"/>
        <w:rPr>
          <w:rFonts w:cs="Times New Roman"/>
          <w:u w:val="single"/>
        </w:rPr>
        <w:sectPr>
          <w:pgSz w:w="11906" w:h="16838"/>
          <w:pgMar w:top="1440" w:right="1800" w:bottom="1440" w:left="1800" w:header="851" w:footer="992" w:gutter="0"/>
          <w:cols w:space="425" w:num="1"/>
          <w:docGrid w:type="lines" w:linePitch="326" w:charSpace="0"/>
        </w:sectPr>
      </w:pPr>
      <w:r>
        <w:rPr>
          <w:rFonts w:cs="Times New Roman"/>
          <w:u w:val="single"/>
        </w:rPr>
        <w:t>拟建项目全厂职工为1600人，全在厂区内食宿，职工食宿员工生活用水按150L/d·人，则职工生活用水约为240m</w:t>
      </w:r>
      <w:r>
        <w:rPr>
          <w:rFonts w:cs="Times New Roman"/>
          <w:u w:val="single"/>
          <w:vertAlign w:val="superscript"/>
        </w:rPr>
        <w:t>3</w:t>
      </w:r>
      <w:r>
        <w:rPr>
          <w:rFonts w:cs="Times New Roman"/>
          <w:u w:val="single"/>
        </w:rPr>
        <w:t>/d，废水产生量按用水总量的80%计，则产生量为192m</w:t>
      </w:r>
      <w:r>
        <w:rPr>
          <w:rFonts w:cs="Times New Roman"/>
          <w:u w:val="single"/>
          <w:vertAlign w:val="superscript"/>
        </w:rPr>
        <w:t>3</w:t>
      </w:r>
      <w:r>
        <w:rPr>
          <w:rFonts w:cs="Times New Roman"/>
          <w:u w:val="single"/>
        </w:rPr>
        <w:t>/d。</w:t>
      </w:r>
    </w:p>
    <w:p>
      <w:pPr>
        <w:ind w:firstLine="0" w:firstLineChars="0"/>
        <w:jc w:val="center"/>
        <w:rPr>
          <w:rFonts w:cs="Times New Roman"/>
        </w:rPr>
      </w:pPr>
      <w:r>
        <w:object>
          <v:shape id="_x0000_i1030" o:spt="75" type="#_x0000_t75" style="height:322.35pt;width:461.35pt;" o:ole="t" filled="f" o:preferrelative="t" stroked="f" coordsize="21600,21600">
            <v:path/>
            <v:fill on="f" focussize="0,0"/>
            <v:stroke on="f" joinstyle="miter"/>
            <v:imagedata r:id="rId34" o:title=""/>
            <o:lock v:ext="edit" aspectratio="t"/>
            <w10:wrap type="none"/>
            <w10:anchorlock/>
          </v:shape>
          <o:OLEObject Type="Embed" ProgID="Visio.Drawing.15" ShapeID="_x0000_i1030" DrawAspect="Content" ObjectID="_1468075730" r:id="rId33">
            <o:LockedField>false</o:LockedField>
          </o:OLEObject>
        </w:object>
      </w:r>
    </w:p>
    <w:p>
      <w:pPr>
        <w:ind w:firstLine="0" w:firstLineChars="0"/>
        <w:jc w:val="center"/>
        <w:rPr>
          <w:rFonts w:cs="Times New Roman"/>
        </w:rPr>
        <w:sectPr>
          <w:pgSz w:w="16838" w:h="11906" w:orient="landscape"/>
          <w:pgMar w:top="1800" w:right="1440" w:bottom="1800" w:left="1440" w:header="851" w:footer="992" w:gutter="0"/>
          <w:cols w:space="425" w:num="1"/>
          <w:docGrid w:type="lines" w:linePitch="326" w:charSpace="0"/>
        </w:sectPr>
      </w:pPr>
      <w:r>
        <w:rPr>
          <w:rFonts w:cs="Times New Roman"/>
        </w:rPr>
        <w:t>图3.2-8  水平衡图  单位：m</w:t>
      </w:r>
      <w:r>
        <w:rPr>
          <w:rFonts w:cs="Times New Roman"/>
          <w:vertAlign w:val="superscript"/>
        </w:rPr>
        <w:t>3</w:t>
      </w:r>
      <w:r>
        <w:rPr>
          <w:rFonts w:cs="Times New Roman"/>
        </w:rPr>
        <w:t>/d</w:t>
      </w:r>
    </w:p>
    <w:p>
      <w:pPr>
        <w:pStyle w:val="4"/>
        <w:rPr>
          <w:rFonts w:cs="Times New Roman"/>
        </w:rPr>
      </w:pPr>
      <w:bookmarkStart w:id="84" w:name="_Toc86611262"/>
      <w:r>
        <w:rPr>
          <w:rFonts w:cs="Times New Roman"/>
        </w:rPr>
        <w:t>3.2.4物料平衡</w:t>
      </w:r>
      <w:bookmarkEnd w:id="84"/>
    </w:p>
    <w:p>
      <w:pPr>
        <w:ind w:firstLine="480"/>
        <w:rPr>
          <w:rFonts w:cs="Times New Roman"/>
          <w:u w:val="single"/>
        </w:rPr>
      </w:pPr>
      <w:r>
        <w:rPr>
          <w:rFonts w:cs="Times New Roman"/>
          <w:u w:val="single"/>
        </w:rPr>
        <w:t>陶瓷行业中的氟主要来自于原料中，根据建设单位提供的原料成分分析报告，原料中氟为未检出，因此，不做氟元素平衡分析。</w:t>
      </w:r>
    </w:p>
    <w:p>
      <w:pPr>
        <w:ind w:firstLine="480"/>
        <w:rPr>
          <w:rFonts w:cs="Times New Roman"/>
          <w:u w:val="single"/>
        </w:rPr>
      </w:pPr>
      <w:r>
        <w:rPr>
          <w:rFonts w:cs="Times New Roman"/>
          <w:u w:val="single"/>
        </w:rPr>
        <w:t>1、总物料平衡</w:t>
      </w:r>
    </w:p>
    <w:p>
      <w:pPr>
        <w:ind w:firstLine="480"/>
        <w:rPr>
          <w:rFonts w:cs="Times New Roman"/>
          <w:u w:val="single"/>
        </w:rPr>
      </w:pPr>
      <w:r>
        <w:rPr>
          <w:rFonts w:cs="Times New Roman"/>
          <w:u w:val="single"/>
        </w:rPr>
        <w:t>拟建项目12条生产线陆续建成投产，因此本次评价原、辅料消耗与产品及废坯等废物等物料投入产出平衡按12条线总的物料量核算。物料平衡表详见表3.2-5。</w:t>
      </w:r>
    </w:p>
    <w:p>
      <w:pPr>
        <w:ind w:left="431" w:right="6" w:firstLine="0" w:firstLineChars="0"/>
        <w:jc w:val="center"/>
        <w:rPr>
          <w:rFonts w:cs="Times New Roman"/>
          <w:u w:val="single"/>
        </w:rPr>
      </w:pPr>
      <w:r>
        <w:rPr>
          <w:rFonts w:cs="Times New Roman"/>
          <w:u w:val="single"/>
        </w:rPr>
        <w:t>表3.2-5  本项目生产线物料平衡表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1493"/>
        <w:gridCol w:w="1433"/>
        <w:gridCol w:w="750"/>
        <w:gridCol w:w="2664"/>
        <w:gridCol w:w="14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57" w:type="pct"/>
            <w:gridSpan w:val="3"/>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投入量</w:t>
            </w:r>
          </w:p>
        </w:tc>
        <w:tc>
          <w:tcPr>
            <w:tcW w:w="2843" w:type="pct"/>
            <w:gridSpan w:val="3"/>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产出量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序号</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名称</w:t>
            </w:r>
          </w:p>
        </w:tc>
        <w:tc>
          <w:tcPr>
            <w:tcW w:w="840"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年用量</w:t>
            </w:r>
            <w:r>
              <w:rPr>
                <w:rFonts w:cs="Times New Roman"/>
                <w:color w:val="000000"/>
                <w:kern w:val="0"/>
                <w:sz w:val="21"/>
                <w:szCs w:val="21"/>
                <w:u w:val="single"/>
              </w:rPr>
              <w:t>t/a</w:t>
            </w:r>
          </w:p>
        </w:tc>
        <w:tc>
          <w:tcPr>
            <w:tcW w:w="440"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序号</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名称</w:t>
            </w:r>
          </w:p>
        </w:tc>
        <w:tc>
          <w:tcPr>
            <w:tcW w:w="840"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产出量</w:t>
            </w:r>
            <w:r>
              <w:rPr>
                <w:rFonts w:cs="Times New Roman"/>
                <w:color w:val="000000"/>
                <w:kern w:val="0"/>
                <w:sz w:val="21"/>
                <w:szCs w:val="21"/>
                <w:u w:val="singl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瓷砂</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823609.02</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仿古</w:t>
            </w:r>
            <w:r>
              <w:rPr>
                <w:rFonts w:cs="Times New Roman"/>
                <w:color w:val="000000"/>
                <w:kern w:val="0"/>
                <w:sz w:val="21"/>
                <w:szCs w:val="21"/>
                <w:u w:val="single"/>
              </w:rPr>
              <w:t>/</w:t>
            </w:r>
            <w:r>
              <w:rPr>
                <w:rFonts w:hint="eastAsia" w:ascii="宋体" w:hAnsi="宋体" w:cs="宋体"/>
                <w:color w:val="000000"/>
                <w:kern w:val="0"/>
                <w:sz w:val="21"/>
                <w:szCs w:val="21"/>
                <w:u w:val="single"/>
              </w:rPr>
              <w:t>抛釉砖</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480605.4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石粒</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1702153.82</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通体抛釉砖</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132580.8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坭</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924090.6</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通体抛光砖</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92070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4</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瓷片熔块</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68664.22</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4</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陶瓷微晶大板</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5</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陶瓷色料</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235.04</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5</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卫生洁具</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10080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6</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釉用化工料</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108904.19</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6</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釉用熔块</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66000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球磨稀释剂</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14938.25</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包装纸箱</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340000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瓦楞</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346800</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筛分粗料</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2594427.06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w:t>
            </w:r>
          </w:p>
        </w:tc>
        <w:tc>
          <w:tcPr>
            <w:tcW w:w="876"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UV</w:t>
            </w:r>
            <w:r>
              <w:rPr>
                <w:rFonts w:hint="eastAsia" w:ascii="宋体" w:hAnsi="宋体" w:cs="Times New Roman"/>
                <w:color w:val="000000"/>
                <w:kern w:val="0"/>
                <w:sz w:val="21"/>
                <w:szCs w:val="21"/>
                <w:u w:val="single"/>
              </w:rPr>
              <w:t>油墨</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300</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废坯、废瓷</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72474.82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10</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石灰</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804.71</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10</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炉渣</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19451.25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11</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脱硫剂</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4000</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11</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纸箱边角料</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6800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12</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脱硝剂</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2000</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12</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除尘灰</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43677.12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13</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絮凝沉淀剂</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6000</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13</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生产废水沉淀池污泥</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9601.8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14</w:t>
            </w:r>
          </w:p>
        </w:tc>
        <w:tc>
          <w:tcPr>
            <w:tcW w:w="876"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煤</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190000</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14</w:t>
            </w:r>
          </w:p>
        </w:tc>
        <w:tc>
          <w:tcPr>
            <w:tcW w:w="1563"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脱硫石膏</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5099.59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　</w:t>
            </w:r>
          </w:p>
        </w:tc>
        <w:tc>
          <w:tcPr>
            <w:tcW w:w="876"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　</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　</w:t>
            </w:r>
          </w:p>
        </w:tc>
        <w:tc>
          <w:tcPr>
            <w:tcW w:w="4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15</w:t>
            </w:r>
          </w:p>
        </w:tc>
        <w:tc>
          <w:tcPr>
            <w:tcW w:w="1563"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CO</w:t>
            </w:r>
            <w:r>
              <w:rPr>
                <w:rFonts w:eastAsia="等线" w:cs="Times New Roman"/>
                <w:color w:val="000000"/>
                <w:kern w:val="0"/>
                <w:sz w:val="21"/>
                <w:szCs w:val="21"/>
                <w:u w:val="single"/>
                <w:vertAlign w:val="subscript"/>
              </w:rPr>
              <w:t>2</w:t>
            </w:r>
            <w:r>
              <w:rPr>
                <w:rFonts w:hint="eastAsia" w:ascii="宋体" w:hAnsi="宋体" w:cs="Times New Roman"/>
                <w:color w:val="000000"/>
                <w:kern w:val="0"/>
                <w:sz w:val="21"/>
                <w:szCs w:val="21"/>
                <w:u w:val="single"/>
              </w:rPr>
              <w:t>、烟尘等烟气损失</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310425.01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16" w:type="pct"/>
            <w:gridSpan w:val="2"/>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合计</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4192499.85</w:t>
            </w:r>
          </w:p>
        </w:tc>
        <w:tc>
          <w:tcPr>
            <w:tcW w:w="2003" w:type="pct"/>
            <w:gridSpan w:val="2"/>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合计</w:t>
            </w:r>
          </w:p>
        </w:tc>
        <w:tc>
          <w:tcPr>
            <w:tcW w:w="84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4192499.85</w:t>
            </w:r>
          </w:p>
        </w:tc>
      </w:tr>
    </w:tbl>
    <w:p>
      <w:pPr>
        <w:ind w:firstLine="480"/>
        <w:rPr>
          <w:rFonts w:cs="Times New Roman"/>
          <w:u w:val="single"/>
        </w:rPr>
      </w:pPr>
      <w:r>
        <w:rPr>
          <w:rFonts w:cs="Times New Roman"/>
          <w:u w:val="single"/>
        </w:rPr>
        <w:t>2、硫平衡</w:t>
      </w:r>
    </w:p>
    <w:p>
      <w:pPr>
        <w:ind w:firstLine="480"/>
        <w:rPr>
          <w:rFonts w:cs="Times New Roman"/>
          <w:u w:val="single"/>
        </w:rPr>
      </w:pPr>
      <w:r>
        <w:rPr>
          <w:rFonts w:cs="Times New Roman"/>
          <w:u w:val="single"/>
        </w:rPr>
        <w:t>项目中主要含硫物质为煤</w:t>
      </w:r>
      <w:r>
        <w:rPr>
          <w:rFonts w:hint="eastAsia" w:cs="Times New Roman"/>
          <w:u w:val="single"/>
        </w:rPr>
        <w:t>和液化天然气</w:t>
      </w:r>
      <w:r>
        <w:rPr>
          <w:rFonts w:cs="Times New Roman"/>
          <w:u w:val="single"/>
        </w:rPr>
        <w:t>。</w:t>
      </w:r>
    </w:p>
    <w:p>
      <w:pPr>
        <w:ind w:firstLine="480"/>
        <w:rPr>
          <w:rFonts w:cs="Times New Roman"/>
          <w:u w:val="single"/>
        </w:rPr>
      </w:pPr>
      <w:r>
        <w:rPr>
          <w:rFonts w:hint="eastAsia" w:cs="Times New Roman"/>
          <w:u w:val="single"/>
        </w:rPr>
        <w:t>项目总煤使用量为</w:t>
      </w:r>
      <w:r>
        <w:rPr>
          <w:rFonts w:cs="Times New Roman"/>
          <w:u w:val="single"/>
        </w:rPr>
        <w:t>19</w:t>
      </w:r>
      <w:r>
        <w:rPr>
          <w:rFonts w:hint="eastAsia" w:cs="Times New Roman"/>
          <w:u w:val="single"/>
        </w:rPr>
        <w:t>万t</w:t>
      </w:r>
      <w:r>
        <w:rPr>
          <w:rFonts w:cs="Times New Roman"/>
          <w:u w:val="single"/>
        </w:rPr>
        <w:t>/a</w:t>
      </w:r>
      <w:r>
        <w:rPr>
          <w:rFonts w:hint="eastAsia" w:cs="Times New Roman"/>
          <w:u w:val="single"/>
        </w:rPr>
        <w:t>，含硫量为0</w:t>
      </w:r>
      <w:r>
        <w:rPr>
          <w:rFonts w:cs="Times New Roman"/>
          <w:u w:val="single"/>
        </w:rPr>
        <w:t>.31</w:t>
      </w:r>
      <w:r>
        <w:rPr>
          <w:rFonts w:hint="eastAsia" w:cs="Times New Roman"/>
          <w:u w:val="single"/>
        </w:rPr>
        <w:t>%，可计算出总硫量为</w:t>
      </w:r>
      <w:r>
        <w:rPr>
          <w:rFonts w:cs="Times New Roman"/>
          <w:u w:val="single"/>
        </w:rPr>
        <w:t>589</w:t>
      </w:r>
      <w:r>
        <w:rPr>
          <w:rFonts w:hint="eastAsia" w:cs="Times New Roman"/>
          <w:u w:val="single"/>
        </w:rPr>
        <w:t>t</w:t>
      </w:r>
      <w:r>
        <w:rPr>
          <w:rFonts w:cs="Times New Roman"/>
          <w:u w:val="single"/>
        </w:rPr>
        <w:t>/a</w:t>
      </w:r>
      <w:r>
        <w:rPr>
          <w:rFonts w:hint="eastAsia" w:cs="Times New Roman"/>
          <w:u w:val="single"/>
        </w:rPr>
        <w:t>。原煤制作成微煤粉之后用于喷雾干燥塔的热风炉供能。</w:t>
      </w:r>
    </w:p>
    <w:p>
      <w:pPr>
        <w:ind w:firstLine="480"/>
        <w:rPr>
          <w:rFonts w:cs="Times New Roman"/>
          <w:kern w:val="0"/>
          <w:u w:val="single"/>
        </w:rPr>
      </w:pPr>
      <w:r>
        <w:rPr>
          <w:rFonts w:hint="eastAsia" w:cs="Times New Roman"/>
          <w:kern w:val="0"/>
          <w:u w:val="single"/>
        </w:rPr>
        <w:t>液化天然气的含硫量按2</w:t>
      </w:r>
      <w:r>
        <w:rPr>
          <w:rFonts w:cs="Times New Roman"/>
          <w:kern w:val="0"/>
          <w:u w:val="single"/>
        </w:rPr>
        <w:t>00</w:t>
      </w:r>
      <w:r>
        <w:rPr>
          <w:rFonts w:hint="eastAsia" w:cs="Times New Roman"/>
          <w:kern w:val="0"/>
          <w:u w:val="single"/>
        </w:rPr>
        <w:t>mg</w:t>
      </w:r>
      <w:r>
        <w:rPr>
          <w:rFonts w:cs="Times New Roman"/>
          <w:kern w:val="0"/>
          <w:u w:val="single"/>
        </w:rPr>
        <w:t>/m</w:t>
      </w:r>
      <w:r>
        <w:rPr>
          <w:rFonts w:cs="Times New Roman"/>
          <w:kern w:val="0"/>
          <w:u w:val="single"/>
          <w:vertAlign w:val="superscript"/>
        </w:rPr>
        <w:t>3</w:t>
      </w:r>
      <w:r>
        <w:rPr>
          <w:rFonts w:hint="eastAsia" w:cs="Times New Roman"/>
          <w:kern w:val="0"/>
          <w:u w:val="single"/>
        </w:rPr>
        <w:t>进行计算，则项目年使用天然气2</w:t>
      </w:r>
      <w:r>
        <w:rPr>
          <w:rFonts w:cs="Times New Roman"/>
          <w:kern w:val="0"/>
          <w:u w:val="single"/>
        </w:rPr>
        <w:t>3000</w:t>
      </w:r>
      <w:r>
        <w:rPr>
          <w:rFonts w:hint="eastAsia" w:cs="Times New Roman"/>
          <w:kern w:val="0"/>
          <w:u w:val="single"/>
        </w:rPr>
        <w:t>万m</w:t>
      </w:r>
      <w:r>
        <w:rPr>
          <w:rFonts w:cs="Times New Roman"/>
          <w:kern w:val="0"/>
          <w:u w:val="single"/>
          <w:vertAlign w:val="superscript"/>
        </w:rPr>
        <w:t>3</w:t>
      </w:r>
      <w:r>
        <w:rPr>
          <w:rFonts w:hint="eastAsia" w:cs="Times New Roman"/>
          <w:kern w:val="0"/>
          <w:u w:val="single"/>
        </w:rPr>
        <w:t>，则含硫量为</w:t>
      </w:r>
      <w:r>
        <w:rPr>
          <w:rFonts w:cs="Times New Roman"/>
          <w:kern w:val="0"/>
          <w:u w:val="single"/>
        </w:rPr>
        <w:t>46</w:t>
      </w:r>
      <w:r>
        <w:rPr>
          <w:rFonts w:hint="eastAsia" w:cs="Times New Roman"/>
          <w:kern w:val="0"/>
          <w:u w:val="single"/>
        </w:rPr>
        <w:t>t</w:t>
      </w:r>
      <w:r>
        <w:rPr>
          <w:rFonts w:cs="Times New Roman"/>
          <w:kern w:val="0"/>
          <w:u w:val="single"/>
        </w:rPr>
        <w:t>/a</w:t>
      </w:r>
      <w:r>
        <w:rPr>
          <w:rFonts w:hint="eastAsia" w:cs="Times New Roman"/>
          <w:kern w:val="0"/>
          <w:u w:val="single"/>
        </w:rPr>
        <w:t>，液化天然气用于1</w:t>
      </w:r>
      <w:r>
        <w:rPr>
          <w:rFonts w:cs="Times New Roman"/>
          <w:kern w:val="0"/>
          <w:u w:val="single"/>
        </w:rPr>
        <w:t>2</w:t>
      </w:r>
      <w:r>
        <w:rPr>
          <w:rFonts w:hint="eastAsia" w:cs="Times New Roman"/>
          <w:kern w:val="0"/>
          <w:u w:val="single"/>
        </w:rPr>
        <w:t>条烧成窑及其配套干燥窑供能。</w:t>
      </w:r>
    </w:p>
    <w:p>
      <w:pPr>
        <w:ind w:firstLine="480"/>
        <w:rPr>
          <w:rFonts w:cs="Times New Roman"/>
          <w:u w:val="single"/>
        </w:rPr>
      </w:pPr>
      <w:r>
        <w:rPr>
          <w:rFonts w:cs="Times New Roman"/>
          <w:u w:val="single"/>
        </w:rPr>
        <w:t>硫平衡如下图所示：</w:t>
      </w:r>
    </w:p>
    <w:p>
      <w:pPr>
        <w:ind w:firstLine="0" w:firstLineChars="0"/>
        <w:rPr>
          <w:rFonts w:cs="Times New Roman"/>
          <w:u w:val="single"/>
        </w:rPr>
        <w:sectPr>
          <w:pgSz w:w="11906" w:h="16838"/>
          <w:pgMar w:top="1440" w:right="1800" w:bottom="1440" w:left="1800" w:header="851" w:footer="992" w:gutter="0"/>
          <w:cols w:space="425" w:num="1"/>
          <w:docGrid w:type="lines" w:linePitch="326" w:charSpace="0"/>
        </w:sectPr>
      </w:pPr>
    </w:p>
    <w:p>
      <w:pPr>
        <w:ind w:firstLine="0" w:firstLineChars="0"/>
        <w:rPr>
          <w:rFonts w:cs="Times New Roman"/>
          <w:u w:val="single"/>
        </w:rPr>
      </w:pPr>
      <w:r>
        <w:rPr>
          <w:u w:val="single"/>
        </w:rPr>
        <w:object>
          <v:shape id="_x0000_i1031" o:spt="75" type="#_x0000_t75" style="height:268.6pt;width:696.75pt;" o:ole="t" filled="f" o:preferrelative="t" stroked="f" coordsize="21600,21600">
            <v:path/>
            <v:fill on="f" focussize="0,0"/>
            <v:stroke on="f" joinstyle="miter"/>
            <v:imagedata r:id="rId36" o:title=""/>
            <o:lock v:ext="edit" aspectratio="t"/>
            <w10:wrap type="none"/>
            <w10:anchorlock/>
          </v:shape>
          <o:OLEObject Type="Embed" ProgID="Visio.Drawing.15" ShapeID="_x0000_i1031" DrawAspect="Content" ObjectID="_1468075731" r:id="rId35">
            <o:LockedField>false</o:LockedField>
          </o:OLEObject>
        </w:object>
      </w:r>
    </w:p>
    <w:p>
      <w:pPr>
        <w:ind w:firstLine="0" w:firstLineChars="0"/>
        <w:jc w:val="center"/>
        <w:rPr>
          <w:rFonts w:cs="Times New Roman"/>
          <w:u w:val="single"/>
        </w:rPr>
      </w:pPr>
      <w:r>
        <w:rPr>
          <w:rFonts w:cs="Times New Roman"/>
          <w:u w:val="single"/>
        </w:rPr>
        <w:t>图3.2-9  硫平衡图   单位:t/a</w:t>
      </w:r>
    </w:p>
    <w:p>
      <w:pPr>
        <w:ind w:firstLine="480"/>
        <w:rPr>
          <w:rFonts w:cs="Times New Roman"/>
        </w:rPr>
        <w:sectPr>
          <w:pgSz w:w="16838" w:h="11906" w:orient="landscape"/>
          <w:pgMar w:top="1800" w:right="1440" w:bottom="1800" w:left="1440" w:header="851" w:footer="992" w:gutter="0"/>
          <w:cols w:space="425" w:num="1"/>
          <w:docGrid w:type="lines" w:linePitch="326" w:charSpace="0"/>
        </w:sectPr>
      </w:pPr>
    </w:p>
    <w:p>
      <w:pPr>
        <w:pStyle w:val="3"/>
        <w:rPr>
          <w:rFonts w:cs="Times New Roman"/>
        </w:rPr>
      </w:pPr>
      <w:bookmarkStart w:id="85" w:name="_Toc86611263"/>
      <w:r>
        <w:rPr>
          <w:rFonts w:cs="Times New Roman"/>
        </w:rPr>
        <w:t>3.3污染源强核算</w:t>
      </w:r>
      <w:bookmarkEnd w:id="85"/>
    </w:p>
    <w:p>
      <w:pPr>
        <w:pStyle w:val="4"/>
        <w:rPr>
          <w:rFonts w:cs="Times New Roman"/>
        </w:rPr>
      </w:pPr>
      <w:bookmarkStart w:id="86" w:name="_Toc86611264"/>
      <w:r>
        <w:rPr>
          <w:rFonts w:cs="Times New Roman"/>
        </w:rPr>
        <w:t>3.3.1施工期污染源强核算</w:t>
      </w:r>
      <w:bookmarkEnd w:id="86"/>
    </w:p>
    <w:p>
      <w:pPr>
        <w:autoSpaceDE w:val="0"/>
        <w:autoSpaceDN w:val="0"/>
        <w:adjustRightInd w:val="0"/>
        <w:ind w:firstLine="480"/>
        <w:rPr>
          <w:rFonts w:cs="Times New Roman"/>
        </w:rPr>
      </w:pPr>
      <w:r>
        <w:rPr>
          <w:rFonts w:cs="Times New Roman"/>
        </w:rPr>
        <w:t>本项目建设期为12个月（约360天），工程施工流程：基础施工→主体结构施工→设备安装→调试→投入营运。项目施工期主要是对大气、噪声、废水、固废及生态环境的影响。项目施工阶段污染流程见图3.3-1。</w:t>
      </w:r>
    </w:p>
    <w:p>
      <w:pPr>
        <w:autoSpaceDE w:val="0"/>
        <w:autoSpaceDN w:val="0"/>
        <w:adjustRightInd w:val="0"/>
        <w:ind w:firstLine="480"/>
        <w:rPr>
          <w:rFonts w:cs="Times New Roman"/>
        </w:rPr>
      </w:pPr>
      <w:r>
        <w:rPr>
          <w:rFonts w:cs="Times New Roman"/>
        </w:rPr>
        <w:t>施工期间存在的主要污染为：施工行为产生的扬尘；施工机械及车辆产生的尾气；施工人员的生活污水和施工本身产生的污水；施工产生的建筑垃圾、弃土及生活垃圾等固体废弃物；施工机械及运输车辆产生的噪声等。</w:t>
      </w:r>
    </w:p>
    <w:p>
      <w:pPr>
        <w:autoSpaceDE w:val="0"/>
        <w:autoSpaceDN w:val="0"/>
        <w:adjustRightInd w:val="0"/>
        <w:ind w:firstLine="0" w:firstLineChars="0"/>
        <w:jc w:val="center"/>
        <w:rPr>
          <w:rFonts w:cs="Times New Roman"/>
        </w:rPr>
      </w:pPr>
      <w:r>
        <w:rPr>
          <w:rFonts w:cs="Times New Roman"/>
        </w:rPr>
        <w:drawing>
          <wp:inline distT="0" distB="0" distL="0" distR="0">
            <wp:extent cx="4791075" cy="1371600"/>
            <wp:effectExtent l="19050" t="0" r="9525" b="0"/>
            <wp:docPr id="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3"/>
                    <pic:cNvPicPr>
                      <a:picLocks noChangeAspect="1" noChangeArrowheads="1"/>
                    </pic:cNvPicPr>
                  </pic:nvPicPr>
                  <pic:blipFill>
                    <a:blip r:embed="rId37"/>
                    <a:srcRect/>
                    <a:stretch>
                      <a:fillRect/>
                    </a:stretch>
                  </pic:blipFill>
                  <pic:spPr>
                    <a:xfrm>
                      <a:off x="0" y="0"/>
                      <a:ext cx="4791075" cy="1371600"/>
                    </a:xfrm>
                    <a:prstGeom prst="rect">
                      <a:avLst/>
                    </a:prstGeom>
                    <a:noFill/>
                    <a:ln w="9525">
                      <a:noFill/>
                      <a:miter lim="800000"/>
                      <a:headEnd/>
                      <a:tailEnd/>
                    </a:ln>
                  </pic:spPr>
                </pic:pic>
              </a:graphicData>
            </a:graphic>
          </wp:inline>
        </w:drawing>
      </w:r>
    </w:p>
    <w:p>
      <w:pPr>
        <w:pStyle w:val="43"/>
        <w:adjustRightInd w:val="0"/>
        <w:snapToGrid w:val="0"/>
        <w:spacing w:after="163" w:afterLines="50"/>
        <w:ind w:firstLine="0" w:firstLineChars="0"/>
        <w:jc w:val="center"/>
        <w:rPr>
          <w:rFonts w:ascii="Times New Roman" w:hAnsi="Times New Roman"/>
          <w:b/>
          <w:sz w:val="21"/>
          <w:szCs w:val="21"/>
        </w:rPr>
      </w:pPr>
      <w:r>
        <w:rPr>
          <w:rFonts w:ascii="Times New Roman" w:hAnsi="Times New Roman"/>
          <w:b/>
          <w:sz w:val="21"/>
          <w:szCs w:val="21"/>
        </w:rPr>
        <w:t>图3.3-1  施工阶段污染流程图</w:t>
      </w:r>
    </w:p>
    <w:p>
      <w:pPr>
        <w:ind w:firstLine="482"/>
        <w:rPr>
          <w:rFonts w:cs="Times New Roman"/>
          <w:b/>
        </w:rPr>
      </w:pPr>
      <w:r>
        <w:rPr>
          <w:rFonts w:cs="Times New Roman"/>
          <w:b/>
        </w:rPr>
        <w:t>1、施工期废气污染源</w:t>
      </w:r>
    </w:p>
    <w:p>
      <w:pPr>
        <w:ind w:firstLine="480"/>
        <w:rPr>
          <w:rFonts w:cs="Times New Roman"/>
        </w:rPr>
      </w:pPr>
      <w:r>
        <w:rPr>
          <w:rFonts w:cs="Times New Roman"/>
        </w:rPr>
        <w:t>施工期产生的空气污染主要来自于施工过程产生的扬尘及运输车辆和施工机械排放的废气。</w:t>
      </w:r>
    </w:p>
    <w:p>
      <w:pPr>
        <w:ind w:firstLine="480"/>
        <w:rPr>
          <w:rFonts w:cs="Times New Roman"/>
        </w:rPr>
      </w:pPr>
      <w:r>
        <w:rPr>
          <w:rFonts w:cs="Times New Roman"/>
        </w:rPr>
        <w:t>（1）施工扬尘</w:t>
      </w:r>
    </w:p>
    <w:p>
      <w:pPr>
        <w:ind w:firstLine="480"/>
        <w:rPr>
          <w:rFonts w:cs="Times New Roman"/>
        </w:rPr>
      </w:pPr>
      <w:r>
        <w:rPr>
          <w:rFonts w:cs="Times New Roman"/>
        </w:rPr>
        <w:t>项目施工中由于挖取土、填方、推土及撥运泥土和水泥、石灰、沙石等的装卸运输、拌合过程中有大量尘埃散逸到环境空气中，同时，道路施工时运送物料的汽车运行，在自然风力的作用下土堆、料堆、暂时闲置的裸露施工作业等都会引起扬尘污染，尤其是在风速较大或装卸、汽车行驶速度较快的情况下，粉尘、TSP的污染尤为突出。</w:t>
      </w:r>
    </w:p>
    <w:p>
      <w:pPr>
        <w:ind w:firstLine="480"/>
        <w:rPr>
          <w:rFonts w:cs="Times New Roman"/>
        </w:rPr>
      </w:pPr>
      <w:r>
        <w:rPr>
          <w:rFonts w:cs="Times New Roman"/>
        </w:rPr>
        <w:t>项目所在地主导风向NNE风，多年平均风速为2.0m/s。施工场地起尘量较大主要是在基础工程、大面积土方开挖时会产生，本报告采用西安冶金建筑学院干堆计算公式（Q=4.23×10</w:t>
      </w:r>
      <w:r>
        <w:rPr>
          <w:rFonts w:cs="Times New Roman"/>
          <w:vertAlign w:val="superscript"/>
        </w:rPr>
        <w:t>-4</w:t>
      </w:r>
      <w:r>
        <w:rPr>
          <w:rFonts w:cs="Times New Roman"/>
        </w:rPr>
        <w:t>×V</w:t>
      </w:r>
      <w:r>
        <w:rPr>
          <w:rFonts w:cs="Times New Roman"/>
          <w:vertAlign w:val="superscript"/>
        </w:rPr>
        <w:t>4.9</w:t>
      </w:r>
      <w:r>
        <w:rPr>
          <w:rFonts w:cs="Times New Roman"/>
        </w:rPr>
        <w:t>×S），其中施工场面积S＝1093333.33m</w:t>
      </w:r>
      <w:r>
        <w:rPr>
          <w:rFonts w:cs="Times New Roman"/>
          <w:vertAlign w:val="superscript"/>
        </w:rPr>
        <w:t>2</w:t>
      </w:r>
      <w:r>
        <w:rPr>
          <w:rFonts w:cs="Times New Roman"/>
        </w:rPr>
        <w:t>，风速V＝2.0m/s，扬尘量为7.118g/s，项目土建施工期在12～5月（次年）旱季，大面积开挖主要集中在施工前2个月，则施工期总产生扬尘量为36.90t，若洒水降尘，降尘率可达80%，则施工期排放扬尘量为7.38t。</w:t>
      </w:r>
    </w:p>
    <w:p>
      <w:pPr>
        <w:ind w:firstLine="480"/>
        <w:rPr>
          <w:rFonts w:cs="Times New Roman"/>
        </w:rPr>
      </w:pPr>
      <w:r>
        <w:rPr>
          <w:rFonts w:cs="Times New Roman"/>
        </w:rPr>
        <w:t>（2）运输扬尘</w:t>
      </w:r>
    </w:p>
    <w:p>
      <w:pPr>
        <w:ind w:firstLine="480"/>
        <w:rPr>
          <w:rFonts w:cs="Times New Roman"/>
        </w:rPr>
      </w:pPr>
      <w:r>
        <w:rPr>
          <w:rFonts w:cs="Times New Roman"/>
        </w:rPr>
        <w:t>施工期间的物料运输主要为砂石料、钢材等外购建筑材料的运输，运输道路扬尘呈间断性产生，沿运输道路呈无组织排放，运输扬尘主要产生在天气干燥时。对于运输扬尘，主要通过控制运输车辆速度、及时对运输混凝土道路进行清扫以及对泥结石道路路面进行洒水降尘，同时运输粉状建筑材料的车辆必须采用封闭式车辆或对车辆进行遮盖的措施以减少扬尘产生量。</w:t>
      </w:r>
    </w:p>
    <w:p>
      <w:pPr>
        <w:ind w:firstLine="480"/>
        <w:rPr>
          <w:rFonts w:cs="Times New Roman"/>
        </w:rPr>
      </w:pPr>
      <w:r>
        <w:rPr>
          <w:rFonts w:cs="Times New Roman"/>
        </w:rPr>
        <w:t>（3）燃油设备燃油废气</w:t>
      </w:r>
    </w:p>
    <w:p>
      <w:pPr>
        <w:ind w:firstLine="480"/>
        <w:rPr>
          <w:rFonts w:cs="Times New Roman"/>
        </w:rPr>
      </w:pPr>
      <w:r>
        <w:rPr>
          <w:rFonts w:cs="Times New Roman"/>
        </w:rPr>
        <w:t>项目厂区建设活动所用到的施工设备有挖掘机、推土机、装载机、自卸汽车、碾压机等设备，这些施工设备主要以柴油作为燃料。上述施工设备使用过程中会有少量的燃油废气呈无组织排放，燃油废气中的主要污染物有一氧化碳、二氧化氮、总烃。据类似工程监测，在距离现场50m处，一氧化碳、二氧化氮1 小时平均浓度分别为0.2mg/m</w:t>
      </w:r>
      <w:r>
        <w:rPr>
          <w:rFonts w:cs="Times New Roman"/>
          <w:vertAlign w:val="superscript"/>
        </w:rPr>
        <w:t>3</w:t>
      </w:r>
      <w:r>
        <w:rPr>
          <w:rFonts w:cs="Times New Roman"/>
        </w:rPr>
        <w:t>和0.13 mg/m</w:t>
      </w:r>
      <w:r>
        <w:rPr>
          <w:rFonts w:cs="Times New Roman"/>
          <w:vertAlign w:val="superscript"/>
        </w:rPr>
        <w:t>3</w:t>
      </w:r>
      <w:r>
        <w:rPr>
          <w:rFonts w:cs="Times New Roman"/>
        </w:rPr>
        <w:t>，日平均浓度分别为0.13 mg/m</w:t>
      </w:r>
      <w:r>
        <w:rPr>
          <w:rFonts w:cs="Times New Roman"/>
          <w:vertAlign w:val="superscript"/>
        </w:rPr>
        <w:t>3</w:t>
      </w:r>
      <w:r>
        <w:rPr>
          <w:rFonts w:cs="Times New Roman"/>
        </w:rPr>
        <w:t xml:space="preserve"> 和0.062 mg/m</w:t>
      </w:r>
      <w:r>
        <w:rPr>
          <w:rFonts w:cs="Times New Roman"/>
          <w:vertAlign w:val="superscript"/>
        </w:rPr>
        <w:t>3</w:t>
      </w:r>
      <w:r>
        <w:rPr>
          <w:rFonts w:cs="Times New Roman"/>
        </w:rPr>
        <w:t>，均可达到《大气污染物综合排放标准》（GB16297-1996）无组织排放监控浓度限值标准要求。</w:t>
      </w:r>
    </w:p>
    <w:p>
      <w:pPr>
        <w:ind w:firstLine="482"/>
        <w:rPr>
          <w:rFonts w:cs="Times New Roman"/>
          <w:b/>
        </w:rPr>
      </w:pPr>
      <w:r>
        <w:rPr>
          <w:rFonts w:cs="Times New Roman"/>
          <w:b/>
        </w:rPr>
        <w:t>2、施工期水污染源</w:t>
      </w:r>
    </w:p>
    <w:p>
      <w:pPr>
        <w:ind w:firstLine="480"/>
        <w:rPr>
          <w:rFonts w:cs="Times New Roman"/>
        </w:rPr>
      </w:pPr>
      <w:r>
        <w:rPr>
          <w:rFonts w:cs="Times New Roman"/>
        </w:rPr>
        <w:t>（1）生活污水</w:t>
      </w:r>
    </w:p>
    <w:p>
      <w:pPr>
        <w:ind w:firstLine="480"/>
        <w:rPr>
          <w:rFonts w:cs="Times New Roman"/>
        </w:rPr>
      </w:pPr>
      <w:r>
        <w:rPr>
          <w:rFonts w:cs="Times New Roman"/>
        </w:rPr>
        <w:t>施工期废水主要是施工废水及施工人员的生活污水，其中施工废水主要污染物为SS，生活污水主要污染物为SS、CODcr、BOD</w:t>
      </w:r>
      <w:r>
        <w:rPr>
          <w:rFonts w:cs="Times New Roman"/>
          <w:vertAlign w:val="subscript"/>
        </w:rPr>
        <w:t>5</w:t>
      </w:r>
      <w:r>
        <w:rPr>
          <w:rFonts w:cs="Times New Roman"/>
        </w:rPr>
        <w:t>。</w:t>
      </w:r>
    </w:p>
    <w:p>
      <w:pPr>
        <w:ind w:firstLine="480"/>
        <w:rPr>
          <w:rFonts w:cs="Times New Roman"/>
        </w:rPr>
      </w:pPr>
      <w:r>
        <w:rPr>
          <w:rFonts w:cs="Times New Roman"/>
        </w:rPr>
        <w:t>施工期用工人员大多来自本地，施工现场仅设置简易的施工营地，每班值班人员为5 人，其余人员部分来源于附近村民，部分住宿在周边乡镇。施工人员就餐依靠外面配送，营地不设食堂。生活废水主要来自建筑施工人员及管理人员的清洁水，施工人员总的按100人计，平均每人每天按5kg核算，值班人员每人每天按10kg 核算，则一天共需生活用水0.55m</w:t>
      </w:r>
      <w:r>
        <w:rPr>
          <w:rFonts w:cs="Times New Roman"/>
          <w:vertAlign w:val="superscript"/>
        </w:rPr>
        <w:t>3</w:t>
      </w:r>
      <w:r>
        <w:rPr>
          <w:rFonts w:cs="Times New Roman"/>
        </w:rPr>
        <w:t>/d，生活污水排放系数以0.8 计，每天污水排放量为0.44m</w:t>
      </w:r>
      <w:r>
        <w:rPr>
          <w:rFonts w:cs="Times New Roman"/>
          <w:vertAlign w:val="superscript"/>
        </w:rPr>
        <w:t>3</w:t>
      </w:r>
      <w:r>
        <w:rPr>
          <w:rFonts w:cs="Times New Roman"/>
        </w:rPr>
        <w:t>/d，与其他施工废水一并沉淀处理后回用于施工场地洒水降尘；厕所为建设单位自建的临时环保旱厕，临时环保旱厕粪便由周边村民定期清掏作为农家肥使用。</w:t>
      </w:r>
    </w:p>
    <w:p>
      <w:pPr>
        <w:ind w:firstLine="480"/>
        <w:rPr>
          <w:rFonts w:cs="Times New Roman"/>
        </w:rPr>
      </w:pPr>
      <w:r>
        <w:rPr>
          <w:rFonts w:cs="Times New Roman"/>
        </w:rPr>
        <w:t>施工废水排入沉砂池进行预处理，处理后的污废水可用于砼搅拌，砂浆用水等，以及睛天对周围环境的洒水降尘，减少施工场地的粉尘量。</w:t>
      </w:r>
    </w:p>
    <w:p>
      <w:pPr>
        <w:ind w:firstLine="480"/>
        <w:rPr>
          <w:rFonts w:cs="Times New Roman"/>
        </w:rPr>
      </w:pPr>
      <w:r>
        <w:rPr>
          <w:rFonts w:cs="Times New Roman"/>
        </w:rPr>
        <w:t>（2）施工废水</w:t>
      </w:r>
    </w:p>
    <w:p>
      <w:pPr>
        <w:ind w:firstLine="480"/>
        <w:rPr>
          <w:rFonts w:cs="Times New Roman"/>
        </w:rPr>
      </w:pPr>
      <w:r>
        <w:rPr>
          <w:rFonts w:cs="Times New Roman"/>
        </w:rPr>
        <w:t>本项目施工废水主要为混凝土养护污水、机械冲洗用水、场地冲洗用水、各种车辆冲洗水和少量施工机械及车辆在维修过程中产生的含油废水等。施工废水不含有毒物质，含大量泥沙悬浮物，主要污染因子为SS。本项目建设周期共计12个月。废水主要是施工中混凝土的养护、场地冲洗等过程产生，施工废水排放量约5m</w:t>
      </w:r>
      <w:r>
        <w:rPr>
          <w:rFonts w:cs="Times New Roman"/>
          <w:vertAlign w:val="superscript"/>
        </w:rPr>
        <w:t>3</w:t>
      </w:r>
      <w:r>
        <w:rPr>
          <w:rFonts w:cs="Times New Roman"/>
        </w:rPr>
        <w:t>/d，总排放量约为1800m</w:t>
      </w:r>
      <w:r>
        <w:rPr>
          <w:rFonts w:cs="Times New Roman"/>
          <w:vertAlign w:val="superscript"/>
        </w:rPr>
        <w:t>3</w:t>
      </w:r>
      <w:r>
        <w:rPr>
          <w:rFonts w:cs="Times New Roman"/>
        </w:rPr>
        <w:t>。</w:t>
      </w:r>
    </w:p>
    <w:p>
      <w:pPr>
        <w:ind w:firstLine="480"/>
        <w:rPr>
          <w:rFonts w:cs="Times New Roman"/>
        </w:rPr>
      </w:pPr>
      <w:r>
        <w:rPr>
          <w:rFonts w:cs="Times New Roman"/>
        </w:rPr>
        <w:t>项目在施工时设置临时沉淀池，将引入池中的废水进行沉淀处理，大大降低废水中SS 的含量，并全部回用于建筑材料的冲洗和施工场地洒水降尘等，不外排。</w:t>
      </w:r>
    </w:p>
    <w:p>
      <w:pPr>
        <w:ind w:firstLine="482"/>
        <w:rPr>
          <w:rFonts w:cs="Times New Roman"/>
          <w:b/>
        </w:rPr>
      </w:pPr>
      <w:r>
        <w:rPr>
          <w:rFonts w:cs="Times New Roman"/>
          <w:b/>
        </w:rPr>
        <w:t>3、施工期噪声污染源</w:t>
      </w:r>
    </w:p>
    <w:p>
      <w:pPr>
        <w:ind w:firstLine="480"/>
        <w:rPr>
          <w:rFonts w:cs="Times New Roman"/>
        </w:rPr>
      </w:pPr>
      <w:r>
        <w:rPr>
          <w:rFonts w:cs="Times New Roman"/>
        </w:rPr>
        <w:t>施工期噪声主要来自基础工程施工和结构作业阶段挖掘机、推土机、打桩机、振捣器、电锯、吊车等建筑施工机械噪声和物料运输车辆噪声，设备安装期间电锯、手工钻等设备也会产生噪声造成影响。机械设备振动产生的噪声声压级介于50~84dB（A）之间且随距离的衰减较快，其影响范围较小，因此对于机械振动对周围环境的影响不作具体分析，仅考虑机械噪声的影响。</w:t>
      </w:r>
    </w:p>
    <w:p>
      <w:pPr>
        <w:ind w:firstLine="480"/>
        <w:rPr>
          <w:rFonts w:cs="Times New Roman"/>
        </w:rPr>
      </w:pPr>
      <w:r>
        <w:rPr>
          <w:rFonts w:cs="Times New Roman"/>
        </w:rPr>
        <w:t>根据《环境噪声与振动控制工程技术导则》（HJ2034-2013），项目施工期各阶段各类施工机械噪声源强见表3.3-1，物料运输车辆类型及其声源噪声强度见下表3.3-2。</w:t>
      </w:r>
    </w:p>
    <w:p>
      <w:pPr>
        <w:pStyle w:val="14"/>
        <w:ind w:firstLine="420"/>
        <w:rPr>
          <w:color w:val="auto"/>
        </w:rPr>
      </w:pPr>
      <w:r>
        <w:rPr>
          <w:color w:val="auto"/>
        </w:rPr>
        <w:t>表3.3-1  主要机械噪声源强  单位：dB（A）</w:t>
      </w:r>
    </w:p>
    <w:tbl>
      <w:tblPr>
        <w:tblStyle w:val="4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4"/>
        <w:gridCol w:w="3051"/>
        <w:gridCol w:w="2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784" w:type="dxa"/>
            <w:vAlign w:val="center"/>
          </w:tcPr>
          <w:p>
            <w:pPr>
              <w:spacing w:line="240" w:lineRule="auto"/>
              <w:ind w:firstLine="0" w:firstLineChars="0"/>
              <w:jc w:val="center"/>
              <w:rPr>
                <w:rFonts w:cs="Times New Roman"/>
                <w:b/>
                <w:sz w:val="21"/>
                <w:szCs w:val="18"/>
              </w:rPr>
            </w:pPr>
            <w:r>
              <w:rPr>
                <w:rFonts w:cs="Times New Roman"/>
                <w:b/>
                <w:sz w:val="21"/>
                <w:szCs w:val="18"/>
              </w:rPr>
              <w:t>施工阶段</w:t>
            </w:r>
          </w:p>
        </w:tc>
        <w:tc>
          <w:tcPr>
            <w:tcW w:w="3051" w:type="dxa"/>
            <w:vAlign w:val="center"/>
          </w:tcPr>
          <w:p>
            <w:pPr>
              <w:spacing w:line="240" w:lineRule="auto"/>
              <w:ind w:firstLine="0" w:firstLineChars="0"/>
              <w:jc w:val="center"/>
              <w:rPr>
                <w:rFonts w:cs="Times New Roman"/>
                <w:b/>
                <w:sz w:val="21"/>
                <w:szCs w:val="18"/>
              </w:rPr>
            </w:pPr>
            <w:r>
              <w:rPr>
                <w:rFonts w:cs="Times New Roman"/>
                <w:b/>
                <w:sz w:val="21"/>
                <w:szCs w:val="18"/>
              </w:rPr>
              <w:t>声源</w:t>
            </w:r>
          </w:p>
        </w:tc>
        <w:tc>
          <w:tcPr>
            <w:tcW w:w="2693" w:type="dxa"/>
            <w:vAlign w:val="center"/>
          </w:tcPr>
          <w:p>
            <w:pPr>
              <w:spacing w:line="240" w:lineRule="auto"/>
              <w:ind w:firstLine="0" w:firstLineChars="0"/>
              <w:jc w:val="center"/>
              <w:rPr>
                <w:rFonts w:cs="Times New Roman"/>
                <w:b/>
                <w:sz w:val="21"/>
                <w:szCs w:val="18"/>
              </w:rPr>
            </w:pPr>
            <w:r>
              <w:rPr>
                <w:rFonts w:cs="Times New Roman"/>
                <w:b/>
                <w:sz w:val="21"/>
                <w:szCs w:val="18"/>
              </w:rPr>
              <w:t>5m声源强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784" w:type="dxa"/>
            <w:vMerge w:val="restart"/>
            <w:vAlign w:val="center"/>
          </w:tcPr>
          <w:p>
            <w:pPr>
              <w:spacing w:line="240" w:lineRule="auto"/>
              <w:ind w:firstLine="0" w:firstLineChars="0"/>
              <w:jc w:val="center"/>
              <w:rPr>
                <w:rFonts w:cs="Times New Roman"/>
                <w:sz w:val="21"/>
                <w:szCs w:val="18"/>
              </w:rPr>
            </w:pPr>
            <w:r>
              <w:rPr>
                <w:rFonts w:cs="Times New Roman"/>
                <w:sz w:val="21"/>
                <w:szCs w:val="18"/>
              </w:rPr>
              <w:t>土石方阶段</w:t>
            </w:r>
          </w:p>
        </w:tc>
        <w:tc>
          <w:tcPr>
            <w:tcW w:w="3051" w:type="dxa"/>
            <w:vAlign w:val="center"/>
          </w:tcPr>
          <w:p>
            <w:pPr>
              <w:spacing w:line="240" w:lineRule="auto"/>
              <w:ind w:firstLine="0" w:firstLineChars="0"/>
              <w:jc w:val="center"/>
              <w:rPr>
                <w:rFonts w:cs="Times New Roman"/>
                <w:sz w:val="21"/>
                <w:szCs w:val="18"/>
              </w:rPr>
            </w:pPr>
            <w:r>
              <w:rPr>
                <w:rFonts w:cs="Times New Roman"/>
                <w:sz w:val="21"/>
                <w:szCs w:val="18"/>
              </w:rPr>
              <w:t>推土机</w:t>
            </w:r>
          </w:p>
        </w:tc>
        <w:tc>
          <w:tcPr>
            <w:tcW w:w="2693" w:type="dxa"/>
            <w:vAlign w:val="center"/>
          </w:tcPr>
          <w:p>
            <w:pPr>
              <w:spacing w:line="240" w:lineRule="auto"/>
              <w:ind w:firstLine="0" w:firstLineChars="0"/>
              <w:jc w:val="center"/>
              <w:rPr>
                <w:rFonts w:cs="Times New Roman"/>
                <w:sz w:val="21"/>
                <w:szCs w:val="18"/>
              </w:rPr>
            </w:pPr>
            <w:r>
              <w:rPr>
                <w:rFonts w:cs="Times New Roman"/>
                <w:sz w:val="21"/>
                <w:szCs w:val="18"/>
              </w:rPr>
              <w:t>90~100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784" w:type="dxa"/>
            <w:vMerge w:val="continue"/>
            <w:vAlign w:val="center"/>
          </w:tcPr>
          <w:p>
            <w:pPr>
              <w:spacing w:line="240" w:lineRule="auto"/>
              <w:ind w:firstLine="0" w:firstLineChars="0"/>
              <w:jc w:val="center"/>
              <w:rPr>
                <w:rFonts w:cs="Times New Roman"/>
                <w:sz w:val="21"/>
                <w:szCs w:val="18"/>
              </w:rPr>
            </w:pPr>
          </w:p>
        </w:tc>
        <w:tc>
          <w:tcPr>
            <w:tcW w:w="3051" w:type="dxa"/>
            <w:vAlign w:val="center"/>
          </w:tcPr>
          <w:p>
            <w:pPr>
              <w:spacing w:line="240" w:lineRule="auto"/>
              <w:ind w:firstLine="0" w:firstLineChars="0"/>
              <w:jc w:val="center"/>
              <w:rPr>
                <w:rFonts w:cs="Times New Roman"/>
                <w:sz w:val="21"/>
                <w:szCs w:val="18"/>
              </w:rPr>
            </w:pPr>
            <w:r>
              <w:rPr>
                <w:rFonts w:cs="Times New Roman"/>
                <w:sz w:val="21"/>
                <w:szCs w:val="18"/>
              </w:rPr>
              <w:t>装载机</w:t>
            </w:r>
          </w:p>
        </w:tc>
        <w:tc>
          <w:tcPr>
            <w:tcW w:w="2693" w:type="dxa"/>
            <w:vAlign w:val="center"/>
          </w:tcPr>
          <w:p>
            <w:pPr>
              <w:spacing w:line="240" w:lineRule="auto"/>
              <w:ind w:firstLine="0" w:firstLineChars="0"/>
              <w:jc w:val="center"/>
              <w:rPr>
                <w:rFonts w:cs="Times New Roman"/>
                <w:sz w:val="21"/>
                <w:szCs w:val="18"/>
              </w:rPr>
            </w:pPr>
            <w:r>
              <w:rPr>
                <w:rFonts w:cs="Times New Roman"/>
                <w:sz w:val="21"/>
                <w:szCs w:val="18"/>
              </w:rPr>
              <w:t>90~100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784" w:type="dxa"/>
            <w:vMerge w:val="continue"/>
            <w:vAlign w:val="center"/>
          </w:tcPr>
          <w:p>
            <w:pPr>
              <w:spacing w:line="240" w:lineRule="auto"/>
              <w:ind w:firstLine="0" w:firstLineChars="0"/>
              <w:jc w:val="center"/>
              <w:rPr>
                <w:rFonts w:cs="Times New Roman"/>
                <w:sz w:val="21"/>
                <w:szCs w:val="18"/>
              </w:rPr>
            </w:pPr>
          </w:p>
        </w:tc>
        <w:tc>
          <w:tcPr>
            <w:tcW w:w="3051" w:type="dxa"/>
            <w:vAlign w:val="center"/>
          </w:tcPr>
          <w:p>
            <w:pPr>
              <w:spacing w:line="240" w:lineRule="auto"/>
              <w:ind w:firstLine="0" w:firstLineChars="0"/>
              <w:jc w:val="center"/>
              <w:rPr>
                <w:rFonts w:cs="Times New Roman"/>
                <w:sz w:val="21"/>
                <w:szCs w:val="18"/>
              </w:rPr>
            </w:pPr>
            <w:r>
              <w:rPr>
                <w:rFonts w:cs="Times New Roman"/>
                <w:sz w:val="21"/>
                <w:szCs w:val="18"/>
              </w:rPr>
              <w:t>挖掘机</w:t>
            </w:r>
          </w:p>
        </w:tc>
        <w:tc>
          <w:tcPr>
            <w:tcW w:w="2693" w:type="dxa"/>
            <w:vAlign w:val="center"/>
          </w:tcPr>
          <w:p>
            <w:pPr>
              <w:spacing w:line="240" w:lineRule="auto"/>
              <w:ind w:firstLine="0" w:firstLineChars="0"/>
              <w:jc w:val="center"/>
              <w:rPr>
                <w:rFonts w:cs="Times New Roman"/>
                <w:sz w:val="21"/>
                <w:szCs w:val="18"/>
              </w:rPr>
            </w:pPr>
            <w:r>
              <w:rPr>
                <w:rFonts w:cs="Times New Roman"/>
                <w:sz w:val="21"/>
                <w:szCs w:val="18"/>
              </w:rPr>
              <w:t>90~95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784" w:type="dxa"/>
            <w:vMerge w:val="restart"/>
            <w:vAlign w:val="center"/>
          </w:tcPr>
          <w:p>
            <w:pPr>
              <w:spacing w:line="240" w:lineRule="auto"/>
              <w:ind w:firstLine="0" w:firstLineChars="0"/>
              <w:jc w:val="center"/>
              <w:rPr>
                <w:rFonts w:cs="Times New Roman"/>
                <w:sz w:val="21"/>
                <w:szCs w:val="18"/>
              </w:rPr>
            </w:pPr>
            <w:r>
              <w:rPr>
                <w:rFonts w:cs="Times New Roman"/>
                <w:sz w:val="21"/>
                <w:szCs w:val="18"/>
              </w:rPr>
              <w:t>基础施工阶段</w:t>
            </w:r>
          </w:p>
        </w:tc>
        <w:tc>
          <w:tcPr>
            <w:tcW w:w="3051" w:type="dxa"/>
            <w:vAlign w:val="center"/>
          </w:tcPr>
          <w:p>
            <w:pPr>
              <w:spacing w:line="240" w:lineRule="auto"/>
              <w:ind w:firstLine="0" w:firstLineChars="0"/>
              <w:jc w:val="center"/>
              <w:rPr>
                <w:rFonts w:cs="Times New Roman"/>
                <w:sz w:val="21"/>
                <w:szCs w:val="18"/>
              </w:rPr>
            </w:pPr>
            <w:r>
              <w:rPr>
                <w:rFonts w:cs="Times New Roman"/>
                <w:sz w:val="21"/>
                <w:szCs w:val="18"/>
              </w:rPr>
              <w:t>静压式打桩机</w:t>
            </w:r>
          </w:p>
        </w:tc>
        <w:tc>
          <w:tcPr>
            <w:tcW w:w="2693" w:type="dxa"/>
            <w:vAlign w:val="center"/>
          </w:tcPr>
          <w:p>
            <w:pPr>
              <w:spacing w:line="240" w:lineRule="auto"/>
              <w:ind w:firstLine="0" w:firstLineChars="0"/>
              <w:jc w:val="center"/>
              <w:rPr>
                <w:rFonts w:cs="Times New Roman"/>
                <w:sz w:val="21"/>
                <w:szCs w:val="18"/>
              </w:rPr>
            </w:pPr>
            <w:r>
              <w:rPr>
                <w:rFonts w:cs="Times New Roman"/>
                <w:sz w:val="21"/>
                <w:szCs w:val="18"/>
              </w:rPr>
              <w:t>90~100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784" w:type="dxa"/>
            <w:vMerge w:val="continue"/>
            <w:vAlign w:val="center"/>
          </w:tcPr>
          <w:p>
            <w:pPr>
              <w:spacing w:line="240" w:lineRule="auto"/>
              <w:ind w:firstLine="0" w:firstLineChars="0"/>
              <w:jc w:val="center"/>
              <w:rPr>
                <w:rFonts w:cs="Times New Roman"/>
                <w:sz w:val="21"/>
                <w:szCs w:val="18"/>
              </w:rPr>
            </w:pPr>
          </w:p>
        </w:tc>
        <w:tc>
          <w:tcPr>
            <w:tcW w:w="3051" w:type="dxa"/>
            <w:vAlign w:val="center"/>
          </w:tcPr>
          <w:p>
            <w:pPr>
              <w:spacing w:line="240" w:lineRule="auto"/>
              <w:ind w:firstLine="0" w:firstLineChars="0"/>
              <w:jc w:val="center"/>
              <w:rPr>
                <w:rFonts w:cs="Times New Roman"/>
                <w:sz w:val="21"/>
                <w:szCs w:val="18"/>
              </w:rPr>
            </w:pPr>
            <w:r>
              <w:rPr>
                <w:rFonts w:cs="Times New Roman"/>
                <w:sz w:val="21"/>
                <w:szCs w:val="18"/>
              </w:rPr>
              <w:t>钻孔式灌注桩机</w:t>
            </w:r>
          </w:p>
        </w:tc>
        <w:tc>
          <w:tcPr>
            <w:tcW w:w="2693" w:type="dxa"/>
            <w:vAlign w:val="center"/>
          </w:tcPr>
          <w:p>
            <w:pPr>
              <w:spacing w:line="240" w:lineRule="auto"/>
              <w:ind w:firstLine="0" w:firstLineChars="0"/>
              <w:jc w:val="center"/>
              <w:rPr>
                <w:rFonts w:cs="Times New Roman"/>
                <w:sz w:val="21"/>
                <w:szCs w:val="18"/>
              </w:rPr>
            </w:pPr>
            <w:r>
              <w:rPr>
                <w:rFonts w:cs="Times New Roman"/>
                <w:sz w:val="21"/>
                <w:szCs w:val="18"/>
              </w:rPr>
              <w:t>90~100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784" w:type="dxa"/>
            <w:vMerge w:val="continue"/>
            <w:vAlign w:val="center"/>
          </w:tcPr>
          <w:p>
            <w:pPr>
              <w:spacing w:line="240" w:lineRule="auto"/>
              <w:ind w:firstLine="0" w:firstLineChars="0"/>
              <w:jc w:val="center"/>
              <w:rPr>
                <w:rFonts w:cs="Times New Roman"/>
                <w:sz w:val="21"/>
                <w:szCs w:val="18"/>
              </w:rPr>
            </w:pPr>
          </w:p>
        </w:tc>
        <w:tc>
          <w:tcPr>
            <w:tcW w:w="3051" w:type="dxa"/>
            <w:vAlign w:val="center"/>
          </w:tcPr>
          <w:p>
            <w:pPr>
              <w:spacing w:line="240" w:lineRule="auto"/>
              <w:ind w:firstLine="0" w:firstLineChars="0"/>
              <w:jc w:val="center"/>
              <w:rPr>
                <w:rFonts w:cs="Times New Roman"/>
                <w:sz w:val="21"/>
                <w:szCs w:val="18"/>
              </w:rPr>
            </w:pPr>
            <w:r>
              <w:rPr>
                <w:rFonts w:cs="Times New Roman"/>
                <w:sz w:val="21"/>
                <w:szCs w:val="18"/>
              </w:rPr>
              <w:t>空压机</w:t>
            </w:r>
          </w:p>
        </w:tc>
        <w:tc>
          <w:tcPr>
            <w:tcW w:w="2693" w:type="dxa"/>
            <w:vAlign w:val="center"/>
          </w:tcPr>
          <w:p>
            <w:pPr>
              <w:spacing w:line="240" w:lineRule="auto"/>
              <w:ind w:firstLine="0" w:firstLineChars="0"/>
              <w:jc w:val="center"/>
              <w:rPr>
                <w:rFonts w:cs="Times New Roman"/>
                <w:sz w:val="21"/>
                <w:szCs w:val="18"/>
              </w:rPr>
            </w:pPr>
            <w:r>
              <w:rPr>
                <w:rFonts w:cs="Times New Roman"/>
                <w:sz w:val="21"/>
                <w:szCs w:val="18"/>
              </w:rPr>
              <w:t>88~92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jc w:val="center"/>
        </w:trPr>
        <w:tc>
          <w:tcPr>
            <w:tcW w:w="2784" w:type="dxa"/>
            <w:vMerge w:val="restart"/>
            <w:vAlign w:val="center"/>
          </w:tcPr>
          <w:p>
            <w:pPr>
              <w:spacing w:line="240" w:lineRule="auto"/>
              <w:ind w:firstLine="0" w:firstLineChars="0"/>
              <w:jc w:val="center"/>
              <w:rPr>
                <w:rFonts w:cs="Times New Roman"/>
                <w:sz w:val="21"/>
                <w:szCs w:val="18"/>
              </w:rPr>
            </w:pPr>
            <w:r>
              <w:rPr>
                <w:rFonts w:cs="Times New Roman"/>
                <w:sz w:val="21"/>
                <w:szCs w:val="18"/>
              </w:rPr>
              <w:t>结构阶段</w:t>
            </w:r>
          </w:p>
        </w:tc>
        <w:tc>
          <w:tcPr>
            <w:tcW w:w="3051" w:type="dxa"/>
            <w:vAlign w:val="center"/>
          </w:tcPr>
          <w:p>
            <w:pPr>
              <w:spacing w:line="240" w:lineRule="auto"/>
              <w:ind w:firstLine="0" w:firstLineChars="0"/>
              <w:jc w:val="center"/>
              <w:rPr>
                <w:rFonts w:cs="Times New Roman"/>
                <w:sz w:val="21"/>
                <w:szCs w:val="18"/>
              </w:rPr>
            </w:pPr>
            <w:r>
              <w:rPr>
                <w:rFonts w:cs="Times New Roman"/>
                <w:sz w:val="21"/>
                <w:szCs w:val="18"/>
              </w:rPr>
              <w:t>吊车</w:t>
            </w:r>
          </w:p>
        </w:tc>
        <w:tc>
          <w:tcPr>
            <w:tcW w:w="2693" w:type="dxa"/>
            <w:vAlign w:val="center"/>
          </w:tcPr>
          <w:p>
            <w:pPr>
              <w:spacing w:line="240" w:lineRule="auto"/>
              <w:ind w:firstLine="0" w:firstLineChars="0"/>
              <w:jc w:val="center"/>
              <w:rPr>
                <w:rFonts w:cs="Times New Roman"/>
                <w:sz w:val="21"/>
                <w:szCs w:val="18"/>
              </w:rPr>
            </w:pPr>
            <w:r>
              <w:rPr>
                <w:rFonts w:cs="Times New Roman"/>
                <w:sz w:val="21"/>
                <w:szCs w:val="18"/>
              </w:rPr>
              <w:t>90~105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784" w:type="dxa"/>
            <w:vMerge w:val="continue"/>
            <w:vAlign w:val="center"/>
          </w:tcPr>
          <w:p>
            <w:pPr>
              <w:spacing w:line="240" w:lineRule="auto"/>
              <w:ind w:firstLine="0" w:firstLineChars="0"/>
              <w:jc w:val="center"/>
              <w:rPr>
                <w:rFonts w:cs="Times New Roman"/>
                <w:sz w:val="21"/>
                <w:szCs w:val="18"/>
              </w:rPr>
            </w:pPr>
          </w:p>
        </w:tc>
        <w:tc>
          <w:tcPr>
            <w:tcW w:w="3051" w:type="dxa"/>
            <w:vAlign w:val="center"/>
          </w:tcPr>
          <w:p>
            <w:pPr>
              <w:spacing w:line="240" w:lineRule="auto"/>
              <w:ind w:firstLine="0" w:firstLineChars="0"/>
              <w:jc w:val="center"/>
              <w:rPr>
                <w:rFonts w:cs="Times New Roman"/>
                <w:sz w:val="21"/>
                <w:szCs w:val="18"/>
              </w:rPr>
            </w:pPr>
            <w:r>
              <w:rPr>
                <w:rFonts w:cs="Times New Roman"/>
                <w:sz w:val="21"/>
                <w:szCs w:val="18"/>
              </w:rPr>
              <w:t>振捣棒</w:t>
            </w:r>
          </w:p>
        </w:tc>
        <w:tc>
          <w:tcPr>
            <w:tcW w:w="2693" w:type="dxa"/>
            <w:vAlign w:val="center"/>
          </w:tcPr>
          <w:p>
            <w:pPr>
              <w:spacing w:line="240" w:lineRule="auto"/>
              <w:ind w:firstLine="0" w:firstLineChars="0"/>
              <w:jc w:val="center"/>
              <w:rPr>
                <w:rFonts w:cs="Times New Roman"/>
                <w:sz w:val="21"/>
                <w:szCs w:val="18"/>
              </w:rPr>
            </w:pPr>
            <w:r>
              <w:rPr>
                <w:rFonts w:cs="Times New Roman"/>
                <w:sz w:val="21"/>
                <w:szCs w:val="18"/>
              </w:rPr>
              <w:t>55~84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jc w:val="center"/>
        </w:trPr>
        <w:tc>
          <w:tcPr>
            <w:tcW w:w="2784" w:type="dxa"/>
            <w:vMerge w:val="restart"/>
            <w:vAlign w:val="center"/>
          </w:tcPr>
          <w:p>
            <w:pPr>
              <w:spacing w:line="240" w:lineRule="auto"/>
              <w:ind w:firstLine="0" w:firstLineChars="0"/>
              <w:jc w:val="center"/>
              <w:rPr>
                <w:rFonts w:cs="Times New Roman"/>
                <w:sz w:val="21"/>
                <w:szCs w:val="18"/>
              </w:rPr>
            </w:pPr>
            <w:r>
              <w:rPr>
                <w:rFonts w:cs="Times New Roman"/>
                <w:sz w:val="21"/>
                <w:szCs w:val="18"/>
              </w:rPr>
              <w:t>装修阶段</w:t>
            </w:r>
          </w:p>
        </w:tc>
        <w:tc>
          <w:tcPr>
            <w:tcW w:w="3051" w:type="dxa"/>
            <w:vAlign w:val="center"/>
          </w:tcPr>
          <w:p>
            <w:pPr>
              <w:spacing w:line="240" w:lineRule="auto"/>
              <w:ind w:firstLine="0" w:firstLineChars="0"/>
              <w:jc w:val="center"/>
              <w:rPr>
                <w:rFonts w:cs="Times New Roman"/>
                <w:sz w:val="21"/>
                <w:szCs w:val="18"/>
              </w:rPr>
            </w:pPr>
            <w:r>
              <w:rPr>
                <w:rFonts w:cs="Times New Roman"/>
                <w:sz w:val="21"/>
                <w:szCs w:val="18"/>
              </w:rPr>
              <w:t>电锯</w:t>
            </w:r>
          </w:p>
        </w:tc>
        <w:tc>
          <w:tcPr>
            <w:tcW w:w="2693" w:type="dxa"/>
            <w:vAlign w:val="center"/>
          </w:tcPr>
          <w:p>
            <w:pPr>
              <w:spacing w:line="240" w:lineRule="auto"/>
              <w:ind w:firstLine="0" w:firstLineChars="0"/>
              <w:jc w:val="center"/>
              <w:rPr>
                <w:rFonts w:cs="Times New Roman"/>
                <w:sz w:val="21"/>
                <w:szCs w:val="18"/>
              </w:rPr>
            </w:pPr>
            <w:r>
              <w:rPr>
                <w:rFonts w:cs="Times New Roman"/>
                <w:sz w:val="21"/>
                <w:szCs w:val="18"/>
              </w:rPr>
              <w:t>100~105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jc w:val="center"/>
        </w:trPr>
        <w:tc>
          <w:tcPr>
            <w:tcW w:w="2784" w:type="dxa"/>
            <w:vMerge w:val="continue"/>
            <w:vAlign w:val="center"/>
          </w:tcPr>
          <w:p>
            <w:pPr>
              <w:spacing w:line="240" w:lineRule="auto"/>
              <w:ind w:firstLine="0" w:firstLineChars="0"/>
              <w:jc w:val="center"/>
              <w:rPr>
                <w:rFonts w:cs="Times New Roman"/>
                <w:sz w:val="21"/>
                <w:szCs w:val="18"/>
              </w:rPr>
            </w:pPr>
          </w:p>
        </w:tc>
        <w:tc>
          <w:tcPr>
            <w:tcW w:w="3051" w:type="dxa"/>
            <w:vAlign w:val="center"/>
          </w:tcPr>
          <w:p>
            <w:pPr>
              <w:spacing w:line="240" w:lineRule="auto"/>
              <w:ind w:firstLine="0" w:firstLineChars="0"/>
              <w:jc w:val="center"/>
              <w:rPr>
                <w:rFonts w:cs="Times New Roman"/>
                <w:bCs/>
                <w:sz w:val="21"/>
                <w:szCs w:val="18"/>
              </w:rPr>
            </w:pPr>
            <w:r>
              <w:rPr>
                <w:rFonts w:cs="Times New Roman"/>
                <w:bCs/>
                <w:sz w:val="21"/>
                <w:szCs w:val="18"/>
              </w:rPr>
              <w:t>无齿锯</w:t>
            </w:r>
          </w:p>
        </w:tc>
        <w:tc>
          <w:tcPr>
            <w:tcW w:w="2693" w:type="dxa"/>
            <w:vAlign w:val="center"/>
          </w:tcPr>
          <w:p>
            <w:pPr>
              <w:spacing w:line="240" w:lineRule="auto"/>
              <w:ind w:firstLine="0" w:firstLineChars="0"/>
              <w:jc w:val="center"/>
              <w:rPr>
                <w:rFonts w:cs="Times New Roman"/>
                <w:sz w:val="21"/>
                <w:szCs w:val="18"/>
              </w:rPr>
            </w:pPr>
            <w:r>
              <w:rPr>
                <w:rFonts w:cs="Times New Roman"/>
                <w:sz w:val="21"/>
                <w:szCs w:val="18"/>
              </w:rPr>
              <w:t>95~105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784" w:type="dxa"/>
            <w:vMerge w:val="continue"/>
            <w:vAlign w:val="center"/>
          </w:tcPr>
          <w:p>
            <w:pPr>
              <w:spacing w:line="240" w:lineRule="auto"/>
              <w:ind w:firstLine="0" w:firstLineChars="0"/>
              <w:jc w:val="center"/>
              <w:rPr>
                <w:rFonts w:cs="Times New Roman"/>
                <w:sz w:val="21"/>
                <w:szCs w:val="18"/>
              </w:rPr>
            </w:pPr>
          </w:p>
        </w:tc>
        <w:tc>
          <w:tcPr>
            <w:tcW w:w="3051" w:type="dxa"/>
            <w:vAlign w:val="center"/>
          </w:tcPr>
          <w:p>
            <w:pPr>
              <w:spacing w:line="240" w:lineRule="auto"/>
              <w:ind w:firstLine="0" w:firstLineChars="0"/>
              <w:jc w:val="center"/>
              <w:rPr>
                <w:rFonts w:cs="Times New Roman"/>
                <w:bCs/>
                <w:sz w:val="21"/>
                <w:szCs w:val="18"/>
              </w:rPr>
            </w:pPr>
            <w:r>
              <w:rPr>
                <w:rFonts w:cs="Times New Roman"/>
                <w:bCs/>
                <w:sz w:val="21"/>
                <w:szCs w:val="18"/>
              </w:rPr>
              <w:t>手工钻</w:t>
            </w:r>
          </w:p>
        </w:tc>
        <w:tc>
          <w:tcPr>
            <w:tcW w:w="2693" w:type="dxa"/>
            <w:vAlign w:val="center"/>
          </w:tcPr>
          <w:p>
            <w:pPr>
              <w:spacing w:line="240" w:lineRule="auto"/>
              <w:ind w:firstLine="0" w:firstLineChars="0"/>
              <w:jc w:val="center"/>
              <w:rPr>
                <w:rFonts w:cs="Times New Roman"/>
                <w:sz w:val="21"/>
                <w:szCs w:val="18"/>
              </w:rPr>
            </w:pPr>
            <w:r>
              <w:rPr>
                <w:rFonts w:cs="Times New Roman"/>
                <w:sz w:val="21"/>
                <w:szCs w:val="18"/>
              </w:rPr>
              <w:t>100~105</w:t>
            </w:r>
          </w:p>
        </w:tc>
      </w:tr>
    </w:tbl>
    <w:p>
      <w:pPr>
        <w:pStyle w:val="14"/>
        <w:spacing w:before="163" w:beforeLines="50"/>
        <w:ind w:firstLine="420"/>
        <w:rPr>
          <w:color w:val="auto"/>
        </w:rPr>
      </w:pPr>
      <w:bookmarkStart w:id="87" w:name="_Toc16459"/>
      <w:bookmarkStart w:id="88" w:name="_Toc428345949"/>
      <w:bookmarkStart w:id="89" w:name="_Toc413664720"/>
      <w:bookmarkStart w:id="90" w:name="_Toc397604498"/>
      <w:bookmarkStart w:id="91" w:name="_Toc425169927"/>
      <w:r>
        <w:rPr>
          <w:color w:val="auto"/>
        </w:rPr>
        <w:t>表3.3-2  交通运输车辆噪声  单位：dB（A）</w:t>
      </w:r>
    </w:p>
    <w:tbl>
      <w:tblPr>
        <w:tblStyle w:val="4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6"/>
        <w:gridCol w:w="2528"/>
        <w:gridCol w:w="2127"/>
        <w:gridCol w:w="1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16" w:type="dxa"/>
            <w:vAlign w:val="center"/>
          </w:tcPr>
          <w:p>
            <w:pPr>
              <w:spacing w:line="240" w:lineRule="auto"/>
              <w:ind w:firstLine="0" w:firstLineChars="0"/>
              <w:jc w:val="center"/>
              <w:rPr>
                <w:rFonts w:cs="Times New Roman"/>
                <w:b/>
                <w:sz w:val="21"/>
                <w:szCs w:val="18"/>
              </w:rPr>
            </w:pPr>
            <w:r>
              <w:rPr>
                <w:rFonts w:cs="Times New Roman"/>
                <w:b/>
                <w:sz w:val="21"/>
                <w:szCs w:val="18"/>
              </w:rPr>
              <w:t>施工阶段</w:t>
            </w:r>
          </w:p>
        </w:tc>
        <w:tc>
          <w:tcPr>
            <w:tcW w:w="2528" w:type="dxa"/>
            <w:vAlign w:val="center"/>
          </w:tcPr>
          <w:p>
            <w:pPr>
              <w:spacing w:line="240" w:lineRule="auto"/>
              <w:ind w:firstLine="0" w:firstLineChars="0"/>
              <w:jc w:val="center"/>
              <w:rPr>
                <w:rFonts w:cs="Times New Roman"/>
                <w:b/>
                <w:sz w:val="21"/>
                <w:szCs w:val="18"/>
              </w:rPr>
            </w:pPr>
            <w:r>
              <w:rPr>
                <w:rFonts w:cs="Times New Roman"/>
                <w:b/>
                <w:sz w:val="21"/>
                <w:szCs w:val="18"/>
              </w:rPr>
              <w:t>运输内容</w:t>
            </w:r>
          </w:p>
        </w:tc>
        <w:tc>
          <w:tcPr>
            <w:tcW w:w="2127" w:type="dxa"/>
            <w:vAlign w:val="center"/>
          </w:tcPr>
          <w:p>
            <w:pPr>
              <w:spacing w:line="240" w:lineRule="auto"/>
              <w:ind w:firstLine="0" w:firstLineChars="0"/>
              <w:jc w:val="center"/>
              <w:rPr>
                <w:rFonts w:cs="Times New Roman"/>
                <w:b/>
                <w:sz w:val="21"/>
                <w:szCs w:val="18"/>
              </w:rPr>
            </w:pPr>
            <w:r>
              <w:rPr>
                <w:rFonts w:cs="Times New Roman"/>
                <w:b/>
                <w:sz w:val="21"/>
                <w:szCs w:val="18"/>
              </w:rPr>
              <w:t>车辆类型</w:t>
            </w:r>
          </w:p>
        </w:tc>
        <w:tc>
          <w:tcPr>
            <w:tcW w:w="1757" w:type="dxa"/>
            <w:vAlign w:val="center"/>
          </w:tcPr>
          <w:p>
            <w:pPr>
              <w:spacing w:line="240" w:lineRule="auto"/>
              <w:ind w:firstLine="0" w:firstLineChars="0"/>
              <w:jc w:val="center"/>
              <w:rPr>
                <w:rFonts w:cs="Times New Roman"/>
                <w:b/>
                <w:sz w:val="21"/>
                <w:szCs w:val="18"/>
              </w:rPr>
            </w:pPr>
            <w:r>
              <w:rPr>
                <w:rFonts w:cs="Times New Roman"/>
                <w:b/>
                <w:sz w:val="21"/>
                <w:szCs w:val="18"/>
              </w:rPr>
              <w:t>声源强度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16" w:type="dxa"/>
            <w:vAlign w:val="center"/>
          </w:tcPr>
          <w:p>
            <w:pPr>
              <w:spacing w:line="240" w:lineRule="auto"/>
              <w:ind w:firstLine="0" w:firstLineChars="0"/>
              <w:jc w:val="center"/>
              <w:rPr>
                <w:rFonts w:cs="Times New Roman"/>
                <w:sz w:val="21"/>
                <w:szCs w:val="18"/>
              </w:rPr>
            </w:pPr>
            <w:r>
              <w:rPr>
                <w:rFonts w:cs="Times New Roman"/>
                <w:sz w:val="21"/>
                <w:szCs w:val="18"/>
              </w:rPr>
              <w:t>土石方阶段</w:t>
            </w:r>
          </w:p>
        </w:tc>
        <w:tc>
          <w:tcPr>
            <w:tcW w:w="2528" w:type="dxa"/>
            <w:vAlign w:val="center"/>
          </w:tcPr>
          <w:p>
            <w:pPr>
              <w:spacing w:line="240" w:lineRule="auto"/>
              <w:ind w:firstLine="0" w:firstLineChars="0"/>
              <w:jc w:val="center"/>
              <w:rPr>
                <w:rFonts w:cs="Times New Roman"/>
                <w:sz w:val="21"/>
                <w:szCs w:val="18"/>
              </w:rPr>
            </w:pPr>
            <w:r>
              <w:rPr>
                <w:rFonts w:cs="Times New Roman"/>
                <w:sz w:val="21"/>
                <w:szCs w:val="18"/>
              </w:rPr>
              <w:t>土方外运</w:t>
            </w:r>
          </w:p>
        </w:tc>
        <w:tc>
          <w:tcPr>
            <w:tcW w:w="2127" w:type="dxa"/>
            <w:vAlign w:val="center"/>
          </w:tcPr>
          <w:p>
            <w:pPr>
              <w:spacing w:line="240" w:lineRule="auto"/>
              <w:ind w:firstLine="0" w:firstLineChars="0"/>
              <w:jc w:val="center"/>
              <w:rPr>
                <w:rFonts w:cs="Times New Roman"/>
                <w:sz w:val="21"/>
                <w:szCs w:val="18"/>
              </w:rPr>
            </w:pPr>
            <w:r>
              <w:rPr>
                <w:rFonts w:cs="Times New Roman"/>
                <w:sz w:val="21"/>
                <w:szCs w:val="18"/>
              </w:rPr>
              <w:t>大型载重车</w:t>
            </w:r>
          </w:p>
        </w:tc>
        <w:tc>
          <w:tcPr>
            <w:tcW w:w="1757" w:type="dxa"/>
            <w:vAlign w:val="center"/>
          </w:tcPr>
          <w:p>
            <w:pPr>
              <w:spacing w:line="240" w:lineRule="auto"/>
              <w:ind w:firstLine="0" w:firstLineChars="0"/>
              <w:jc w:val="center"/>
              <w:rPr>
                <w:rFonts w:cs="Times New Roman"/>
                <w:sz w:val="21"/>
                <w:szCs w:val="18"/>
              </w:rPr>
            </w:pPr>
            <w:r>
              <w:rPr>
                <w:rFonts w:cs="Times New Roman"/>
                <w:sz w:val="21"/>
                <w:szCs w:val="18"/>
              </w:rPr>
              <w:t>84~90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16" w:type="dxa"/>
            <w:vAlign w:val="center"/>
          </w:tcPr>
          <w:p>
            <w:pPr>
              <w:spacing w:line="240" w:lineRule="auto"/>
              <w:ind w:firstLine="0" w:firstLineChars="0"/>
              <w:jc w:val="center"/>
              <w:rPr>
                <w:rFonts w:cs="Times New Roman"/>
                <w:sz w:val="21"/>
                <w:szCs w:val="18"/>
              </w:rPr>
            </w:pPr>
            <w:r>
              <w:rPr>
                <w:rFonts w:cs="Times New Roman"/>
                <w:sz w:val="21"/>
                <w:szCs w:val="18"/>
              </w:rPr>
              <w:t>结构阶段</w:t>
            </w:r>
          </w:p>
        </w:tc>
        <w:tc>
          <w:tcPr>
            <w:tcW w:w="2528" w:type="dxa"/>
            <w:vAlign w:val="center"/>
          </w:tcPr>
          <w:p>
            <w:pPr>
              <w:spacing w:line="240" w:lineRule="auto"/>
              <w:ind w:firstLine="0" w:firstLineChars="0"/>
              <w:jc w:val="center"/>
              <w:rPr>
                <w:rFonts w:cs="Times New Roman"/>
                <w:sz w:val="21"/>
                <w:szCs w:val="18"/>
              </w:rPr>
            </w:pPr>
            <w:r>
              <w:rPr>
                <w:rFonts w:cs="Times New Roman"/>
                <w:sz w:val="21"/>
                <w:szCs w:val="18"/>
              </w:rPr>
              <w:t>钢筋、商品混凝土</w:t>
            </w:r>
          </w:p>
        </w:tc>
        <w:tc>
          <w:tcPr>
            <w:tcW w:w="2127" w:type="dxa"/>
            <w:vAlign w:val="center"/>
          </w:tcPr>
          <w:p>
            <w:pPr>
              <w:spacing w:line="240" w:lineRule="auto"/>
              <w:ind w:firstLine="0" w:firstLineChars="0"/>
              <w:jc w:val="center"/>
              <w:rPr>
                <w:rFonts w:cs="Times New Roman"/>
                <w:sz w:val="21"/>
                <w:szCs w:val="18"/>
              </w:rPr>
            </w:pPr>
            <w:r>
              <w:rPr>
                <w:rFonts w:cs="Times New Roman"/>
                <w:sz w:val="21"/>
                <w:szCs w:val="18"/>
              </w:rPr>
              <w:t>混凝土罐车、载重车</w:t>
            </w:r>
          </w:p>
        </w:tc>
        <w:tc>
          <w:tcPr>
            <w:tcW w:w="1757" w:type="dxa"/>
            <w:vAlign w:val="center"/>
          </w:tcPr>
          <w:p>
            <w:pPr>
              <w:spacing w:line="240" w:lineRule="auto"/>
              <w:ind w:firstLine="0" w:firstLineChars="0"/>
              <w:jc w:val="center"/>
              <w:rPr>
                <w:rFonts w:cs="Times New Roman"/>
                <w:sz w:val="21"/>
                <w:szCs w:val="18"/>
              </w:rPr>
            </w:pPr>
            <w:r>
              <w:rPr>
                <w:rFonts w:cs="Times New Roman"/>
                <w:sz w:val="21"/>
                <w:szCs w:val="18"/>
              </w:rPr>
              <w:t>85~90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16" w:type="dxa"/>
            <w:vAlign w:val="center"/>
          </w:tcPr>
          <w:p>
            <w:pPr>
              <w:spacing w:line="240" w:lineRule="auto"/>
              <w:ind w:firstLine="0" w:firstLineChars="0"/>
              <w:jc w:val="center"/>
              <w:rPr>
                <w:rFonts w:cs="Times New Roman"/>
                <w:sz w:val="21"/>
                <w:szCs w:val="18"/>
              </w:rPr>
            </w:pPr>
            <w:r>
              <w:rPr>
                <w:rFonts w:cs="Times New Roman"/>
                <w:sz w:val="21"/>
                <w:szCs w:val="18"/>
              </w:rPr>
              <w:t>设备安装阶段</w:t>
            </w:r>
          </w:p>
        </w:tc>
        <w:tc>
          <w:tcPr>
            <w:tcW w:w="2528" w:type="dxa"/>
            <w:vAlign w:val="center"/>
          </w:tcPr>
          <w:p>
            <w:pPr>
              <w:spacing w:line="240" w:lineRule="auto"/>
              <w:ind w:firstLine="0" w:firstLineChars="0"/>
              <w:jc w:val="center"/>
              <w:rPr>
                <w:rFonts w:cs="Times New Roman"/>
                <w:sz w:val="21"/>
                <w:szCs w:val="18"/>
              </w:rPr>
            </w:pPr>
            <w:r>
              <w:rPr>
                <w:rFonts w:cs="Times New Roman"/>
                <w:sz w:val="21"/>
                <w:szCs w:val="18"/>
              </w:rPr>
              <w:t>各类设备材料及必备设备</w:t>
            </w:r>
          </w:p>
        </w:tc>
        <w:tc>
          <w:tcPr>
            <w:tcW w:w="2127" w:type="dxa"/>
            <w:vAlign w:val="center"/>
          </w:tcPr>
          <w:p>
            <w:pPr>
              <w:spacing w:line="240" w:lineRule="auto"/>
              <w:ind w:firstLine="0" w:firstLineChars="0"/>
              <w:jc w:val="center"/>
              <w:rPr>
                <w:rFonts w:cs="Times New Roman"/>
                <w:sz w:val="21"/>
                <w:szCs w:val="18"/>
              </w:rPr>
            </w:pPr>
            <w:r>
              <w:rPr>
                <w:rFonts w:cs="Times New Roman"/>
                <w:sz w:val="21"/>
                <w:szCs w:val="18"/>
              </w:rPr>
              <w:t>轻型载重卡车</w:t>
            </w:r>
          </w:p>
        </w:tc>
        <w:tc>
          <w:tcPr>
            <w:tcW w:w="1757" w:type="dxa"/>
            <w:vAlign w:val="center"/>
          </w:tcPr>
          <w:p>
            <w:pPr>
              <w:spacing w:line="240" w:lineRule="auto"/>
              <w:ind w:firstLine="0" w:firstLineChars="0"/>
              <w:jc w:val="center"/>
              <w:rPr>
                <w:rFonts w:cs="Times New Roman"/>
                <w:sz w:val="21"/>
                <w:szCs w:val="18"/>
              </w:rPr>
            </w:pPr>
            <w:r>
              <w:rPr>
                <w:rFonts w:cs="Times New Roman"/>
                <w:sz w:val="21"/>
                <w:szCs w:val="18"/>
              </w:rPr>
              <w:t>75~80</w:t>
            </w:r>
          </w:p>
        </w:tc>
      </w:tr>
    </w:tbl>
    <w:p>
      <w:pPr>
        <w:ind w:firstLine="480"/>
        <w:rPr>
          <w:rFonts w:cs="Times New Roman"/>
        </w:rPr>
      </w:pPr>
      <w:r>
        <w:rPr>
          <w:rFonts w:cs="Times New Roman"/>
        </w:rPr>
        <w:t>一般，施工时现场有多台机械同时作业时的声级会叠加。叠加的幅度随各机械声压级的差别而异。根据以上常用施工机械的噪声声压级范围，多台机械同时作业的声压级叠加值将增加1～5dB（A）。因此，在施工过程中应尽量减少噪声较大机械同时使用的频率，机械安装减振垫，噪声声级较大的机械应设置建筑隔声设施，同时设置施工围挡，减少施工机械噪声对厂界外环境的影响。土建施工期结束后产生的施工噪声影响随之消失。</w:t>
      </w:r>
    </w:p>
    <w:p>
      <w:pPr>
        <w:ind w:firstLine="482"/>
        <w:rPr>
          <w:rFonts w:cs="Times New Roman"/>
          <w:b/>
        </w:rPr>
      </w:pPr>
      <w:r>
        <w:rPr>
          <w:rFonts w:cs="Times New Roman"/>
          <w:b/>
        </w:rPr>
        <w:t>4、施工期固体废弃物</w:t>
      </w:r>
      <w:bookmarkEnd w:id="87"/>
      <w:bookmarkEnd w:id="88"/>
      <w:bookmarkEnd w:id="89"/>
      <w:bookmarkEnd w:id="90"/>
      <w:bookmarkEnd w:id="91"/>
    </w:p>
    <w:p>
      <w:pPr>
        <w:ind w:firstLine="480"/>
        <w:rPr>
          <w:rFonts w:cs="Times New Roman"/>
        </w:rPr>
      </w:pPr>
      <w:r>
        <w:rPr>
          <w:rFonts w:cs="Times New Roman"/>
        </w:rPr>
        <w:t>施工期间产生的固体废物主要包括施工渣土、建筑垃圾和施工人员生活垃圾等。</w:t>
      </w:r>
    </w:p>
    <w:p>
      <w:pPr>
        <w:ind w:firstLine="480"/>
        <w:rPr>
          <w:rFonts w:cs="Times New Roman"/>
        </w:rPr>
      </w:pPr>
      <w:r>
        <w:rPr>
          <w:rFonts w:cs="Times New Roman"/>
        </w:rPr>
        <w:t>（1）</w:t>
      </w:r>
      <w:r>
        <w:rPr>
          <w:rFonts w:cs="Times New Roman"/>
          <w:kern w:val="0"/>
        </w:rPr>
        <w:t>土石方</w:t>
      </w:r>
    </w:p>
    <w:p>
      <w:pPr>
        <w:ind w:firstLine="480"/>
        <w:rPr>
          <w:rFonts w:cs="Times New Roman"/>
          <w:kern w:val="0"/>
        </w:rPr>
      </w:pPr>
      <w:r>
        <w:rPr>
          <w:rFonts w:cs="Times New Roman"/>
          <w:kern w:val="0"/>
        </w:rPr>
        <w:t>施工场地各种构、建筑物的修建和挖填会产生一定量的废石土方及建筑垃圾，在施工中应因地制宜合理利用此部分废土石及建筑垃圾，用作回填土、绿化覆土及修筑路基材料等，避免任意堆放。</w:t>
      </w:r>
    </w:p>
    <w:p>
      <w:pPr>
        <w:ind w:firstLine="480"/>
        <w:rPr>
          <w:rFonts w:cs="Times New Roman"/>
          <w:kern w:val="0"/>
        </w:rPr>
      </w:pPr>
      <w:r>
        <w:rPr>
          <w:rFonts w:cs="Times New Roman"/>
          <w:kern w:val="0"/>
        </w:rPr>
        <w:t>本工程土石方开挖总量582.3万m</w:t>
      </w:r>
      <w:r>
        <w:rPr>
          <w:rFonts w:cs="Times New Roman"/>
          <w:kern w:val="0"/>
          <w:vertAlign w:val="superscript"/>
        </w:rPr>
        <w:t>3</w:t>
      </w:r>
      <w:r>
        <w:rPr>
          <w:rFonts w:cs="Times New Roman"/>
          <w:kern w:val="0"/>
        </w:rPr>
        <w:t>，场地平整回填总量需896.7万m</w:t>
      </w:r>
      <w:r>
        <w:rPr>
          <w:rFonts w:cs="Times New Roman"/>
          <w:kern w:val="0"/>
          <w:vertAlign w:val="superscript"/>
        </w:rPr>
        <w:t>3</w:t>
      </w:r>
      <w:r>
        <w:rPr>
          <w:rFonts w:cs="Times New Roman"/>
          <w:kern w:val="0"/>
        </w:rPr>
        <w:t>，则外调土石方量为314.4万m</w:t>
      </w:r>
      <w:r>
        <w:rPr>
          <w:rFonts w:cs="Times New Roman"/>
          <w:kern w:val="0"/>
          <w:vertAlign w:val="superscript"/>
        </w:rPr>
        <w:t>3</w:t>
      </w:r>
      <w:r>
        <w:rPr>
          <w:rFonts w:cs="Times New Roman"/>
          <w:kern w:val="0"/>
        </w:rPr>
        <w:t>。各施工项目开挖土石方平衡见表3.3-3。</w:t>
      </w:r>
    </w:p>
    <w:p>
      <w:pPr>
        <w:pStyle w:val="14"/>
        <w:spacing w:line="360" w:lineRule="auto"/>
        <w:rPr>
          <w:color w:val="auto"/>
          <w:sz w:val="32"/>
          <w:szCs w:val="24"/>
        </w:rPr>
      </w:pPr>
      <w:r>
        <w:rPr>
          <w:color w:val="auto"/>
          <w:szCs w:val="24"/>
        </w:rPr>
        <w:t>表3.3-3  建设期土石方平衡及流向表  单位</w:t>
      </w:r>
      <w:r>
        <w:rPr>
          <w:bCs/>
          <w:color w:val="auto"/>
          <w:szCs w:val="24"/>
        </w:rPr>
        <w:t>(</w:t>
      </w:r>
      <w:r>
        <w:rPr>
          <w:color w:val="auto"/>
          <w:szCs w:val="24"/>
        </w:rPr>
        <w:t>自然方</w:t>
      </w:r>
      <w:r>
        <w:rPr>
          <w:bCs/>
          <w:color w:val="auto"/>
          <w:szCs w:val="24"/>
        </w:rPr>
        <w:t>)</w:t>
      </w:r>
      <w:r>
        <w:rPr>
          <w:color w:val="auto"/>
          <w:szCs w:val="24"/>
        </w:rPr>
        <w:t>：万</w:t>
      </w:r>
      <w:r>
        <w:rPr>
          <w:bCs/>
          <w:color w:val="auto"/>
          <w:szCs w:val="24"/>
        </w:rPr>
        <w:t>m</w:t>
      </w:r>
      <w:r>
        <w:rPr>
          <w:bCs/>
          <w:color w:val="auto"/>
          <w:szCs w:val="24"/>
          <w:vertAlign w:val="superscript"/>
        </w:rPr>
        <w:t>3</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3"/>
        <w:gridCol w:w="2131"/>
        <w:gridCol w:w="2131"/>
        <w:gridCol w:w="2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2" w:type="pct"/>
            <w:vAlign w:val="center"/>
          </w:tcPr>
          <w:p>
            <w:pPr>
              <w:spacing w:line="240" w:lineRule="auto"/>
              <w:ind w:firstLine="0" w:firstLineChars="0"/>
              <w:jc w:val="center"/>
              <w:rPr>
                <w:rFonts w:cs="Times New Roman"/>
                <w:b/>
                <w:sz w:val="21"/>
                <w:szCs w:val="18"/>
              </w:rPr>
            </w:pPr>
            <w:r>
              <w:rPr>
                <w:rFonts w:cs="Times New Roman"/>
                <w:b/>
                <w:sz w:val="21"/>
                <w:szCs w:val="18"/>
              </w:rPr>
              <w:t>挖方</w:t>
            </w:r>
          </w:p>
        </w:tc>
        <w:tc>
          <w:tcPr>
            <w:tcW w:w="1250" w:type="pct"/>
            <w:vAlign w:val="center"/>
          </w:tcPr>
          <w:p>
            <w:pPr>
              <w:spacing w:line="240" w:lineRule="auto"/>
              <w:ind w:firstLine="0" w:firstLineChars="0"/>
              <w:jc w:val="center"/>
              <w:rPr>
                <w:rFonts w:cs="Times New Roman"/>
                <w:b/>
                <w:sz w:val="21"/>
                <w:szCs w:val="18"/>
              </w:rPr>
            </w:pPr>
            <w:r>
              <w:rPr>
                <w:rFonts w:cs="Times New Roman"/>
                <w:b/>
                <w:sz w:val="21"/>
                <w:szCs w:val="18"/>
              </w:rPr>
              <w:t>填方</w:t>
            </w:r>
          </w:p>
        </w:tc>
        <w:tc>
          <w:tcPr>
            <w:tcW w:w="1250" w:type="pct"/>
            <w:vAlign w:val="center"/>
          </w:tcPr>
          <w:p>
            <w:pPr>
              <w:spacing w:line="240" w:lineRule="auto"/>
              <w:ind w:firstLine="0" w:firstLineChars="0"/>
              <w:jc w:val="center"/>
              <w:rPr>
                <w:rFonts w:cs="Times New Roman"/>
                <w:b/>
                <w:sz w:val="21"/>
                <w:szCs w:val="18"/>
              </w:rPr>
            </w:pPr>
            <w:r>
              <w:rPr>
                <w:rFonts w:cs="Times New Roman"/>
                <w:b/>
                <w:sz w:val="21"/>
                <w:szCs w:val="18"/>
              </w:rPr>
              <w:t>调入</w:t>
            </w:r>
          </w:p>
        </w:tc>
        <w:tc>
          <w:tcPr>
            <w:tcW w:w="1248" w:type="pct"/>
            <w:vAlign w:val="center"/>
          </w:tcPr>
          <w:p>
            <w:pPr>
              <w:spacing w:line="240" w:lineRule="auto"/>
              <w:ind w:firstLine="0" w:firstLineChars="0"/>
              <w:jc w:val="center"/>
              <w:rPr>
                <w:rFonts w:cs="Times New Roman"/>
                <w:b/>
                <w:sz w:val="21"/>
                <w:szCs w:val="18"/>
              </w:rPr>
            </w:pPr>
            <w:r>
              <w:rPr>
                <w:rFonts w:cs="Times New Roman"/>
                <w:b/>
                <w:sz w:val="21"/>
                <w:szCs w:val="18"/>
              </w:rPr>
              <w:t>调出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2" w:type="pct"/>
            <w:vAlign w:val="center"/>
          </w:tcPr>
          <w:p>
            <w:pPr>
              <w:spacing w:line="240" w:lineRule="auto"/>
              <w:ind w:firstLine="0" w:firstLineChars="0"/>
              <w:jc w:val="center"/>
              <w:rPr>
                <w:rFonts w:cs="Times New Roman"/>
                <w:sz w:val="21"/>
                <w:szCs w:val="18"/>
              </w:rPr>
            </w:pPr>
            <w:r>
              <w:rPr>
                <w:rFonts w:cs="Times New Roman"/>
                <w:sz w:val="21"/>
                <w:szCs w:val="18"/>
              </w:rPr>
              <w:t>582.3</w:t>
            </w:r>
          </w:p>
        </w:tc>
        <w:tc>
          <w:tcPr>
            <w:tcW w:w="1250" w:type="pct"/>
            <w:vAlign w:val="center"/>
          </w:tcPr>
          <w:p>
            <w:pPr>
              <w:spacing w:line="240" w:lineRule="auto"/>
              <w:ind w:firstLine="0" w:firstLineChars="0"/>
              <w:jc w:val="center"/>
              <w:rPr>
                <w:rFonts w:cs="Times New Roman"/>
                <w:sz w:val="21"/>
                <w:szCs w:val="18"/>
              </w:rPr>
            </w:pPr>
            <w:r>
              <w:rPr>
                <w:rFonts w:cs="Times New Roman"/>
                <w:sz w:val="21"/>
                <w:szCs w:val="18"/>
              </w:rPr>
              <w:t>896.7</w:t>
            </w:r>
          </w:p>
        </w:tc>
        <w:tc>
          <w:tcPr>
            <w:tcW w:w="1250" w:type="pct"/>
            <w:vAlign w:val="center"/>
          </w:tcPr>
          <w:p>
            <w:pPr>
              <w:spacing w:line="240" w:lineRule="auto"/>
              <w:ind w:firstLine="0" w:firstLineChars="0"/>
              <w:jc w:val="center"/>
              <w:rPr>
                <w:rFonts w:cs="Times New Roman"/>
                <w:sz w:val="21"/>
                <w:szCs w:val="18"/>
              </w:rPr>
            </w:pPr>
            <w:r>
              <w:rPr>
                <w:rFonts w:cs="Times New Roman"/>
                <w:sz w:val="21"/>
                <w:szCs w:val="18"/>
              </w:rPr>
              <w:t>314.4</w:t>
            </w:r>
          </w:p>
        </w:tc>
        <w:tc>
          <w:tcPr>
            <w:tcW w:w="1248" w:type="pct"/>
            <w:vAlign w:val="center"/>
          </w:tcPr>
          <w:p>
            <w:pPr>
              <w:spacing w:line="240" w:lineRule="auto"/>
              <w:ind w:firstLine="0" w:firstLineChars="0"/>
              <w:jc w:val="center"/>
              <w:rPr>
                <w:rFonts w:cs="Times New Roman"/>
                <w:sz w:val="21"/>
                <w:szCs w:val="18"/>
              </w:rPr>
            </w:pPr>
            <w:r>
              <w:rPr>
                <w:rFonts w:cs="Times New Roman"/>
                <w:sz w:val="21"/>
                <w:szCs w:val="18"/>
              </w:rPr>
              <w:t>0</w:t>
            </w:r>
          </w:p>
        </w:tc>
      </w:tr>
    </w:tbl>
    <w:p>
      <w:pPr>
        <w:autoSpaceDE w:val="0"/>
        <w:autoSpaceDN w:val="0"/>
        <w:adjustRightInd w:val="0"/>
        <w:ind w:firstLine="480"/>
        <w:rPr>
          <w:rFonts w:cs="Times New Roman"/>
          <w:kern w:val="0"/>
        </w:rPr>
      </w:pPr>
      <w:r>
        <w:rPr>
          <w:rFonts w:cs="Times New Roman"/>
          <w:kern w:val="0"/>
        </w:rPr>
        <w:t>因此项目土石方平衡后无永久弃渣产生。</w:t>
      </w:r>
    </w:p>
    <w:p>
      <w:pPr>
        <w:autoSpaceDE w:val="0"/>
        <w:autoSpaceDN w:val="0"/>
        <w:adjustRightInd w:val="0"/>
        <w:ind w:firstLine="480"/>
        <w:rPr>
          <w:rFonts w:cs="Times New Roman"/>
        </w:rPr>
      </w:pPr>
      <w:r>
        <w:rPr>
          <w:rFonts w:cs="Times New Roman"/>
          <w:kern w:val="0"/>
        </w:rPr>
        <w:t>施工人员生活垃圾主要为食用饭盒等生活垃圾，按每人每天产生</w:t>
      </w:r>
      <w:r>
        <w:rPr>
          <w:rFonts w:eastAsia="TimesNewRomanPSMT" w:cs="Times New Roman"/>
          <w:kern w:val="0"/>
        </w:rPr>
        <w:t xml:space="preserve">0.5kg </w:t>
      </w:r>
      <w:r>
        <w:rPr>
          <w:rFonts w:cs="Times New Roman"/>
          <w:kern w:val="0"/>
        </w:rPr>
        <w:t>计算，约为</w:t>
      </w:r>
      <w:r>
        <w:rPr>
          <w:rFonts w:eastAsia="TimesNewRomanPSMT" w:cs="Times New Roman"/>
          <w:kern w:val="0"/>
        </w:rPr>
        <w:t>50kg/d</w:t>
      </w:r>
      <w:r>
        <w:rPr>
          <w:rFonts w:cs="Times New Roman"/>
          <w:kern w:val="0"/>
        </w:rPr>
        <w:t>，整个建设期约</w:t>
      </w:r>
      <w:r>
        <w:rPr>
          <w:rFonts w:eastAsia="TimesNewRomanPSMT" w:cs="Times New Roman"/>
          <w:kern w:val="0"/>
        </w:rPr>
        <w:t>12</w:t>
      </w:r>
      <w:r>
        <w:rPr>
          <w:rFonts w:cs="Times New Roman"/>
          <w:kern w:val="0"/>
        </w:rPr>
        <w:t>个月，生活垃圾总计</w:t>
      </w:r>
      <w:r>
        <w:rPr>
          <w:rFonts w:eastAsia="TimesNewRomanPSMT" w:cs="Times New Roman"/>
          <w:kern w:val="0"/>
        </w:rPr>
        <w:t>18t</w:t>
      </w:r>
      <w:r>
        <w:rPr>
          <w:rFonts w:cs="Times New Roman"/>
          <w:kern w:val="0"/>
        </w:rPr>
        <w:t>，施工期生活垃圾在项目区统一收集后，委托当地环卫部门处置。产生的建筑垃圾可利用部分回收利用，不可利用部分与施工期生活垃圾在项目区统一收集后，委托当地环卫部门处置。</w:t>
      </w:r>
    </w:p>
    <w:p>
      <w:pPr>
        <w:ind w:firstLine="482"/>
        <w:rPr>
          <w:rFonts w:cs="Times New Roman"/>
          <w:b/>
        </w:rPr>
      </w:pPr>
      <w:r>
        <w:rPr>
          <w:rFonts w:cs="Times New Roman"/>
          <w:b/>
        </w:rPr>
        <w:t>5、施工期生态环境环境影响</w:t>
      </w:r>
    </w:p>
    <w:p>
      <w:pPr>
        <w:ind w:firstLine="480"/>
        <w:rPr>
          <w:rFonts w:cs="Times New Roman"/>
        </w:rPr>
      </w:pPr>
      <w:r>
        <w:rPr>
          <w:rFonts w:cs="Times New Roman"/>
        </w:rPr>
        <w:t>项目建设过程中，将破坏土地构型，植被被破坏，雨水侵蚀致使土壤流失，土层变薄，土壤发生层次缺失，导致表土裸露，局部蓄水固土的功能将丧失，从而导致水土流失。</w:t>
      </w:r>
    </w:p>
    <w:p>
      <w:pPr>
        <w:ind w:firstLine="480"/>
        <w:rPr>
          <w:rFonts w:cs="Times New Roman"/>
        </w:rPr>
      </w:pPr>
      <w:r>
        <w:rPr>
          <w:rFonts w:cs="Times New Roman"/>
        </w:rPr>
        <w:t>水土流失是指土壤在降水侵蚀力作用下的分散、迁移和沉积的过程。影响水土流失的因素较多，主要包括降雨、土壤、植被、地形地貌以及工程施工等因素。就本项目而言，影响施工期水土流失的主要因素是降雨和工程施工。</w:t>
      </w:r>
    </w:p>
    <w:p>
      <w:pPr>
        <w:ind w:firstLine="480"/>
        <w:rPr>
          <w:rFonts w:cs="Times New Roman"/>
        </w:rPr>
      </w:pPr>
      <w:r>
        <w:rPr>
          <w:rFonts w:cs="Times New Roman"/>
        </w:rPr>
        <w:t>（1）降雨因素</w:t>
      </w:r>
    </w:p>
    <w:p>
      <w:pPr>
        <w:ind w:firstLine="480"/>
        <w:rPr>
          <w:rFonts w:cs="Times New Roman"/>
        </w:rPr>
      </w:pPr>
      <w:r>
        <w:rPr>
          <w:rFonts w:cs="Times New Roman"/>
        </w:rPr>
        <w:t>降雨是发生水土流失的最直接最重要的自然因素。降雨对裸露地表的影响表现在两个方面：一是雨滴对裸露地表的直接冲溅作用，二是雨水汇集形成地表径流的冲刷作用。这种作用在暴雨时表现得更为集中和剧烈，往往引起较大强度的水土流失。常宁市雨季充沛，雨季集中在4~6月份，降雨量大、暴雨日多（即降雨强度大）是造成水土流失的最直接的作用因素。因此，本项目的施工（尤其是在雨季）不可避免的会面临水土流失问题。</w:t>
      </w:r>
    </w:p>
    <w:p>
      <w:pPr>
        <w:ind w:firstLine="480"/>
        <w:rPr>
          <w:rFonts w:cs="Times New Roman"/>
        </w:rPr>
      </w:pPr>
      <w:r>
        <w:rPr>
          <w:rFonts w:cs="Times New Roman"/>
        </w:rPr>
        <w:t>（2）工程因素</w:t>
      </w:r>
    </w:p>
    <w:p>
      <w:pPr>
        <w:ind w:firstLine="480"/>
        <w:rPr>
          <w:rFonts w:cs="Times New Roman"/>
        </w:rPr>
      </w:pPr>
      <w:r>
        <w:rPr>
          <w:rFonts w:cs="Times New Roman"/>
        </w:rPr>
        <w:t>工程因素主要指人类的各项开发建设活动，它通过影响引起水土流失的各项自然因素而起作用，是促进水土流失加剧的重要因素。区域开发建设改变区域地形地貌、破坏植被、改变土壤的理化性质，从而加剧水土流失的发生。就本建设项目而言，在正常的降雨条件下，工程施工是导致水土流失发生、发展并加剧的根源。据估算，经扰动的土壤其侵蚀模数比未经扰动的土壤约可加大10倍。若施工期不采取水土保持措施，造成的水土流失将非常严重，因此，施工期为本项目水土流失防治重点阶段。</w:t>
      </w:r>
    </w:p>
    <w:p>
      <w:pPr>
        <w:ind w:firstLine="480"/>
        <w:rPr>
          <w:rFonts w:cs="Times New Roman"/>
        </w:rPr>
      </w:pPr>
      <w:r>
        <w:rPr>
          <w:rFonts w:cs="Times New Roman"/>
        </w:rPr>
        <w:t>施工期在未采取任何水土保持的情况下，按以下公式计算：</w:t>
      </w:r>
    </w:p>
    <w:p>
      <w:pPr>
        <w:ind w:firstLine="480"/>
        <w:rPr>
          <w:rFonts w:cs="Times New Roman"/>
          <w:u w:val="single"/>
        </w:rPr>
      </w:pPr>
      <w:r>
        <w:rPr>
          <w:rFonts w:cs="Times New Roman"/>
          <w:u w:val="single"/>
        </w:rPr>
        <w:t>W</w:t>
      </w:r>
      <w:r>
        <w:rPr>
          <w:rFonts w:cs="Times New Roman"/>
          <w:u w:val="single"/>
          <w:vertAlign w:val="subscript"/>
        </w:rPr>
        <w:t>Si</w:t>
      </w:r>
      <w:r>
        <w:rPr>
          <w:rFonts w:cs="Times New Roman"/>
          <w:u w:val="single"/>
        </w:rPr>
        <w:t>=F</w:t>
      </w:r>
      <w:r>
        <w:rPr>
          <w:rFonts w:cs="Times New Roman"/>
          <w:u w:val="single"/>
          <w:vertAlign w:val="subscript"/>
        </w:rPr>
        <w:t>i</w:t>
      </w:r>
      <w:r>
        <w:rPr>
          <w:rFonts w:cs="Times New Roman"/>
          <w:u w:val="single"/>
        </w:rPr>
        <w:t>×（M</w:t>
      </w:r>
      <w:r>
        <w:rPr>
          <w:rFonts w:cs="Times New Roman"/>
          <w:u w:val="single"/>
          <w:vertAlign w:val="subscript"/>
        </w:rPr>
        <w:t>Si</w:t>
      </w:r>
      <w:r>
        <w:rPr>
          <w:rFonts w:cs="Times New Roman"/>
          <w:u w:val="single"/>
        </w:rPr>
        <w:t>-Mo）×T</w:t>
      </w:r>
      <w:r>
        <w:rPr>
          <w:rFonts w:cs="Times New Roman"/>
          <w:u w:val="single"/>
          <w:vertAlign w:val="subscript"/>
        </w:rPr>
        <w:t>i</w:t>
      </w:r>
    </w:p>
    <w:p>
      <w:pPr>
        <w:ind w:firstLine="480"/>
        <w:rPr>
          <w:rFonts w:cs="Times New Roman"/>
          <w:u w:val="single"/>
        </w:rPr>
      </w:pPr>
      <w:r>
        <w:rPr>
          <w:rFonts w:cs="Times New Roman"/>
          <w:u w:val="single"/>
        </w:rPr>
        <w:t>式中：W</w:t>
      </w:r>
      <w:r>
        <w:rPr>
          <w:rFonts w:cs="Times New Roman"/>
          <w:u w:val="single"/>
          <w:vertAlign w:val="subscript"/>
        </w:rPr>
        <w:t>Si</w:t>
      </w:r>
      <w:r>
        <w:rPr>
          <w:rFonts w:cs="Times New Roman"/>
          <w:u w:val="single"/>
        </w:rPr>
        <w:t>—土壤侵蚀量，t；</w:t>
      </w:r>
    </w:p>
    <w:p>
      <w:pPr>
        <w:ind w:firstLine="480"/>
        <w:rPr>
          <w:rFonts w:cs="Times New Roman"/>
          <w:u w:val="single"/>
        </w:rPr>
      </w:pPr>
      <w:r>
        <w:rPr>
          <w:rFonts w:cs="Times New Roman"/>
          <w:u w:val="single"/>
        </w:rPr>
        <w:t>F</w:t>
      </w:r>
      <w:r>
        <w:rPr>
          <w:rFonts w:cs="Times New Roman"/>
          <w:u w:val="single"/>
          <w:vertAlign w:val="subscript"/>
        </w:rPr>
        <w:t>i</w:t>
      </w:r>
      <w:r>
        <w:rPr>
          <w:rFonts w:cs="Times New Roman"/>
          <w:u w:val="single"/>
        </w:rPr>
        <w:t>—破坏的水土保持面积116.5hm</w:t>
      </w:r>
      <w:r>
        <w:rPr>
          <w:rFonts w:cs="Times New Roman"/>
          <w:u w:val="single"/>
          <w:vertAlign w:val="superscript"/>
        </w:rPr>
        <w:t>2</w:t>
      </w:r>
      <w:r>
        <w:rPr>
          <w:rFonts w:cs="Times New Roman"/>
          <w:u w:val="single"/>
        </w:rPr>
        <w:t>；</w:t>
      </w:r>
    </w:p>
    <w:p>
      <w:pPr>
        <w:ind w:firstLine="480"/>
        <w:rPr>
          <w:rFonts w:cs="Times New Roman"/>
          <w:u w:val="single"/>
        </w:rPr>
      </w:pPr>
      <w:r>
        <w:rPr>
          <w:rFonts w:cs="Times New Roman"/>
          <w:u w:val="single"/>
        </w:rPr>
        <w:t>Mo—破坏前的土壤侵蚀模数，</w:t>
      </w:r>
      <w:r>
        <w:rPr>
          <w:rFonts w:hint="eastAsia" w:cs="Times New Roman"/>
          <w:u w:val="single"/>
        </w:rPr>
        <w:t>根据《土壤侵蚀分类分级标准》（SL190-2007），项目区域为林地</w:t>
      </w:r>
      <w:r>
        <w:rPr>
          <w:rFonts w:cs="Times New Roman"/>
          <w:u w:val="single"/>
        </w:rPr>
        <w:t>，所在地土壤侵蚀模数可取450t/hm</w:t>
      </w:r>
      <w:r>
        <w:rPr>
          <w:rFonts w:cs="Times New Roman"/>
          <w:u w:val="single"/>
          <w:vertAlign w:val="superscript"/>
        </w:rPr>
        <w:t>2</w:t>
      </w:r>
      <w:r>
        <w:rPr>
          <w:rFonts w:cs="Times New Roman"/>
          <w:u w:val="single"/>
        </w:rPr>
        <w:t>•a；</w:t>
      </w:r>
    </w:p>
    <w:p>
      <w:pPr>
        <w:ind w:firstLine="480"/>
        <w:rPr>
          <w:rFonts w:cs="Times New Roman"/>
          <w:u w:val="single"/>
        </w:rPr>
      </w:pPr>
      <w:r>
        <w:rPr>
          <w:rFonts w:cs="Times New Roman"/>
          <w:u w:val="single"/>
        </w:rPr>
        <w:t>M</w:t>
      </w:r>
      <w:r>
        <w:rPr>
          <w:rFonts w:cs="Times New Roman"/>
          <w:u w:val="single"/>
          <w:vertAlign w:val="subscript"/>
        </w:rPr>
        <w:t>Si</w:t>
      </w:r>
      <w:r>
        <w:rPr>
          <w:rFonts w:cs="Times New Roman"/>
          <w:u w:val="single"/>
        </w:rPr>
        <w:t>—扰动（破坏后）的侵蚀模数，根据</w:t>
      </w:r>
      <w:r>
        <w:rPr>
          <w:rFonts w:hint="eastAsia" w:cs="Times New Roman"/>
          <w:u w:val="single"/>
        </w:rPr>
        <w:t>《生产建设项目土壤流失量测算导则》（SL773-2018）</w:t>
      </w:r>
      <w:r>
        <w:rPr>
          <w:rFonts w:cs="Times New Roman"/>
          <w:u w:val="single"/>
        </w:rPr>
        <w:t>，可取1200t/hm</w:t>
      </w:r>
      <w:r>
        <w:rPr>
          <w:rFonts w:cs="Times New Roman"/>
          <w:u w:val="single"/>
          <w:vertAlign w:val="superscript"/>
        </w:rPr>
        <w:t>2</w:t>
      </w:r>
      <w:r>
        <w:rPr>
          <w:rFonts w:cs="Times New Roman"/>
          <w:u w:val="single"/>
        </w:rPr>
        <w:t>•a；</w:t>
      </w:r>
    </w:p>
    <w:p>
      <w:pPr>
        <w:ind w:firstLine="480"/>
        <w:rPr>
          <w:rFonts w:cs="Times New Roman"/>
          <w:u w:val="single"/>
        </w:rPr>
      </w:pPr>
      <w:r>
        <w:rPr>
          <w:rFonts w:cs="Times New Roman"/>
          <w:u w:val="single"/>
        </w:rPr>
        <w:t>Ti—预测时段，主要预测施工期，1.0a。</w:t>
      </w:r>
    </w:p>
    <w:p>
      <w:pPr>
        <w:ind w:firstLine="480"/>
        <w:rPr>
          <w:rFonts w:cs="Times New Roman"/>
          <w:u w:val="single"/>
        </w:rPr>
      </w:pPr>
      <w:r>
        <w:rPr>
          <w:rFonts w:cs="Times New Roman"/>
          <w:u w:val="single"/>
        </w:rPr>
        <w:t>根据以上公式计算，本项目水土流失量约87375t。</w:t>
      </w:r>
    </w:p>
    <w:p>
      <w:pPr>
        <w:ind w:firstLine="480"/>
        <w:rPr>
          <w:rFonts w:cs="Times New Roman"/>
        </w:rPr>
      </w:pPr>
      <w:r>
        <w:rPr>
          <w:rFonts w:cs="Times New Roman"/>
        </w:rPr>
        <w:t>项目所在地植被群落结构较简单，未见国家保护的珍稀濒危植物，生态敏感度一般。项目施工清除用地上覆盖的植被，会造成植物资源损失、降低植物生物量、生产量和物种量，造成生物多样性的降低，破坏项目用地的生态结构、削弱生态功能。</w:t>
      </w:r>
    </w:p>
    <w:p>
      <w:pPr>
        <w:pStyle w:val="4"/>
        <w:rPr>
          <w:rFonts w:cs="Times New Roman"/>
        </w:rPr>
      </w:pPr>
      <w:bookmarkStart w:id="92" w:name="_Toc86611265"/>
      <w:r>
        <w:rPr>
          <w:rFonts w:cs="Times New Roman"/>
        </w:rPr>
        <w:t>3.3.2营运期污染源强核算</w:t>
      </w:r>
      <w:bookmarkEnd w:id="92"/>
    </w:p>
    <w:p>
      <w:pPr>
        <w:pStyle w:val="5"/>
      </w:pPr>
      <w:r>
        <w:t>3.3.2.1废气污染源强核算</w:t>
      </w:r>
    </w:p>
    <w:p>
      <w:pPr>
        <w:ind w:firstLine="480"/>
        <w:rPr>
          <w:rFonts w:cs="Times New Roman"/>
          <w:u w:val="single"/>
        </w:rPr>
      </w:pPr>
      <w:r>
        <w:rPr>
          <w:rFonts w:cs="Times New Roman"/>
          <w:u w:val="single"/>
        </w:rPr>
        <w:t>1、原料预处理、配料、输送废气G1、G5</w:t>
      </w:r>
    </w:p>
    <w:p>
      <w:pPr>
        <w:ind w:firstLine="480"/>
        <w:rPr>
          <w:rFonts w:cs="Times New Roman"/>
          <w:u w:val="single"/>
        </w:rPr>
      </w:pPr>
      <w:r>
        <w:rPr>
          <w:rFonts w:cs="Times New Roman"/>
          <w:u w:val="single"/>
        </w:rPr>
        <w:t>原料堆存、卸料、配料、过筛、输送带输送、成品运输等工序产生的废气污染物主要为粉尘。对于项目原辅料在堆存、装卸、配料等环节产生的无组织颗粒物，原料堆场采用四面封闭（只留进出口），顶部设棚，同时采用雾化喷淋洒水降尘措施及时降低颗粒物排放量。根据《堆场扬尘计算和防风效率的几个问题》，当物料含水率7%+半封闭料仓时，堆场扬尘在装卸条件下除尘率可以到90.1%，本项目物料含水率约10%，通过采取喷雾洒水降尘措施可以降到7%以下，且项目堆场为四面封闭（留进出口），粉尘减少约90%粉尘排放量是可行的。对堆厂区道路等产生的抛洒及时进行清扫，运输车辆需保持清洁，并采取洒水降尘等措施进行处理。物料堆存、转运等主要采用皮带传送（全密闭运输），成品转运采用装载机，产尘量较少。在采取以上降尘措施后可满足《陶瓷工业污染物排放标准》（GB25464-2010）企业边界大气污染物任何1小时平均浓度限值。本项目的粉尘无组织排放量根据物料平衡及类比同类工艺的工程排放情况，从物料量推算粉尘量再进一步核算粉尘无组织排放量。</w:t>
      </w:r>
    </w:p>
    <w:p>
      <w:pPr>
        <w:ind w:firstLine="480"/>
        <w:rPr>
          <w:rFonts w:cs="Times New Roman"/>
          <w:u w:val="single"/>
        </w:rPr>
      </w:pPr>
      <w:r>
        <w:rPr>
          <w:rFonts w:cs="Times New Roman"/>
          <w:u w:val="single"/>
        </w:rPr>
        <w:t>原料预处理、配料、输送废气G1、G5污染物产生量核算如下表：</w:t>
      </w:r>
    </w:p>
    <w:p>
      <w:pPr>
        <w:ind w:firstLine="0" w:firstLineChars="0"/>
        <w:jc w:val="center"/>
        <w:rPr>
          <w:rFonts w:cs="Times New Roman"/>
          <w:u w:val="single"/>
        </w:rPr>
      </w:pPr>
      <w:r>
        <w:rPr>
          <w:rFonts w:cs="Times New Roman"/>
          <w:u w:val="single"/>
        </w:rPr>
        <w:t>表3.3-4  原料预处理、配料、输送废气G1、G5核算表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425"/>
        <w:gridCol w:w="1197"/>
        <w:gridCol w:w="1141"/>
        <w:gridCol w:w="1657"/>
        <w:gridCol w:w="998"/>
        <w:gridCol w:w="998"/>
        <w:gridCol w:w="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rPr>
        <w:tc>
          <w:tcPr>
            <w:tcW w:w="852"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位置</w:t>
            </w:r>
          </w:p>
        </w:tc>
        <w:tc>
          <w:tcPr>
            <w:tcW w:w="716"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物料名称</w:t>
            </w:r>
          </w:p>
        </w:tc>
        <w:tc>
          <w:tcPr>
            <w:tcW w:w="682"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物料量</w:t>
            </w:r>
          </w:p>
          <w:p>
            <w:pPr>
              <w:spacing w:line="240" w:lineRule="auto"/>
              <w:ind w:firstLine="0" w:firstLineChars="0"/>
              <w:jc w:val="center"/>
              <w:rPr>
                <w:rFonts w:cs="Times New Roman"/>
                <w:b/>
                <w:sz w:val="21"/>
                <w:szCs w:val="21"/>
                <w:u w:val="single"/>
              </w:rPr>
            </w:pPr>
            <w:r>
              <w:rPr>
                <w:rFonts w:cs="Times New Roman"/>
                <w:b/>
                <w:sz w:val="21"/>
                <w:szCs w:val="21"/>
                <w:u w:val="single"/>
              </w:rPr>
              <w:t>t/a</w:t>
            </w:r>
          </w:p>
        </w:tc>
        <w:tc>
          <w:tcPr>
            <w:tcW w:w="991"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粉尘产生量占</w:t>
            </w:r>
          </w:p>
          <w:p>
            <w:pPr>
              <w:spacing w:line="240" w:lineRule="auto"/>
              <w:ind w:firstLine="0" w:firstLineChars="0"/>
              <w:jc w:val="center"/>
              <w:rPr>
                <w:rFonts w:cs="Times New Roman"/>
                <w:b/>
                <w:sz w:val="21"/>
                <w:szCs w:val="21"/>
                <w:u w:val="single"/>
              </w:rPr>
            </w:pPr>
            <w:r>
              <w:rPr>
                <w:rFonts w:cs="Times New Roman"/>
                <w:b/>
                <w:sz w:val="21"/>
                <w:szCs w:val="21"/>
                <w:u w:val="single"/>
              </w:rPr>
              <w:t>物料比例（%）</w:t>
            </w:r>
          </w:p>
        </w:tc>
        <w:tc>
          <w:tcPr>
            <w:tcW w:w="597"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粉尘产生</w:t>
            </w:r>
          </w:p>
          <w:p>
            <w:pPr>
              <w:spacing w:line="240" w:lineRule="auto"/>
              <w:ind w:firstLine="0" w:firstLineChars="0"/>
              <w:jc w:val="center"/>
              <w:rPr>
                <w:rFonts w:cs="Times New Roman"/>
                <w:b/>
                <w:sz w:val="21"/>
                <w:szCs w:val="21"/>
                <w:u w:val="single"/>
              </w:rPr>
            </w:pPr>
            <w:r>
              <w:rPr>
                <w:rFonts w:cs="Times New Roman"/>
                <w:b/>
                <w:sz w:val="21"/>
                <w:szCs w:val="21"/>
                <w:u w:val="single"/>
              </w:rPr>
              <w:t>量（t/a）</w:t>
            </w:r>
          </w:p>
        </w:tc>
        <w:tc>
          <w:tcPr>
            <w:tcW w:w="597"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排放量估</w:t>
            </w:r>
          </w:p>
          <w:p>
            <w:pPr>
              <w:spacing w:line="240" w:lineRule="auto"/>
              <w:ind w:firstLine="0" w:firstLineChars="0"/>
              <w:jc w:val="center"/>
              <w:rPr>
                <w:rFonts w:cs="Times New Roman"/>
                <w:b/>
                <w:sz w:val="21"/>
                <w:szCs w:val="21"/>
                <w:u w:val="single"/>
              </w:rPr>
            </w:pPr>
            <w:r>
              <w:rPr>
                <w:rFonts w:cs="Times New Roman"/>
                <w:b/>
                <w:sz w:val="21"/>
                <w:szCs w:val="21"/>
                <w:u w:val="single"/>
              </w:rPr>
              <w:t>算（t/a）</w:t>
            </w:r>
          </w:p>
        </w:tc>
        <w:tc>
          <w:tcPr>
            <w:tcW w:w="566"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排放量</w:t>
            </w:r>
          </w:p>
          <w:p>
            <w:pPr>
              <w:spacing w:line="240" w:lineRule="auto"/>
              <w:ind w:firstLine="0" w:firstLineChars="0"/>
              <w:jc w:val="center"/>
              <w:rPr>
                <w:rFonts w:cs="Times New Roman"/>
                <w:b/>
                <w:sz w:val="21"/>
                <w:szCs w:val="21"/>
                <w:u w:val="single"/>
              </w:rPr>
            </w:pPr>
            <w:r>
              <w:rPr>
                <w:rFonts w:cs="Times New Roman"/>
                <w:b/>
                <w:sz w:val="21"/>
                <w:szCs w:val="21"/>
                <w:u w:val="single"/>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rPr>
        <w:tc>
          <w:tcPr>
            <w:tcW w:w="852"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5#原矿堆场</w:t>
            </w:r>
          </w:p>
        </w:tc>
        <w:tc>
          <w:tcPr>
            <w:tcW w:w="71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瓷砂</w:t>
            </w:r>
          </w:p>
        </w:tc>
        <w:tc>
          <w:tcPr>
            <w:tcW w:w="682" w:type="pct"/>
            <w:vAlign w:val="center"/>
          </w:tcPr>
          <w:p>
            <w:pPr>
              <w:spacing w:line="240" w:lineRule="auto"/>
              <w:ind w:firstLine="0" w:firstLineChars="0"/>
              <w:jc w:val="center"/>
              <w:rPr>
                <w:rFonts w:cs="Times New Roman"/>
                <w:bCs/>
                <w:sz w:val="21"/>
                <w:szCs w:val="21"/>
                <w:u w:val="single"/>
              </w:rPr>
            </w:pPr>
            <w:r>
              <w:rPr>
                <w:rFonts w:cs="Times New Roman"/>
                <w:bCs/>
                <w:sz w:val="21"/>
                <w:szCs w:val="21"/>
                <w:u w:val="single"/>
              </w:rPr>
              <w:t>823609.02</w:t>
            </w:r>
          </w:p>
        </w:tc>
        <w:tc>
          <w:tcPr>
            <w:tcW w:w="99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0.01</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82.36 </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8.24 </w:t>
            </w:r>
          </w:p>
        </w:tc>
        <w:tc>
          <w:tcPr>
            <w:tcW w:w="566"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1.14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rPr>
        <w:tc>
          <w:tcPr>
            <w:tcW w:w="852"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6#原矿堆场</w:t>
            </w:r>
          </w:p>
        </w:tc>
        <w:tc>
          <w:tcPr>
            <w:tcW w:w="71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石粒</w:t>
            </w:r>
          </w:p>
        </w:tc>
        <w:tc>
          <w:tcPr>
            <w:tcW w:w="682" w:type="pct"/>
            <w:vAlign w:val="center"/>
          </w:tcPr>
          <w:p>
            <w:pPr>
              <w:spacing w:line="240" w:lineRule="auto"/>
              <w:ind w:firstLine="0" w:firstLineChars="0"/>
              <w:jc w:val="center"/>
              <w:rPr>
                <w:rFonts w:cs="Times New Roman"/>
                <w:bCs/>
                <w:sz w:val="21"/>
                <w:szCs w:val="21"/>
                <w:u w:val="single"/>
              </w:rPr>
            </w:pPr>
            <w:r>
              <w:rPr>
                <w:rFonts w:cs="Times New Roman"/>
                <w:bCs/>
                <w:sz w:val="21"/>
                <w:szCs w:val="21"/>
                <w:u w:val="single"/>
              </w:rPr>
              <w:t>1702153.82</w:t>
            </w:r>
          </w:p>
        </w:tc>
        <w:tc>
          <w:tcPr>
            <w:tcW w:w="99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0.005</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85.11 </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8.51 </w:t>
            </w:r>
          </w:p>
        </w:tc>
        <w:tc>
          <w:tcPr>
            <w:tcW w:w="566"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1.18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rPr>
        <w:tc>
          <w:tcPr>
            <w:tcW w:w="852"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3#原矿堆场</w:t>
            </w:r>
          </w:p>
        </w:tc>
        <w:tc>
          <w:tcPr>
            <w:tcW w:w="71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坭</w:t>
            </w:r>
          </w:p>
        </w:tc>
        <w:tc>
          <w:tcPr>
            <w:tcW w:w="682" w:type="pct"/>
            <w:vAlign w:val="center"/>
          </w:tcPr>
          <w:p>
            <w:pPr>
              <w:spacing w:line="240" w:lineRule="auto"/>
              <w:ind w:firstLine="0" w:firstLineChars="0"/>
              <w:jc w:val="center"/>
              <w:rPr>
                <w:rFonts w:cs="Times New Roman"/>
                <w:bCs/>
                <w:sz w:val="21"/>
                <w:szCs w:val="21"/>
                <w:u w:val="single"/>
              </w:rPr>
            </w:pPr>
            <w:r>
              <w:rPr>
                <w:rFonts w:cs="Times New Roman"/>
                <w:bCs/>
                <w:sz w:val="21"/>
                <w:szCs w:val="21"/>
                <w:u w:val="single"/>
              </w:rPr>
              <w:t>924090.6</w:t>
            </w:r>
          </w:p>
        </w:tc>
        <w:tc>
          <w:tcPr>
            <w:tcW w:w="99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0.01</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92.41 </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9.24 </w:t>
            </w:r>
          </w:p>
        </w:tc>
        <w:tc>
          <w:tcPr>
            <w:tcW w:w="566"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1.28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rPr>
        <w:tc>
          <w:tcPr>
            <w:tcW w:w="852"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7#原矿堆场</w:t>
            </w:r>
          </w:p>
        </w:tc>
        <w:tc>
          <w:tcPr>
            <w:tcW w:w="71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熔炔</w:t>
            </w:r>
          </w:p>
        </w:tc>
        <w:tc>
          <w:tcPr>
            <w:tcW w:w="682" w:type="pct"/>
            <w:vAlign w:val="center"/>
          </w:tcPr>
          <w:p>
            <w:pPr>
              <w:spacing w:line="240" w:lineRule="auto"/>
              <w:ind w:firstLine="0" w:firstLineChars="0"/>
              <w:jc w:val="center"/>
              <w:rPr>
                <w:rFonts w:cs="Times New Roman"/>
                <w:bCs/>
                <w:sz w:val="21"/>
                <w:szCs w:val="21"/>
                <w:u w:val="single"/>
              </w:rPr>
            </w:pPr>
            <w:r>
              <w:rPr>
                <w:rFonts w:cs="Times New Roman"/>
                <w:bCs/>
                <w:sz w:val="21"/>
                <w:szCs w:val="21"/>
                <w:u w:val="single"/>
              </w:rPr>
              <w:t>68664.22</w:t>
            </w:r>
          </w:p>
        </w:tc>
        <w:tc>
          <w:tcPr>
            <w:tcW w:w="99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0.005</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3.43 </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0.34 </w:t>
            </w:r>
          </w:p>
        </w:tc>
        <w:tc>
          <w:tcPr>
            <w:tcW w:w="566"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rPr>
        <w:tc>
          <w:tcPr>
            <w:tcW w:w="852"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4#原矿堆场</w:t>
            </w:r>
          </w:p>
        </w:tc>
        <w:tc>
          <w:tcPr>
            <w:tcW w:w="71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釉用化工料</w:t>
            </w:r>
          </w:p>
        </w:tc>
        <w:tc>
          <w:tcPr>
            <w:tcW w:w="682" w:type="pct"/>
            <w:vAlign w:val="center"/>
          </w:tcPr>
          <w:p>
            <w:pPr>
              <w:spacing w:line="240" w:lineRule="auto"/>
              <w:ind w:firstLine="0" w:firstLineChars="0"/>
              <w:jc w:val="center"/>
              <w:rPr>
                <w:rFonts w:cs="Times New Roman"/>
                <w:bCs/>
                <w:sz w:val="21"/>
                <w:szCs w:val="21"/>
                <w:u w:val="single"/>
              </w:rPr>
            </w:pPr>
            <w:r>
              <w:rPr>
                <w:rFonts w:cs="Times New Roman"/>
                <w:bCs/>
                <w:sz w:val="21"/>
                <w:szCs w:val="21"/>
                <w:u w:val="single"/>
              </w:rPr>
              <w:t>108904.19</w:t>
            </w:r>
          </w:p>
        </w:tc>
        <w:tc>
          <w:tcPr>
            <w:tcW w:w="99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0.005</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5.45 </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0.54 </w:t>
            </w:r>
          </w:p>
        </w:tc>
        <w:tc>
          <w:tcPr>
            <w:tcW w:w="566"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rPr>
        <w:tc>
          <w:tcPr>
            <w:tcW w:w="3240" w:type="pct"/>
            <w:gridSpan w:val="4"/>
            <w:vAlign w:val="center"/>
          </w:tcPr>
          <w:p>
            <w:pPr>
              <w:spacing w:line="240" w:lineRule="auto"/>
              <w:ind w:firstLine="0" w:firstLineChars="0"/>
              <w:jc w:val="center"/>
              <w:rPr>
                <w:rFonts w:cs="Times New Roman"/>
                <w:sz w:val="21"/>
                <w:szCs w:val="21"/>
                <w:u w:val="single"/>
              </w:rPr>
            </w:pPr>
            <w:r>
              <w:rPr>
                <w:rFonts w:cs="Times New Roman"/>
                <w:sz w:val="21"/>
                <w:szCs w:val="21"/>
                <w:u w:val="single"/>
              </w:rPr>
              <w:t>合计</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268.76 </w:t>
            </w:r>
          </w:p>
        </w:tc>
        <w:tc>
          <w:tcPr>
            <w:tcW w:w="597"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26.88 </w:t>
            </w:r>
          </w:p>
        </w:tc>
        <w:tc>
          <w:tcPr>
            <w:tcW w:w="566" w:type="pct"/>
            <w:vAlign w:val="center"/>
          </w:tcPr>
          <w:p>
            <w:pPr>
              <w:spacing w:line="240" w:lineRule="auto"/>
              <w:ind w:firstLine="0" w:firstLineChars="0"/>
              <w:jc w:val="center"/>
              <w:rPr>
                <w:rFonts w:cs="Times New Roman"/>
                <w:sz w:val="21"/>
                <w:szCs w:val="21"/>
                <w:u w:val="single"/>
              </w:rPr>
            </w:pPr>
            <w:r>
              <w:rPr>
                <w:rFonts w:cs="Times New Roman"/>
                <w:color w:val="000000"/>
                <w:sz w:val="21"/>
                <w:szCs w:val="21"/>
                <w:u w:val="single"/>
              </w:rPr>
              <w:t xml:space="preserve">3.73 </w:t>
            </w:r>
          </w:p>
        </w:tc>
      </w:tr>
    </w:tbl>
    <w:p>
      <w:pPr>
        <w:ind w:firstLine="480"/>
        <w:rPr>
          <w:rFonts w:cs="Times New Roman"/>
          <w:u w:val="single"/>
        </w:rPr>
      </w:pPr>
      <w:r>
        <w:rPr>
          <w:rFonts w:cs="Times New Roman"/>
          <w:u w:val="single"/>
        </w:rPr>
        <w:t>2、煤堆场扬尘、装卸扬尘、筛分扬尘G14</w:t>
      </w:r>
    </w:p>
    <w:p>
      <w:pPr>
        <w:ind w:firstLine="480"/>
        <w:rPr>
          <w:rFonts w:cs="Times New Roman"/>
          <w:u w:val="single"/>
        </w:rPr>
      </w:pPr>
      <w:r>
        <w:rPr>
          <w:rFonts w:cs="Times New Roman"/>
          <w:u w:val="single"/>
        </w:rPr>
        <w:t>（1）堆场起尘</w:t>
      </w:r>
    </w:p>
    <w:p>
      <w:pPr>
        <w:ind w:firstLine="480"/>
        <w:rPr>
          <w:rFonts w:cs="Times New Roman"/>
          <w:u w:val="single"/>
        </w:rPr>
      </w:pPr>
      <w:r>
        <w:rPr>
          <w:rFonts w:cs="Times New Roman"/>
          <w:u w:val="single"/>
        </w:rPr>
        <w:t>项目煤堆场采用四面封闭（只留进出口），顶部设棚，同时采用雾化喷淋洒水降尘措施及时降低颗粒物排放量。堆场起尘量按煤用量的0.01%计算，则起尘量19t/a。</w:t>
      </w:r>
    </w:p>
    <w:p>
      <w:pPr>
        <w:ind w:firstLine="480"/>
        <w:rPr>
          <w:rFonts w:cs="Times New Roman"/>
          <w:u w:val="single"/>
        </w:rPr>
      </w:pPr>
      <w:r>
        <w:rPr>
          <w:rFonts w:cs="Times New Roman"/>
          <w:u w:val="single"/>
        </w:rPr>
        <w:t>（2）装卸扬尘</w:t>
      </w:r>
    </w:p>
    <w:p>
      <w:pPr>
        <w:ind w:firstLine="480"/>
        <w:rPr>
          <w:rFonts w:cs="Times New Roman"/>
          <w:u w:val="single"/>
        </w:rPr>
      </w:pPr>
      <w:r>
        <w:rPr>
          <w:rFonts w:cs="Times New Roman"/>
          <w:u w:val="single"/>
        </w:rPr>
        <w:t>装卸起尘量按《港口建设项目环境影响评价规范》（JTS105-1-2011）推荐的公式计算：</w:t>
      </w:r>
    </w:p>
    <w:p>
      <w:pPr>
        <w:ind w:firstLine="480"/>
        <w:rPr>
          <w:rFonts w:cs="Times New Roman"/>
          <w:u w:val="single"/>
        </w:rPr>
      </w:pPr>
      <m:oMathPara>
        <m:oMath>
          <m:r>
            <m:rPr/>
            <w:rPr>
              <w:rFonts w:ascii="Cambria Math" w:hAnsi="Cambria Math" w:cs="Times New Roman"/>
              <w:u w:val="single"/>
            </w:rPr>
            <m:t>Q=</m:t>
          </m:r>
          <m:f>
            <m:fPr>
              <m:type m:val="skw"/>
              <m:ctrlPr>
                <w:rPr>
                  <w:rFonts w:ascii="Cambria Math" w:hAnsi="Cambria Math" w:cs="Times New Roman"/>
                  <w:i/>
                  <w:u w:val="single"/>
                </w:rPr>
              </m:ctrlPr>
            </m:fPr>
            <m:num>
              <m:sSup>
                <m:sSupPr>
                  <m:ctrlPr>
                    <w:rPr>
                      <w:rFonts w:ascii="Cambria Math" w:hAnsi="Cambria Math" w:cs="Times New Roman"/>
                      <w:i/>
                      <w:u w:val="single"/>
                    </w:rPr>
                  </m:ctrlPr>
                </m:sSupPr>
                <m:e>
                  <m:r>
                    <m:rPr/>
                    <w:rPr>
                      <w:rFonts w:ascii="Cambria Math" w:hAnsi="Cambria Math" w:cs="Times New Roman"/>
                      <w:u w:val="single"/>
                    </w:rPr>
                    <m:t>αβHe</m:t>
                  </m:r>
                  <m:ctrlPr>
                    <w:rPr>
                      <w:rFonts w:ascii="Cambria Math" w:hAnsi="Cambria Math" w:cs="Times New Roman"/>
                      <w:i/>
                      <w:u w:val="single"/>
                    </w:rPr>
                  </m:ctrlPr>
                </m:e>
                <m:sup>
                  <m:sSub>
                    <m:sSubPr>
                      <m:ctrlPr>
                        <w:rPr>
                          <w:rFonts w:ascii="Cambria Math" w:hAnsi="Cambria Math" w:cs="Times New Roman"/>
                          <w:i/>
                          <w:u w:val="single"/>
                        </w:rPr>
                      </m:ctrlPr>
                    </m:sSubPr>
                    <m:e>
                      <m:r>
                        <m:rPr/>
                        <w:rPr>
                          <w:rFonts w:ascii="Cambria Math" w:hAnsi="Cambria Math" w:cs="Times New Roman"/>
                          <w:u w:val="single"/>
                        </w:rPr>
                        <m:t>ω</m:t>
                      </m:r>
                      <m:ctrlPr>
                        <w:rPr>
                          <w:rFonts w:ascii="Cambria Math" w:hAnsi="Cambria Math" w:cs="Times New Roman"/>
                          <w:i/>
                          <w:u w:val="single"/>
                        </w:rPr>
                      </m:ctrlPr>
                    </m:e>
                    <m:sub>
                      <m:r>
                        <m:rPr/>
                        <w:rPr>
                          <w:rFonts w:ascii="Cambria Math" w:hAnsi="Cambria Math" w:cs="Times New Roman"/>
                          <w:u w:val="single"/>
                        </w:rPr>
                        <m:t>2</m:t>
                      </m:r>
                      <m:ctrlPr>
                        <w:rPr>
                          <w:rFonts w:ascii="Cambria Math" w:hAnsi="Cambria Math" w:cs="Times New Roman"/>
                          <w:i/>
                          <w:u w:val="single"/>
                        </w:rPr>
                      </m:ctrlPr>
                    </m:sub>
                  </m:sSub>
                  <m:d>
                    <m:dPr>
                      <m:ctrlPr>
                        <w:rPr>
                          <w:rFonts w:ascii="Cambria Math" w:hAnsi="Cambria Math" w:cs="Times New Roman"/>
                          <w:i/>
                          <w:u w:val="single"/>
                        </w:rPr>
                      </m:ctrlPr>
                    </m:dPr>
                    <m:e>
                      <m:sSub>
                        <m:sSubPr>
                          <m:ctrlPr>
                            <w:rPr>
                              <w:rFonts w:ascii="Cambria Math" w:hAnsi="Cambria Math" w:cs="Times New Roman"/>
                              <w:i/>
                              <w:u w:val="single"/>
                            </w:rPr>
                          </m:ctrlPr>
                        </m:sSubPr>
                        <m:e>
                          <m:r>
                            <m:rPr/>
                            <w:rPr>
                              <w:rFonts w:ascii="Cambria Math" w:hAnsi="Cambria Math" w:cs="Times New Roman"/>
                              <w:u w:val="single"/>
                            </w:rPr>
                            <m:t>w</m:t>
                          </m:r>
                          <m:ctrlPr>
                            <w:rPr>
                              <w:rFonts w:ascii="Cambria Math" w:hAnsi="Cambria Math" w:cs="Times New Roman"/>
                              <w:i/>
                              <w:u w:val="single"/>
                            </w:rPr>
                          </m:ctrlPr>
                        </m:e>
                        <m:sub>
                          <m:r>
                            <m:rPr/>
                            <w:rPr>
                              <w:rFonts w:ascii="Cambria Math" w:hAnsi="Cambria Math" w:cs="Times New Roman"/>
                              <w:u w:val="single"/>
                            </w:rPr>
                            <m:t>0</m:t>
                          </m:r>
                          <m:ctrlPr>
                            <w:rPr>
                              <w:rFonts w:ascii="Cambria Math" w:hAnsi="Cambria Math" w:cs="Times New Roman"/>
                              <w:i/>
                              <w:u w:val="single"/>
                            </w:rPr>
                          </m:ctrlPr>
                        </m:sub>
                      </m:sSub>
                      <m:r>
                        <m:rPr/>
                        <w:rPr>
                          <w:rFonts w:ascii="Cambria Math" w:hAnsi="Cambria Math" w:cs="Times New Roman"/>
                          <w:u w:val="single"/>
                        </w:rPr>
                        <m:t>−w</m:t>
                      </m:r>
                      <m:ctrlPr>
                        <w:rPr>
                          <w:rFonts w:ascii="Cambria Math" w:hAnsi="Cambria Math" w:cs="Times New Roman"/>
                          <w:i/>
                          <w:u w:val="single"/>
                        </w:rPr>
                      </m:ctrlPr>
                    </m:e>
                  </m:d>
                  <m:ctrlPr>
                    <w:rPr>
                      <w:rFonts w:ascii="Cambria Math" w:hAnsi="Cambria Math" w:cs="Times New Roman"/>
                      <w:i/>
                      <w:u w:val="single"/>
                    </w:rPr>
                  </m:ctrlPr>
                </m:sup>
              </m:sSup>
              <m:r>
                <m:rPr/>
                <w:rPr>
                  <w:rFonts w:ascii="Cambria Math" w:hAnsi="Cambria Math" w:cs="Times New Roman"/>
                  <w:u w:val="single"/>
                </w:rPr>
                <m:t>Y</m:t>
              </m:r>
              <m:ctrlPr>
                <w:rPr>
                  <w:rFonts w:ascii="Cambria Math" w:hAnsi="Cambria Math" w:cs="Times New Roman"/>
                  <w:i/>
                  <w:u w:val="single"/>
                </w:rPr>
              </m:ctrlPr>
            </m:num>
            <m:den>
              <m:d>
                <m:dPr>
                  <m:begChr m:val="["/>
                  <m:endChr m:val="]"/>
                  <m:ctrlPr>
                    <w:rPr>
                      <w:rFonts w:ascii="Cambria Math" w:hAnsi="Cambria Math" w:cs="Times New Roman"/>
                      <w:i/>
                      <w:u w:val="single"/>
                    </w:rPr>
                  </m:ctrlPr>
                </m:dPr>
                <m:e>
                  <m:r>
                    <m:rPr/>
                    <w:rPr>
                      <w:rFonts w:ascii="Cambria Math" w:hAnsi="Cambria Math" w:cs="Times New Roman"/>
                      <w:u w:val="single"/>
                    </w:rPr>
                    <m:t>1+</m:t>
                  </m:r>
                  <m:sSup>
                    <m:sSupPr>
                      <m:ctrlPr>
                        <w:rPr>
                          <w:rFonts w:ascii="Cambria Math" w:hAnsi="Cambria Math" w:cs="Times New Roman"/>
                          <w:i/>
                          <w:u w:val="single"/>
                        </w:rPr>
                      </m:ctrlPr>
                    </m:sSupPr>
                    <m:e>
                      <m:r>
                        <m:rPr/>
                        <w:rPr>
                          <w:rFonts w:ascii="Cambria Math" w:hAnsi="Cambria Math" w:cs="Times New Roman"/>
                          <w:u w:val="single"/>
                        </w:rPr>
                        <m:t>e</m:t>
                      </m:r>
                      <m:ctrlPr>
                        <w:rPr>
                          <w:rFonts w:ascii="Cambria Math" w:hAnsi="Cambria Math" w:cs="Times New Roman"/>
                          <w:i/>
                          <w:u w:val="single"/>
                        </w:rPr>
                      </m:ctrlPr>
                    </m:e>
                    <m:sup>
                      <m:r>
                        <m:rPr/>
                        <w:rPr>
                          <w:rFonts w:ascii="Cambria Math" w:hAnsi="Cambria Math" w:cs="Times New Roman"/>
                          <w:u w:val="single"/>
                        </w:rPr>
                        <m:t>0.25</m:t>
                      </m:r>
                      <m:d>
                        <m:dPr>
                          <m:ctrlPr>
                            <w:rPr>
                              <w:rFonts w:ascii="Cambria Math" w:hAnsi="Cambria Math" w:cs="Times New Roman"/>
                              <w:i/>
                              <w:u w:val="single"/>
                            </w:rPr>
                          </m:ctrlPr>
                        </m:dPr>
                        <m:e>
                          <m:sSub>
                            <m:sSubPr>
                              <m:ctrlPr>
                                <w:rPr>
                                  <w:rFonts w:ascii="Cambria Math" w:hAnsi="Cambria Math" w:cs="Times New Roman"/>
                                  <w:i/>
                                  <w:u w:val="single"/>
                                </w:rPr>
                              </m:ctrlPr>
                            </m:sSubPr>
                            <m:e>
                              <m:r>
                                <m:rPr/>
                                <w:rPr>
                                  <w:rFonts w:ascii="Cambria Math" w:hAnsi="Cambria Math" w:cs="Times New Roman"/>
                                  <w:u w:val="single"/>
                                </w:rPr>
                                <m:t>v</m:t>
                              </m:r>
                              <m:ctrlPr>
                                <w:rPr>
                                  <w:rFonts w:ascii="Cambria Math" w:hAnsi="Cambria Math" w:cs="Times New Roman"/>
                                  <w:i/>
                                  <w:u w:val="single"/>
                                </w:rPr>
                              </m:ctrlPr>
                            </m:e>
                            <m:sub>
                              <m:r>
                                <m:rPr/>
                                <w:rPr>
                                  <w:rFonts w:ascii="Cambria Math" w:hAnsi="Cambria Math" w:cs="Times New Roman"/>
                                  <w:u w:val="single"/>
                                </w:rPr>
                                <m:t>2</m:t>
                              </m:r>
                              <m:ctrlPr>
                                <w:rPr>
                                  <w:rFonts w:ascii="Cambria Math" w:hAnsi="Cambria Math" w:cs="Times New Roman"/>
                                  <w:i/>
                                  <w:u w:val="single"/>
                                </w:rPr>
                              </m:ctrlPr>
                            </m:sub>
                          </m:sSub>
                          <m:r>
                            <m:rPr/>
                            <w:rPr>
                              <w:rFonts w:ascii="Cambria Math" w:hAnsi="Cambria Math" w:eastAsia="微软雅黑" w:cs="Times New Roman"/>
                              <w:u w:val="single"/>
                            </w:rPr>
                            <m:t>−</m:t>
                          </m:r>
                          <m:r>
                            <m:rPr/>
                            <w:rPr>
                              <w:rFonts w:ascii="Cambria Math" w:hAnsi="Cambria Math" w:cs="Times New Roman"/>
                              <w:u w:val="single"/>
                            </w:rPr>
                            <m:t>U</m:t>
                          </m:r>
                          <m:ctrlPr>
                            <w:rPr>
                              <w:rFonts w:ascii="Cambria Math" w:hAnsi="Cambria Math" w:cs="Times New Roman"/>
                              <w:i/>
                              <w:u w:val="single"/>
                            </w:rPr>
                          </m:ctrlPr>
                        </m:e>
                      </m:d>
                      <m:ctrlPr>
                        <w:rPr>
                          <w:rFonts w:ascii="Cambria Math" w:hAnsi="Cambria Math" w:cs="Times New Roman"/>
                          <w:i/>
                          <w:u w:val="single"/>
                        </w:rPr>
                      </m:ctrlPr>
                    </m:sup>
                  </m:sSup>
                  <m:ctrlPr>
                    <w:rPr>
                      <w:rFonts w:ascii="Cambria Math" w:hAnsi="Cambria Math" w:cs="Times New Roman"/>
                      <w:i/>
                      <w:u w:val="single"/>
                    </w:rPr>
                  </m:ctrlPr>
                </m:e>
              </m:d>
              <m:ctrlPr>
                <w:rPr>
                  <w:rFonts w:ascii="Cambria Math" w:hAnsi="Cambria Math" w:cs="Times New Roman"/>
                  <w:i/>
                  <w:u w:val="single"/>
                </w:rPr>
              </m:ctrlPr>
            </m:den>
          </m:f>
        </m:oMath>
      </m:oMathPara>
    </w:p>
    <w:p>
      <w:pPr>
        <w:ind w:firstLine="480"/>
        <w:rPr>
          <w:rFonts w:cs="Times New Roman"/>
          <w:u w:val="single"/>
        </w:rPr>
      </w:pPr>
      <w:r>
        <w:rPr>
          <w:rFonts w:cs="Times New Roman"/>
          <w:u w:val="single"/>
        </w:rPr>
        <w:t xml:space="preserve">式中：Q——堆场作业起尘量（kg）； </w:t>
      </w:r>
    </w:p>
    <w:p>
      <w:pPr>
        <w:ind w:firstLine="480"/>
        <w:rPr>
          <w:rFonts w:cs="Times New Roman"/>
          <w:u w:val="single"/>
        </w:rPr>
      </w:pPr>
      <w:r>
        <w:rPr>
          <w:rFonts w:cs="Times New Roman"/>
          <w:u w:val="single"/>
        </w:rPr>
        <w:t>α——货物类型起尘调节系数，本项目装卸货物为煤，α取0.8；</w:t>
      </w:r>
    </w:p>
    <w:p>
      <w:pPr>
        <w:ind w:firstLine="480"/>
        <w:rPr>
          <w:rFonts w:cs="Times New Roman"/>
          <w:u w:val="single"/>
        </w:rPr>
      </w:pPr>
      <w:r>
        <w:rPr>
          <w:rFonts w:cs="Times New Roman"/>
          <w:u w:val="single"/>
        </w:rPr>
        <w:t>β——作业方式系数，根据《港口建设项目环境影响评价规范》4.3.3.1节，码头卸料时，β=2；堆场装堆时，β=1；堆场取料时，β=2；码头装料时，β=1；</w:t>
      </w:r>
    </w:p>
    <w:p>
      <w:pPr>
        <w:ind w:firstLine="480"/>
        <w:rPr>
          <w:rFonts w:cs="Times New Roman"/>
          <w:u w:val="single"/>
        </w:rPr>
      </w:pPr>
      <w:r>
        <w:rPr>
          <w:rFonts w:cs="Times New Roman"/>
          <w:u w:val="single"/>
        </w:rPr>
        <w:t>H——作业落差（m），取1.0m；</w:t>
      </w:r>
    </w:p>
    <w:p>
      <w:pPr>
        <w:ind w:firstLine="480"/>
        <w:rPr>
          <w:rFonts w:cs="Times New Roman"/>
          <w:u w:val="single"/>
        </w:rPr>
      </w:pPr>
      <w:r>
        <w:rPr>
          <w:rFonts w:cs="Times New Roman"/>
          <w:u w:val="single"/>
        </w:rPr>
        <w:t>ω</w:t>
      </w:r>
      <w:r>
        <w:rPr>
          <w:rFonts w:cs="Times New Roman"/>
          <w:u w:val="single"/>
          <w:vertAlign w:val="subscript"/>
        </w:rPr>
        <w:t>2</w:t>
      </w:r>
      <w:r>
        <w:rPr>
          <w:rFonts w:cs="Times New Roman"/>
          <w:u w:val="single"/>
        </w:rPr>
        <w:t>——水分作用系数，根据《港口建设项目环境影响评价规范》4.3.3.1节，该系数与散货性质有关，取0.40-0.45，本项目取0.40；</w:t>
      </w:r>
    </w:p>
    <w:p>
      <w:pPr>
        <w:ind w:firstLine="480"/>
        <w:rPr>
          <w:rFonts w:cs="Times New Roman"/>
          <w:u w:val="single"/>
        </w:rPr>
      </w:pPr>
      <w:r>
        <w:rPr>
          <w:rFonts w:cs="Times New Roman"/>
          <w:u w:val="single"/>
        </w:rPr>
        <w:t>w</w:t>
      </w:r>
      <w:r>
        <w:rPr>
          <w:rFonts w:cs="Times New Roman"/>
          <w:u w:val="single"/>
          <w:vertAlign w:val="subscript"/>
        </w:rPr>
        <w:t>0</w:t>
      </w:r>
      <w:r>
        <w:rPr>
          <w:rFonts w:cs="Times New Roman"/>
          <w:u w:val="single"/>
        </w:rPr>
        <w:t>——水分作业效果的临界值，即含水率高于此值时水分作用效果增加不明显，与散货性质有关，煤炭取6%；</w:t>
      </w:r>
    </w:p>
    <w:p>
      <w:pPr>
        <w:ind w:firstLine="480"/>
        <w:rPr>
          <w:rFonts w:cs="Times New Roman"/>
          <w:u w:val="single"/>
        </w:rPr>
      </w:pPr>
      <w:r>
        <w:rPr>
          <w:rFonts w:cs="Times New Roman"/>
          <w:u w:val="single"/>
        </w:rPr>
        <w:t>w——含水率（%），取收到基全水分10.7%；</w:t>
      </w:r>
    </w:p>
    <w:p>
      <w:pPr>
        <w:ind w:firstLine="480"/>
        <w:rPr>
          <w:rFonts w:cs="Times New Roman"/>
          <w:u w:val="single"/>
        </w:rPr>
      </w:pPr>
      <w:r>
        <w:rPr>
          <w:rFonts w:cs="Times New Roman"/>
          <w:u w:val="single"/>
        </w:rPr>
        <w:t>Y——作业量t，取190000t。</w:t>
      </w:r>
    </w:p>
    <w:p>
      <w:pPr>
        <w:ind w:firstLine="480"/>
        <w:rPr>
          <w:rFonts w:cs="Times New Roman"/>
          <w:u w:val="single"/>
        </w:rPr>
      </w:pPr>
      <w:r>
        <w:rPr>
          <w:rFonts w:cs="Times New Roman"/>
          <w:u w:val="single"/>
        </w:rPr>
        <w:t>V</w:t>
      </w:r>
      <w:r>
        <w:rPr>
          <w:rFonts w:cs="Times New Roman"/>
          <w:u w:val="single"/>
          <w:vertAlign w:val="subscript"/>
        </w:rPr>
        <w:t>2</w:t>
      </w:r>
      <w:r>
        <w:rPr>
          <w:rFonts w:cs="Times New Roman"/>
          <w:u w:val="single"/>
        </w:rPr>
        <w:t>——作业起尘量达到最大起尘量50%时的风速（m/s），取0.5m/s；</w:t>
      </w:r>
    </w:p>
    <w:p>
      <w:pPr>
        <w:ind w:firstLine="480"/>
        <w:rPr>
          <w:rFonts w:cs="Times New Roman"/>
          <w:u w:val="single"/>
        </w:rPr>
      </w:pPr>
      <w:r>
        <w:rPr>
          <w:rFonts w:cs="Times New Roman"/>
          <w:u w:val="single"/>
        </w:rPr>
        <w:t>U——风速（m/s），室内风速取0.5m/s。</w:t>
      </w:r>
    </w:p>
    <w:p>
      <w:pPr>
        <w:ind w:firstLine="480"/>
        <w:rPr>
          <w:rFonts w:cs="Times New Roman"/>
          <w:u w:val="single"/>
        </w:rPr>
      </w:pPr>
      <w:r>
        <w:rPr>
          <w:rFonts w:cs="Times New Roman"/>
          <w:u w:val="single"/>
        </w:rPr>
        <w:t>根据上述公式计算，煤卸料粉尘量为：23.19t/a，上料粉尘量为：11.60t/a。</w:t>
      </w:r>
    </w:p>
    <w:p>
      <w:pPr>
        <w:ind w:firstLine="480"/>
        <w:rPr>
          <w:rFonts w:cs="Times New Roman"/>
          <w:u w:val="single"/>
        </w:rPr>
      </w:pPr>
      <w:r>
        <w:rPr>
          <w:rFonts w:cs="Times New Roman"/>
          <w:u w:val="single"/>
        </w:rPr>
        <w:t>（3）煤筛分扬尘</w:t>
      </w:r>
    </w:p>
    <w:p>
      <w:pPr>
        <w:ind w:firstLine="480"/>
        <w:rPr>
          <w:rFonts w:cs="Times New Roman"/>
          <w:u w:val="single"/>
        </w:rPr>
      </w:pPr>
      <w:r>
        <w:rPr>
          <w:rFonts w:cs="Times New Roman"/>
          <w:u w:val="single"/>
        </w:rPr>
        <w:t>筛分扬尘通过类比“左云九圆煤业有限公司180万吨/年洗煤厂项目”验收监测数据，该项目煤在筛分过程中产生量约为165t/a，约为原料量的万分之0.9，则本项目筛分扬尘产生量约为17.1t/a。</w:t>
      </w:r>
    </w:p>
    <w:p>
      <w:pPr>
        <w:ind w:firstLine="480"/>
        <w:rPr>
          <w:rFonts w:cs="Times New Roman"/>
          <w:u w:val="single"/>
        </w:rPr>
      </w:pPr>
      <w:r>
        <w:rPr>
          <w:rFonts w:hint="eastAsia" w:cs="Times New Roman"/>
          <w:u w:val="single"/>
        </w:rPr>
        <w:t>（4）煤破碎、粉磨粉尘</w:t>
      </w:r>
    </w:p>
    <w:p>
      <w:pPr>
        <w:ind w:firstLine="480"/>
        <w:rPr>
          <w:rFonts w:cs="Times New Roman"/>
          <w:u w:val="single"/>
        </w:rPr>
      </w:pPr>
      <w:r>
        <w:rPr>
          <w:rFonts w:hint="eastAsia" w:cs="Times New Roman"/>
          <w:u w:val="single"/>
        </w:rPr>
        <w:t>参照《逸散性工业粉尘控制技术》及类比煤制煤粉项目，粉尘产生量约为0</w:t>
      </w:r>
      <w:r>
        <w:rPr>
          <w:rFonts w:cs="Times New Roman"/>
          <w:u w:val="single"/>
        </w:rPr>
        <w:t>.25</w:t>
      </w:r>
      <w:r>
        <w:rPr>
          <w:rFonts w:hint="eastAsia" w:cs="Times New Roman"/>
          <w:u w:val="single"/>
        </w:rPr>
        <w:t>kg</w:t>
      </w:r>
      <w:r>
        <w:rPr>
          <w:rFonts w:cs="Times New Roman"/>
          <w:u w:val="single"/>
        </w:rPr>
        <w:t>/t</w:t>
      </w:r>
      <w:r>
        <w:rPr>
          <w:rFonts w:hint="eastAsia" w:cs="Times New Roman"/>
          <w:u w:val="single"/>
        </w:rPr>
        <w:t>-原料，项目年原煤使用量为1</w:t>
      </w:r>
      <w:r>
        <w:rPr>
          <w:rFonts w:cs="Times New Roman"/>
          <w:u w:val="single"/>
        </w:rPr>
        <w:t>9</w:t>
      </w:r>
      <w:r>
        <w:rPr>
          <w:rFonts w:hint="eastAsia" w:cs="Times New Roman"/>
          <w:u w:val="single"/>
        </w:rPr>
        <w:t>万t，则粉尘产生量约为4</w:t>
      </w:r>
      <w:r>
        <w:rPr>
          <w:rFonts w:cs="Times New Roman"/>
          <w:u w:val="single"/>
        </w:rPr>
        <w:t>7.5</w:t>
      </w:r>
      <w:r>
        <w:rPr>
          <w:rFonts w:hint="eastAsia" w:cs="Times New Roman"/>
          <w:u w:val="single"/>
        </w:rPr>
        <w:t>t</w:t>
      </w:r>
      <w:r>
        <w:rPr>
          <w:rFonts w:cs="Times New Roman"/>
          <w:u w:val="single"/>
        </w:rPr>
        <w:t>/a</w:t>
      </w:r>
      <w:r>
        <w:rPr>
          <w:rFonts w:hint="eastAsia" w:cs="Times New Roman"/>
          <w:u w:val="single"/>
        </w:rPr>
        <w:t>。</w:t>
      </w:r>
    </w:p>
    <w:p>
      <w:pPr>
        <w:ind w:firstLine="480"/>
        <w:rPr>
          <w:rFonts w:cs="Times New Roman"/>
          <w:u w:val="single"/>
        </w:rPr>
      </w:pPr>
      <w:r>
        <w:rPr>
          <w:rFonts w:cs="Times New Roman"/>
          <w:u w:val="single"/>
        </w:rPr>
        <w:t>（5）煤堆场扬尘、装卸扬尘、筛分扬尘</w:t>
      </w:r>
      <w:r>
        <w:rPr>
          <w:rFonts w:hint="eastAsia" w:cs="Times New Roman"/>
          <w:u w:val="single"/>
        </w:rPr>
        <w:t>及破碎粉磨粉尘</w:t>
      </w:r>
      <w:r>
        <w:rPr>
          <w:rFonts w:cs="Times New Roman"/>
          <w:u w:val="single"/>
        </w:rPr>
        <w:t>排放情况</w:t>
      </w:r>
    </w:p>
    <w:p>
      <w:pPr>
        <w:ind w:firstLine="480"/>
        <w:rPr>
          <w:rFonts w:cs="Times New Roman"/>
          <w:u w:val="single"/>
        </w:rPr>
      </w:pPr>
      <w:r>
        <w:rPr>
          <w:rFonts w:cs="Times New Roman"/>
          <w:u w:val="single"/>
        </w:rPr>
        <w:t>项目煤仓</w:t>
      </w:r>
      <w:r>
        <w:rPr>
          <w:rFonts w:hint="eastAsia" w:cs="Times New Roman"/>
          <w:u w:val="single"/>
        </w:rPr>
        <w:t>（1#原料堆场）</w:t>
      </w:r>
      <w:r>
        <w:rPr>
          <w:rFonts w:cs="Times New Roman"/>
          <w:u w:val="single"/>
        </w:rPr>
        <w:t>采用集气罩收集各工段粉尘，煤仓总粉尘产生量约为118.39t/a，集气罩收集效率按90%计算，则有组织废气产生量约为106.55t/a，采用脉冲式布袋除尘器处理（处理效率按99%计算）后，通过15m排气筒（DA001）排放，采用25000m</w:t>
      </w:r>
      <w:r>
        <w:rPr>
          <w:rFonts w:cs="Times New Roman"/>
          <w:u w:val="single"/>
          <w:vertAlign w:val="superscript"/>
        </w:rPr>
        <w:t>3</w:t>
      </w:r>
      <w:r>
        <w:rPr>
          <w:rFonts w:cs="Times New Roman"/>
          <w:u w:val="single"/>
        </w:rPr>
        <w:t>/h的风机，则颗粒物产生浓度为538.13mg/m</w:t>
      </w:r>
      <w:r>
        <w:rPr>
          <w:rFonts w:cs="Times New Roman"/>
          <w:u w:val="single"/>
          <w:vertAlign w:val="superscript"/>
        </w:rPr>
        <w:t>3</w:t>
      </w:r>
      <w:r>
        <w:rPr>
          <w:rFonts w:cs="Times New Roman"/>
          <w:u w:val="single"/>
        </w:rPr>
        <w:t>，排放量为1.07t/a，排放速率为0.14kg/h，排放浓度为5.38mg/m</w:t>
      </w:r>
      <w:r>
        <w:rPr>
          <w:rFonts w:cs="Times New Roman"/>
          <w:u w:val="single"/>
          <w:vertAlign w:val="superscript"/>
        </w:rPr>
        <w:t>3</w:t>
      </w:r>
      <w:r>
        <w:rPr>
          <w:rFonts w:cs="Times New Roman"/>
          <w:u w:val="single"/>
        </w:rPr>
        <w:t>。</w:t>
      </w:r>
    </w:p>
    <w:p>
      <w:pPr>
        <w:ind w:firstLine="480"/>
        <w:rPr>
          <w:rFonts w:cs="Times New Roman"/>
          <w:u w:val="single"/>
        </w:rPr>
      </w:pPr>
      <w:r>
        <w:rPr>
          <w:rFonts w:cs="Times New Roman"/>
          <w:u w:val="single"/>
        </w:rPr>
        <w:t>未被收集的颗粒物量为11.84t/a，在车间内无组织排放，项目煤仓为密闭车间，颗粒物大部分在车间内沉降，排放至车间外的量按10%计算，则无组织排放量为1.18t/a，排放速率为0.15kg/h。</w:t>
      </w:r>
    </w:p>
    <w:p>
      <w:pPr>
        <w:ind w:firstLine="480"/>
        <w:rPr>
          <w:rFonts w:cs="Times New Roman"/>
          <w:u w:val="single"/>
        </w:rPr>
      </w:pPr>
      <w:r>
        <w:rPr>
          <w:rFonts w:cs="Times New Roman"/>
          <w:u w:val="single"/>
        </w:rPr>
        <w:t>3、印刷废气G13</w:t>
      </w:r>
    </w:p>
    <w:p>
      <w:pPr>
        <w:ind w:firstLine="480"/>
        <w:rPr>
          <w:rFonts w:cs="Times New Roman"/>
          <w:u w:val="single"/>
        </w:rPr>
      </w:pPr>
      <w:r>
        <w:rPr>
          <w:rFonts w:cs="Times New Roman"/>
          <w:u w:val="single"/>
        </w:rPr>
        <w:t>纸箱印刷过程中会产生一定量的挥发性有机物，参照《第二次全国污染源普查工业污染源产排污系数手册》“231 印刷行业产排污系数表”挥发性有机物产生量为19kg/t-油墨，项目UV油墨使用量约为300t/a，则挥发性有机物产生量5.7t/a。印刷工序配套集气工序，废气收集效率按90%计算，则有组织污染物产生量为5.13t/a，</w:t>
      </w:r>
      <w:r>
        <w:rPr>
          <w:rFonts w:hint="eastAsia" w:cs="Times New Roman"/>
          <w:u w:val="single"/>
        </w:rPr>
        <w:t>有组织废气收集后送入4#制粉车间热风炉内燃烧后排放，燃烧处理效率为8</w:t>
      </w:r>
      <w:r>
        <w:rPr>
          <w:rFonts w:cs="Times New Roman"/>
          <w:u w:val="single"/>
        </w:rPr>
        <w:t>0</w:t>
      </w:r>
      <w:r>
        <w:rPr>
          <w:rFonts w:hint="eastAsia" w:cs="Times New Roman"/>
          <w:u w:val="single"/>
        </w:rPr>
        <w:t>%，则NMHC排放量为1</w:t>
      </w:r>
      <w:r>
        <w:rPr>
          <w:rFonts w:cs="Times New Roman"/>
          <w:u w:val="single"/>
        </w:rPr>
        <w:t>.03</w:t>
      </w:r>
      <w:r>
        <w:rPr>
          <w:rFonts w:hint="eastAsia" w:cs="Times New Roman"/>
          <w:u w:val="single"/>
        </w:rPr>
        <w:t>t</w:t>
      </w:r>
      <w:r>
        <w:rPr>
          <w:rFonts w:cs="Times New Roman"/>
          <w:u w:val="single"/>
        </w:rPr>
        <w:t>/a</w:t>
      </w:r>
      <w:r>
        <w:rPr>
          <w:rFonts w:hint="eastAsia" w:cs="Times New Roman"/>
          <w:u w:val="single"/>
        </w:rPr>
        <w:t>，具体排放情况详见下文制粉车间喷雾废气分析。</w:t>
      </w:r>
    </w:p>
    <w:p>
      <w:pPr>
        <w:ind w:firstLine="480"/>
        <w:rPr>
          <w:rFonts w:cs="Times New Roman"/>
          <w:u w:val="single"/>
        </w:rPr>
      </w:pPr>
      <w:r>
        <w:rPr>
          <w:rFonts w:cs="Times New Roman"/>
          <w:u w:val="single"/>
        </w:rPr>
        <w:t>纸箱生产车间NMHC无组织排放量为0.57t/a，排放速率为0.08kg/h。</w:t>
      </w:r>
    </w:p>
    <w:p>
      <w:pPr>
        <w:ind w:firstLine="480"/>
        <w:rPr>
          <w:rFonts w:cs="Times New Roman"/>
          <w:u w:val="single"/>
        </w:rPr>
      </w:pPr>
      <w:r>
        <w:rPr>
          <w:rFonts w:cs="Times New Roman"/>
          <w:u w:val="single"/>
        </w:rPr>
        <w:t>4、喷雾废气G2、G6</w:t>
      </w:r>
    </w:p>
    <w:p>
      <w:pPr>
        <w:ind w:firstLine="480"/>
        <w:rPr>
          <w:rFonts w:cs="Times New Roman"/>
          <w:u w:val="single"/>
        </w:rPr>
      </w:pPr>
      <w:r>
        <w:rPr>
          <w:rFonts w:cs="Times New Roman"/>
          <w:u w:val="single"/>
        </w:rPr>
        <w:t>本项目设12台喷雾塔，使用</w:t>
      </w:r>
      <w:r>
        <w:rPr>
          <w:rFonts w:hint="eastAsia" w:cs="Times New Roman"/>
          <w:u w:val="single"/>
        </w:rPr>
        <w:t>微煤粉</w:t>
      </w:r>
      <w:r>
        <w:rPr>
          <w:rFonts w:cs="Times New Roman"/>
          <w:u w:val="single"/>
        </w:rPr>
        <w:t>作燃料</w:t>
      </w:r>
      <w:r>
        <w:rPr>
          <w:rFonts w:hint="eastAsia" w:cs="Times New Roman"/>
          <w:u w:val="single"/>
        </w:rPr>
        <w:t>，同时协同处理印刷废气中挥发性有机物</w:t>
      </w:r>
      <w:r>
        <w:rPr>
          <w:rFonts w:cs="Times New Roman"/>
          <w:u w:val="single"/>
        </w:rPr>
        <w:t>，年使用</w:t>
      </w:r>
      <w:r>
        <w:rPr>
          <w:rFonts w:hint="eastAsia" w:cs="Times New Roman"/>
          <w:u w:val="single"/>
        </w:rPr>
        <w:t>微煤粉</w:t>
      </w:r>
      <w:r>
        <w:rPr>
          <w:rFonts w:cs="Times New Roman"/>
          <w:u w:val="single"/>
        </w:rPr>
        <w:t>量为19</w:t>
      </w:r>
      <w:r>
        <w:rPr>
          <w:rFonts w:hint="eastAsia" w:cs="Times New Roman"/>
          <w:u w:val="single"/>
        </w:rPr>
        <w:t>万</w:t>
      </w:r>
      <w:r>
        <w:rPr>
          <w:rFonts w:cs="Times New Roman"/>
          <w:u w:val="single"/>
        </w:rPr>
        <w:t>t/a。在喷雾塔中，从上而下的浆与从下而上的热空气相遇，浆中的水分受热蒸发，高温干燥后的粉料则下降到塔底，而后收集通过输送带送往储粉箱。喷雾塔顶部产生的废气含有SO</w:t>
      </w:r>
      <w:r>
        <w:rPr>
          <w:rFonts w:cs="Times New Roman"/>
          <w:u w:val="single"/>
          <w:vertAlign w:val="subscript"/>
        </w:rPr>
        <w:t>2</w:t>
      </w:r>
      <w:r>
        <w:rPr>
          <w:rFonts w:cs="Times New Roman"/>
          <w:u w:val="single"/>
        </w:rPr>
        <w:t>和烟尘，喷雾塔底部出粉时会产生少量的粉尘废气。</w:t>
      </w:r>
    </w:p>
    <w:p>
      <w:pPr>
        <w:ind w:firstLine="480"/>
        <w:rPr>
          <w:rFonts w:cs="Times New Roman"/>
          <w:u w:val="single"/>
        </w:rPr>
      </w:pPr>
      <w:r>
        <w:rPr>
          <w:rFonts w:hint="eastAsia" w:cs="Times New Roman"/>
          <w:u w:val="single"/>
        </w:rPr>
        <w:t>微煤粉热值约为6</w:t>
      </w:r>
      <w:r>
        <w:rPr>
          <w:rFonts w:cs="Times New Roman"/>
          <w:u w:val="single"/>
        </w:rPr>
        <w:t>300kcal</w:t>
      </w:r>
      <w:r>
        <w:rPr>
          <w:rFonts w:hint="eastAsia" w:cs="Times New Roman"/>
          <w:u w:val="single"/>
        </w:rPr>
        <w:t>/</w:t>
      </w:r>
      <w:r>
        <w:rPr>
          <w:rFonts w:cs="Times New Roman"/>
          <w:u w:val="single"/>
        </w:rPr>
        <w:t>kg</w:t>
      </w:r>
      <w:r>
        <w:rPr>
          <w:rFonts w:hint="eastAsia" w:cs="Times New Roman"/>
          <w:u w:val="single"/>
        </w:rPr>
        <w:t>，总产热量为</w:t>
      </w:r>
      <w:r>
        <w:rPr>
          <w:rFonts w:cs="Times New Roman"/>
          <w:u w:val="single"/>
        </w:rPr>
        <w:t>1.197</w:t>
      </w:r>
      <w:r>
        <w:rPr>
          <w:rFonts w:hint="eastAsia" w:cs="Times New Roman"/>
          <w:u w:val="single"/>
        </w:rPr>
        <w:t>×</w:t>
      </w:r>
      <w:r>
        <w:rPr>
          <w:rFonts w:cs="Times New Roman"/>
          <w:u w:val="single"/>
        </w:rPr>
        <w:t>10</w:t>
      </w:r>
      <w:r>
        <w:rPr>
          <w:rFonts w:cs="Times New Roman"/>
          <w:u w:val="single"/>
          <w:vertAlign w:val="superscript"/>
        </w:rPr>
        <w:t>12</w:t>
      </w:r>
      <w:r>
        <w:rPr>
          <w:rFonts w:hint="eastAsia" w:cs="Times New Roman"/>
          <w:u w:val="single"/>
        </w:rPr>
        <w:t>k</w:t>
      </w:r>
      <w:r>
        <w:rPr>
          <w:rFonts w:cs="Times New Roman"/>
          <w:u w:val="single"/>
        </w:rPr>
        <w:t>cal</w:t>
      </w:r>
      <w:r>
        <w:rPr>
          <w:rFonts w:hint="eastAsia" w:cs="Times New Roman"/>
          <w:u w:val="single"/>
        </w:rPr>
        <w:t>；印刷废气中有机物量较少，本次不考虑其燃烧热值，则喷雾塔总产热量为</w:t>
      </w:r>
      <w:r>
        <w:rPr>
          <w:rFonts w:cs="Times New Roman"/>
          <w:u w:val="single"/>
        </w:rPr>
        <w:t>1.197</w:t>
      </w:r>
      <w:r>
        <w:rPr>
          <w:rFonts w:hint="eastAsia" w:cs="Times New Roman"/>
          <w:u w:val="single"/>
        </w:rPr>
        <w:t>×</w:t>
      </w:r>
      <w:r>
        <w:rPr>
          <w:rFonts w:cs="Times New Roman"/>
          <w:u w:val="single"/>
        </w:rPr>
        <w:t>10</w:t>
      </w:r>
      <w:r>
        <w:rPr>
          <w:rFonts w:cs="Times New Roman"/>
          <w:u w:val="single"/>
          <w:vertAlign w:val="superscript"/>
        </w:rPr>
        <w:t>12</w:t>
      </w:r>
      <w:r>
        <w:rPr>
          <w:rFonts w:hint="eastAsia" w:cs="Times New Roman"/>
          <w:u w:val="single"/>
        </w:rPr>
        <w:t>kcal。每个制粉车间各布设</w:t>
      </w:r>
      <w:r>
        <w:rPr>
          <w:rFonts w:cs="Times New Roman"/>
          <w:u w:val="single"/>
        </w:rPr>
        <w:t>3</w:t>
      </w:r>
      <w:r>
        <w:rPr>
          <w:rFonts w:hint="eastAsia" w:cs="Times New Roman"/>
          <w:u w:val="single"/>
        </w:rPr>
        <w:t>台喷雾塔+</w:t>
      </w:r>
      <w:r>
        <w:rPr>
          <w:rFonts w:cs="Times New Roman"/>
          <w:u w:val="single"/>
        </w:rPr>
        <w:t>1</w:t>
      </w:r>
      <w:r>
        <w:rPr>
          <w:rFonts w:hint="eastAsia" w:cs="Times New Roman"/>
          <w:u w:val="single"/>
        </w:rPr>
        <w:t>个排气筒，每台喷雾塔产能一致，因此需要的热值一致，可计算出各车间燃料消耗量如下：</w:t>
      </w:r>
    </w:p>
    <w:p>
      <w:pPr>
        <w:ind w:firstLine="0" w:firstLineChars="0"/>
        <w:jc w:val="center"/>
        <w:rPr>
          <w:rFonts w:cs="Times New Roman"/>
          <w:u w:val="single"/>
        </w:rPr>
      </w:pPr>
      <w:r>
        <w:rPr>
          <w:rFonts w:hint="eastAsia" w:cs="Times New Roman"/>
          <w:u w:val="single"/>
        </w:rPr>
        <w:t>表3</w:t>
      </w:r>
      <w:r>
        <w:rPr>
          <w:rFonts w:cs="Times New Roman"/>
          <w:u w:val="single"/>
        </w:rPr>
        <w:t>.3</w:t>
      </w:r>
      <w:r>
        <w:rPr>
          <w:rFonts w:hint="eastAsia" w:cs="Times New Roman"/>
          <w:u w:val="single"/>
        </w:rPr>
        <w:t>-</w:t>
      </w:r>
      <w:r>
        <w:rPr>
          <w:rFonts w:cs="Times New Roman"/>
          <w:u w:val="single"/>
        </w:rPr>
        <w:t xml:space="preserve">1  </w:t>
      </w:r>
      <w:r>
        <w:rPr>
          <w:rFonts w:hint="eastAsia" w:cs="Times New Roman"/>
          <w:u w:val="single"/>
        </w:rPr>
        <w:t>各制粉车间燃料消耗量</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6"/>
        <w:gridCol w:w="1427"/>
        <w:gridCol w:w="2136"/>
        <w:gridCol w:w="1721"/>
        <w:gridCol w:w="1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pPr>
              <w:spacing w:line="240" w:lineRule="auto"/>
              <w:ind w:firstLine="0" w:firstLineChars="0"/>
              <w:jc w:val="center"/>
              <w:rPr>
                <w:sz w:val="21"/>
                <w:szCs w:val="16"/>
                <w:u w:val="single"/>
              </w:rPr>
            </w:pPr>
            <w:r>
              <w:rPr>
                <w:rFonts w:hint="eastAsia"/>
                <w:sz w:val="21"/>
                <w:szCs w:val="16"/>
                <w:u w:val="single"/>
              </w:rPr>
              <w:t>车间</w:t>
            </w:r>
          </w:p>
        </w:tc>
        <w:tc>
          <w:tcPr>
            <w:tcW w:w="837" w:type="pct"/>
            <w:vAlign w:val="center"/>
          </w:tcPr>
          <w:p>
            <w:pPr>
              <w:spacing w:line="240" w:lineRule="auto"/>
              <w:ind w:firstLine="0" w:firstLineChars="0"/>
              <w:jc w:val="center"/>
              <w:rPr>
                <w:sz w:val="21"/>
                <w:szCs w:val="16"/>
                <w:u w:val="single"/>
              </w:rPr>
            </w:pPr>
            <w:r>
              <w:rPr>
                <w:rFonts w:hint="eastAsia"/>
                <w:sz w:val="21"/>
                <w:szCs w:val="16"/>
                <w:u w:val="single"/>
              </w:rPr>
              <w:t>排气筒编号</w:t>
            </w:r>
          </w:p>
        </w:tc>
        <w:tc>
          <w:tcPr>
            <w:tcW w:w="1253" w:type="pct"/>
            <w:vAlign w:val="center"/>
          </w:tcPr>
          <w:p>
            <w:pPr>
              <w:spacing w:line="240" w:lineRule="auto"/>
              <w:ind w:firstLine="0" w:firstLineChars="0"/>
              <w:jc w:val="center"/>
              <w:rPr>
                <w:sz w:val="21"/>
                <w:szCs w:val="16"/>
                <w:u w:val="single"/>
              </w:rPr>
            </w:pPr>
            <w:r>
              <w:rPr>
                <w:rFonts w:hint="eastAsia"/>
                <w:sz w:val="21"/>
                <w:szCs w:val="16"/>
                <w:u w:val="single"/>
              </w:rPr>
              <w:t>喷雾塔数量（台）</w:t>
            </w:r>
          </w:p>
        </w:tc>
        <w:tc>
          <w:tcPr>
            <w:tcW w:w="1010" w:type="pct"/>
            <w:vAlign w:val="center"/>
          </w:tcPr>
          <w:p>
            <w:pPr>
              <w:spacing w:line="240" w:lineRule="auto"/>
              <w:ind w:firstLine="0" w:firstLineChars="0"/>
              <w:jc w:val="center"/>
              <w:rPr>
                <w:sz w:val="21"/>
                <w:szCs w:val="16"/>
                <w:u w:val="single"/>
              </w:rPr>
            </w:pPr>
            <w:r>
              <w:rPr>
                <w:rFonts w:hint="eastAsia"/>
                <w:sz w:val="21"/>
                <w:szCs w:val="16"/>
                <w:u w:val="single"/>
              </w:rPr>
              <w:t>微煤粉用量t</w:t>
            </w:r>
            <w:r>
              <w:rPr>
                <w:sz w:val="21"/>
                <w:szCs w:val="16"/>
                <w:u w:val="single"/>
              </w:rPr>
              <w:t>/a</w:t>
            </w:r>
          </w:p>
        </w:tc>
        <w:tc>
          <w:tcPr>
            <w:tcW w:w="1063" w:type="pct"/>
            <w:vAlign w:val="center"/>
          </w:tcPr>
          <w:p>
            <w:pPr>
              <w:spacing w:line="240" w:lineRule="auto"/>
              <w:ind w:firstLine="0" w:firstLineChars="0"/>
              <w:jc w:val="center"/>
              <w:rPr>
                <w:sz w:val="21"/>
                <w:szCs w:val="16"/>
                <w:u w:val="single"/>
              </w:rPr>
            </w:pPr>
            <w:r>
              <w:rPr>
                <w:rFonts w:hint="eastAsia"/>
                <w:sz w:val="21"/>
                <w:szCs w:val="16"/>
                <w:u w:val="single"/>
              </w:rPr>
              <w:t>总热量万kcal</w:t>
            </w:r>
            <w:r>
              <w:rPr>
                <w:sz w:val="21"/>
                <w:szCs w:val="16"/>
                <w:u w:val="singl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pPr>
              <w:spacing w:line="240" w:lineRule="auto"/>
              <w:ind w:firstLine="0" w:firstLineChars="0"/>
              <w:jc w:val="center"/>
              <w:rPr>
                <w:sz w:val="21"/>
                <w:szCs w:val="16"/>
                <w:u w:val="single"/>
              </w:rPr>
            </w:pPr>
            <w:r>
              <w:rPr>
                <w:rFonts w:hint="eastAsia"/>
                <w:sz w:val="21"/>
                <w:szCs w:val="16"/>
                <w:u w:val="single"/>
              </w:rPr>
              <w:t>1#制粉车间</w:t>
            </w:r>
          </w:p>
        </w:tc>
        <w:tc>
          <w:tcPr>
            <w:tcW w:w="837"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002</w:t>
            </w:r>
          </w:p>
        </w:tc>
        <w:tc>
          <w:tcPr>
            <w:tcW w:w="1253" w:type="pct"/>
            <w:vAlign w:val="center"/>
          </w:tcPr>
          <w:p>
            <w:pPr>
              <w:spacing w:line="240" w:lineRule="auto"/>
              <w:ind w:firstLine="0" w:firstLineChars="0"/>
              <w:jc w:val="center"/>
              <w:rPr>
                <w:sz w:val="21"/>
                <w:szCs w:val="16"/>
                <w:u w:val="single"/>
              </w:rPr>
            </w:pPr>
            <w:r>
              <w:rPr>
                <w:rFonts w:hint="eastAsia"/>
                <w:sz w:val="21"/>
                <w:szCs w:val="16"/>
                <w:u w:val="single"/>
              </w:rPr>
              <w:t>3</w:t>
            </w:r>
          </w:p>
        </w:tc>
        <w:tc>
          <w:tcPr>
            <w:tcW w:w="1010"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7500</w:t>
            </w:r>
          </w:p>
        </w:tc>
        <w:tc>
          <w:tcPr>
            <w:tcW w:w="1063"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9925000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pPr>
              <w:spacing w:line="240" w:lineRule="auto"/>
              <w:ind w:firstLine="0" w:firstLineChars="0"/>
              <w:jc w:val="center"/>
              <w:rPr>
                <w:sz w:val="21"/>
                <w:szCs w:val="16"/>
                <w:u w:val="single"/>
              </w:rPr>
            </w:pPr>
            <w:r>
              <w:rPr>
                <w:rFonts w:hint="eastAsia"/>
                <w:sz w:val="21"/>
                <w:szCs w:val="16"/>
                <w:u w:val="single"/>
              </w:rPr>
              <w:t>2#制粉车间</w:t>
            </w:r>
          </w:p>
        </w:tc>
        <w:tc>
          <w:tcPr>
            <w:tcW w:w="837"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003</w:t>
            </w:r>
          </w:p>
        </w:tc>
        <w:tc>
          <w:tcPr>
            <w:tcW w:w="1253" w:type="pct"/>
            <w:vAlign w:val="center"/>
          </w:tcPr>
          <w:p>
            <w:pPr>
              <w:spacing w:line="240" w:lineRule="auto"/>
              <w:ind w:firstLine="0" w:firstLineChars="0"/>
              <w:jc w:val="center"/>
              <w:rPr>
                <w:sz w:val="21"/>
                <w:szCs w:val="16"/>
                <w:u w:val="single"/>
              </w:rPr>
            </w:pPr>
            <w:r>
              <w:rPr>
                <w:rFonts w:hint="eastAsia"/>
                <w:sz w:val="21"/>
                <w:szCs w:val="16"/>
                <w:u w:val="single"/>
              </w:rPr>
              <w:t>3</w:t>
            </w:r>
          </w:p>
        </w:tc>
        <w:tc>
          <w:tcPr>
            <w:tcW w:w="1010" w:type="pct"/>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7500</w:t>
            </w:r>
          </w:p>
        </w:tc>
        <w:tc>
          <w:tcPr>
            <w:tcW w:w="1063"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9925000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pPr>
              <w:spacing w:line="240" w:lineRule="auto"/>
              <w:ind w:firstLine="0" w:firstLineChars="0"/>
              <w:jc w:val="center"/>
              <w:rPr>
                <w:sz w:val="21"/>
                <w:szCs w:val="16"/>
                <w:u w:val="single"/>
              </w:rPr>
            </w:pPr>
            <w:r>
              <w:rPr>
                <w:rFonts w:hint="eastAsia"/>
                <w:sz w:val="21"/>
                <w:szCs w:val="16"/>
                <w:u w:val="single"/>
              </w:rPr>
              <w:t>3#制粉车间</w:t>
            </w:r>
          </w:p>
        </w:tc>
        <w:tc>
          <w:tcPr>
            <w:tcW w:w="837"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004</w:t>
            </w:r>
          </w:p>
        </w:tc>
        <w:tc>
          <w:tcPr>
            <w:tcW w:w="1253" w:type="pct"/>
            <w:vAlign w:val="center"/>
          </w:tcPr>
          <w:p>
            <w:pPr>
              <w:spacing w:line="240" w:lineRule="auto"/>
              <w:ind w:firstLine="0" w:firstLineChars="0"/>
              <w:jc w:val="center"/>
              <w:rPr>
                <w:sz w:val="21"/>
                <w:szCs w:val="16"/>
                <w:u w:val="single"/>
              </w:rPr>
            </w:pPr>
            <w:r>
              <w:rPr>
                <w:rFonts w:hint="eastAsia"/>
                <w:sz w:val="21"/>
                <w:szCs w:val="16"/>
                <w:u w:val="single"/>
              </w:rPr>
              <w:t>3</w:t>
            </w:r>
          </w:p>
        </w:tc>
        <w:tc>
          <w:tcPr>
            <w:tcW w:w="1010" w:type="pct"/>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7500</w:t>
            </w:r>
          </w:p>
        </w:tc>
        <w:tc>
          <w:tcPr>
            <w:tcW w:w="1063"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9925000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pPr>
              <w:spacing w:line="240" w:lineRule="auto"/>
              <w:ind w:firstLine="0" w:firstLineChars="0"/>
              <w:jc w:val="center"/>
              <w:rPr>
                <w:sz w:val="21"/>
                <w:szCs w:val="16"/>
                <w:u w:val="single"/>
              </w:rPr>
            </w:pPr>
            <w:r>
              <w:rPr>
                <w:rFonts w:hint="eastAsia"/>
                <w:sz w:val="21"/>
                <w:szCs w:val="16"/>
                <w:u w:val="single"/>
              </w:rPr>
              <w:t>4#制粉车间</w:t>
            </w:r>
          </w:p>
        </w:tc>
        <w:tc>
          <w:tcPr>
            <w:tcW w:w="837"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005</w:t>
            </w:r>
          </w:p>
        </w:tc>
        <w:tc>
          <w:tcPr>
            <w:tcW w:w="1253" w:type="pct"/>
            <w:vAlign w:val="center"/>
          </w:tcPr>
          <w:p>
            <w:pPr>
              <w:spacing w:line="240" w:lineRule="auto"/>
              <w:ind w:firstLine="0" w:firstLineChars="0"/>
              <w:jc w:val="center"/>
              <w:rPr>
                <w:sz w:val="21"/>
                <w:szCs w:val="16"/>
                <w:u w:val="single"/>
              </w:rPr>
            </w:pPr>
            <w:r>
              <w:rPr>
                <w:rFonts w:hint="eastAsia"/>
                <w:sz w:val="21"/>
                <w:szCs w:val="16"/>
                <w:u w:val="single"/>
              </w:rPr>
              <w:t>3</w:t>
            </w:r>
          </w:p>
        </w:tc>
        <w:tc>
          <w:tcPr>
            <w:tcW w:w="1010" w:type="pct"/>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7500</w:t>
            </w:r>
          </w:p>
        </w:tc>
        <w:tc>
          <w:tcPr>
            <w:tcW w:w="1063"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9925000</w:t>
            </w:r>
          </w:p>
        </w:tc>
      </w:tr>
    </w:tbl>
    <w:p>
      <w:pPr>
        <w:ind w:firstLine="480"/>
        <w:rPr>
          <w:rFonts w:cs="Times New Roman"/>
          <w:u w:val="single"/>
        </w:rPr>
      </w:pPr>
      <w:r>
        <w:rPr>
          <w:rFonts w:cs="Times New Roman"/>
          <w:u w:val="single"/>
        </w:rPr>
        <w:t>（1）烟气量</w:t>
      </w:r>
    </w:p>
    <w:p>
      <w:pPr>
        <w:ind w:firstLine="480"/>
        <w:rPr>
          <w:rFonts w:cs="Times New Roman"/>
          <w:u w:val="single"/>
        </w:rPr>
      </w:pPr>
      <w:r>
        <w:rPr>
          <w:rFonts w:cs="Times New Roman"/>
          <w:u w:val="single"/>
        </w:rPr>
        <w:t>理论空气需要量</w:t>
      </w:r>
      <w:r>
        <w:rPr>
          <w:rFonts w:cs="Times New Roman"/>
          <w:i/>
          <w:iCs/>
          <w:u w:val="single"/>
        </w:rPr>
        <w:t>V</w:t>
      </w:r>
      <w:r>
        <w:rPr>
          <w:rFonts w:cs="Times New Roman"/>
          <w:u w:val="single"/>
          <w:vertAlign w:val="subscript"/>
        </w:rPr>
        <w:t>0</w:t>
      </w:r>
      <w:r>
        <w:rPr>
          <w:rFonts w:cs="Times New Roman"/>
          <w:u w:val="single"/>
        </w:rPr>
        <w:t>计算公式为：</w:t>
      </w:r>
    </w:p>
    <w:p>
      <w:pPr>
        <w:ind w:firstLine="480"/>
        <w:jc w:val="center"/>
        <w:rPr>
          <w:rFonts w:cs="Times New Roman"/>
          <w:u w:val="single"/>
        </w:rPr>
      </w:pPr>
      <w:r>
        <w:rPr>
          <w:rFonts w:cs="Times New Roman"/>
          <w:u w:val="single"/>
        </w:rPr>
        <w:drawing>
          <wp:inline distT="0" distB="0" distL="0" distR="0">
            <wp:extent cx="1981200" cy="400050"/>
            <wp:effectExtent l="19050" t="0" r="0" b="0"/>
            <wp:docPr id="10" name="Picture 17" descr="{SUN5UY]E]ZSUV5N@)5}~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7" descr="{SUN5UY]E]ZSUV5N@)5}~X1"/>
                    <pic:cNvPicPr>
                      <a:picLocks noChangeAspect="1" noChangeArrowheads="1"/>
                    </pic:cNvPicPr>
                  </pic:nvPicPr>
                  <pic:blipFill>
                    <a:blip r:embed="rId38"/>
                    <a:srcRect/>
                    <a:stretch>
                      <a:fillRect/>
                    </a:stretch>
                  </pic:blipFill>
                  <pic:spPr>
                    <a:xfrm>
                      <a:off x="0" y="0"/>
                      <a:ext cx="1981200" cy="400050"/>
                    </a:xfrm>
                    <a:prstGeom prst="rect">
                      <a:avLst/>
                    </a:prstGeom>
                    <a:noFill/>
                    <a:ln w="9525">
                      <a:noFill/>
                      <a:miter lim="800000"/>
                      <a:headEnd/>
                      <a:tailEnd/>
                    </a:ln>
                  </pic:spPr>
                </pic:pic>
              </a:graphicData>
            </a:graphic>
          </wp:inline>
        </w:drawing>
      </w:r>
    </w:p>
    <w:p>
      <w:pPr>
        <w:ind w:firstLine="480"/>
        <w:rPr>
          <w:rFonts w:cs="Times New Roman"/>
          <w:u w:val="single"/>
        </w:rPr>
      </w:pPr>
      <w:r>
        <w:rPr>
          <w:rFonts w:cs="Times New Roman"/>
          <w:u w:val="single"/>
        </w:rPr>
        <w:t>式中：</w:t>
      </w:r>
      <w:r>
        <w:rPr>
          <w:rFonts w:cs="Times New Roman"/>
          <w:i/>
          <w:iCs/>
          <w:u w:val="single"/>
        </w:rPr>
        <w:object>
          <v:shape id="_x0000_i1032" o:spt="75" type="#_x0000_t75" style="height:18.3pt;width:17.7pt;" o:ole="t" filled="f" o:preferrelative="t" stroked="f" coordsize="21600,21600">
            <v:path/>
            <v:fill on="f" focussize="0,0"/>
            <v:stroke on="f" joinstyle="miter"/>
            <v:imagedata r:id="rId40" o:title=""/>
            <o:lock v:ext="edit" aspectratio="t"/>
            <w10:wrap type="none"/>
            <w10:anchorlock/>
          </v:shape>
          <o:OLEObject Type="Embed" ProgID="Equation.3" ShapeID="_x0000_i1032" DrawAspect="Content" ObjectID="_1468075732" r:id="rId39">
            <o:LockedField>false</o:LockedField>
          </o:OLEObject>
        </w:object>
      </w:r>
      <w:r>
        <w:rPr>
          <w:rFonts w:cs="Times New Roman"/>
          <w:u w:val="single"/>
        </w:rPr>
        <w:t>——</w:t>
      </w:r>
      <w:r>
        <w:rPr>
          <w:rFonts w:hint="eastAsia" w:cs="Times New Roman"/>
          <w:u w:val="single"/>
        </w:rPr>
        <w:t>燃料</w:t>
      </w:r>
      <w:r>
        <w:rPr>
          <w:rFonts w:cs="Times New Roman"/>
          <w:u w:val="single"/>
        </w:rPr>
        <w:t>低位热值；算出理论空气需要量为：</w:t>
      </w:r>
      <w:r>
        <w:rPr>
          <w:rFonts w:cs="Times New Roman"/>
          <w:i/>
          <w:iCs/>
          <w:u w:val="single"/>
        </w:rPr>
        <w:t>V</w:t>
      </w:r>
      <w:r>
        <w:rPr>
          <w:rFonts w:cs="Times New Roman"/>
          <w:u w:val="single"/>
          <w:vertAlign w:val="subscript"/>
        </w:rPr>
        <w:t>0</w:t>
      </w:r>
      <w:r>
        <w:rPr>
          <w:rFonts w:cs="Times New Roman"/>
          <w:u w:val="single"/>
        </w:rPr>
        <w:t>＝6.86Nm</w:t>
      </w:r>
      <w:r>
        <w:rPr>
          <w:rFonts w:cs="Times New Roman"/>
          <w:u w:val="single"/>
          <w:vertAlign w:val="superscript"/>
        </w:rPr>
        <w:t>3</w:t>
      </w:r>
      <w:r>
        <w:rPr>
          <w:rFonts w:cs="Times New Roman"/>
          <w:u w:val="single"/>
        </w:rPr>
        <w:t>/kg。</w:t>
      </w:r>
    </w:p>
    <w:p>
      <w:pPr>
        <w:ind w:firstLine="480"/>
        <w:rPr>
          <w:rFonts w:cs="Times New Roman"/>
          <w:i/>
          <w:iCs/>
          <w:u w:val="single"/>
        </w:rPr>
      </w:pPr>
      <w:r>
        <w:rPr>
          <w:rFonts w:cs="Times New Roman"/>
          <w:u w:val="single"/>
        </w:rPr>
        <w:t>喷雾塔实际烟气量</w:t>
      </w:r>
      <w:r>
        <w:rPr>
          <w:rFonts w:cs="Times New Roman"/>
          <w:i/>
          <w:iCs/>
          <w:u w:val="single"/>
        </w:rPr>
        <w:t>V y</w:t>
      </w:r>
      <w:r>
        <w:rPr>
          <w:rFonts w:cs="Times New Roman"/>
          <w:u w:val="single"/>
        </w:rPr>
        <w:t>计算公式为：</w:t>
      </w:r>
    </w:p>
    <w:p>
      <w:pPr>
        <w:ind w:firstLine="480"/>
        <w:jc w:val="center"/>
        <w:rPr>
          <w:rFonts w:cs="Times New Roman"/>
          <w:u w:val="single"/>
        </w:rPr>
      </w:pPr>
      <w:r>
        <w:rPr>
          <w:rFonts w:cs="Times New Roman"/>
          <w:u w:val="single"/>
        </w:rPr>
        <w:drawing>
          <wp:inline distT="0" distB="0" distL="0" distR="0">
            <wp:extent cx="2047875" cy="485775"/>
            <wp:effectExtent l="19050" t="0" r="9525" b="0"/>
            <wp:docPr id="12" name="Picture 19" descr="YF}LHCEW3UF3[E2ZZLITY6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9" descr="YF}LHCEW3UF3[E2ZZLITY6Y"/>
                    <pic:cNvPicPr>
                      <a:picLocks noChangeAspect="1" noChangeArrowheads="1"/>
                    </pic:cNvPicPr>
                  </pic:nvPicPr>
                  <pic:blipFill>
                    <a:blip r:embed="rId41"/>
                    <a:srcRect/>
                    <a:stretch>
                      <a:fillRect/>
                    </a:stretch>
                  </pic:blipFill>
                  <pic:spPr>
                    <a:xfrm>
                      <a:off x="0" y="0"/>
                      <a:ext cx="2047875" cy="485775"/>
                    </a:xfrm>
                    <a:prstGeom prst="rect">
                      <a:avLst/>
                    </a:prstGeom>
                    <a:noFill/>
                    <a:ln w="9525">
                      <a:noFill/>
                      <a:miter lim="800000"/>
                      <a:headEnd/>
                      <a:tailEnd/>
                    </a:ln>
                  </pic:spPr>
                </pic:pic>
              </a:graphicData>
            </a:graphic>
          </wp:inline>
        </w:drawing>
      </w:r>
    </w:p>
    <w:p>
      <w:pPr>
        <w:ind w:firstLine="480"/>
        <w:rPr>
          <w:rFonts w:cs="Times New Roman"/>
          <w:u w:val="single"/>
        </w:rPr>
      </w:pPr>
      <w:r>
        <w:rPr>
          <w:rFonts w:cs="Times New Roman"/>
          <w:u w:val="single"/>
        </w:rPr>
        <w:t>式中：α——空气过剩系数，取7；其余符号同上。</w:t>
      </w:r>
    </w:p>
    <w:p>
      <w:pPr>
        <w:ind w:firstLine="480"/>
        <w:rPr>
          <w:rFonts w:cs="Times New Roman"/>
          <w:u w:val="single"/>
        </w:rPr>
      </w:pPr>
      <w:r>
        <w:rPr>
          <w:rFonts w:cs="Times New Roman"/>
          <w:u w:val="single"/>
        </w:rPr>
        <w:t>（根据《关于发布国家污染物排放标准&lt;陶瓷工业污染物排放标准&gt;（GB 25464-2010）修改单的公告》（环境保护部公告2014年第83号）规定，“将4.2.7条修改为：喷雾干燥塔、陶瓷窑烟气基准含氧量为18%，实测喷雾干燥塔、陶瓷窑的大气污染物排放浓度，应换算为基准含氧量条件下的排放浓度，并以此作为判定排放是否达标的依据。”据此算出过量空气系数取值为7。）</w:t>
      </w:r>
    </w:p>
    <w:p>
      <w:pPr>
        <w:ind w:firstLine="480"/>
        <w:rPr>
          <w:rFonts w:cs="Times New Roman"/>
          <w:u w:val="single"/>
        </w:rPr>
      </w:pPr>
      <w:r>
        <w:rPr>
          <w:rFonts w:cs="Times New Roman"/>
          <w:u w:val="single"/>
        </w:rPr>
        <w:t>计算得出喷雾塔实际烟气量为：</w:t>
      </w:r>
      <w:r>
        <w:rPr>
          <w:rFonts w:cs="Times New Roman"/>
          <w:i/>
          <w:iCs/>
          <w:u w:val="single"/>
        </w:rPr>
        <w:t>Vy</w:t>
      </w:r>
      <w:r>
        <w:rPr>
          <w:rFonts w:cs="Times New Roman"/>
          <w:u w:val="single"/>
        </w:rPr>
        <w:t>＝48.42Nm</w:t>
      </w:r>
      <w:r>
        <w:rPr>
          <w:rFonts w:cs="Times New Roman"/>
          <w:u w:val="single"/>
          <w:vertAlign w:val="superscript"/>
        </w:rPr>
        <w:t>3</w:t>
      </w:r>
      <w:r>
        <w:rPr>
          <w:rFonts w:cs="Times New Roman"/>
          <w:u w:val="single"/>
        </w:rPr>
        <w:t>/kg。</w:t>
      </w:r>
    </w:p>
    <w:p>
      <w:pPr>
        <w:ind w:firstLine="480"/>
        <w:rPr>
          <w:rFonts w:cs="Times New Roman"/>
          <w:u w:val="single"/>
        </w:rPr>
      </w:pPr>
      <w:r>
        <w:rPr>
          <w:rFonts w:hint="eastAsia" w:cs="Times New Roman"/>
          <w:u w:val="single"/>
        </w:rPr>
        <w:t>则可计算出各车间排气筒烟气量如下：</w:t>
      </w:r>
    </w:p>
    <w:p>
      <w:pPr>
        <w:ind w:firstLine="0" w:firstLineChars="0"/>
        <w:jc w:val="center"/>
        <w:rPr>
          <w:rFonts w:cs="Times New Roman"/>
          <w:u w:val="single"/>
        </w:rPr>
      </w:pPr>
      <w:r>
        <w:rPr>
          <w:rFonts w:hint="eastAsia" w:cs="Times New Roman"/>
          <w:u w:val="single"/>
        </w:rPr>
        <w:t>表3</w:t>
      </w:r>
      <w:r>
        <w:rPr>
          <w:rFonts w:cs="Times New Roman"/>
          <w:u w:val="single"/>
        </w:rPr>
        <w:t>.3</w:t>
      </w:r>
      <w:r>
        <w:rPr>
          <w:rFonts w:hint="eastAsia" w:cs="Times New Roman"/>
          <w:u w:val="single"/>
        </w:rPr>
        <w:t>-</w:t>
      </w:r>
      <w:r>
        <w:rPr>
          <w:rFonts w:cs="Times New Roman"/>
          <w:u w:val="single"/>
        </w:rPr>
        <w:t xml:space="preserve">2  </w:t>
      </w:r>
      <w:r>
        <w:rPr>
          <w:rFonts w:hint="eastAsia" w:cs="Times New Roman"/>
          <w:u w:val="single"/>
        </w:rPr>
        <w:t>制粉车间排气筒烟气量一览表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2125"/>
        <w:gridCol w:w="1715"/>
        <w:gridCol w:w="1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pPr>
              <w:spacing w:line="240" w:lineRule="auto"/>
              <w:ind w:firstLine="0" w:firstLineChars="0"/>
              <w:jc w:val="center"/>
              <w:rPr>
                <w:sz w:val="21"/>
                <w:szCs w:val="16"/>
                <w:u w:val="single"/>
              </w:rPr>
            </w:pPr>
            <w:r>
              <w:rPr>
                <w:rFonts w:hint="eastAsia"/>
                <w:sz w:val="21"/>
                <w:szCs w:val="16"/>
                <w:u w:val="single"/>
              </w:rPr>
              <w:t>车间</w:t>
            </w:r>
          </w:p>
        </w:tc>
        <w:tc>
          <w:tcPr>
            <w:tcW w:w="833" w:type="pct"/>
            <w:vAlign w:val="center"/>
          </w:tcPr>
          <w:p>
            <w:pPr>
              <w:spacing w:line="240" w:lineRule="auto"/>
              <w:ind w:firstLine="0" w:firstLineChars="0"/>
              <w:jc w:val="center"/>
              <w:rPr>
                <w:sz w:val="21"/>
                <w:szCs w:val="16"/>
                <w:u w:val="single"/>
              </w:rPr>
            </w:pPr>
            <w:r>
              <w:rPr>
                <w:rFonts w:hint="eastAsia"/>
                <w:sz w:val="21"/>
                <w:szCs w:val="16"/>
                <w:u w:val="single"/>
              </w:rPr>
              <w:t>排气筒编号</w:t>
            </w:r>
          </w:p>
        </w:tc>
        <w:tc>
          <w:tcPr>
            <w:tcW w:w="1247" w:type="pct"/>
            <w:vAlign w:val="center"/>
          </w:tcPr>
          <w:p>
            <w:pPr>
              <w:spacing w:line="240" w:lineRule="auto"/>
              <w:ind w:firstLine="0" w:firstLineChars="0"/>
              <w:jc w:val="center"/>
              <w:rPr>
                <w:sz w:val="21"/>
                <w:szCs w:val="16"/>
                <w:u w:val="single"/>
              </w:rPr>
            </w:pPr>
            <w:r>
              <w:rPr>
                <w:rFonts w:hint="eastAsia"/>
                <w:sz w:val="21"/>
                <w:szCs w:val="16"/>
                <w:u w:val="single"/>
              </w:rPr>
              <w:t>喷雾塔数量（台）</w:t>
            </w:r>
          </w:p>
        </w:tc>
        <w:tc>
          <w:tcPr>
            <w:tcW w:w="1006" w:type="pct"/>
            <w:vAlign w:val="center"/>
          </w:tcPr>
          <w:p>
            <w:pPr>
              <w:spacing w:line="240" w:lineRule="auto"/>
              <w:ind w:firstLine="0" w:firstLineChars="0"/>
              <w:jc w:val="center"/>
              <w:rPr>
                <w:sz w:val="21"/>
                <w:szCs w:val="16"/>
                <w:u w:val="single"/>
              </w:rPr>
            </w:pPr>
            <w:r>
              <w:rPr>
                <w:rFonts w:hint="eastAsia"/>
                <w:sz w:val="21"/>
                <w:szCs w:val="16"/>
                <w:u w:val="single"/>
              </w:rPr>
              <w:t>水煤浆用量t</w:t>
            </w:r>
            <w:r>
              <w:rPr>
                <w:sz w:val="21"/>
                <w:szCs w:val="16"/>
                <w:u w:val="single"/>
              </w:rPr>
              <w:t>/a</w:t>
            </w:r>
          </w:p>
        </w:tc>
        <w:tc>
          <w:tcPr>
            <w:tcW w:w="1081" w:type="pct"/>
            <w:vAlign w:val="center"/>
          </w:tcPr>
          <w:p>
            <w:pPr>
              <w:spacing w:line="240" w:lineRule="auto"/>
              <w:ind w:firstLine="0" w:firstLineChars="0"/>
              <w:jc w:val="center"/>
              <w:rPr>
                <w:sz w:val="21"/>
                <w:szCs w:val="16"/>
                <w:u w:val="single"/>
              </w:rPr>
            </w:pPr>
            <w:r>
              <w:rPr>
                <w:rFonts w:hint="eastAsia"/>
                <w:sz w:val="21"/>
                <w:szCs w:val="16"/>
                <w:u w:val="single"/>
              </w:rPr>
              <w:t>烟气量万Nm</w:t>
            </w:r>
            <w:r>
              <w:rPr>
                <w:sz w:val="21"/>
                <w:szCs w:val="16"/>
                <w:u w:val="single"/>
                <w:vertAlign w:val="superscript"/>
              </w:rPr>
              <w:t>3</w:t>
            </w:r>
            <w:r>
              <w:rPr>
                <w:sz w:val="21"/>
                <w:szCs w:val="16"/>
                <w:u w:val="singl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pPr>
              <w:spacing w:line="240" w:lineRule="auto"/>
              <w:ind w:firstLine="0" w:firstLineChars="0"/>
              <w:jc w:val="center"/>
              <w:rPr>
                <w:sz w:val="21"/>
                <w:szCs w:val="16"/>
                <w:u w:val="single"/>
              </w:rPr>
            </w:pPr>
            <w:r>
              <w:rPr>
                <w:rFonts w:hint="eastAsia"/>
                <w:sz w:val="21"/>
                <w:szCs w:val="16"/>
                <w:u w:val="single"/>
              </w:rPr>
              <w:t>1#制粉车间</w:t>
            </w:r>
          </w:p>
        </w:tc>
        <w:tc>
          <w:tcPr>
            <w:tcW w:w="833"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002</w:t>
            </w:r>
          </w:p>
        </w:tc>
        <w:tc>
          <w:tcPr>
            <w:tcW w:w="1247" w:type="pct"/>
            <w:vAlign w:val="center"/>
          </w:tcPr>
          <w:p>
            <w:pPr>
              <w:spacing w:line="240" w:lineRule="auto"/>
              <w:ind w:firstLine="0" w:firstLineChars="0"/>
              <w:jc w:val="center"/>
              <w:rPr>
                <w:sz w:val="21"/>
                <w:szCs w:val="16"/>
                <w:u w:val="single"/>
              </w:rPr>
            </w:pPr>
            <w:r>
              <w:rPr>
                <w:rFonts w:hint="eastAsia"/>
                <w:sz w:val="21"/>
                <w:szCs w:val="16"/>
                <w:u w:val="single"/>
              </w:rPr>
              <w:t>3</w:t>
            </w:r>
          </w:p>
        </w:tc>
        <w:tc>
          <w:tcPr>
            <w:tcW w:w="1006"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7500</w:t>
            </w:r>
          </w:p>
        </w:tc>
        <w:tc>
          <w:tcPr>
            <w:tcW w:w="1081" w:type="pct"/>
            <w:vAlign w:val="center"/>
          </w:tcPr>
          <w:p>
            <w:pPr>
              <w:spacing w:line="240" w:lineRule="auto"/>
              <w:ind w:firstLine="0" w:firstLineChars="0"/>
              <w:jc w:val="center"/>
              <w:rPr>
                <w:sz w:val="21"/>
                <w:szCs w:val="16"/>
                <w:u w:val="single"/>
              </w:rPr>
            </w:pPr>
            <w:r>
              <w:rPr>
                <w:sz w:val="21"/>
                <w:szCs w:val="16"/>
                <w:u w:val="single"/>
              </w:rPr>
              <w:t>229995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pPr>
              <w:spacing w:line="240" w:lineRule="auto"/>
              <w:ind w:firstLine="0" w:firstLineChars="0"/>
              <w:jc w:val="center"/>
              <w:rPr>
                <w:sz w:val="21"/>
                <w:szCs w:val="16"/>
                <w:u w:val="single"/>
              </w:rPr>
            </w:pPr>
            <w:r>
              <w:rPr>
                <w:rFonts w:hint="eastAsia"/>
                <w:sz w:val="21"/>
                <w:szCs w:val="16"/>
                <w:u w:val="single"/>
              </w:rPr>
              <w:t>2#制粉车间</w:t>
            </w:r>
          </w:p>
        </w:tc>
        <w:tc>
          <w:tcPr>
            <w:tcW w:w="833"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003</w:t>
            </w:r>
          </w:p>
        </w:tc>
        <w:tc>
          <w:tcPr>
            <w:tcW w:w="1247" w:type="pct"/>
            <w:vAlign w:val="center"/>
          </w:tcPr>
          <w:p>
            <w:pPr>
              <w:spacing w:line="240" w:lineRule="auto"/>
              <w:ind w:firstLine="0" w:firstLineChars="0"/>
              <w:jc w:val="center"/>
              <w:rPr>
                <w:sz w:val="21"/>
                <w:szCs w:val="16"/>
                <w:u w:val="single"/>
              </w:rPr>
            </w:pPr>
            <w:r>
              <w:rPr>
                <w:rFonts w:hint="eastAsia"/>
                <w:sz w:val="21"/>
                <w:szCs w:val="16"/>
                <w:u w:val="single"/>
              </w:rPr>
              <w:t>3</w:t>
            </w:r>
          </w:p>
        </w:tc>
        <w:tc>
          <w:tcPr>
            <w:tcW w:w="1006" w:type="pct"/>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7500</w:t>
            </w:r>
          </w:p>
        </w:tc>
        <w:tc>
          <w:tcPr>
            <w:tcW w:w="1081" w:type="pct"/>
          </w:tcPr>
          <w:p>
            <w:pPr>
              <w:spacing w:line="240" w:lineRule="auto"/>
              <w:ind w:firstLine="0" w:firstLineChars="0"/>
              <w:jc w:val="center"/>
              <w:rPr>
                <w:sz w:val="21"/>
                <w:szCs w:val="16"/>
                <w:u w:val="single"/>
              </w:rPr>
            </w:pPr>
            <w:r>
              <w:rPr>
                <w:sz w:val="21"/>
                <w:szCs w:val="16"/>
                <w:u w:val="single"/>
              </w:rPr>
              <w:t>229995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pPr>
              <w:spacing w:line="240" w:lineRule="auto"/>
              <w:ind w:firstLine="0" w:firstLineChars="0"/>
              <w:jc w:val="center"/>
              <w:rPr>
                <w:sz w:val="21"/>
                <w:szCs w:val="16"/>
                <w:u w:val="single"/>
              </w:rPr>
            </w:pPr>
            <w:r>
              <w:rPr>
                <w:rFonts w:hint="eastAsia"/>
                <w:sz w:val="21"/>
                <w:szCs w:val="16"/>
                <w:u w:val="single"/>
              </w:rPr>
              <w:t>3#制粉车间</w:t>
            </w:r>
          </w:p>
        </w:tc>
        <w:tc>
          <w:tcPr>
            <w:tcW w:w="833"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004</w:t>
            </w:r>
          </w:p>
        </w:tc>
        <w:tc>
          <w:tcPr>
            <w:tcW w:w="1247" w:type="pct"/>
            <w:vAlign w:val="center"/>
          </w:tcPr>
          <w:p>
            <w:pPr>
              <w:spacing w:line="240" w:lineRule="auto"/>
              <w:ind w:firstLine="0" w:firstLineChars="0"/>
              <w:jc w:val="center"/>
              <w:rPr>
                <w:sz w:val="21"/>
                <w:szCs w:val="16"/>
                <w:u w:val="single"/>
              </w:rPr>
            </w:pPr>
            <w:r>
              <w:rPr>
                <w:rFonts w:hint="eastAsia"/>
                <w:sz w:val="21"/>
                <w:szCs w:val="16"/>
                <w:u w:val="single"/>
              </w:rPr>
              <w:t>3</w:t>
            </w:r>
          </w:p>
        </w:tc>
        <w:tc>
          <w:tcPr>
            <w:tcW w:w="1006" w:type="pct"/>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7500</w:t>
            </w:r>
          </w:p>
        </w:tc>
        <w:tc>
          <w:tcPr>
            <w:tcW w:w="1081" w:type="pct"/>
          </w:tcPr>
          <w:p>
            <w:pPr>
              <w:spacing w:line="240" w:lineRule="auto"/>
              <w:ind w:firstLine="0" w:firstLineChars="0"/>
              <w:jc w:val="center"/>
              <w:rPr>
                <w:sz w:val="21"/>
                <w:szCs w:val="16"/>
                <w:u w:val="single"/>
              </w:rPr>
            </w:pPr>
            <w:r>
              <w:rPr>
                <w:sz w:val="21"/>
                <w:szCs w:val="16"/>
                <w:u w:val="single"/>
              </w:rPr>
              <w:t>229995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pPr>
              <w:spacing w:line="240" w:lineRule="auto"/>
              <w:ind w:firstLine="0" w:firstLineChars="0"/>
              <w:jc w:val="center"/>
              <w:rPr>
                <w:sz w:val="21"/>
                <w:szCs w:val="16"/>
                <w:u w:val="single"/>
              </w:rPr>
            </w:pPr>
            <w:r>
              <w:rPr>
                <w:rFonts w:hint="eastAsia"/>
                <w:sz w:val="21"/>
                <w:szCs w:val="16"/>
                <w:u w:val="single"/>
              </w:rPr>
              <w:t>4#制粉车间</w:t>
            </w:r>
          </w:p>
        </w:tc>
        <w:tc>
          <w:tcPr>
            <w:tcW w:w="833"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005</w:t>
            </w:r>
          </w:p>
        </w:tc>
        <w:tc>
          <w:tcPr>
            <w:tcW w:w="1247" w:type="pct"/>
            <w:vAlign w:val="center"/>
          </w:tcPr>
          <w:p>
            <w:pPr>
              <w:spacing w:line="240" w:lineRule="auto"/>
              <w:ind w:firstLine="0" w:firstLineChars="0"/>
              <w:jc w:val="center"/>
              <w:rPr>
                <w:sz w:val="21"/>
                <w:szCs w:val="16"/>
                <w:u w:val="single"/>
              </w:rPr>
            </w:pPr>
            <w:r>
              <w:rPr>
                <w:rFonts w:hint="eastAsia"/>
                <w:sz w:val="21"/>
                <w:szCs w:val="16"/>
                <w:u w:val="single"/>
              </w:rPr>
              <w:t>3</w:t>
            </w:r>
          </w:p>
        </w:tc>
        <w:tc>
          <w:tcPr>
            <w:tcW w:w="1006" w:type="pct"/>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7500</w:t>
            </w:r>
          </w:p>
        </w:tc>
        <w:tc>
          <w:tcPr>
            <w:tcW w:w="1081" w:type="pct"/>
          </w:tcPr>
          <w:p>
            <w:pPr>
              <w:spacing w:line="240" w:lineRule="auto"/>
              <w:ind w:firstLine="0" w:firstLineChars="0"/>
              <w:jc w:val="center"/>
              <w:rPr>
                <w:sz w:val="21"/>
                <w:szCs w:val="16"/>
                <w:u w:val="single"/>
              </w:rPr>
            </w:pPr>
            <w:r>
              <w:rPr>
                <w:sz w:val="21"/>
                <w:szCs w:val="16"/>
                <w:u w:val="single"/>
              </w:rPr>
              <w:t>229995</w:t>
            </w:r>
          </w:p>
        </w:tc>
      </w:tr>
    </w:tbl>
    <w:p>
      <w:pPr>
        <w:ind w:firstLine="480"/>
        <w:rPr>
          <w:rFonts w:cs="Times New Roman"/>
          <w:u w:val="single"/>
        </w:rPr>
      </w:pPr>
      <w:r>
        <w:rPr>
          <w:rFonts w:cs="Times New Roman"/>
          <w:u w:val="single"/>
        </w:rPr>
        <w:t>（2）二氧化硫</w:t>
      </w:r>
    </w:p>
    <w:p>
      <w:pPr>
        <w:ind w:firstLine="480"/>
        <w:rPr>
          <w:rFonts w:cs="Times New Roman"/>
          <w:u w:val="single"/>
        </w:rPr>
      </w:pPr>
      <w:r>
        <w:rPr>
          <w:rFonts w:hint="eastAsia" w:cs="Times New Roman"/>
          <w:u w:val="single"/>
        </w:rPr>
        <w:t>根据项目硫平衡分析可知，对应各排气筒的含硫量如下：</w:t>
      </w:r>
    </w:p>
    <w:p>
      <w:pPr>
        <w:ind w:firstLine="0" w:firstLineChars="0"/>
        <w:jc w:val="center"/>
        <w:rPr>
          <w:rFonts w:cs="Times New Roman"/>
          <w:u w:val="single"/>
        </w:rPr>
      </w:pPr>
      <w:r>
        <w:rPr>
          <w:rFonts w:hint="eastAsia" w:cs="Times New Roman"/>
          <w:u w:val="single"/>
        </w:rPr>
        <w:t>表3</w:t>
      </w:r>
      <w:r>
        <w:rPr>
          <w:rFonts w:cs="Times New Roman"/>
          <w:u w:val="single"/>
        </w:rPr>
        <w:t>.3</w:t>
      </w:r>
      <w:r>
        <w:rPr>
          <w:rFonts w:hint="eastAsia" w:cs="Times New Roman"/>
          <w:u w:val="single"/>
        </w:rPr>
        <w:t>-</w:t>
      </w:r>
      <w:r>
        <w:rPr>
          <w:rFonts w:cs="Times New Roman"/>
          <w:u w:val="single"/>
        </w:rPr>
        <w:t xml:space="preserve">2  </w:t>
      </w:r>
      <w:r>
        <w:rPr>
          <w:rFonts w:hint="eastAsia" w:cs="Times New Roman"/>
          <w:u w:val="single"/>
        </w:rPr>
        <w:t>炉窑废气含硫量及SO</w:t>
      </w:r>
      <w:r>
        <w:rPr>
          <w:rFonts w:cs="Times New Roman"/>
          <w:u w:val="single"/>
          <w:vertAlign w:val="subscript"/>
        </w:rPr>
        <w:t>2</w:t>
      </w:r>
      <w:r>
        <w:rPr>
          <w:rFonts w:hint="eastAsia" w:cs="Times New Roman"/>
          <w:u w:val="single"/>
        </w:rPr>
        <w:t>产生量一览表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78"/>
        <w:gridCol w:w="1178"/>
        <w:gridCol w:w="1660"/>
        <w:gridCol w:w="1106"/>
        <w:gridCol w:w="1334"/>
        <w:gridCol w:w="1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排气筒编号</w:t>
            </w:r>
          </w:p>
        </w:tc>
        <w:tc>
          <w:tcPr>
            <w:tcW w:w="708" w:type="pct"/>
            <w:vAlign w:val="center"/>
          </w:tcPr>
          <w:p>
            <w:pPr>
              <w:spacing w:line="240" w:lineRule="auto"/>
              <w:ind w:firstLine="0" w:firstLineChars="0"/>
              <w:jc w:val="center"/>
              <w:rPr>
                <w:sz w:val="21"/>
                <w:szCs w:val="16"/>
                <w:u w:val="single"/>
              </w:rPr>
            </w:pPr>
            <w:r>
              <w:rPr>
                <w:rFonts w:hint="eastAsia"/>
                <w:sz w:val="21"/>
                <w:szCs w:val="16"/>
                <w:u w:val="single"/>
              </w:rPr>
              <w:t>含硫量t</w:t>
            </w:r>
            <w:r>
              <w:rPr>
                <w:sz w:val="21"/>
                <w:szCs w:val="16"/>
                <w:u w:val="single"/>
              </w:rPr>
              <w:t>/a</w:t>
            </w:r>
          </w:p>
        </w:tc>
        <w:tc>
          <w:tcPr>
            <w:tcW w:w="998" w:type="pct"/>
            <w:vAlign w:val="center"/>
          </w:tcPr>
          <w:p>
            <w:pPr>
              <w:spacing w:line="240" w:lineRule="auto"/>
              <w:ind w:firstLine="0" w:firstLineChars="0"/>
              <w:jc w:val="center"/>
              <w:rPr>
                <w:sz w:val="21"/>
                <w:szCs w:val="16"/>
                <w:u w:val="single"/>
              </w:rPr>
            </w:pPr>
            <w:r>
              <w:rPr>
                <w:rFonts w:hint="eastAsia"/>
                <w:sz w:val="21"/>
                <w:szCs w:val="16"/>
                <w:u w:val="single"/>
              </w:rPr>
              <w:t>S</w:t>
            </w:r>
            <w:r>
              <w:rPr>
                <w:sz w:val="21"/>
                <w:szCs w:val="16"/>
                <w:u w:val="single"/>
              </w:rPr>
              <w:t>O</w:t>
            </w:r>
            <w:r>
              <w:rPr>
                <w:sz w:val="21"/>
                <w:szCs w:val="16"/>
                <w:u w:val="single"/>
                <w:vertAlign w:val="subscript"/>
              </w:rPr>
              <w:t>2</w:t>
            </w:r>
            <w:r>
              <w:rPr>
                <w:rFonts w:hint="eastAsia"/>
                <w:sz w:val="21"/>
                <w:szCs w:val="16"/>
                <w:u w:val="single"/>
              </w:rPr>
              <w:t>产生量t</w:t>
            </w:r>
            <w:r>
              <w:rPr>
                <w:sz w:val="21"/>
                <w:szCs w:val="16"/>
                <w:u w:val="single"/>
              </w:rPr>
              <w:t>/a</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脱硫工艺</w:t>
            </w:r>
          </w:p>
        </w:tc>
        <w:tc>
          <w:tcPr>
            <w:tcW w:w="802" w:type="pct"/>
            <w:vAlign w:val="center"/>
          </w:tcPr>
          <w:p>
            <w:pPr>
              <w:spacing w:line="240" w:lineRule="auto"/>
              <w:ind w:firstLine="0" w:firstLineChars="0"/>
              <w:jc w:val="center"/>
              <w:rPr>
                <w:sz w:val="21"/>
                <w:szCs w:val="16"/>
                <w:u w:val="single"/>
              </w:rPr>
            </w:pPr>
            <w:r>
              <w:rPr>
                <w:rFonts w:hint="eastAsia"/>
                <w:sz w:val="21"/>
                <w:szCs w:val="16"/>
                <w:u w:val="single"/>
              </w:rPr>
              <w:t>脱硫效率%</w:t>
            </w:r>
          </w:p>
        </w:tc>
        <w:tc>
          <w:tcPr>
            <w:tcW w:w="998" w:type="pct"/>
            <w:vAlign w:val="center"/>
          </w:tcPr>
          <w:p>
            <w:pPr>
              <w:spacing w:line="240" w:lineRule="auto"/>
              <w:ind w:firstLine="0" w:firstLineChars="0"/>
              <w:jc w:val="center"/>
              <w:rPr>
                <w:sz w:val="21"/>
                <w:szCs w:val="16"/>
                <w:u w:val="single"/>
              </w:rPr>
            </w:pPr>
            <w:r>
              <w:rPr>
                <w:rFonts w:hint="eastAsia"/>
                <w:sz w:val="21"/>
                <w:szCs w:val="16"/>
                <w:u w:val="single"/>
              </w:rPr>
              <w:t>SO</w:t>
            </w:r>
            <w:r>
              <w:rPr>
                <w:sz w:val="21"/>
                <w:szCs w:val="16"/>
                <w:u w:val="single"/>
                <w:vertAlign w:val="subscript"/>
              </w:rPr>
              <w:t>2</w:t>
            </w:r>
            <w:r>
              <w:rPr>
                <w:rFonts w:hint="eastAsia"/>
                <w:sz w:val="21"/>
                <w:szCs w:val="16"/>
                <w:u w:val="single"/>
              </w:rPr>
              <w:t>排放量t</w:t>
            </w:r>
            <w:r>
              <w:rPr>
                <w:sz w:val="21"/>
                <w:szCs w:val="16"/>
                <w:u w:val="singl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002</w:t>
            </w:r>
          </w:p>
        </w:tc>
        <w:tc>
          <w:tcPr>
            <w:tcW w:w="708"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17.80</w:t>
            </w:r>
          </w:p>
        </w:tc>
        <w:tc>
          <w:tcPr>
            <w:tcW w:w="998"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35.60</w:t>
            </w:r>
          </w:p>
        </w:tc>
        <w:tc>
          <w:tcPr>
            <w:tcW w:w="665" w:type="pct"/>
            <w:vMerge w:val="restart"/>
            <w:vAlign w:val="center"/>
          </w:tcPr>
          <w:p>
            <w:pPr>
              <w:spacing w:line="240" w:lineRule="auto"/>
              <w:ind w:firstLine="0" w:firstLineChars="0"/>
              <w:jc w:val="center"/>
              <w:rPr>
                <w:sz w:val="21"/>
                <w:szCs w:val="16"/>
                <w:u w:val="single"/>
              </w:rPr>
            </w:pPr>
            <w:r>
              <w:rPr>
                <w:rFonts w:hint="eastAsia"/>
                <w:sz w:val="21"/>
                <w:szCs w:val="16"/>
                <w:u w:val="single"/>
              </w:rPr>
              <w:t>石灰-石膏法脱硫</w:t>
            </w:r>
          </w:p>
        </w:tc>
        <w:tc>
          <w:tcPr>
            <w:tcW w:w="802" w:type="pct"/>
            <w:vMerge w:val="restar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5</w:t>
            </w:r>
            <w:r>
              <w:rPr>
                <w:rFonts w:hint="eastAsia"/>
                <w:sz w:val="21"/>
                <w:szCs w:val="16"/>
                <w:u w:val="single"/>
              </w:rPr>
              <w:t>%</w:t>
            </w:r>
          </w:p>
        </w:tc>
        <w:tc>
          <w:tcPr>
            <w:tcW w:w="998" w:type="pct"/>
            <w:vAlign w:val="center"/>
          </w:tcPr>
          <w:p>
            <w:pPr>
              <w:spacing w:line="240" w:lineRule="auto"/>
              <w:ind w:firstLine="0" w:firstLineChars="0"/>
              <w:jc w:val="center"/>
              <w:rPr>
                <w:sz w:val="21"/>
                <w:szCs w:val="16"/>
                <w:u w:val="single"/>
              </w:rPr>
            </w:pPr>
            <w:r>
              <w:rPr>
                <w:sz w:val="21"/>
                <w:szCs w:val="16"/>
                <w:u w:val="single"/>
              </w:rPr>
              <w:t>35.34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003</w:t>
            </w:r>
          </w:p>
        </w:tc>
        <w:tc>
          <w:tcPr>
            <w:tcW w:w="708"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17.80</w:t>
            </w:r>
          </w:p>
        </w:tc>
        <w:tc>
          <w:tcPr>
            <w:tcW w:w="998"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35.60</w:t>
            </w:r>
          </w:p>
        </w:tc>
        <w:tc>
          <w:tcPr>
            <w:tcW w:w="665" w:type="pct"/>
            <w:vMerge w:val="continue"/>
            <w:vAlign w:val="center"/>
          </w:tcPr>
          <w:p>
            <w:pPr>
              <w:spacing w:line="240" w:lineRule="auto"/>
              <w:ind w:firstLine="0" w:firstLineChars="0"/>
              <w:jc w:val="center"/>
              <w:rPr>
                <w:sz w:val="21"/>
                <w:szCs w:val="16"/>
                <w:u w:val="single"/>
              </w:rPr>
            </w:pPr>
          </w:p>
        </w:tc>
        <w:tc>
          <w:tcPr>
            <w:tcW w:w="802" w:type="pct"/>
            <w:vMerge w:val="continue"/>
            <w:vAlign w:val="center"/>
          </w:tcPr>
          <w:p>
            <w:pPr>
              <w:spacing w:line="240" w:lineRule="auto"/>
              <w:ind w:firstLine="0" w:firstLineChars="0"/>
              <w:jc w:val="center"/>
              <w:rPr>
                <w:sz w:val="21"/>
                <w:szCs w:val="16"/>
                <w:u w:val="single"/>
              </w:rPr>
            </w:pPr>
          </w:p>
        </w:tc>
        <w:tc>
          <w:tcPr>
            <w:tcW w:w="998" w:type="pct"/>
          </w:tcPr>
          <w:p>
            <w:pPr>
              <w:spacing w:line="240" w:lineRule="auto"/>
              <w:ind w:firstLine="0" w:firstLineChars="0"/>
              <w:jc w:val="center"/>
              <w:rPr>
                <w:sz w:val="21"/>
                <w:szCs w:val="16"/>
                <w:u w:val="single"/>
              </w:rPr>
            </w:pPr>
            <w:r>
              <w:rPr>
                <w:sz w:val="21"/>
                <w:szCs w:val="16"/>
                <w:u w:val="single"/>
              </w:rPr>
              <w:t>35.34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004</w:t>
            </w:r>
          </w:p>
        </w:tc>
        <w:tc>
          <w:tcPr>
            <w:tcW w:w="708"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17.80</w:t>
            </w:r>
          </w:p>
        </w:tc>
        <w:tc>
          <w:tcPr>
            <w:tcW w:w="998"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35.60</w:t>
            </w:r>
          </w:p>
        </w:tc>
        <w:tc>
          <w:tcPr>
            <w:tcW w:w="665" w:type="pct"/>
            <w:vMerge w:val="continue"/>
            <w:vAlign w:val="center"/>
          </w:tcPr>
          <w:p>
            <w:pPr>
              <w:spacing w:line="240" w:lineRule="auto"/>
              <w:ind w:firstLine="0" w:firstLineChars="0"/>
              <w:jc w:val="center"/>
              <w:rPr>
                <w:sz w:val="21"/>
                <w:szCs w:val="16"/>
                <w:u w:val="single"/>
              </w:rPr>
            </w:pPr>
          </w:p>
        </w:tc>
        <w:tc>
          <w:tcPr>
            <w:tcW w:w="802" w:type="pct"/>
            <w:vMerge w:val="continue"/>
            <w:vAlign w:val="center"/>
          </w:tcPr>
          <w:p>
            <w:pPr>
              <w:spacing w:line="240" w:lineRule="auto"/>
              <w:ind w:firstLine="0" w:firstLineChars="0"/>
              <w:jc w:val="center"/>
              <w:rPr>
                <w:sz w:val="21"/>
                <w:szCs w:val="16"/>
                <w:u w:val="single"/>
              </w:rPr>
            </w:pPr>
          </w:p>
        </w:tc>
        <w:tc>
          <w:tcPr>
            <w:tcW w:w="998" w:type="pct"/>
          </w:tcPr>
          <w:p>
            <w:pPr>
              <w:spacing w:line="240" w:lineRule="auto"/>
              <w:ind w:firstLine="0" w:firstLineChars="0"/>
              <w:jc w:val="center"/>
              <w:rPr>
                <w:sz w:val="21"/>
                <w:szCs w:val="16"/>
                <w:u w:val="single"/>
              </w:rPr>
            </w:pPr>
            <w:r>
              <w:rPr>
                <w:sz w:val="21"/>
                <w:szCs w:val="16"/>
                <w:u w:val="single"/>
              </w:rPr>
              <w:t>35.34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005</w:t>
            </w:r>
          </w:p>
        </w:tc>
        <w:tc>
          <w:tcPr>
            <w:tcW w:w="708"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17.80</w:t>
            </w:r>
          </w:p>
        </w:tc>
        <w:tc>
          <w:tcPr>
            <w:tcW w:w="998"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35.60</w:t>
            </w:r>
          </w:p>
        </w:tc>
        <w:tc>
          <w:tcPr>
            <w:tcW w:w="665" w:type="pct"/>
            <w:vMerge w:val="continue"/>
            <w:vAlign w:val="center"/>
          </w:tcPr>
          <w:p>
            <w:pPr>
              <w:spacing w:line="240" w:lineRule="auto"/>
              <w:ind w:firstLine="0" w:firstLineChars="0"/>
              <w:jc w:val="center"/>
              <w:rPr>
                <w:sz w:val="21"/>
                <w:szCs w:val="16"/>
                <w:u w:val="single"/>
              </w:rPr>
            </w:pPr>
          </w:p>
        </w:tc>
        <w:tc>
          <w:tcPr>
            <w:tcW w:w="802" w:type="pct"/>
            <w:vMerge w:val="continue"/>
            <w:vAlign w:val="center"/>
          </w:tcPr>
          <w:p>
            <w:pPr>
              <w:spacing w:line="240" w:lineRule="auto"/>
              <w:ind w:firstLine="0" w:firstLineChars="0"/>
              <w:jc w:val="center"/>
              <w:rPr>
                <w:sz w:val="21"/>
                <w:szCs w:val="16"/>
                <w:u w:val="single"/>
              </w:rPr>
            </w:pPr>
          </w:p>
        </w:tc>
        <w:tc>
          <w:tcPr>
            <w:tcW w:w="998" w:type="pct"/>
          </w:tcPr>
          <w:p>
            <w:pPr>
              <w:spacing w:line="240" w:lineRule="auto"/>
              <w:ind w:firstLine="0" w:firstLineChars="0"/>
              <w:jc w:val="center"/>
              <w:rPr>
                <w:sz w:val="21"/>
                <w:szCs w:val="16"/>
                <w:u w:val="single"/>
              </w:rPr>
            </w:pPr>
            <w:r>
              <w:rPr>
                <w:sz w:val="21"/>
                <w:szCs w:val="16"/>
                <w:u w:val="single"/>
              </w:rPr>
              <w:t>35.34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合计</w:t>
            </w:r>
          </w:p>
        </w:tc>
        <w:tc>
          <w:tcPr>
            <w:tcW w:w="708"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71.20</w:t>
            </w:r>
          </w:p>
        </w:tc>
        <w:tc>
          <w:tcPr>
            <w:tcW w:w="998"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42.40</w:t>
            </w:r>
          </w:p>
        </w:tc>
        <w:tc>
          <w:tcPr>
            <w:tcW w:w="665" w:type="pct"/>
            <w:vMerge w:val="continue"/>
            <w:vAlign w:val="center"/>
          </w:tcPr>
          <w:p>
            <w:pPr>
              <w:spacing w:line="240" w:lineRule="auto"/>
              <w:ind w:firstLine="0" w:firstLineChars="0"/>
              <w:jc w:val="center"/>
              <w:rPr>
                <w:sz w:val="21"/>
                <w:szCs w:val="16"/>
                <w:u w:val="single"/>
              </w:rPr>
            </w:pPr>
          </w:p>
        </w:tc>
        <w:tc>
          <w:tcPr>
            <w:tcW w:w="802" w:type="pct"/>
            <w:vMerge w:val="continue"/>
            <w:vAlign w:val="center"/>
          </w:tcPr>
          <w:p>
            <w:pPr>
              <w:spacing w:line="240" w:lineRule="auto"/>
              <w:ind w:firstLine="0" w:firstLineChars="0"/>
              <w:jc w:val="center"/>
              <w:rPr>
                <w:sz w:val="21"/>
                <w:szCs w:val="16"/>
                <w:u w:val="single"/>
              </w:rPr>
            </w:pPr>
          </w:p>
        </w:tc>
        <w:tc>
          <w:tcPr>
            <w:tcW w:w="998"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41.36</w:t>
            </w:r>
          </w:p>
        </w:tc>
      </w:tr>
    </w:tbl>
    <w:p>
      <w:pPr>
        <w:ind w:firstLine="480"/>
        <w:rPr>
          <w:rFonts w:cs="Times New Roman"/>
          <w:u w:val="single"/>
        </w:rPr>
      </w:pPr>
      <w:r>
        <w:rPr>
          <w:rFonts w:cs="Times New Roman"/>
          <w:u w:val="single"/>
        </w:rPr>
        <w:t>（3）颗粒物</w:t>
      </w:r>
    </w:p>
    <w:p>
      <w:pPr>
        <w:ind w:firstLine="480"/>
        <w:rPr>
          <w:rFonts w:cs="Times New Roman"/>
          <w:u w:val="single"/>
        </w:rPr>
      </w:pPr>
      <w:r>
        <w:rPr>
          <w:rFonts w:cs="Times New Roman"/>
          <w:u w:val="single"/>
        </w:rPr>
        <w:t>喷雾塔烟气中的颗粒物主要来自原料干燥时产生的粉状颗粒以及微煤粉/水煤浆的基质灰分。</w:t>
      </w:r>
      <w:r>
        <w:rPr>
          <w:rFonts w:hint="eastAsia" w:cs="Times New Roman"/>
          <w:u w:val="single"/>
        </w:rPr>
        <w:t>《排放源统计调查产排污核算方法和系数手册-锅炉产排污量核算系数手册-</w:t>
      </w:r>
      <w:r>
        <w:rPr>
          <w:rFonts w:hint="eastAsia"/>
          <w:u w:val="single"/>
        </w:rPr>
        <w:t xml:space="preserve"> </w:t>
      </w:r>
      <w:r>
        <w:rPr>
          <w:rFonts w:hint="eastAsia" w:cs="Times New Roman"/>
          <w:u w:val="single"/>
        </w:rPr>
        <w:t>3071建筑陶瓷制品制造行业系数手册</w:t>
      </w:r>
      <w:r>
        <w:rPr>
          <w:rFonts w:cs="Times New Roman"/>
          <w:u w:val="single"/>
        </w:rPr>
        <w:t>》</w:t>
      </w:r>
      <w:r>
        <w:rPr>
          <w:rFonts w:hint="eastAsia" w:cs="Times New Roman"/>
          <w:u w:val="single"/>
        </w:rPr>
        <w:t>进行核算，颗粒物产生量约为3</w:t>
      </w:r>
      <w:r>
        <w:rPr>
          <w:rFonts w:cs="Times New Roman"/>
          <w:u w:val="single"/>
        </w:rPr>
        <w:t>300</w:t>
      </w:r>
      <w:r>
        <w:rPr>
          <w:rFonts w:hint="eastAsia" w:cs="Times New Roman"/>
          <w:u w:val="single"/>
        </w:rPr>
        <w:t>kg</w:t>
      </w:r>
      <w:r>
        <w:rPr>
          <w:rFonts w:cs="Times New Roman"/>
          <w:u w:val="single"/>
        </w:rPr>
        <w:t>/</w:t>
      </w:r>
      <w:r>
        <w:rPr>
          <w:rFonts w:hint="eastAsia" w:cs="Times New Roman"/>
          <w:u w:val="single"/>
        </w:rPr>
        <w:t>万-m</w:t>
      </w:r>
      <w:r>
        <w:rPr>
          <w:rFonts w:cs="Times New Roman"/>
          <w:u w:val="single"/>
          <w:vertAlign w:val="superscript"/>
        </w:rPr>
        <w:t>2</w:t>
      </w:r>
      <w:r>
        <w:rPr>
          <w:rFonts w:hint="eastAsia" w:cs="Times New Roman"/>
          <w:u w:val="single"/>
        </w:rPr>
        <w:t>产品，项目产品总产量为1</w:t>
      </w:r>
      <w:r>
        <w:rPr>
          <w:rFonts w:cs="Times New Roman"/>
          <w:u w:val="single"/>
        </w:rPr>
        <w:t>2804</w:t>
      </w:r>
      <w:r>
        <w:rPr>
          <w:rFonts w:hint="eastAsia" w:cs="Times New Roman"/>
          <w:u w:val="single"/>
        </w:rPr>
        <w:t>万m</w:t>
      </w:r>
      <w:r>
        <w:rPr>
          <w:rFonts w:cs="Times New Roman"/>
          <w:u w:val="single"/>
          <w:vertAlign w:val="superscript"/>
        </w:rPr>
        <w:t>2</w:t>
      </w:r>
      <w:r>
        <w:rPr>
          <w:rFonts w:hint="eastAsia" w:cs="Times New Roman"/>
          <w:u w:val="single"/>
        </w:rPr>
        <w:t>，则颗粒物产生量为4</w:t>
      </w:r>
      <w:r>
        <w:rPr>
          <w:rFonts w:cs="Times New Roman"/>
          <w:u w:val="single"/>
        </w:rPr>
        <w:t>2253.2</w:t>
      </w:r>
      <w:r>
        <w:rPr>
          <w:rFonts w:hint="eastAsia" w:cs="Times New Roman"/>
          <w:u w:val="single"/>
        </w:rPr>
        <w:t>t</w:t>
      </w:r>
      <w:r>
        <w:rPr>
          <w:rFonts w:cs="Times New Roman"/>
          <w:u w:val="single"/>
        </w:rPr>
        <w:t>/a</w:t>
      </w:r>
      <w:r>
        <w:rPr>
          <w:rFonts w:hint="eastAsia" w:cs="Times New Roman"/>
          <w:u w:val="single"/>
        </w:rPr>
        <w:t>，项目采用袋式除尘工艺除尘，除尘效率按9</w:t>
      </w:r>
      <w:r>
        <w:rPr>
          <w:rFonts w:cs="Times New Roman"/>
          <w:u w:val="single"/>
        </w:rPr>
        <w:t>9</w:t>
      </w:r>
      <w:r>
        <w:rPr>
          <w:rFonts w:hint="eastAsia" w:cs="Times New Roman"/>
          <w:u w:val="single"/>
        </w:rPr>
        <w:t>%计算，则颗粒物排放量为4</w:t>
      </w:r>
      <w:r>
        <w:rPr>
          <w:rFonts w:cs="Times New Roman"/>
          <w:u w:val="single"/>
        </w:rPr>
        <w:t>22.53</w:t>
      </w:r>
      <w:r>
        <w:rPr>
          <w:rFonts w:hint="eastAsia" w:cs="Times New Roman"/>
          <w:u w:val="single"/>
        </w:rPr>
        <w:t>t</w:t>
      </w:r>
      <w:r>
        <w:rPr>
          <w:rFonts w:cs="Times New Roman"/>
          <w:u w:val="single"/>
        </w:rPr>
        <w:t>/a</w:t>
      </w:r>
      <w:r>
        <w:rPr>
          <w:rFonts w:hint="eastAsia" w:cs="Times New Roman"/>
          <w:u w:val="single"/>
        </w:rPr>
        <w:t>。具体产排情况如下：</w:t>
      </w:r>
    </w:p>
    <w:p>
      <w:pPr>
        <w:ind w:firstLine="0" w:firstLineChars="0"/>
        <w:jc w:val="center"/>
        <w:rPr>
          <w:rFonts w:cs="Times New Roman"/>
          <w:u w:val="single"/>
        </w:rPr>
      </w:pPr>
      <w:r>
        <w:rPr>
          <w:rFonts w:hint="eastAsia" w:cs="Times New Roman"/>
          <w:u w:val="single"/>
        </w:rPr>
        <w:t>表3</w:t>
      </w:r>
      <w:r>
        <w:rPr>
          <w:rFonts w:cs="Times New Roman"/>
          <w:u w:val="single"/>
        </w:rPr>
        <w:t>.3</w:t>
      </w:r>
      <w:r>
        <w:rPr>
          <w:rFonts w:hint="eastAsia" w:cs="Times New Roman"/>
          <w:u w:val="single"/>
        </w:rPr>
        <w:t>-</w:t>
      </w:r>
      <w:r>
        <w:rPr>
          <w:rFonts w:cs="Times New Roman"/>
          <w:u w:val="single"/>
        </w:rPr>
        <w:t xml:space="preserve">3  </w:t>
      </w:r>
      <w:r>
        <w:rPr>
          <w:rFonts w:hint="eastAsia" w:cs="Times New Roman"/>
          <w:u w:val="single"/>
        </w:rPr>
        <w:t>喷雾塔颗粒物产排情况表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63"/>
        <w:gridCol w:w="1106"/>
        <w:gridCol w:w="930"/>
        <w:gridCol w:w="702"/>
        <w:gridCol w:w="930"/>
        <w:gridCol w:w="930"/>
        <w:gridCol w:w="930"/>
        <w:gridCol w:w="700"/>
        <w:gridCol w:w="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21"/>
                <w:u w:val="single"/>
              </w:rPr>
              <w:t>排气筒编号</w:t>
            </w:r>
          </w:p>
        </w:tc>
        <w:tc>
          <w:tcPr>
            <w:tcW w:w="665" w:type="pct"/>
            <w:vAlign w:val="center"/>
          </w:tcPr>
          <w:p>
            <w:pPr>
              <w:spacing w:line="240" w:lineRule="auto"/>
              <w:ind w:firstLine="0" w:firstLineChars="0"/>
              <w:jc w:val="center"/>
              <w:rPr>
                <w:sz w:val="21"/>
                <w:szCs w:val="21"/>
                <w:u w:val="single"/>
              </w:rPr>
            </w:pPr>
            <w:r>
              <w:rPr>
                <w:rFonts w:hint="eastAsia"/>
                <w:sz w:val="21"/>
                <w:szCs w:val="21"/>
                <w:u w:val="single"/>
              </w:rPr>
              <w:t>烟气量</w:t>
            </w:r>
          </w:p>
          <w:p>
            <w:pPr>
              <w:spacing w:line="240" w:lineRule="auto"/>
              <w:ind w:firstLine="0" w:firstLineChars="0"/>
              <w:jc w:val="center"/>
              <w:rPr>
                <w:sz w:val="21"/>
                <w:szCs w:val="21"/>
                <w:u w:val="single"/>
              </w:rPr>
            </w:pPr>
            <w:r>
              <w:rPr>
                <w:rFonts w:hint="eastAsia"/>
                <w:sz w:val="21"/>
                <w:szCs w:val="21"/>
                <w:u w:val="single"/>
              </w:rPr>
              <w:t>万Nm</w:t>
            </w:r>
            <w:r>
              <w:rPr>
                <w:sz w:val="21"/>
                <w:szCs w:val="21"/>
                <w:u w:val="single"/>
                <w:vertAlign w:val="superscript"/>
              </w:rPr>
              <w:t>3</w:t>
            </w:r>
            <w:r>
              <w:rPr>
                <w:sz w:val="21"/>
                <w:szCs w:val="21"/>
                <w:u w:val="single"/>
              </w:rPr>
              <w:t>/a</w:t>
            </w:r>
          </w:p>
        </w:tc>
        <w:tc>
          <w:tcPr>
            <w:tcW w:w="559" w:type="pct"/>
          </w:tcPr>
          <w:p>
            <w:pPr>
              <w:spacing w:line="240" w:lineRule="auto"/>
              <w:ind w:firstLine="0" w:firstLineChars="0"/>
              <w:jc w:val="center"/>
              <w:rPr>
                <w:sz w:val="21"/>
                <w:szCs w:val="21"/>
                <w:u w:val="single"/>
              </w:rPr>
            </w:pPr>
            <w:r>
              <w:rPr>
                <w:rFonts w:hint="eastAsia"/>
                <w:sz w:val="21"/>
                <w:szCs w:val="21"/>
                <w:u w:val="single"/>
              </w:rPr>
              <w:t>产生浓度</w:t>
            </w:r>
          </w:p>
          <w:p>
            <w:pPr>
              <w:spacing w:line="240" w:lineRule="auto"/>
              <w:ind w:firstLine="0" w:firstLineChars="0"/>
              <w:jc w:val="center"/>
              <w:rPr>
                <w:sz w:val="21"/>
                <w:szCs w:val="21"/>
                <w:u w:val="single"/>
              </w:rPr>
            </w:pPr>
            <w:r>
              <w:rPr>
                <w:rFonts w:hint="eastAsia"/>
                <w:sz w:val="21"/>
                <w:szCs w:val="21"/>
                <w:u w:val="single"/>
              </w:rPr>
              <w:t>mg</w:t>
            </w:r>
            <w:r>
              <w:rPr>
                <w:sz w:val="21"/>
                <w:szCs w:val="21"/>
                <w:u w:val="single"/>
              </w:rPr>
              <w:t>/m</w:t>
            </w:r>
            <w:r>
              <w:rPr>
                <w:sz w:val="21"/>
                <w:szCs w:val="21"/>
                <w:u w:val="single"/>
                <w:vertAlign w:val="superscript"/>
              </w:rPr>
              <w:t>3</w:t>
            </w:r>
          </w:p>
        </w:tc>
        <w:tc>
          <w:tcPr>
            <w:tcW w:w="422" w:type="pct"/>
          </w:tcPr>
          <w:p>
            <w:pPr>
              <w:spacing w:line="240" w:lineRule="auto"/>
              <w:ind w:firstLine="0" w:firstLineChars="0"/>
              <w:jc w:val="center"/>
              <w:rPr>
                <w:sz w:val="21"/>
                <w:szCs w:val="21"/>
                <w:u w:val="single"/>
              </w:rPr>
            </w:pPr>
            <w:r>
              <w:rPr>
                <w:rFonts w:hint="eastAsia"/>
                <w:sz w:val="21"/>
                <w:szCs w:val="21"/>
                <w:u w:val="single"/>
              </w:rPr>
              <w:t>产生量</w:t>
            </w:r>
          </w:p>
          <w:p>
            <w:pPr>
              <w:spacing w:line="240" w:lineRule="auto"/>
              <w:ind w:firstLine="0" w:firstLineChars="0"/>
              <w:jc w:val="center"/>
              <w:rPr>
                <w:sz w:val="21"/>
                <w:szCs w:val="21"/>
                <w:u w:val="single"/>
              </w:rPr>
            </w:pPr>
            <w:r>
              <w:rPr>
                <w:rFonts w:hint="eastAsia"/>
                <w:sz w:val="21"/>
                <w:szCs w:val="21"/>
                <w:u w:val="single"/>
              </w:rPr>
              <w:t>t</w:t>
            </w:r>
            <w:r>
              <w:rPr>
                <w:sz w:val="21"/>
                <w:szCs w:val="21"/>
                <w:u w:val="single"/>
              </w:rPr>
              <w:t>/a</w:t>
            </w:r>
          </w:p>
        </w:tc>
        <w:tc>
          <w:tcPr>
            <w:tcW w:w="559" w:type="pct"/>
          </w:tcPr>
          <w:p>
            <w:pPr>
              <w:spacing w:line="240" w:lineRule="auto"/>
              <w:ind w:firstLine="0" w:firstLineChars="0"/>
              <w:jc w:val="center"/>
              <w:rPr>
                <w:sz w:val="21"/>
                <w:szCs w:val="21"/>
                <w:u w:val="single"/>
              </w:rPr>
            </w:pPr>
            <w:r>
              <w:rPr>
                <w:rFonts w:hint="eastAsia"/>
                <w:sz w:val="21"/>
                <w:szCs w:val="21"/>
                <w:u w:val="single"/>
              </w:rPr>
              <w:t>处理工艺</w:t>
            </w:r>
          </w:p>
        </w:tc>
        <w:tc>
          <w:tcPr>
            <w:tcW w:w="559" w:type="pct"/>
          </w:tcPr>
          <w:p>
            <w:pPr>
              <w:spacing w:line="240" w:lineRule="auto"/>
              <w:ind w:firstLine="0" w:firstLineChars="0"/>
              <w:jc w:val="center"/>
              <w:rPr>
                <w:sz w:val="21"/>
                <w:szCs w:val="21"/>
                <w:u w:val="single"/>
              </w:rPr>
            </w:pPr>
            <w:r>
              <w:rPr>
                <w:rFonts w:hint="eastAsia"/>
                <w:sz w:val="21"/>
                <w:szCs w:val="21"/>
                <w:u w:val="single"/>
              </w:rPr>
              <w:t>处理效率</w:t>
            </w:r>
          </w:p>
          <w:p>
            <w:pPr>
              <w:spacing w:line="240" w:lineRule="auto"/>
              <w:ind w:firstLine="0" w:firstLineChars="0"/>
              <w:jc w:val="center"/>
              <w:rPr>
                <w:sz w:val="21"/>
                <w:szCs w:val="21"/>
                <w:u w:val="single"/>
              </w:rPr>
            </w:pPr>
            <w:r>
              <w:rPr>
                <w:rFonts w:hint="eastAsia"/>
                <w:sz w:val="21"/>
                <w:szCs w:val="21"/>
                <w:u w:val="single"/>
              </w:rPr>
              <w:t>%</w:t>
            </w:r>
          </w:p>
        </w:tc>
        <w:tc>
          <w:tcPr>
            <w:tcW w:w="559" w:type="pct"/>
          </w:tcPr>
          <w:p>
            <w:pPr>
              <w:spacing w:line="240" w:lineRule="auto"/>
              <w:ind w:firstLine="0" w:firstLineChars="0"/>
              <w:jc w:val="center"/>
              <w:rPr>
                <w:sz w:val="21"/>
                <w:szCs w:val="21"/>
                <w:u w:val="single"/>
              </w:rPr>
            </w:pPr>
            <w:r>
              <w:rPr>
                <w:rFonts w:hint="eastAsia"/>
                <w:sz w:val="21"/>
                <w:szCs w:val="21"/>
                <w:u w:val="single"/>
              </w:rPr>
              <w:t>排放浓度</w:t>
            </w:r>
          </w:p>
          <w:p>
            <w:pPr>
              <w:spacing w:line="240" w:lineRule="auto"/>
              <w:ind w:firstLine="0" w:firstLineChars="0"/>
              <w:jc w:val="center"/>
              <w:rPr>
                <w:sz w:val="21"/>
                <w:szCs w:val="21"/>
                <w:u w:val="single"/>
              </w:rPr>
            </w:pPr>
            <w:r>
              <w:rPr>
                <w:rFonts w:hint="eastAsia"/>
                <w:sz w:val="21"/>
                <w:szCs w:val="21"/>
                <w:u w:val="single"/>
              </w:rPr>
              <w:t>mg</w:t>
            </w:r>
            <w:r>
              <w:rPr>
                <w:sz w:val="21"/>
                <w:szCs w:val="21"/>
                <w:u w:val="single"/>
              </w:rPr>
              <w:t>/m</w:t>
            </w:r>
            <w:r>
              <w:rPr>
                <w:sz w:val="21"/>
                <w:szCs w:val="21"/>
                <w:u w:val="single"/>
                <w:vertAlign w:val="superscript"/>
              </w:rPr>
              <w:t>3</w:t>
            </w:r>
          </w:p>
        </w:tc>
        <w:tc>
          <w:tcPr>
            <w:tcW w:w="421" w:type="pct"/>
          </w:tcPr>
          <w:p>
            <w:pPr>
              <w:spacing w:line="240" w:lineRule="auto"/>
              <w:ind w:firstLine="0" w:firstLineChars="0"/>
              <w:jc w:val="center"/>
              <w:rPr>
                <w:sz w:val="21"/>
                <w:szCs w:val="21"/>
                <w:u w:val="single"/>
              </w:rPr>
            </w:pPr>
            <w:r>
              <w:rPr>
                <w:rFonts w:hint="eastAsia"/>
                <w:sz w:val="21"/>
                <w:szCs w:val="21"/>
                <w:u w:val="single"/>
              </w:rPr>
              <w:t>排放量</w:t>
            </w:r>
          </w:p>
          <w:p>
            <w:pPr>
              <w:spacing w:line="240" w:lineRule="auto"/>
              <w:ind w:firstLine="0" w:firstLineChars="0"/>
              <w:jc w:val="center"/>
              <w:rPr>
                <w:sz w:val="21"/>
                <w:szCs w:val="21"/>
                <w:u w:val="single"/>
              </w:rPr>
            </w:pPr>
            <w:r>
              <w:rPr>
                <w:rFonts w:hint="eastAsia"/>
                <w:sz w:val="21"/>
                <w:szCs w:val="21"/>
                <w:u w:val="single"/>
              </w:rPr>
              <w:t>t</w:t>
            </w:r>
            <w:r>
              <w:rPr>
                <w:sz w:val="21"/>
                <w:szCs w:val="21"/>
                <w:u w:val="single"/>
              </w:rPr>
              <w:t>/a</w:t>
            </w:r>
          </w:p>
        </w:tc>
        <w:tc>
          <w:tcPr>
            <w:tcW w:w="556" w:type="pct"/>
          </w:tcPr>
          <w:p>
            <w:pPr>
              <w:spacing w:line="240" w:lineRule="auto"/>
              <w:ind w:firstLine="0" w:firstLineChars="0"/>
              <w:jc w:val="center"/>
              <w:rPr>
                <w:sz w:val="21"/>
                <w:szCs w:val="21"/>
                <w:u w:val="single"/>
              </w:rPr>
            </w:pPr>
            <w:r>
              <w:rPr>
                <w:rFonts w:hint="eastAsia"/>
                <w:sz w:val="21"/>
                <w:szCs w:val="21"/>
                <w:u w:val="single"/>
              </w:rPr>
              <w:t>排放速率</w:t>
            </w:r>
          </w:p>
          <w:p>
            <w:pPr>
              <w:spacing w:line="240" w:lineRule="auto"/>
              <w:ind w:firstLine="0" w:firstLineChars="0"/>
              <w:jc w:val="center"/>
              <w:rPr>
                <w:sz w:val="21"/>
                <w:szCs w:val="21"/>
                <w:u w:val="single"/>
              </w:rPr>
            </w:pPr>
            <w:r>
              <w:rPr>
                <w:rFonts w:hint="eastAsia"/>
                <w:sz w:val="21"/>
                <w:szCs w:val="21"/>
                <w:u w:val="single"/>
              </w:rPr>
              <w:t>kg</w:t>
            </w:r>
            <w:r>
              <w:rPr>
                <w:sz w:val="21"/>
                <w:szCs w:val="21"/>
                <w:u w:val="single"/>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21"/>
                <w:u w:val="single"/>
              </w:rPr>
              <w:t>DA</w:t>
            </w:r>
            <w:r>
              <w:rPr>
                <w:sz w:val="21"/>
                <w:szCs w:val="21"/>
                <w:u w:val="single"/>
              </w:rPr>
              <w:t>002</w:t>
            </w:r>
          </w:p>
        </w:tc>
        <w:tc>
          <w:tcPr>
            <w:tcW w:w="665" w:type="pct"/>
            <w:vAlign w:val="center"/>
          </w:tcPr>
          <w:p>
            <w:pPr>
              <w:spacing w:line="240" w:lineRule="auto"/>
              <w:ind w:firstLine="0" w:firstLineChars="0"/>
              <w:jc w:val="center"/>
              <w:rPr>
                <w:sz w:val="21"/>
                <w:szCs w:val="21"/>
                <w:u w:val="single"/>
              </w:rPr>
            </w:pPr>
            <w:r>
              <w:rPr>
                <w:sz w:val="21"/>
                <w:szCs w:val="16"/>
                <w:u w:val="single"/>
              </w:rPr>
              <w:t>229995</w:t>
            </w: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4</w:t>
            </w:r>
            <w:r>
              <w:rPr>
                <w:sz w:val="21"/>
                <w:szCs w:val="21"/>
                <w:u w:val="single"/>
              </w:rPr>
              <w:t>592.84</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0563.3</w:t>
            </w:r>
          </w:p>
        </w:tc>
        <w:tc>
          <w:tcPr>
            <w:tcW w:w="559" w:type="pct"/>
            <w:vMerge w:val="restart"/>
            <w:vAlign w:val="center"/>
          </w:tcPr>
          <w:p>
            <w:pPr>
              <w:spacing w:line="240" w:lineRule="auto"/>
              <w:ind w:firstLine="0" w:firstLineChars="0"/>
              <w:jc w:val="center"/>
              <w:rPr>
                <w:sz w:val="21"/>
                <w:szCs w:val="21"/>
                <w:u w:val="single"/>
              </w:rPr>
            </w:pPr>
            <w:r>
              <w:rPr>
                <w:rFonts w:hint="eastAsia"/>
                <w:sz w:val="21"/>
                <w:szCs w:val="21"/>
                <w:u w:val="single"/>
              </w:rPr>
              <w:t>袋式</w:t>
            </w:r>
          </w:p>
          <w:p>
            <w:pPr>
              <w:spacing w:line="240" w:lineRule="auto"/>
              <w:ind w:firstLine="0" w:firstLineChars="0"/>
              <w:jc w:val="center"/>
              <w:rPr>
                <w:sz w:val="21"/>
                <w:szCs w:val="21"/>
                <w:u w:val="single"/>
              </w:rPr>
            </w:pPr>
            <w:r>
              <w:rPr>
                <w:rFonts w:hint="eastAsia"/>
                <w:sz w:val="21"/>
                <w:szCs w:val="21"/>
                <w:u w:val="single"/>
              </w:rPr>
              <w:t>除尘器</w:t>
            </w:r>
          </w:p>
        </w:tc>
        <w:tc>
          <w:tcPr>
            <w:tcW w:w="559" w:type="pct"/>
            <w:vMerge w:val="restart"/>
            <w:vAlign w:val="center"/>
          </w:tcPr>
          <w:p>
            <w:pPr>
              <w:spacing w:line="240" w:lineRule="auto"/>
              <w:ind w:firstLine="0" w:firstLineChars="0"/>
              <w:jc w:val="center"/>
              <w:rPr>
                <w:sz w:val="21"/>
                <w:szCs w:val="21"/>
                <w:u w:val="single"/>
              </w:rPr>
            </w:pPr>
            <w:r>
              <w:rPr>
                <w:rFonts w:hint="eastAsia"/>
                <w:sz w:val="21"/>
                <w:szCs w:val="21"/>
                <w:u w:val="single"/>
              </w:rPr>
              <w:t>9</w:t>
            </w:r>
            <w:r>
              <w:rPr>
                <w:sz w:val="21"/>
                <w:szCs w:val="21"/>
                <w:u w:val="single"/>
              </w:rPr>
              <w:t>9</w:t>
            </w: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4</w:t>
            </w:r>
            <w:r>
              <w:rPr>
                <w:sz w:val="21"/>
                <w:szCs w:val="21"/>
                <w:u w:val="single"/>
              </w:rPr>
              <w:t>5.93</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05.63</w:t>
            </w:r>
          </w:p>
        </w:tc>
        <w:tc>
          <w:tcPr>
            <w:tcW w:w="556"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21"/>
                <w:u w:val="single"/>
              </w:rPr>
              <w:t>DA</w:t>
            </w:r>
            <w:r>
              <w:rPr>
                <w:sz w:val="21"/>
                <w:szCs w:val="21"/>
                <w:u w:val="single"/>
              </w:rPr>
              <w:t>003</w:t>
            </w:r>
          </w:p>
        </w:tc>
        <w:tc>
          <w:tcPr>
            <w:tcW w:w="665" w:type="pct"/>
          </w:tcPr>
          <w:p>
            <w:pPr>
              <w:spacing w:line="240" w:lineRule="auto"/>
              <w:ind w:firstLine="0" w:firstLineChars="0"/>
              <w:jc w:val="center"/>
              <w:rPr>
                <w:sz w:val="21"/>
                <w:szCs w:val="21"/>
                <w:u w:val="single"/>
              </w:rPr>
            </w:pPr>
            <w:r>
              <w:rPr>
                <w:sz w:val="21"/>
                <w:szCs w:val="16"/>
                <w:u w:val="single"/>
              </w:rPr>
              <w:t>229995</w:t>
            </w:r>
          </w:p>
        </w:tc>
        <w:tc>
          <w:tcPr>
            <w:tcW w:w="559" w:type="pct"/>
          </w:tcPr>
          <w:p>
            <w:pPr>
              <w:spacing w:line="240" w:lineRule="auto"/>
              <w:ind w:firstLine="0" w:firstLineChars="0"/>
              <w:jc w:val="center"/>
              <w:rPr>
                <w:sz w:val="21"/>
                <w:szCs w:val="21"/>
                <w:u w:val="single"/>
              </w:rPr>
            </w:pPr>
            <w:r>
              <w:rPr>
                <w:rFonts w:hint="eastAsia"/>
                <w:sz w:val="21"/>
                <w:szCs w:val="21"/>
                <w:u w:val="single"/>
              </w:rPr>
              <w:t>4</w:t>
            </w:r>
            <w:r>
              <w:rPr>
                <w:sz w:val="21"/>
                <w:szCs w:val="21"/>
                <w:u w:val="single"/>
              </w:rPr>
              <w:t>592.84</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0563.3</w:t>
            </w:r>
          </w:p>
        </w:tc>
        <w:tc>
          <w:tcPr>
            <w:tcW w:w="559" w:type="pct"/>
            <w:vMerge w:val="continue"/>
          </w:tcPr>
          <w:p>
            <w:pPr>
              <w:spacing w:line="240" w:lineRule="auto"/>
              <w:ind w:firstLine="0" w:firstLineChars="0"/>
              <w:jc w:val="center"/>
              <w:rPr>
                <w:sz w:val="21"/>
                <w:szCs w:val="21"/>
                <w:u w:val="single"/>
              </w:rPr>
            </w:pPr>
          </w:p>
        </w:tc>
        <w:tc>
          <w:tcPr>
            <w:tcW w:w="559" w:type="pct"/>
            <w:vMerge w:val="continue"/>
          </w:tcPr>
          <w:p>
            <w:pPr>
              <w:spacing w:line="240" w:lineRule="auto"/>
              <w:ind w:firstLine="0" w:firstLineChars="0"/>
              <w:jc w:val="center"/>
              <w:rPr>
                <w:sz w:val="21"/>
                <w:szCs w:val="21"/>
                <w:u w:val="single"/>
              </w:rPr>
            </w:pP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4</w:t>
            </w:r>
            <w:r>
              <w:rPr>
                <w:sz w:val="21"/>
                <w:szCs w:val="21"/>
                <w:u w:val="single"/>
              </w:rPr>
              <w:t>5.93</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05.63</w:t>
            </w:r>
          </w:p>
        </w:tc>
        <w:tc>
          <w:tcPr>
            <w:tcW w:w="556"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21"/>
                <w:u w:val="single"/>
              </w:rPr>
              <w:t>DA</w:t>
            </w:r>
            <w:r>
              <w:rPr>
                <w:sz w:val="21"/>
                <w:szCs w:val="21"/>
                <w:u w:val="single"/>
              </w:rPr>
              <w:t>004</w:t>
            </w:r>
          </w:p>
        </w:tc>
        <w:tc>
          <w:tcPr>
            <w:tcW w:w="665" w:type="pct"/>
          </w:tcPr>
          <w:p>
            <w:pPr>
              <w:spacing w:line="240" w:lineRule="auto"/>
              <w:ind w:firstLine="0" w:firstLineChars="0"/>
              <w:jc w:val="center"/>
              <w:rPr>
                <w:sz w:val="21"/>
                <w:szCs w:val="21"/>
                <w:u w:val="single"/>
              </w:rPr>
            </w:pPr>
            <w:r>
              <w:rPr>
                <w:sz w:val="21"/>
                <w:szCs w:val="16"/>
                <w:u w:val="single"/>
              </w:rPr>
              <w:t>229995</w:t>
            </w:r>
          </w:p>
        </w:tc>
        <w:tc>
          <w:tcPr>
            <w:tcW w:w="559" w:type="pct"/>
          </w:tcPr>
          <w:p>
            <w:pPr>
              <w:spacing w:line="240" w:lineRule="auto"/>
              <w:ind w:firstLine="0" w:firstLineChars="0"/>
              <w:jc w:val="center"/>
              <w:rPr>
                <w:sz w:val="21"/>
                <w:szCs w:val="21"/>
                <w:u w:val="single"/>
              </w:rPr>
            </w:pPr>
            <w:r>
              <w:rPr>
                <w:rFonts w:hint="eastAsia"/>
                <w:sz w:val="21"/>
                <w:szCs w:val="21"/>
                <w:u w:val="single"/>
              </w:rPr>
              <w:t>4</w:t>
            </w:r>
            <w:r>
              <w:rPr>
                <w:sz w:val="21"/>
                <w:szCs w:val="21"/>
                <w:u w:val="single"/>
              </w:rPr>
              <w:t>592.84</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0563.3</w:t>
            </w:r>
          </w:p>
        </w:tc>
        <w:tc>
          <w:tcPr>
            <w:tcW w:w="559" w:type="pct"/>
            <w:vMerge w:val="continue"/>
          </w:tcPr>
          <w:p>
            <w:pPr>
              <w:spacing w:line="240" w:lineRule="auto"/>
              <w:ind w:firstLine="0" w:firstLineChars="0"/>
              <w:jc w:val="center"/>
              <w:rPr>
                <w:sz w:val="21"/>
                <w:szCs w:val="21"/>
                <w:u w:val="single"/>
              </w:rPr>
            </w:pPr>
          </w:p>
        </w:tc>
        <w:tc>
          <w:tcPr>
            <w:tcW w:w="559" w:type="pct"/>
            <w:vMerge w:val="continue"/>
          </w:tcPr>
          <w:p>
            <w:pPr>
              <w:spacing w:line="240" w:lineRule="auto"/>
              <w:ind w:firstLine="0" w:firstLineChars="0"/>
              <w:jc w:val="center"/>
              <w:rPr>
                <w:sz w:val="21"/>
                <w:szCs w:val="21"/>
                <w:u w:val="single"/>
              </w:rPr>
            </w:pP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4</w:t>
            </w:r>
            <w:r>
              <w:rPr>
                <w:sz w:val="21"/>
                <w:szCs w:val="21"/>
                <w:u w:val="single"/>
              </w:rPr>
              <w:t>5.93</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05.63</w:t>
            </w:r>
          </w:p>
        </w:tc>
        <w:tc>
          <w:tcPr>
            <w:tcW w:w="556"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21"/>
                <w:u w:val="single"/>
              </w:rPr>
              <w:t>DA</w:t>
            </w:r>
            <w:r>
              <w:rPr>
                <w:sz w:val="21"/>
                <w:szCs w:val="21"/>
                <w:u w:val="single"/>
              </w:rPr>
              <w:t>005</w:t>
            </w:r>
          </w:p>
        </w:tc>
        <w:tc>
          <w:tcPr>
            <w:tcW w:w="665" w:type="pct"/>
          </w:tcPr>
          <w:p>
            <w:pPr>
              <w:spacing w:line="240" w:lineRule="auto"/>
              <w:ind w:firstLine="0" w:firstLineChars="0"/>
              <w:jc w:val="center"/>
              <w:rPr>
                <w:sz w:val="21"/>
                <w:szCs w:val="21"/>
                <w:u w:val="single"/>
              </w:rPr>
            </w:pPr>
            <w:r>
              <w:rPr>
                <w:sz w:val="21"/>
                <w:szCs w:val="16"/>
                <w:u w:val="single"/>
              </w:rPr>
              <w:t>229995</w:t>
            </w:r>
          </w:p>
        </w:tc>
        <w:tc>
          <w:tcPr>
            <w:tcW w:w="559" w:type="pct"/>
          </w:tcPr>
          <w:p>
            <w:pPr>
              <w:spacing w:line="240" w:lineRule="auto"/>
              <w:ind w:firstLine="0" w:firstLineChars="0"/>
              <w:jc w:val="center"/>
              <w:rPr>
                <w:sz w:val="21"/>
                <w:szCs w:val="21"/>
                <w:u w:val="single"/>
              </w:rPr>
            </w:pPr>
            <w:r>
              <w:rPr>
                <w:rFonts w:hint="eastAsia"/>
                <w:sz w:val="21"/>
                <w:szCs w:val="21"/>
                <w:u w:val="single"/>
              </w:rPr>
              <w:t>4</w:t>
            </w:r>
            <w:r>
              <w:rPr>
                <w:sz w:val="21"/>
                <w:szCs w:val="21"/>
                <w:u w:val="single"/>
              </w:rPr>
              <w:t>592.84</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0563.3</w:t>
            </w:r>
          </w:p>
        </w:tc>
        <w:tc>
          <w:tcPr>
            <w:tcW w:w="559" w:type="pct"/>
            <w:vMerge w:val="continue"/>
          </w:tcPr>
          <w:p>
            <w:pPr>
              <w:spacing w:line="240" w:lineRule="auto"/>
              <w:ind w:firstLine="0" w:firstLineChars="0"/>
              <w:jc w:val="center"/>
              <w:rPr>
                <w:sz w:val="21"/>
                <w:szCs w:val="21"/>
                <w:u w:val="single"/>
              </w:rPr>
            </w:pPr>
          </w:p>
        </w:tc>
        <w:tc>
          <w:tcPr>
            <w:tcW w:w="559" w:type="pct"/>
            <w:vMerge w:val="continue"/>
          </w:tcPr>
          <w:p>
            <w:pPr>
              <w:spacing w:line="240" w:lineRule="auto"/>
              <w:ind w:firstLine="0" w:firstLineChars="0"/>
              <w:jc w:val="center"/>
              <w:rPr>
                <w:sz w:val="21"/>
                <w:szCs w:val="21"/>
                <w:u w:val="single"/>
              </w:rPr>
            </w:pP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4</w:t>
            </w:r>
            <w:r>
              <w:rPr>
                <w:sz w:val="21"/>
                <w:szCs w:val="21"/>
                <w:u w:val="single"/>
              </w:rPr>
              <w:t>5.93</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05.63</w:t>
            </w:r>
          </w:p>
        </w:tc>
        <w:tc>
          <w:tcPr>
            <w:tcW w:w="556"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3.34</w:t>
            </w:r>
          </w:p>
        </w:tc>
      </w:tr>
    </w:tbl>
    <w:p>
      <w:pPr>
        <w:ind w:firstLine="480"/>
        <w:rPr>
          <w:rFonts w:cs="Times New Roman"/>
          <w:u w:val="single"/>
        </w:rPr>
      </w:pPr>
      <w:r>
        <w:rPr>
          <w:rFonts w:cs="Times New Roman"/>
          <w:u w:val="single"/>
        </w:rPr>
        <w:t>（4）NO</w:t>
      </w:r>
      <w:r>
        <w:rPr>
          <w:rFonts w:cs="Times New Roman"/>
          <w:u w:val="single"/>
          <w:vertAlign w:val="subscript"/>
        </w:rPr>
        <w:t>x</w:t>
      </w:r>
    </w:p>
    <w:p>
      <w:pPr>
        <w:ind w:firstLine="480"/>
        <w:rPr>
          <w:rFonts w:cs="Times New Roman"/>
          <w:u w:val="single"/>
        </w:rPr>
      </w:pPr>
      <w:r>
        <w:rPr>
          <w:rFonts w:cs="Times New Roman"/>
          <w:u w:val="single"/>
        </w:rPr>
        <w:t>喷雾塔烟气中的氮氧化物主要来自于微煤粉所含的有机质。</w:t>
      </w:r>
      <w:r>
        <w:rPr>
          <w:rFonts w:hint="eastAsia" w:cs="Times New Roman"/>
          <w:u w:val="single"/>
        </w:rPr>
        <w:t>《排放源统计调查产排污核算方法和系数手册-锅炉产排污量核算系数手册-</w:t>
      </w:r>
      <w:r>
        <w:rPr>
          <w:rFonts w:hint="eastAsia"/>
          <w:u w:val="single"/>
        </w:rPr>
        <w:t xml:space="preserve"> </w:t>
      </w:r>
      <w:r>
        <w:rPr>
          <w:rFonts w:hint="eastAsia" w:cs="Times New Roman"/>
          <w:u w:val="single"/>
        </w:rPr>
        <w:t>3071建筑陶瓷制品制造行业系数手册</w:t>
      </w:r>
      <w:r>
        <w:rPr>
          <w:rFonts w:cs="Times New Roman"/>
          <w:u w:val="single"/>
        </w:rPr>
        <w:t>》</w:t>
      </w:r>
      <w:r>
        <w:rPr>
          <w:rFonts w:hint="eastAsia" w:cs="Times New Roman"/>
          <w:u w:val="single"/>
        </w:rPr>
        <w:t>进行核算，NO</w:t>
      </w:r>
      <w:r>
        <w:rPr>
          <w:rFonts w:hint="eastAsia" w:cs="Times New Roman"/>
          <w:u w:val="single"/>
          <w:vertAlign w:val="subscript"/>
        </w:rPr>
        <w:t>x</w:t>
      </w:r>
      <w:r>
        <w:rPr>
          <w:rFonts w:hint="eastAsia" w:cs="Times New Roman"/>
          <w:u w:val="single"/>
        </w:rPr>
        <w:t>产生系数为1</w:t>
      </w:r>
      <w:r>
        <w:rPr>
          <w:rFonts w:cs="Times New Roman"/>
          <w:u w:val="single"/>
        </w:rPr>
        <w:t>65</w:t>
      </w:r>
      <w:r>
        <w:rPr>
          <w:rFonts w:hint="eastAsia" w:cs="Times New Roman"/>
          <w:u w:val="single"/>
        </w:rPr>
        <w:t>kg</w:t>
      </w:r>
      <w:r>
        <w:rPr>
          <w:rFonts w:cs="Times New Roman"/>
          <w:u w:val="single"/>
        </w:rPr>
        <w:t>/</w:t>
      </w:r>
      <w:r>
        <w:rPr>
          <w:rFonts w:hint="eastAsia" w:cs="Times New Roman"/>
          <w:u w:val="single"/>
        </w:rPr>
        <w:t>万m</w:t>
      </w:r>
      <w:r>
        <w:rPr>
          <w:rFonts w:cs="Times New Roman"/>
          <w:u w:val="single"/>
          <w:vertAlign w:val="superscript"/>
        </w:rPr>
        <w:t>2</w:t>
      </w:r>
      <w:r>
        <w:rPr>
          <w:rFonts w:hint="eastAsia" w:cs="Times New Roman"/>
          <w:u w:val="single"/>
        </w:rPr>
        <w:t>-产品，项目产品总产量为1</w:t>
      </w:r>
      <w:r>
        <w:rPr>
          <w:rFonts w:cs="Times New Roman"/>
          <w:u w:val="single"/>
        </w:rPr>
        <w:t>2804</w:t>
      </w:r>
      <w:r>
        <w:rPr>
          <w:rFonts w:hint="eastAsia" w:cs="Times New Roman"/>
          <w:u w:val="single"/>
        </w:rPr>
        <w:t>万m</w:t>
      </w:r>
      <w:r>
        <w:rPr>
          <w:rFonts w:cs="Times New Roman"/>
          <w:u w:val="single"/>
          <w:vertAlign w:val="superscript"/>
        </w:rPr>
        <w:t>2</w:t>
      </w:r>
      <w:r>
        <w:rPr>
          <w:rFonts w:hint="eastAsia" w:cs="Times New Roman"/>
          <w:u w:val="single"/>
        </w:rPr>
        <w:t>，则NO</w:t>
      </w:r>
      <w:r>
        <w:rPr>
          <w:rFonts w:hint="eastAsia" w:cs="Times New Roman"/>
          <w:u w:val="single"/>
          <w:vertAlign w:val="subscript"/>
        </w:rPr>
        <w:t>x</w:t>
      </w:r>
      <w:r>
        <w:rPr>
          <w:rFonts w:hint="eastAsia" w:cs="Times New Roman"/>
          <w:u w:val="single"/>
        </w:rPr>
        <w:t>产生量约为2</w:t>
      </w:r>
      <w:r>
        <w:rPr>
          <w:rFonts w:cs="Times New Roman"/>
          <w:u w:val="single"/>
        </w:rPr>
        <w:t>112.66</w:t>
      </w:r>
      <w:r>
        <w:rPr>
          <w:rFonts w:hint="eastAsia" w:cs="Times New Roman"/>
          <w:u w:val="single"/>
        </w:rPr>
        <w:t>t</w:t>
      </w:r>
      <w:r>
        <w:rPr>
          <w:rFonts w:cs="Times New Roman"/>
          <w:u w:val="single"/>
        </w:rPr>
        <w:t>/a</w:t>
      </w:r>
      <w:r>
        <w:rPr>
          <w:rFonts w:hint="eastAsia" w:cs="Times New Roman"/>
          <w:u w:val="single"/>
        </w:rPr>
        <w:t>，项目采用SNCR+SCR脱硝，SNCR脱硝效率约为</w:t>
      </w:r>
      <w:r>
        <w:rPr>
          <w:rFonts w:cs="Times New Roman"/>
          <w:u w:val="single"/>
        </w:rPr>
        <w:t>50</w:t>
      </w:r>
      <w:r>
        <w:rPr>
          <w:rFonts w:hint="eastAsia" w:cs="Times New Roman"/>
          <w:u w:val="single"/>
        </w:rPr>
        <w:t>%，SCR脱硝效率约为</w:t>
      </w:r>
      <w:r>
        <w:rPr>
          <w:rFonts w:cs="Times New Roman"/>
          <w:u w:val="single"/>
        </w:rPr>
        <w:t>80</w:t>
      </w:r>
      <w:r>
        <w:rPr>
          <w:rFonts w:hint="eastAsia" w:cs="Times New Roman"/>
          <w:u w:val="single"/>
        </w:rPr>
        <w:t>%，则综合脱硝效率约为</w:t>
      </w:r>
      <w:r>
        <w:rPr>
          <w:rFonts w:cs="Times New Roman"/>
          <w:u w:val="single"/>
        </w:rPr>
        <w:t>90</w:t>
      </w:r>
      <w:r>
        <w:rPr>
          <w:rFonts w:hint="eastAsia" w:cs="Times New Roman"/>
          <w:u w:val="single"/>
        </w:rPr>
        <w:t>%，则NO</w:t>
      </w:r>
      <w:r>
        <w:rPr>
          <w:rFonts w:hint="eastAsia" w:cs="Times New Roman"/>
          <w:u w:val="single"/>
          <w:vertAlign w:val="subscript"/>
        </w:rPr>
        <w:t>x</w:t>
      </w:r>
      <w:r>
        <w:rPr>
          <w:rFonts w:hint="eastAsia" w:cs="Times New Roman"/>
          <w:u w:val="single"/>
        </w:rPr>
        <w:t>排放量约为</w:t>
      </w:r>
      <w:r>
        <w:rPr>
          <w:rFonts w:cs="Times New Roman"/>
          <w:u w:val="single"/>
        </w:rPr>
        <w:t>211.27</w:t>
      </w:r>
      <w:r>
        <w:rPr>
          <w:rFonts w:hint="eastAsia" w:cs="Times New Roman"/>
          <w:u w:val="single"/>
        </w:rPr>
        <w:t>t</w:t>
      </w:r>
      <w:r>
        <w:rPr>
          <w:rFonts w:cs="Times New Roman"/>
          <w:u w:val="single"/>
        </w:rPr>
        <w:t>/a</w:t>
      </w:r>
      <w:r>
        <w:rPr>
          <w:rFonts w:hint="eastAsia" w:cs="Times New Roman"/>
          <w:u w:val="single"/>
        </w:rPr>
        <w:t>。NO</w:t>
      </w:r>
      <w:r>
        <w:rPr>
          <w:rFonts w:hint="eastAsia" w:cs="Times New Roman"/>
          <w:u w:val="single"/>
          <w:vertAlign w:val="subscript"/>
        </w:rPr>
        <w:t>x</w:t>
      </w:r>
      <w:r>
        <w:rPr>
          <w:rFonts w:hint="eastAsia" w:cs="Times New Roman"/>
          <w:u w:val="single"/>
        </w:rPr>
        <w:t>具体产排情况如下：</w:t>
      </w:r>
    </w:p>
    <w:p>
      <w:pPr>
        <w:ind w:firstLine="0" w:firstLineChars="0"/>
        <w:jc w:val="center"/>
        <w:rPr>
          <w:rFonts w:cs="Times New Roman"/>
          <w:u w:val="single"/>
        </w:rPr>
      </w:pPr>
      <w:r>
        <w:rPr>
          <w:rFonts w:hint="eastAsia" w:cs="Times New Roman"/>
          <w:u w:val="single"/>
        </w:rPr>
        <w:t>表3</w:t>
      </w:r>
      <w:r>
        <w:rPr>
          <w:rFonts w:cs="Times New Roman"/>
          <w:u w:val="single"/>
        </w:rPr>
        <w:t>.3</w:t>
      </w:r>
      <w:r>
        <w:rPr>
          <w:rFonts w:hint="eastAsia" w:cs="Times New Roman"/>
          <w:u w:val="single"/>
        </w:rPr>
        <w:t>-</w:t>
      </w:r>
      <w:r>
        <w:rPr>
          <w:rFonts w:cs="Times New Roman"/>
          <w:u w:val="single"/>
        </w:rPr>
        <w:t xml:space="preserve">4  </w:t>
      </w:r>
      <w:r>
        <w:rPr>
          <w:rFonts w:hint="eastAsia" w:cs="Times New Roman"/>
          <w:u w:val="single"/>
        </w:rPr>
        <w:t>喷雾塔颗粒物产排情况表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63"/>
        <w:gridCol w:w="1106"/>
        <w:gridCol w:w="930"/>
        <w:gridCol w:w="702"/>
        <w:gridCol w:w="930"/>
        <w:gridCol w:w="930"/>
        <w:gridCol w:w="930"/>
        <w:gridCol w:w="700"/>
        <w:gridCol w:w="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21"/>
                <w:u w:val="single"/>
              </w:rPr>
              <w:t>排气筒编号</w:t>
            </w:r>
          </w:p>
        </w:tc>
        <w:tc>
          <w:tcPr>
            <w:tcW w:w="665" w:type="pct"/>
            <w:vAlign w:val="center"/>
          </w:tcPr>
          <w:p>
            <w:pPr>
              <w:spacing w:line="240" w:lineRule="auto"/>
              <w:ind w:firstLine="0" w:firstLineChars="0"/>
              <w:jc w:val="center"/>
              <w:rPr>
                <w:sz w:val="21"/>
                <w:szCs w:val="21"/>
                <w:u w:val="single"/>
              </w:rPr>
            </w:pPr>
            <w:r>
              <w:rPr>
                <w:rFonts w:hint="eastAsia"/>
                <w:sz w:val="21"/>
                <w:szCs w:val="21"/>
                <w:u w:val="single"/>
              </w:rPr>
              <w:t>烟气量</w:t>
            </w:r>
          </w:p>
          <w:p>
            <w:pPr>
              <w:spacing w:line="240" w:lineRule="auto"/>
              <w:ind w:firstLine="0" w:firstLineChars="0"/>
              <w:jc w:val="center"/>
              <w:rPr>
                <w:sz w:val="21"/>
                <w:szCs w:val="21"/>
                <w:u w:val="single"/>
              </w:rPr>
            </w:pPr>
            <w:r>
              <w:rPr>
                <w:rFonts w:hint="eastAsia"/>
                <w:sz w:val="21"/>
                <w:szCs w:val="21"/>
                <w:u w:val="single"/>
              </w:rPr>
              <w:t>万Nm</w:t>
            </w:r>
            <w:r>
              <w:rPr>
                <w:sz w:val="21"/>
                <w:szCs w:val="21"/>
                <w:u w:val="single"/>
                <w:vertAlign w:val="superscript"/>
              </w:rPr>
              <w:t>3</w:t>
            </w:r>
            <w:r>
              <w:rPr>
                <w:sz w:val="21"/>
                <w:szCs w:val="21"/>
                <w:u w:val="single"/>
              </w:rPr>
              <w:t>/a</w:t>
            </w:r>
          </w:p>
        </w:tc>
        <w:tc>
          <w:tcPr>
            <w:tcW w:w="559" w:type="pct"/>
          </w:tcPr>
          <w:p>
            <w:pPr>
              <w:spacing w:line="240" w:lineRule="auto"/>
              <w:ind w:firstLine="0" w:firstLineChars="0"/>
              <w:jc w:val="center"/>
              <w:rPr>
                <w:sz w:val="21"/>
                <w:szCs w:val="21"/>
                <w:u w:val="single"/>
              </w:rPr>
            </w:pPr>
            <w:r>
              <w:rPr>
                <w:rFonts w:hint="eastAsia"/>
                <w:sz w:val="21"/>
                <w:szCs w:val="21"/>
                <w:u w:val="single"/>
              </w:rPr>
              <w:t>产生浓度</w:t>
            </w:r>
          </w:p>
          <w:p>
            <w:pPr>
              <w:spacing w:line="240" w:lineRule="auto"/>
              <w:ind w:firstLine="0" w:firstLineChars="0"/>
              <w:jc w:val="center"/>
              <w:rPr>
                <w:sz w:val="21"/>
                <w:szCs w:val="21"/>
                <w:u w:val="single"/>
              </w:rPr>
            </w:pPr>
            <w:r>
              <w:rPr>
                <w:rFonts w:hint="eastAsia"/>
                <w:sz w:val="21"/>
                <w:szCs w:val="21"/>
                <w:u w:val="single"/>
              </w:rPr>
              <w:t>mg</w:t>
            </w:r>
            <w:r>
              <w:rPr>
                <w:sz w:val="21"/>
                <w:szCs w:val="21"/>
                <w:u w:val="single"/>
              </w:rPr>
              <w:t>/m</w:t>
            </w:r>
            <w:r>
              <w:rPr>
                <w:sz w:val="21"/>
                <w:szCs w:val="21"/>
                <w:u w:val="single"/>
                <w:vertAlign w:val="superscript"/>
              </w:rPr>
              <w:t>3</w:t>
            </w:r>
          </w:p>
        </w:tc>
        <w:tc>
          <w:tcPr>
            <w:tcW w:w="422" w:type="pct"/>
          </w:tcPr>
          <w:p>
            <w:pPr>
              <w:spacing w:line="240" w:lineRule="auto"/>
              <w:ind w:firstLine="0" w:firstLineChars="0"/>
              <w:jc w:val="center"/>
              <w:rPr>
                <w:sz w:val="21"/>
                <w:szCs w:val="21"/>
                <w:u w:val="single"/>
              </w:rPr>
            </w:pPr>
            <w:r>
              <w:rPr>
                <w:rFonts w:hint="eastAsia"/>
                <w:sz w:val="21"/>
                <w:szCs w:val="21"/>
                <w:u w:val="single"/>
              </w:rPr>
              <w:t>产生量</w:t>
            </w:r>
          </w:p>
          <w:p>
            <w:pPr>
              <w:spacing w:line="240" w:lineRule="auto"/>
              <w:ind w:firstLine="0" w:firstLineChars="0"/>
              <w:jc w:val="center"/>
              <w:rPr>
                <w:sz w:val="21"/>
                <w:szCs w:val="21"/>
                <w:u w:val="single"/>
              </w:rPr>
            </w:pPr>
            <w:r>
              <w:rPr>
                <w:rFonts w:hint="eastAsia"/>
                <w:sz w:val="21"/>
                <w:szCs w:val="21"/>
                <w:u w:val="single"/>
              </w:rPr>
              <w:t>t</w:t>
            </w:r>
            <w:r>
              <w:rPr>
                <w:sz w:val="21"/>
                <w:szCs w:val="21"/>
                <w:u w:val="single"/>
              </w:rPr>
              <w:t>/a</w:t>
            </w:r>
          </w:p>
        </w:tc>
        <w:tc>
          <w:tcPr>
            <w:tcW w:w="559" w:type="pct"/>
          </w:tcPr>
          <w:p>
            <w:pPr>
              <w:spacing w:line="240" w:lineRule="auto"/>
              <w:ind w:firstLine="0" w:firstLineChars="0"/>
              <w:jc w:val="center"/>
              <w:rPr>
                <w:sz w:val="21"/>
                <w:szCs w:val="21"/>
                <w:u w:val="single"/>
              </w:rPr>
            </w:pPr>
            <w:r>
              <w:rPr>
                <w:rFonts w:hint="eastAsia"/>
                <w:sz w:val="21"/>
                <w:szCs w:val="21"/>
                <w:u w:val="single"/>
              </w:rPr>
              <w:t>处理工艺</w:t>
            </w:r>
          </w:p>
        </w:tc>
        <w:tc>
          <w:tcPr>
            <w:tcW w:w="559" w:type="pct"/>
          </w:tcPr>
          <w:p>
            <w:pPr>
              <w:spacing w:line="240" w:lineRule="auto"/>
              <w:ind w:firstLine="0" w:firstLineChars="0"/>
              <w:jc w:val="center"/>
              <w:rPr>
                <w:sz w:val="21"/>
                <w:szCs w:val="21"/>
                <w:u w:val="single"/>
              </w:rPr>
            </w:pPr>
            <w:r>
              <w:rPr>
                <w:rFonts w:hint="eastAsia"/>
                <w:sz w:val="21"/>
                <w:szCs w:val="21"/>
                <w:u w:val="single"/>
              </w:rPr>
              <w:t>处理效率</w:t>
            </w:r>
          </w:p>
          <w:p>
            <w:pPr>
              <w:spacing w:line="240" w:lineRule="auto"/>
              <w:ind w:firstLine="0" w:firstLineChars="0"/>
              <w:jc w:val="center"/>
              <w:rPr>
                <w:sz w:val="21"/>
                <w:szCs w:val="21"/>
                <w:u w:val="single"/>
              </w:rPr>
            </w:pPr>
            <w:r>
              <w:rPr>
                <w:rFonts w:hint="eastAsia"/>
                <w:sz w:val="21"/>
                <w:szCs w:val="21"/>
                <w:u w:val="single"/>
              </w:rPr>
              <w:t>%</w:t>
            </w:r>
          </w:p>
        </w:tc>
        <w:tc>
          <w:tcPr>
            <w:tcW w:w="559" w:type="pct"/>
          </w:tcPr>
          <w:p>
            <w:pPr>
              <w:spacing w:line="240" w:lineRule="auto"/>
              <w:ind w:firstLine="0" w:firstLineChars="0"/>
              <w:jc w:val="center"/>
              <w:rPr>
                <w:sz w:val="21"/>
                <w:szCs w:val="21"/>
                <w:u w:val="single"/>
              </w:rPr>
            </w:pPr>
            <w:r>
              <w:rPr>
                <w:rFonts w:hint="eastAsia"/>
                <w:sz w:val="21"/>
                <w:szCs w:val="21"/>
                <w:u w:val="single"/>
              </w:rPr>
              <w:t>排放浓度</w:t>
            </w:r>
          </w:p>
          <w:p>
            <w:pPr>
              <w:spacing w:line="240" w:lineRule="auto"/>
              <w:ind w:firstLine="0" w:firstLineChars="0"/>
              <w:jc w:val="center"/>
              <w:rPr>
                <w:sz w:val="21"/>
                <w:szCs w:val="21"/>
                <w:u w:val="single"/>
              </w:rPr>
            </w:pPr>
            <w:r>
              <w:rPr>
                <w:rFonts w:hint="eastAsia"/>
                <w:sz w:val="21"/>
                <w:szCs w:val="21"/>
                <w:u w:val="single"/>
              </w:rPr>
              <w:t>mg</w:t>
            </w:r>
            <w:r>
              <w:rPr>
                <w:sz w:val="21"/>
                <w:szCs w:val="21"/>
                <w:u w:val="single"/>
              </w:rPr>
              <w:t>/m</w:t>
            </w:r>
            <w:r>
              <w:rPr>
                <w:sz w:val="21"/>
                <w:szCs w:val="21"/>
                <w:u w:val="single"/>
                <w:vertAlign w:val="superscript"/>
              </w:rPr>
              <w:t>3</w:t>
            </w:r>
          </w:p>
        </w:tc>
        <w:tc>
          <w:tcPr>
            <w:tcW w:w="421" w:type="pct"/>
          </w:tcPr>
          <w:p>
            <w:pPr>
              <w:spacing w:line="240" w:lineRule="auto"/>
              <w:ind w:firstLine="0" w:firstLineChars="0"/>
              <w:jc w:val="center"/>
              <w:rPr>
                <w:sz w:val="21"/>
                <w:szCs w:val="21"/>
                <w:u w:val="single"/>
              </w:rPr>
            </w:pPr>
            <w:r>
              <w:rPr>
                <w:rFonts w:hint="eastAsia"/>
                <w:sz w:val="21"/>
                <w:szCs w:val="21"/>
                <w:u w:val="single"/>
              </w:rPr>
              <w:t>排放量</w:t>
            </w:r>
          </w:p>
          <w:p>
            <w:pPr>
              <w:spacing w:line="240" w:lineRule="auto"/>
              <w:ind w:firstLine="0" w:firstLineChars="0"/>
              <w:jc w:val="center"/>
              <w:rPr>
                <w:sz w:val="21"/>
                <w:szCs w:val="21"/>
                <w:u w:val="single"/>
              </w:rPr>
            </w:pPr>
            <w:r>
              <w:rPr>
                <w:rFonts w:hint="eastAsia"/>
                <w:sz w:val="21"/>
                <w:szCs w:val="21"/>
                <w:u w:val="single"/>
              </w:rPr>
              <w:t>t</w:t>
            </w:r>
            <w:r>
              <w:rPr>
                <w:sz w:val="21"/>
                <w:szCs w:val="21"/>
                <w:u w:val="single"/>
              </w:rPr>
              <w:t>/a</w:t>
            </w:r>
          </w:p>
        </w:tc>
        <w:tc>
          <w:tcPr>
            <w:tcW w:w="556" w:type="pct"/>
          </w:tcPr>
          <w:p>
            <w:pPr>
              <w:spacing w:line="240" w:lineRule="auto"/>
              <w:ind w:firstLine="0" w:firstLineChars="0"/>
              <w:jc w:val="center"/>
              <w:rPr>
                <w:sz w:val="21"/>
                <w:szCs w:val="21"/>
                <w:u w:val="single"/>
              </w:rPr>
            </w:pPr>
            <w:r>
              <w:rPr>
                <w:rFonts w:hint="eastAsia"/>
                <w:sz w:val="21"/>
                <w:szCs w:val="21"/>
                <w:u w:val="single"/>
              </w:rPr>
              <w:t>排放速率</w:t>
            </w:r>
          </w:p>
          <w:p>
            <w:pPr>
              <w:spacing w:line="240" w:lineRule="auto"/>
              <w:ind w:firstLine="0" w:firstLineChars="0"/>
              <w:jc w:val="center"/>
              <w:rPr>
                <w:sz w:val="21"/>
                <w:szCs w:val="21"/>
                <w:u w:val="single"/>
              </w:rPr>
            </w:pPr>
            <w:r>
              <w:rPr>
                <w:rFonts w:hint="eastAsia"/>
                <w:sz w:val="21"/>
                <w:szCs w:val="21"/>
                <w:u w:val="single"/>
              </w:rPr>
              <w:t>kg</w:t>
            </w:r>
            <w:r>
              <w:rPr>
                <w:sz w:val="21"/>
                <w:szCs w:val="21"/>
                <w:u w:val="single"/>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21"/>
                <w:u w:val="single"/>
              </w:rPr>
              <w:t>DA</w:t>
            </w:r>
            <w:r>
              <w:rPr>
                <w:sz w:val="21"/>
                <w:szCs w:val="21"/>
                <w:u w:val="single"/>
              </w:rPr>
              <w:t>002</w:t>
            </w:r>
          </w:p>
        </w:tc>
        <w:tc>
          <w:tcPr>
            <w:tcW w:w="665" w:type="pct"/>
            <w:vAlign w:val="center"/>
          </w:tcPr>
          <w:p>
            <w:pPr>
              <w:spacing w:line="240" w:lineRule="auto"/>
              <w:ind w:firstLine="0" w:firstLineChars="0"/>
              <w:jc w:val="center"/>
              <w:rPr>
                <w:sz w:val="21"/>
                <w:szCs w:val="21"/>
                <w:u w:val="single"/>
              </w:rPr>
            </w:pPr>
            <w:r>
              <w:rPr>
                <w:sz w:val="21"/>
                <w:szCs w:val="16"/>
                <w:u w:val="single"/>
              </w:rPr>
              <w:t>229995</w:t>
            </w: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29.64</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28.17</w:t>
            </w:r>
          </w:p>
        </w:tc>
        <w:tc>
          <w:tcPr>
            <w:tcW w:w="559" w:type="pct"/>
            <w:vMerge w:val="restart"/>
            <w:vAlign w:val="center"/>
          </w:tcPr>
          <w:p>
            <w:pPr>
              <w:spacing w:line="240" w:lineRule="auto"/>
              <w:ind w:firstLine="0" w:firstLineChars="0"/>
              <w:jc w:val="center"/>
              <w:rPr>
                <w:sz w:val="21"/>
                <w:szCs w:val="21"/>
                <w:u w:val="single"/>
              </w:rPr>
            </w:pPr>
            <w:r>
              <w:rPr>
                <w:rFonts w:hint="eastAsia"/>
                <w:sz w:val="21"/>
                <w:szCs w:val="21"/>
                <w:u w:val="single"/>
              </w:rPr>
              <w:t>SNCR</w:t>
            </w:r>
          </w:p>
          <w:p>
            <w:pPr>
              <w:spacing w:line="240" w:lineRule="auto"/>
              <w:ind w:firstLine="0" w:firstLineChars="0"/>
              <w:jc w:val="center"/>
              <w:rPr>
                <w:sz w:val="21"/>
                <w:szCs w:val="21"/>
                <w:u w:val="single"/>
              </w:rPr>
            </w:pPr>
            <w:r>
              <w:rPr>
                <w:rFonts w:hint="eastAsia"/>
                <w:sz w:val="21"/>
                <w:szCs w:val="21"/>
                <w:u w:val="single"/>
              </w:rPr>
              <w:t>+SCR</w:t>
            </w:r>
          </w:p>
        </w:tc>
        <w:tc>
          <w:tcPr>
            <w:tcW w:w="559" w:type="pct"/>
            <w:vMerge w:val="restart"/>
            <w:vAlign w:val="center"/>
          </w:tcPr>
          <w:p>
            <w:pPr>
              <w:spacing w:line="240" w:lineRule="auto"/>
              <w:ind w:firstLine="0" w:firstLineChars="0"/>
              <w:jc w:val="center"/>
              <w:rPr>
                <w:sz w:val="21"/>
                <w:szCs w:val="21"/>
                <w:u w:val="single"/>
              </w:rPr>
            </w:pPr>
            <w:r>
              <w:rPr>
                <w:sz w:val="21"/>
                <w:szCs w:val="21"/>
                <w:u w:val="single"/>
              </w:rPr>
              <w:t>90</w:t>
            </w: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2.96</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2.82</w:t>
            </w:r>
          </w:p>
        </w:tc>
        <w:tc>
          <w:tcPr>
            <w:tcW w:w="556" w:type="pct"/>
            <w:vAlign w:val="center"/>
          </w:tcPr>
          <w:p>
            <w:pPr>
              <w:spacing w:line="240" w:lineRule="auto"/>
              <w:ind w:firstLine="0" w:firstLineChars="0"/>
              <w:jc w:val="center"/>
              <w:rPr>
                <w:sz w:val="21"/>
                <w:szCs w:val="21"/>
                <w:u w:val="single"/>
              </w:rPr>
            </w:pPr>
            <w:r>
              <w:rPr>
                <w:rFonts w:hint="eastAsia"/>
                <w:sz w:val="21"/>
                <w:szCs w:val="21"/>
                <w:u w:val="single"/>
              </w:rPr>
              <w:t>6</w:t>
            </w:r>
            <w:r>
              <w:rPr>
                <w:sz w:val="21"/>
                <w:szCs w:val="21"/>
                <w:u w:val="single"/>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21"/>
                <w:u w:val="single"/>
              </w:rPr>
              <w:t>DA</w:t>
            </w:r>
            <w:r>
              <w:rPr>
                <w:sz w:val="21"/>
                <w:szCs w:val="21"/>
                <w:u w:val="single"/>
              </w:rPr>
              <w:t>003</w:t>
            </w:r>
          </w:p>
        </w:tc>
        <w:tc>
          <w:tcPr>
            <w:tcW w:w="665" w:type="pct"/>
          </w:tcPr>
          <w:p>
            <w:pPr>
              <w:spacing w:line="240" w:lineRule="auto"/>
              <w:ind w:firstLine="0" w:firstLineChars="0"/>
              <w:jc w:val="center"/>
              <w:rPr>
                <w:sz w:val="21"/>
                <w:szCs w:val="21"/>
                <w:u w:val="single"/>
              </w:rPr>
            </w:pPr>
            <w:r>
              <w:rPr>
                <w:sz w:val="21"/>
                <w:szCs w:val="16"/>
                <w:u w:val="single"/>
              </w:rPr>
              <w:t>229995</w:t>
            </w: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29.64</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28.17</w:t>
            </w:r>
          </w:p>
        </w:tc>
        <w:tc>
          <w:tcPr>
            <w:tcW w:w="559" w:type="pct"/>
            <w:vMerge w:val="continue"/>
          </w:tcPr>
          <w:p>
            <w:pPr>
              <w:spacing w:line="240" w:lineRule="auto"/>
              <w:ind w:firstLine="0" w:firstLineChars="0"/>
              <w:jc w:val="center"/>
              <w:rPr>
                <w:sz w:val="21"/>
                <w:szCs w:val="21"/>
                <w:u w:val="single"/>
              </w:rPr>
            </w:pPr>
          </w:p>
        </w:tc>
        <w:tc>
          <w:tcPr>
            <w:tcW w:w="559" w:type="pct"/>
            <w:vMerge w:val="continue"/>
          </w:tcPr>
          <w:p>
            <w:pPr>
              <w:spacing w:line="240" w:lineRule="auto"/>
              <w:ind w:firstLine="0" w:firstLineChars="0"/>
              <w:jc w:val="center"/>
              <w:rPr>
                <w:sz w:val="21"/>
                <w:szCs w:val="21"/>
                <w:u w:val="single"/>
              </w:rPr>
            </w:pP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2.96</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2.82</w:t>
            </w:r>
          </w:p>
        </w:tc>
        <w:tc>
          <w:tcPr>
            <w:tcW w:w="556" w:type="pct"/>
            <w:vAlign w:val="center"/>
          </w:tcPr>
          <w:p>
            <w:pPr>
              <w:spacing w:line="240" w:lineRule="auto"/>
              <w:ind w:firstLine="0" w:firstLineChars="0"/>
              <w:jc w:val="center"/>
              <w:rPr>
                <w:sz w:val="21"/>
                <w:szCs w:val="21"/>
                <w:u w:val="single"/>
              </w:rPr>
            </w:pPr>
            <w:r>
              <w:rPr>
                <w:rFonts w:hint="eastAsia"/>
                <w:sz w:val="21"/>
                <w:szCs w:val="21"/>
                <w:u w:val="single"/>
              </w:rPr>
              <w:t>6</w:t>
            </w:r>
            <w:r>
              <w:rPr>
                <w:sz w:val="21"/>
                <w:szCs w:val="21"/>
                <w:u w:val="single"/>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21"/>
                <w:u w:val="single"/>
              </w:rPr>
              <w:t>DA</w:t>
            </w:r>
            <w:r>
              <w:rPr>
                <w:sz w:val="21"/>
                <w:szCs w:val="21"/>
                <w:u w:val="single"/>
              </w:rPr>
              <w:t>004</w:t>
            </w:r>
          </w:p>
        </w:tc>
        <w:tc>
          <w:tcPr>
            <w:tcW w:w="665" w:type="pct"/>
          </w:tcPr>
          <w:p>
            <w:pPr>
              <w:spacing w:line="240" w:lineRule="auto"/>
              <w:ind w:firstLine="0" w:firstLineChars="0"/>
              <w:jc w:val="center"/>
              <w:rPr>
                <w:sz w:val="21"/>
                <w:szCs w:val="21"/>
                <w:u w:val="single"/>
              </w:rPr>
            </w:pPr>
            <w:r>
              <w:rPr>
                <w:sz w:val="21"/>
                <w:szCs w:val="16"/>
                <w:u w:val="single"/>
              </w:rPr>
              <w:t>229995</w:t>
            </w: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29.64</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28.17</w:t>
            </w:r>
          </w:p>
        </w:tc>
        <w:tc>
          <w:tcPr>
            <w:tcW w:w="559" w:type="pct"/>
            <w:vMerge w:val="continue"/>
          </w:tcPr>
          <w:p>
            <w:pPr>
              <w:spacing w:line="240" w:lineRule="auto"/>
              <w:ind w:firstLine="0" w:firstLineChars="0"/>
              <w:jc w:val="center"/>
              <w:rPr>
                <w:sz w:val="21"/>
                <w:szCs w:val="21"/>
                <w:u w:val="single"/>
              </w:rPr>
            </w:pPr>
          </w:p>
        </w:tc>
        <w:tc>
          <w:tcPr>
            <w:tcW w:w="559" w:type="pct"/>
            <w:vMerge w:val="continue"/>
          </w:tcPr>
          <w:p>
            <w:pPr>
              <w:spacing w:line="240" w:lineRule="auto"/>
              <w:ind w:firstLine="0" w:firstLineChars="0"/>
              <w:jc w:val="center"/>
              <w:rPr>
                <w:sz w:val="21"/>
                <w:szCs w:val="21"/>
                <w:u w:val="single"/>
              </w:rPr>
            </w:pP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2.96</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2.82</w:t>
            </w:r>
          </w:p>
        </w:tc>
        <w:tc>
          <w:tcPr>
            <w:tcW w:w="556" w:type="pct"/>
            <w:vAlign w:val="center"/>
          </w:tcPr>
          <w:p>
            <w:pPr>
              <w:spacing w:line="240" w:lineRule="auto"/>
              <w:ind w:firstLine="0" w:firstLineChars="0"/>
              <w:jc w:val="center"/>
              <w:rPr>
                <w:sz w:val="21"/>
                <w:szCs w:val="21"/>
                <w:u w:val="single"/>
              </w:rPr>
            </w:pPr>
            <w:r>
              <w:rPr>
                <w:rFonts w:hint="eastAsia"/>
                <w:sz w:val="21"/>
                <w:szCs w:val="21"/>
                <w:u w:val="single"/>
              </w:rPr>
              <w:t>6</w:t>
            </w:r>
            <w:r>
              <w:rPr>
                <w:sz w:val="21"/>
                <w:szCs w:val="21"/>
                <w:u w:val="single"/>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21"/>
                <w:u w:val="single"/>
              </w:rPr>
              <w:t>DA</w:t>
            </w:r>
            <w:r>
              <w:rPr>
                <w:sz w:val="21"/>
                <w:szCs w:val="21"/>
                <w:u w:val="single"/>
              </w:rPr>
              <w:t>005</w:t>
            </w:r>
          </w:p>
        </w:tc>
        <w:tc>
          <w:tcPr>
            <w:tcW w:w="665" w:type="pct"/>
          </w:tcPr>
          <w:p>
            <w:pPr>
              <w:spacing w:line="240" w:lineRule="auto"/>
              <w:ind w:firstLine="0" w:firstLineChars="0"/>
              <w:jc w:val="center"/>
              <w:rPr>
                <w:sz w:val="21"/>
                <w:szCs w:val="21"/>
                <w:u w:val="single"/>
              </w:rPr>
            </w:pPr>
            <w:r>
              <w:rPr>
                <w:sz w:val="21"/>
                <w:szCs w:val="16"/>
                <w:u w:val="single"/>
              </w:rPr>
              <w:t>229995</w:t>
            </w: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29.64</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28.17</w:t>
            </w:r>
          </w:p>
        </w:tc>
        <w:tc>
          <w:tcPr>
            <w:tcW w:w="559" w:type="pct"/>
            <w:vMerge w:val="continue"/>
          </w:tcPr>
          <w:p>
            <w:pPr>
              <w:spacing w:line="240" w:lineRule="auto"/>
              <w:ind w:firstLine="0" w:firstLineChars="0"/>
              <w:jc w:val="center"/>
              <w:rPr>
                <w:sz w:val="21"/>
                <w:szCs w:val="21"/>
                <w:u w:val="single"/>
              </w:rPr>
            </w:pPr>
          </w:p>
        </w:tc>
        <w:tc>
          <w:tcPr>
            <w:tcW w:w="559" w:type="pct"/>
            <w:vMerge w:val="continue"/>
          </w:tcPr>
          <w:p>
            <w:pPr>
              <w:spacing w:line="240" w:lineRule="auto"/>
              <w:ind w:firstLine="0" w:firstLineChars="0"/>
              <w:jc w:val="center"/>
              <w:rPr>
                <w:sz w:val="21"/>
                <w:szCs w:val="21"/>
                <w:u w:val="single"/>
              </w:rPr>
            </w:pP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2.96</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2.82</w:t>
            </w:r>
          </w:p>
        </w:tc>
        <w:tc>
          <w:tcPr>
            <w:tcW w:w="556" w:type="pct"/>
            <w:vAlign w:val="center"/>
          </w:tcPr>
          <w:p>
            <w:pPr>
              <w:spacing w:line="240" w:lineRule="auto"/>
              <w:ind w:firstLine="0" w:firstLineChars="0"/>
              <w:jc w:val="center"/>
              <w:rPr>
                <w:sz w:val="21"/>
                <w:szCs w:val="21"/>
                <w:u w:val="single"/>
              </w:rPr>
            </w:pPr>
            <w:r>
              <w:rPr>
                <w:rFonts w:hint="eastAsia"/>
                <w:sz w:val="21"/>
                <w:szCs w:val="21"/>
                <w:u w:val="single"/>
              </w:rPr>
              <w:t>6</w:t>
            </w:r>
            <w:r>
              <w:rPr>
                <w:sz w:val="21"/>
                <w:szCs w:val="21"/>
                <w:u w:val="single"/>
              </w:rPr>
              <w:t>.67</w:t>
            </w:r>
          </w:p>
        </w:tc>
      </w:tr>
    </w:tbl>
    <w:p>
      <w:pPr>
        <w:ind w:firstLine="480"/>
        <w:rPr>
          <w:rFonts w:cs="Times New Roman"/>
          <w:u w:val="single"/>
        </w:rPr>
      </w:pPr>
      <w:r>
        <w:rPr>
          <w:rFonts w:hint="eastAsia" w:cs="Times New Roman"/>
          <w:u w:val="single"/>
        </w:rPr>
        <w:t>（5）挥发性有机物</w:t>
      </w:r>
    </w:p>
    <w:p>
      <w:pPr>
        <w:ind w:firstLine="480"/>
        <w:rPr>
          <w:rFonts w:cs="Times New Roman"/>
          <w:u w:val="single"/>
        </w:rPr>
      </w:pPr>
      <w:r>
        <w:rPr>
          <w:rFonts w:hint="eastAsia" w:cs="Times New Roman"/>
          <w:u w:val="single"/>
        </w:rPr>
        <w:t>印刷废气作为喷雾塔过剩空气通入喷雾塔（4#车间喷雾塔），NMHC进入量为5</w:t>
      </w:r>
      <w:r>
        <w:rPr>
          <w:rFonts w:cs="Times New Roman"/>
          <w:u w:val="single"/>
        </w:rPr>
        <w:t>.13</w:t>
      </w:r>
      <w:r>
        <w:rPr>
          <w:rFonts w:hint="eastAsia" w:cs="Times New Roman"/>
          <w:u w:val="single"/>
        </w:rPr>
        <w:t>t</w:t>
      </w:r>
      <w:r>
        <w:rPr>
          <w:rFonts w:cs="Times New Roman"/>
          <w:u w:val="single"/>
        </w:rPr>
        <w:t>/a</w:t>
      </w:r>
      <w:r>
        <w:rPr>
          <w:rFonts w:hint="eastAsia" w:cs="Times New Roman"/>
          <w:u w:val="single"/>
        </w:rPr>
        <w:t>，燃烧处理效率为8</w:t>
      </w:r>
      <w:r>
        <w:rPr>
          <w:rFonts w:cs="Times New Roman"/>
          <w:u w:val="single"/>
        </w:rPr>
        <w:t>0</w:t>
      </w:r>
      <w:r>
        <w:rPr>
          <w:rFonts w:hint="eastAsia" w:cs="Times New Roman"/>
          <w:u w:val="single"/>
        </w:rPr>
        <w:t>%，排放量为1</w:t>
      </w:r>
      <w:r>
        <w:rPr>
          <w:rFonts w:cs="Times New Roman"/>
          <w:u w:val="single"/>
        </w:rPr>
        <w:t>.03</w:t>
      </w:r>
      <w:r>
        <w:rPr>
          <w:rFonts w:hint="eastAsia" w:cs="Times New Roman"/>
          <w:u w:val="single"/>
        </w:rPr>
        <w:t>t</w:t>
      </w:r>
      <w:r>
        <w:rPr>
          <w:rFonts w:cs="Times New Roman"/>
          <w:u w:val="single"/>
        </w:rPr>
        <w:t>/a</w:t>
      </w:r>
      <w:r>
        <w:rPr>
          <w:rFonts w:hint="eastAsia" w:cs="Times New Roman"/>
          <w:u w:val="single"/>
        </w:rPr>
        <w:t>，</w:t>
      </w:r>
      <w:r>
        <w:rPr>
          <w:rFonts w:cs="Times New Roman"/>
          <w:u w:val="single"/>
        </w:rPr>
        <w:t>4</w:t>
      </w:r>
      <w:r>
        <w:rPr>
          <w:rFonts w:hint="eastAsia" w:cs="Times New Roman"/>
          <w:u w:val="single"/>
        </w:rPr>
        <w:t>#车间对应的排气筒为DA</w:t>
      </w:r>
      <w:r>
        <w:rPr>
          <w:rFonts w:cs="Times New Roman"/>
          <w:u w:val="single"/>
        </w:rPr>
        <w:t>005</w:t>
      </w:r>
      <w:r>
        <w:rPr>
          <w:rFonts w:hint="eastAsia" w:cs="Times New Roman"/>
          <w:u w:val="single"/>
        </w:rPr>
        <w:t>，烟气量为</w:t>
      </w:r>
      <w:r>
        <w:rPr>
          <w:rFonts w:cs="Times New Roman"/>
          <w:u w:val="single"/>
        </w:rPr>
        <w:t>636753.60</w:t>
      </w:r>
      <w:r>
        <w:rPr>
          <w:rFonts w:hint="eastAsia" w:cs="Times New Roman"/>
          <w:u w:val="single"/>
        </w:rPr>
        <w:t>万Nm</w:t>
      </w:r>
      <w:r>
        <w:rPr>
          <w:rFonts w:cs="Times New Roman"/>
          <w:u w:val="single"/>
          <w:vertAlign w:val="superscript"/>
        </w:rPr>
        <w:t>3</w:t>
      </w:r>
      <w:r>
        <w:rPr>
          <w:rFonts w:cs="Times New Roman"/>
          <w:u w:val="single"/>
        </w:rPr>
        <w:t>/a</w:t>
      </w:r>
      <w:r>
        <w:rPr>
          <w:rFonts w:hint="eastAsia" w:cs="Times New Roman"/>
          <w:u w:val="single"/>
        </w:rPr>
        <w:t>，则NMHC进口浓度为0</w:t>
      </w:r>
      <w:r>
        <w:rPr>
          <w:rFonts w:cs="Times New Roman"/>
          <w:u w:val="single"/>
        </w:rPr>
        <w:t>.81</w:t>
      </w:r>
      <w:r>
        <w:rPr>
          <w:rFonts w:hint="eastAsia" w:cs="Times New Roman"/>
          <w:u w:val="single"/>
        </w:rPr>
        <w:t>mg</w:t>
      </w:r>
      <w:r>
        <w:rPr>
          <w:rFonts w:cs="Times New Roman"/>
          <w:u w:val="single"/>
        </w:rPr>
        <w:t>/m</w:t>
      </w:r>
      <w:r>
        <w:rPr>
          <w:rFonts w:cs="Times New Roman"/>
          <w:u w:val="single"/>
          <w:vertAlign w:val="superscript"/>
        </w:rPr>
        <w:t>3</w:t>
      </w:r>
      <w:r>
        <w:rPr>
          <w:rFonts w:hint="eastAsia" w:cs="Times New Roman"/>
          <w:u w:val="single"/>
        </w:rPr>
        <w:t>，排放浓度为0</w:t>
      </w:r>
      <w:r>
        <w:rPr>
          <w:rFonts w:cs="Times New Roman"/>
          <w:u w:val="single"/>
        </w:rPr>
        <w:t>.16</w:t>
      </w:r>
      <w:r>
        <w:rPr>
          <w:rFonts w:hint="eastAsia" w:cs="Times New Roman"/>
          <w:u w:val="single"/>
        </w:rPr>
        <w:t>mg</w:t>
      </w:r>
      <w:r>
        <w:rPr>
          <w:rFonts w:cs="Times New Roman"/>
          <w:u w:val="single"/>
        </w:rPr>
        <w:t>/m</w:t>
      </w:r>
      <w:r>
        <w:rPr>
          <w:rFonts w:cs="Times New Roman"/>
          <w:u w:val="single"/>
          <w:vertAlign w:val="superscript"/>
        </w:rPr>
        <w:t>3</w:t>
      </w:r>
      <w:r>
        <w:rPr>
          <w:rFonts w:hint="eastAsia" w:cs="Times New Roman"/>
          <w:u w:val="single"/>
        </w:rPr>
        <w:t>，排放速率为0</w:t>
      </w:r>
      <w:r>
        <w:rPr>
          <w:rFonts w:cs="Times New Roman"/>
          <w:u w:val="single"/>
        </w:rPr>
        <w:t>.14</w:t>
      </w:r>
      <w:r>
        <w:rPr>
          <w:rFonts w:hint="eastAsia" w:cs="Times New Roman"/>
          <w:u w:val="single"/>
        </w:rPr>
        <w:t>kg</w:t>
      </w:r>
      <w:r>
        <w:rPr>
          <w:rFonts w:cs="Times New Roman"/>
          <w:u w:val="single"/>
        </w:rPr>
        <w:t>/h</w:t>
      </w:r>
      <w:r>
        <w:rPr>
          <w:rFonts w:hint="eastAsia" w:cs="Times New Roman"/>
          <w:u w:val="single"/>
        </w:rPr>
        <w:t>。排放浓度及排放速率均能够满足《印刷业挥发性有机物排放标准》（DB</w:t>
      </w:r>
      <w:r>
        <w:rPr>
          <w:rFonts w:cs="Times New Roman"/>
          <w:u w:val="single"/>
        </w:rPr>
        <w:t>43/1357-2017</w:t>
      </w:r>
      <w:r>
        <w:rPr>
          <w:rFonts w:hint="eastAsia" w:cs="Times New Roman"/>
          <w:u w:val="single"/>
        </w:rPr>
        <w:t>）标准限值。</w:t>
      </w:r>
    </w:p>
    <w:p>
      <w:pPr>
        <w:ind w:firstLine="480"/>
        <w:rPr>
          <w:rFonts w:cs="Times New Roman"/>
          <w:u w:val="single"/>
        </w:rPr>
      </w:pPr>
      <w:r>
        <w:rPr>
          <w:rFonts w:cs="Times New Roman"/>
          <w:u w:val="single"/>
        </w:rPr>
        <w:t>（6）废气排放情况</w:t>
      </w:r>
    </w:p>
    <w:p>
      <w:pPr>
        <w:ind w:firstLine="480"/>
        <w:rPr>
          <w:rFonts w:cs="Times New Roman"/>
          <w:u w:val="single"/>
        </w:rPr>
      </w:pPr>
      <w:r>
        <w:rPr>
          <w:rFonts w:hint="eastAsia" w:cs="Times New Roman"/>
          <w:u w:val="single"/>
        </w:rPr>
        <w:t>综上所述，原料制粉车间喷雾塔废气排放情况如下：</w:t>
      </w:r>
    </w:p>
    <w:p>
      <w:pPr>
        <w:ind w:firstLine="0" w:firstLineChars="0"/>
        <w:jc w:val="center"/>
        <w:rPr>
          <w:rFonts w:cs="Times New Roman"/>
          <w:u w:val="single"/>
        </w:rPr>
      </w:pPr>
      <w:r>
        <w:rPr>
          <w:rFonts w:hint="eastAsia" w:cs="Times New Roman"/>
          <w:u w:val="single"/>
        </w:rPr>
        <w:t>表3</w:t>
      </w:r>
      <w:r>
        <w:rPr>
          <w:rFonts w:cs="Times New Roman"/>
          <w:u w:val="single"/>
        </w:rPr>
        <w:t>.3</w:t>
      </w:r>
      <w:r>
        <w:rPr>
          <w:rFonts w:hint="eastAsia" w:cs="Times New Roman"/>
          <w:u w:val="single"/>
        </w:rPr>
        <w:t>-</w:t>
      </w:r>
      <w:r>
        <w:rPr>
          <w:rFonts w:cs="Times New Roman"/>
          <w:u w:val="single"/>
        </w:rPr>
        <w:t xml:space="preserve">5  </w:t>
      </w:r>
      <w:r>
        <w:rPr>
          <w:rFonts w:hint="eastAsia" w:cs="Times New Roman"/>
          <w:u w:val="single"/>
        </w:rPr>
        <w:t>喷雾制粉废气排放情况表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6"/>
        <w:gridCol w:w="592"/>
        <w:gridCol w:w="614"/>
        <w:gridCol w:w="1205"/>
        <w:gridCol w:w="1202"/>
        <w:gridCol w:w="1248"/>
        <w:gridCol w:w="1197"/>
        <w:gridCol w:w="1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8" w:type="pct"/>
            <w:gridSpan w:val="4"/>
            <w:vAlign w:val="center"/>
          </w:tcPr>
          <w:p>
            <w:pPr>
              <w:spacing w:line="240" w:lineRule="auto"/>
              <w:ind w:firstLine="0" w:firstLineChars="0"/>
              <w:jc w:val="center"/>
              <w:rPr>
                <w:sz w:val="21"/>
                <w:szCs w:val="16"/>
                <w:u w:val="single"/>
              </w:rPr>
            </w:pPr>
            <w:r>
              <w:rPr>
                <w:sz w:val="21"/>
                <w:szCs w:val="16"/>
                <w:u w:val="single"/>
              </w:rPr>
              <w:t>排气筒编号</w:t>
            </w:r>
          </w:p>
        </w:tc>
        <w:tc>
          <w:tcPr>
            <w:tcW w:w="705" w:type="pct"/>
            <w:vAlign w:val="center"/>
          </w:tcPr>
          <w:p>
            <w:pPr>
              <w:spacing w:line="240" w:lineRule="auto"/>
              <w:ind w:firstLine="0" w:firstLineChars="0"/>
              <w:jc w:val="center"/>
              <w:rPr>
                <w:sz w:val="21"/>
                <w:szCs w:val="16"/>
                <w:u w:val="single"/>
              </w:rPr>
            </w:pPr>
            <w:r>
              <w:rPr>
                <w:sz w:val="21"/>
                <w:szCs w:val="16"/>
                <w:u w:val="single"/>
              </w:rPr>
              <w:t>DA002</w:t>
            </w:r>
          </w:p>
        </w:tc>
        <w:tc>
          <w:tcPr>
            <w:tcW w:w="732" w:type="pct"/>
            <w:vAlign w:val="center"/>
          </w:tcPr>
          <w:p>
            <w:pPr>
              <w:spacing w:line="240" w:lineRule="auto"/>
              <w:ind w:firstLine="0" w:firstLineChars="0"/>
              <w:jc w:val="center"/>
              <w:rPr>
                <w:sz w:val="21"/>
                <w:szCs w:val="16"/>
                <w:u w:val="single"/>
              </w:rPr>
            </w:pPr>
            <w:r>
              <w:rPr>
                <w:sz w:val="21"/>
                <w:szCs w:val="16"/>
                <w:u w:val="single"/>
              </w:rPr>
              <w:t>DA003</w:t>
            </w:r>
          </w:p>
        </w:tc>
        <w:tc>
          <w:tcPr>
            <w:tcW w:w="702" w:type="pct"/>
            <w:vAlign w:val="center"/>
          </w:tcPr>
          <w:p>
            <w:pPr>
              <w:spacing w:line="240" w:lineRule="auto"/>
              <w:ind w:firstLine="0" w:firstLineChars="0"/>
              <w:jc w:val="center"/>
              <w:rPr>
                <w:sz w:val="21"/>
                <w:szCs w:val="16"/>
                <w:u w:val="single"/>
              </w:rPr>
            </w:pPr>
            <w:r>
              <w:rPr>
                <w:sz w:val="21"/>
                <w:szCs w:val="16"/>
                <w:u w:val="single"/>
              </w:rPr>
              <w:t>DA004</w:t>
            </w:r>
          </w:p>
        </w:tc>
        <w:tc>
          <w:tcPr>
            <w:tcW w:w="732" w:type="pct"/>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gridSpan w:val="2"/>
            <w:vMerge w:val="restart"/>
            <w:vAlign w:val="center"/>
          </w:tcPr>
          <w:p>
            <w:pPr>
              <w:spacing w:line="240" w:lineRule="auto"/>
              <w:ind w:firstLine="420"/>
              <w:jc w:val="center"/>
              <w:rPr>
                <w:sz w:val="21"/>
                <w:szCs w:val="16"/>
                <w:u w:val="single"/>
              </w:rPr>
            </w:pPr>
            <w:r>
              <w:rPr>
                <w:sz w:val="21"/>
                <w:szCs w:val="16"/>
                <w:u w:val="single"/>
              </w:rPr>
              <w:t>烟气量</w:t>
            </w:r>
          </w:p>
        </w:tc>
        <w:tc>
          <w:tcPr>
            <w:tcW w:w="1067" w:type="pct"/>
            <w:gridSpan w:val="2"/>
            <w:vAlign w:val="center"/>
          </w:tcPr>
          <w:p>
            <w:pPr>
              <w:spacing w:line="240" w:lineRule="auto"/>
              <w:ind w:firstLine="0" w:firstLineChars="0"/>
              <w:jc w:val="center"/>
              <w:rPr>
                <w:sz w:val="21"/>
                <w:szCs w:val="16"/>
                <w:u w:val="single"/>
              </w:rPr>
            </w:pPr>
            <w:r>
              <w:rPr>
                <w:rFonts w:hint="eastAsia"/>
                <w:sz w:val="21"/>
                <w:szCs w:val="16"/>
                <w:u w:val="single"/>
              </w:rPr>
              <w:t>万</w:t>
            </w:r>
            <w:r>
              <w:rPr>
                <w:sz w:val="21"/>
                <w:szCs w:val="16"/>
                <w:u w:val="single"/>
              </w:rPr>
              <w:t>Nm</w:t>
            </w:r>
            <w:r>
              <w:rPr>
                <w:sz w:val="21"/>
                <w:szCs w:val="16"/>
                <w:u w:val="single"/>
                <w:vertAlign w:val="superscript"/>
              </w:rPr>
              <w:t>3</w:t>
            </w:r>
            <w:r>
              <w:rPr>
                <w:sz w:val="21"/>
                <w:szCs w:val="16"/>
                <w:u w:val="single"/>
              </w:rPr>
              <w:t>/</w:t>
            </w:r>
            <w:r>
              <w:rPr>
                <w:rFonts w:hint="eastAsia"/>
                <w:sz w:val="21"/>
                <w:szCs w:val="16"/>
                <w:u w:val="single"/>
              </w:rPr>
              <w:t>a</w:t>
            </w:r>
          </w:p>
        </w:tc>
        <w:tc>
          <w:tcPr>
            <w:tcW w:w="705" w:type="pct"/>
            <w:vAlign w:val="center"/>
          </w:tcPr>
          <w:p>
            <w:pPr>
              <w:spacing w:line="240" w:lineRule="auto"/>
              <w:ind w:firstLine="0" w:firstLineChars="0"/>
              <w:jc w:val="center"/>
              <w:rPr>
                <w:sz w:val="21"/>
                <w:szCs w:val="16"/>
                <w:u w:val="single"/>
              </w:rPr>
            </w:pPr>
            <w:r>
              <w:rPr>
                <w:sz w:val="21"/>
                <w:szCs w:val="16"/>
                <w:u w:val="single"/>
              </w:rPr>
              <w:t>229995</w:t>
            </w:r>
          </w:p>
        </w:tc>
        <w:tc>
          <w:tcPr>
            <w:tcW w:w="732" w:type="pct"/>
          </w:tcPr>
          <w:p>
            <w:pPr>
              <w:spacing w:line="240" w:lineRule="auto"/>
              <w:ind w:firstLine="0" w:firstLineChars="0"/>
              <w:jc w:val="center"/>
              <w:rPr>
                <w:sz w:val="21"/>
                <w:szCs w:val="16"/>
                <w:u w:val="single"/>
              </w:rPr>
            </w:pPr>
            <w:r>
              <w:rPr>
                <w:sz w:val="21"/>
                <w:szCs w:val="16"/>
                <w:u w:val="single"/>
              </w:rPr>
              <w:t>229995</w:t>
            </w:r>
          </w:p>
        </w:tc>
        <w:tc>
          <w:tcPr>
            <w:tcW w:w="702" w:type="pct"/>
          </w:tcPr>
          <w:p>
            <w:pPr>
              <w:spacing w:line="240" w:lineRule="auto"/>
              <w:ind w:firstLine="0" w:firstLineChars="0"/>
              <w:jc w:val="center"/>
              <w:rPr>
                <w:sz w:val="21"/>
                <w:szCs w:val="16"/>
                <w:u w:val="single"/>
              </w:rPr>
            </w:pPr>
            <w:r>
              <w:rPr>
                <w:sz w:val="21"/>
                <w:szCs w:val="16"/>
                <w:u w:val="single"/>
              </w:rPr>
              <w:t>229995</w:t>
            </w:r>
          </w:p>
        </w:tc>
        <w:tc>
          <w:tcPr>
            <w:tcW w:w="732" w:type="pct"/>
          </w:tcPr>
          <w:p>
            <w:pPr>
              <w:spacing w:line="240" w:lineRule="auto"/>
              <w:ind w:firstLine="0" w:firstLineChars="0"/>
              <w:jc w:val="center"/>
              <w:rPr>
                <w:sz w:val="21"/>
                <w:szCs w:val="16"/>
                <w:u w:val="single"/>
              </w:rPr>
            </w:pPr>
            <w:r>
              <w:rPr>
                <w:sz w:val="21"/>
                <w:szCs w:val="16"/>
                <w:u w:val="single"/>
              </w:rPr>
              <w:t>229995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gridSpan w:val="2"/>
            <w:vMerge w:val="continue"/>
            <w:vAlign w:val="center"/>
          </w:tcPr>
          <w:p>
            <w:pPr>
              <w:spacing w:line="240" w:lineRule="auto"/>
              <w:ind w:firstLine="0" w:firstLineChars="0"/>
              <w:jc w:val="center"/>
              <w:rPr>
                <w:sz w:val="21"/>
                <w:szCs w:val="16"/>
                <w:u w:val="single"/>
              </w:rPr>
            </w:pPr>
          </w:p>
        </w:tc>
        <w:tc>
          <w:tcPr>
            <w:tcW w:w="1067" w:type="pct"/>
            <w:gridSpan w:val="2"/>
            <w:vAlign w:val="center"/>
          </w:tcPr>
          <w:p>
            <w:pPr>
              <w:spacing w:line="240" w:lineRule="auto"/>
              <w:ind w:firstLine="0" w:firstLineChars="0"/>
              <w:jc w:val="center"/>
              <w:rPr>
                <w:sz w:val="21"/>
                <w:szCs w:val="16"/>
                <w:u w:val="single"/>
              </w:rPr>
            </w:pPr>
            <w:r>
              <w:rPr>
                <w:sz w:val="21"/>
                <w:szCs w:val="16"/>
                <w:u w:val="single"/>
              </w:rPr>
              <w:t>Nm</w:t>
            </w:r>
            <w:r>
              <w:rPr>
                <w:sz w:val="21"/>
                <w:szCs w:val="16"/>
                <w:u w:val="single"/>
                <w:vertAlign w:val="superscript"/>
              </w:rPr>
              <w:t>3</w:t>
            </w:r>
            <w:r>
              <w:rPr>
                <w:sz w:val="21"/>
                <w:szCs w:val="16"/>
                <w:u w:val="single"/>
              </w:rPr>
              <w:t>/h</w:t>
            </w:r>
          </w:p>
        </w:tc>
        <w:tc>
          <w:tcPr>
            <w:tcW w:w="705" w:type="pct"/>
            <w:vAlign w:val="center"/>
          </w:tcPr>
          <w:p>
            <w:pPr>
              <w:spacing w:line="240" w:lineRule="auto"/>
              <w:ind w:firstLine="0" w:firstLineChars="0"/>
              <w:jc w:val="center"/>
              <w:rPr>
                <w:sz w:val="21"/>
                <w:szCs w:val="16"/>
                <w:u w:val="single"/>
              </w:rPr>
            </w:pPr>
            <w:r>
              <w:rPr>
                <w:rFonts w:eastAsia="等线"/>
                <w:color w:val="000000"/>
                <w:sz w:val="21"/>
                <w:szCs w:val="21"/>
                <w:u w:val="single"/>
              </w:rPr>
              <w:t xml:space="preserve">290397.73 </w:t>
            </w:r>
          </w:p>
        </w:tc>
        <w:tc>
          <w:tcPr>
            <w:tcW w:w="732" w:type="pct"/>
          </w:tcPr>
          <w:p>
            <w:pPr>
              <w:spacing w:line="240" w:lineRule="auto"/>
              <w:ind w:firstLine="0" w:firstLineChars="0"/>
              <w:jc w:val="center"/>
              <w:rPr>
                <w:sz w:val="21"/>
                <w:szCs w:val="16"/>
                <w:u w:val="single"/>
              </w:rPr>
            </w:pPr>
            <w:r>
              <w:rPr>
                <w:rFonts w:eastAsia="等线"/>
                <w:color w:val="000000"/>
                <w:sz w:val="21"/>
                <w:szCs w:val="21"/>
                <w:u w:val="single"/>
              </w:rPr>
              <w:t>290397.73</w:t>
            </w:r>
          </w:p>
        </w:tc>
        <w:tc>
          <w:tcPr>
            <w:tcW w:w="702" w:type="pct"/>
          </w:tcPr>
          <w:p>
            <w:pPr>
              <w:spacing w:line="240" w:lineRule="auto"/>
              <w:ind w:firstLine="0" w:firstLineChars="0"/>
              <w:jc w:val="center"/>
              <w:rPr>
                <w:sz w:val="21"/>
                <w:szCs w:val="16"/>
                <w:u w:val="single"/>
              </w:rPr>
            </w:pPr>
            <w:r>
              <w:rPr>
                <w:rFonts w:eastAsia="等线"/>
                <w:color w:val="000000"/>
                <w:sz w:val="21"/>
                <w:szCs w:val="21"/>
                <w:u w:val="single"/>
              </w:rPr>
              <w:t>290397.73</w:t>
            </w:r>
          </w:p>
        </w:tc>
        <w:tc>
          <w:tcPr>
            <w:tcW w:w="732" w:type="pct"/>
          </w:tcPr>
          <w:p>
            <w:pPr>
              <w:spacing w:line="240" w:lineRule="auto"/>
              <w:ind w:firstLine="0" w:firstLineChars="0"/>
              <w:jc w:val="center"/>
              <w:rPr>
                <w:sz w:val="21"/>
                <w:szCs w:val="16"/>
                <w:u w:val="single"/>
              </w:rPr>
            </w:pPr>
            <w:r>
              <w:rPr>
                <w:rFonts w:eastAsia="等线"/>
                <w:color w:val="000000"/>
                <w:sz w:val="21"/>
                <w:szCs w:val="21"/>
                <w:u w:val="single"/>
              </w:rPr>
              <w:t>290397.73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pPr>
              <w:spacing w:line="240" w:lineRule="auto"/>
              <w:ind w:firstLine="0" w:firstLineChars="0"/>
              <w:jc w:val="center"/>
              <w:rPr>
                <w:sz w:val="21"/>
                <w:szCs w:val="16"/>
                <w:u w:val="single"/>
              </w:rPr>
            </w:pPr>
            <w:r>
              <w:rPr>
                <w:sz w:val="21"/>
                <w:szCs w:val="16"/>
                <w:u w:val="single"/>
              </w:rPr>
              <w:t>SO</w:t>
            </w:r>
            <w:r>
              <w:rPr>
                <w:sz w:val="21"/>
                <w:szCs w:val="16"/>
                <w:u w:val="single"/>
                <w:vertAlign w:val="subscript"/>
              </w:rPr>
              <w:t>2</w:t>
            </w:r>
          </w:p>
        </w:tc>
        <w:tc>
          <w:tcPr>
            <w:tcW w:w="1414" w:type="pct"/>
            <w:gridSpan w:val="3"/>
            <w:vAlign w:val="center"/>
          </w:tcPr>
          <w:p>
            <w:pPr>
              <w:spacing w:line="240" w:lineRule="auto"/>
              <w:ind w:firstLine="0" w:firstLineChars="0"/>
              <w:jc w:val="center"/>
              <w:rPr>
                <w:sz w:val="21"/>
                <w:szCs w:val="16"/>
                <w:u w:val="single"/>
              </w:rPr>
            </w:pPr>
            <w:r>
              <w:rPr>
                <w:sz w:val="21"/>
                <w:szCs w:val="16"/>
                <w:u w:val="single"/>
              </w:rPr>
              <w:t>产生量t/a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35.60</w:t>
            </w:r>
          </w:p>
        </w:tc>
        <w:tc>
          <w:tcPr>
            <w:tcW w:w="73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35.60</w:t>
            </w:r>
          </w:p>
        </w:tc>
        <w:tc>
          <w:tcPr>
            <w:tcW w:w="70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35.60</w:t>
            </w:r>
          </w:p>
        </w:tc>
        <w:tc>
          <w:tcPr>
            <w:tcW w:w="73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产生浓度mg/m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02.44</w:t>
            </w:r>
          </w:p>
        </w:tc>
        <w:tc>
          <w:tcPr>
            <w:tcW w:w="73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02.44</w:t>
            </w:r>
          </w:p>
        </w:tc>
        <w:tc>
          <w:tcPr>
            <w:tcW w:w="70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02.44</w:t>
            </w:r>
          </w:p>
        </w:tc>
        <w:tc>
          <w:tcPr>
            <w:tcW w:w="73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处理效率%</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5</w:t>
            </w:r>
          </w:p>
        </w:tc>
        <w:tc>
          <w:tcPr>
            <w:tcW w:w="732"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5</w:t>
            </w:r>
          </w:p>
        </w:tc>
        <w:tc>
          <w:tcPr>
            <w:tcW w:w="702"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5</w:t>
            </w:r>
          </w:p>
        </w:tc>
        <w:tc>
          <w:tcPr>
            <w:tcW w:w="732"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5.34</w:t>
            </w:r>
          </w:p>
        </w:tc>
        <w:tc>
          <w:tcPr>
            <w:tcW w:w="73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5.34</w:t>
            </w:r>
          </w:p>
        </w:tc>
        <w:tc>
          <w:tcPr>
            <w:tcW w:w="70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5.34</w:t>
            </w:r>
          </w:p>
        </w:tc>
        <w:tc>
          <w:tcPr>
            <w:tcW w:w="73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5.34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排放速率kg/h</w:t>
            </w:r>
          </w:p>
        </w:tc>
        <w:tc>
          <w:tcPr>
            <w:tcW w:w="705" w:type="pct"/>
            <w:vAlign w:val="center"/>
          </w:tcPr>
          <w:p>
            <w:pPr>
              <w:spacing w:line="240" w:lineRule="auto"/>
              <w:ind w:firstLine="0" w:firstLineChars="0"/>
              <w:jc w:val="center"/>
              <w:rPr>
                <w:sz w:val="21"/>
                <w:szCs w:val="16"/>
                <w:u w:val="single"/>
              </w:rPr>
            </w:pPr>
            <w:r>
              <w:rPr>
                <w:sz w:val="21"/>
                <w:szCs w:val="16"/>
                <w:u w:val="single"/>
              </w:rPr>
              <w:t>4.46</w:t>
            </w:r>
          </w:p>
        </w:tc>
        <w:tc>
          <w:tcPr>
            <w:tcW w:w="732" w:type="pct"/>
          </w:tcPr>
          <w:p>
            <w:pPr>
              <w:spacing w:line="240" w:lineRule="auto"/>
              <w:ind w:firstLine="0" w:firstLineChars="0"/>
              <w:jc w:val="center"/>
              <w:rPr>
                <w:sz w:val="21"/>
                <w:szCs w:val="16"/>
                <w:u w:val="single"/>
              </w:rPr>
            </w:pPr>
            <w:r>
              <w:rPr>
                <w:sz w:val="21"/>
                <w:szCs w:val="16"/>
                <w:u w:val="single"/>
              </w:rPr>
              <w:t>4.46</w:t>
            </w:r>
          </w:p>
        </w:tc>
        <w:tc>
          <w:tcPr>
            <w:tcW w:w="702" w:type="pct"/>
          </w:tcPr>
          <w:p>
            <w:pPr>
              <w:spacing w:line="240" w:lineRule="auto"/>
              <w:ind w:firstLine="0" w:firstLineChars="0"/>
              <w:jc w:val="center"/>
              <w:rPr>
                <w:sz w:val="21"/>
                <w:szCs w:val="16"/>
                <w:u w:val="single"/>
              </w:rPr>
            </w:pPr>
            <w:r>
              <w:rPr>
                <w:sz w:val="21"/>
                <w:szCs w:val="16"/>
                <w:u w:val="single"/>
              </w:rPr>
              <w:t>4.46</w:t>
            </w:r>
          </w:p>
        </w:tc>
        <w:tc>
          <w:tcPr>
            <w:tcW w:w="732" w:type="pct"/>
          </w:tcPr>
          <w:p>
            <w:pPr>
              <w:spacing w:line="240" w:lineRule="auto"/>
              <w:ind w:firstLine="0" w:firstLineChars="0"/>
              <w:jc w:val="center"/>
              <w:rPr>
                <w:sz w:val="21"/>
                <w:szCs w:val="16"/>
                <w:u w:val="single"/>
              </w:rPr>
            </w:pPr>
            <w:r>
              <w:rPr>
                <w:sz w:val="21"/>
                <w:szCs w:val="16"/>
                <w:u w:val="single"/>
              </w:rPr>
              <w:t>4.46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排放浓度mg/m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5.37</w:t>
            </w:r>
          </w:p>
        </w:tc>
        <w:tc>
          <w:tcPr>
            <w:tcW w:w="73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5.37</w:t>
            </w:r>
          </w:p>
        </w:tc>
        <w:tc>
          <w:tcPr>
            <w:tcW w:w="70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5.37</w:t>
            </w:r>
          </w:p>
        </w:tc>
        <w:tc>
          <w:tcPr>
            <w:tcW w:w="73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标准限值mg/m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00</w:t>
            </w:r>
          </w:p>
        </w:tc>
        <w:tc>
          <w:tcPr>
            <w:tcW w:w="73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00</w:t>
            </w:r>
          </w:p>
        </w:tc>
        <w:tc>
          <w:tcPr>
            <w:tcW w:w="70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00</w:t>
            </w:r>
          </w:p>
        </w:tc>
        <w:tc>
          <w:tcPr>
            <w:tcW w:w="73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达标情况</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达标</w:t>
            </w:r>
          </w:p>
        </w:tc>
        <w:tc>
          <w:tcPr>
            <w:tcW w:w="732" w:type="pct"/>
          </w:tcPr>
          <w:p>
            <w:pPr>
              <w:spacing w:line="240" w:lineRule="auto"/>
              <w:ind w:firstLine="0" w:firstLineChars="0"/>
              <w:jc w:val="center"/>
              <w:rPr>
                <w:sz w:val="21"/>
                <w:szCs w:val="16"/>
                <w:u w:val="single"/>
              </w:rPr>
            </w:pPr>
            <w:r>
              <w:rPr>
                <w:rFonts w:hint="eastAsia"/>
                <w:sz w:val="21"/>
                <w:szCs w:val="16"/>
                <w:u w:val="single"/>
              </w:rPr>
              <w:t>达标</w:t>
            </w:r>
          </w:p>
        </w:tc>
        <w:tc>
          <w:tcPr>
            <w:tcW w:w="702" w:type="pct"/>
          </w:tcPr>
          <w:p>
            <w:pPr>
              <w:spacing w:line="240" w:lineRule="auto"/>
              <w:ind w:firstLine="0" w:firstLineChars="0"/>
              <w:jc w:val="center"/>
              <w:rPr>
                <w:sz w:val="21"/>
                <w:szCs w:val="16"/>
                <w:u w:val="single"/>
              </w:rPr>
            </w:pPr>
            <w:r>
              <w:rPr>
                <w:rFonts w:hint="eastAsia"/>
                <w:sz w:val="21"/>
                <w:szCs w:val="16"/>
                <w:u w:val="single"/>
              </w:rPr>
              <w:t>达标</w:t>
            </w:r>
          </w:p>
        </w:tc>
        <w:tc>
          <w:tcPr>
            <w:tcW w:w="732" w:type="pct"/>
          </w:tcPr>
          <w:p>
            <w:pPr>
              <w:spacing w:line="240" w:lineRule="auto"/>
              <w:ind w:firstLine="0" w:firstLineChars="0"/>
              <w:jc w:val="center"/>
              <w:rPr>
                <w:sz w:val="21"/>
                <w:szCs w:val="16"/>
                <w:u w:val="single"/>
              </w:rPr>
            </w:pPr>
            <w:r>
              <w:rPr>
                <w:rFonts w:hint="eastAsia"/>
                <w:sz w:val="21"/>
                <w:szCs w:val="16"/>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pPr>
              <w:spacing w:line="240" w:lineRule="auto"/>
              <w:ind w:firstLine="0" w:firstLineChars="0"/>
              <w:jc w:val="center"/>
              <w:rPr>
                <w:sz w:val="21"/>
                <w:szCs w:val="16"/>
                <w:u w:val="single"/>
              </w:rPr>
            </w:pPr>
            <w:r>
              <w:rPr>
                <w:sz w:val="21"/>
                <w:szCs w:val="16"/>
                <w:u w:val="single"/>
              </w:rPr>
              <w:t>NO</w:t>
            </w:r>
            <w:r>
              <w:rPr>
                <w:sz w:val="21"/>
                <w:szCs w:val="16"/>
                <w:u w:val="single"/>
                <w:vertAlign w:val="subscript"/>
              </w:rPr>
              <w:t>x</w:t>
            </w:r>
          </w:p>
        </w:tc>
        <w:tc>
          <w:tcPr>
            <w:tcW w:w="1414" w:type="pct"/>
            <w:gridSpan w:val="3"/>
            <w:vAlign w:val="center"/>
          </w:tcPr>
          <w:p>
            <w:pPr>
              <w:spacing w:line="240" w:lineRule="auto"/>
              <w:ind w:firstLine="0" w:firstLineChars="0"/>
              <w:jc w:val="center"/>
              <w:rPr>
                <w:sz w:val="21"/>
                <w:szCs w:val="16"/>
                <w:u w:val="single"/>
              </w:rPr>
            </w:pPr>
            <w:r>
              <w:rPr>
                <w:sz w:val="21"/>
                <w:szCs w:val="16"/>
                <w:u w:val="single"/>
              </w:rPr>
              <w:t>产生量t/a</w:t>
            </w:r>
          </w:p>
        </w:tc>
        <w:tc>
          <w:tcPr>
            <w:tcW w:w="705" w:type="pct"/>
          </w:tcPr>
          <w:p>
            <w:pPr>
              <w:spacing w:line="240" w:lineRule="auto"/>
              <w:ind w:firstLine="0" w:firstLineChars="0"/>
              <w:jc w:val="center"/>
              <w:rPr>
                <w:sz w:val="21"/>
                <w:szCs w:val="16"/>
                <w:u w:val="single"/>
              </w:rPr>
            </w:pPr>
            <w:r>
              <w:rPr>
                <w:rFonts w:eastAsia="等线"/>
                <w:color w:val="000000"/>
                <w:sz w:val="21"/>
                <w:szCs w:val="21"/>
                <w:u w:val="single"/>
              </w:rPr>
              <w:t>528.165</w:t>
            </w:r>
          </w:p>
        </w:tc>
        <w:tc>
          <w:tcPr>
            <w:tcW w:w="732" w:type="pct"/>
          </w:tcPr>
          <w:p>
            <w:pPr>
              <w:spacing w:line="240" w:lineRule="auto"/>
              <w:ind w:firstLine="0" w:firstLineChars="0"/>
              <w:jc w:val="center"/>
              <w:rPr>
                <w:sz w:val="21"/>
                <w:szCs w:val="16"/>
                <w:u w:val="single"/>
              </w:rPr>
            </w:pPr>
            <w:r>
              <w:rPr>
                <w:rFonts w:eastAsia="等线"/>
                <w:color w:val="000000"/>
                <w:sz w:val="21"/>
                <w:szCs w:val="21"/>
                <w:u w:val="single"/>
              </w:rPr>
              <w:t>528.165</w:t>
            </w:r>
          </w:p>
        </w:tc>
        <w:tc>
          <w:tcPr>
            <w:tcW w:w="702" w:type="pct"/>
          </w:tcPr>
          <w:p>
            <w:pPr>
              <w:spacing w:line="240" w:lineRule="auto"/>
              <w:ind w:firstLine="0" w:firstLineChars="0"/>
              <w:jc w:val="center"/>
              <w:rPr>
                <w:sz w:val="21"/>
                <w:szCs w:val="16"/>
                <w:u w:val="single"/>
              </w:rPr>
            </w:pPr>
            <w:r>
              <w:rPr>
                <w:rFonts w:eastAsia="等线"/>
                <w:color w:val="000000"/>
                <w:sz w:val="21"/>
                <w:szCs w:val="21"/>
                <w:u w:val="single"/>
              </w:rPr>
              <w:t>528.165</w:t>
            </w:r>
          </w:p>
        </w:tc>
        <w:tc>
          <w:tcPr>
            <w:tcW w:w="732" w:type="pct"/>
          </w:tcPr>
          <w:p>
            <w:pPr>
              <w:spacing w:line="240" w:lineRule="auto"/>
              <w:ind w:firstLine="0" w:firstLineChars="0"/>
              <w:jc w:val="center"/>
              <w:rPr>
                <w:sz w:val="21"/>
                <w:szCs w:val="16"/>
                <w:u w:val="single"/>
              </w:rPr>
            </w:pPr>
            <w:r>
              <w:rPr>
                <w:rFonts w:eastAsia="等线"/>
                <w:color w:val="000000"/>
                <w:sz w:val="21"/>
                <w:szCs w:val="21"/>
                <w:u w:val="single"/>
              </w:rPr>
              <w:t>528.165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产生浓度mg/m</w:t>
            </w:r>
            <w:r>
              <w:rPr>
                <w:sz w:val="21"/>
                <w:szCs w:val="16"/>
                <w:u w:val="single"/>
                <w:vertAlign w:val="superscript"/>
              </w:rPr>
              <w:t>3</w:t>
            </w:r>
          </w:p>
        </w:tc>
        <w:tc>
          <w:tcPr>
            <w:tcW w:w="705"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29.64</w:t>
            </w:r>
          </w:p>
        </w:tc>
        <w:tc>
          <w:tcPr>
            <w:tcW w:w="73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29.64</w:t>
            </w:r>
          </w:p>
        </w:tc>
        <w:tc>
          <w:tcPr>
            <w:tcW w:w="70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29.64</w:t>
            </w:r>
          </w:p>
        </w:tc>
        <w:tc>
          <w:tcPr>
            <w:tcW w:w="73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29.64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处理效率%</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c>
          <w:tcPr>
            <w:tcW w:w="702" w:type="pct"/>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排放量t/a</w:t>
            </w:r>
          </w:p>
        </w:tc>
        <w:tc>
          <w:tcPr>
            <w:tcW w:w="705"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2.82</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2.82</w:t>
            </w:r>
          </w:p>
        </w:tc>
        <w:tc>
          <w:tcPr>
            <w:tcW w:w="70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2.82</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2.82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排放速率kg/h</w:t>
            </w:r>
          </w:p>
        </w:tc>
        <w:tc>
          <w:tcPr>
            <w:tcW w:w="705" w:type="pct"/>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.67</w:t>
            </w:r>
          </w:p>
        </w:tc>
        <w:tc>
          <w:tcPr>
            <w:tcW w:w="732" w:type="pct"/>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.67</w:t>
            </w:r>
          </w:p>
        </w:tc>
        <w:tc>
          <w:tcPr>
            <w:tcW w:w="702" w:type="pct"/>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.67</w:t>
            </w:r>
          </w:p>
        </w:tc>
        <w:tc>
          <w:tcPr>
            <w:tcW w:w="732" w:type="pct"/>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排放浓度mg/m</w:t>
            </w:r>
            <w:r>
              <w:rPr>
                <w:sz w:val="21"/>
                <w:szCs w:val="16"/>
                <w:u w:val="single"/>
                <w:vertAlign w:val="superscript"/>
              </w:rPr>
              <w:t>3</w:t>
            </w:r>
          </w:p>
        </w:tc>
        <w:tc>
          <w:tcPr>
            <w:tcW w:w="705"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2.96</w:t>
            </w:r>
          </w:p>
        </w:tc>
        <w:tc>
          <w:tcPr>
            <w:tcW w:w="73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2.96</w:t>
            </w:r>
          </w:p>
        </w:tc>
        <w:tc>
          <w:tcPr>
            <w:tcW w:w="70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2.96</w:t>
            </w:r>
          </w:p>
        </w:tc>
        <w:tc>
          <w:tcPr>
            <w:tcW w:w="73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标准限值mg/m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40</w:t>
            </w:r>
          </w:p>
        </w:tc>
        <w:tc>
          <w:tcPr>
            <w:tcW w:w="73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40</w:t>
            </w:r>
          </w:p>
        </w:tc>
        <w:tc>
          <w:tcPr>
            <w:tcW w:w="70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40</w:t>
            </w:r>
          </w:p>
        </w:tc>
        <w:tc>
          <w:tcPr>
            <w:tcW w:w="73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达标情况</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达标</w:t>
            </w:r>
          </w:p>
        </w:tc>
        <w:tc>
          <w:tcPr>
            <w:tcW w:w="732" w:type="pct"/>
          </w:tcPr>
          <w:p>
            <w:pPr>
              <w:spacing w:line="240" w:lineRule="auto"/>
              <w:ind w:firstLine="0" w:firstLineChars="0"/>
              <w:jc w:val="center"/>
              <w:rPr>
                <w:sz w:val="21"/>
                <w:szCs w:val="16"/>
                <w:u w:val="single"/>
              </w:rPr>
            </w:pPr>
            <w:r>
              <w:rPr>
                <w:rFonts w:hint="eastAsia"/>
                <w:sz w:val="21"/>
                <w:szCs w:val="16"/>
                <w:u w:val="single"/>
              </w:rPr>
              <w:t>达标</w:t>
            </w:r>
          </w:p>
        </w:tc>
        <w:tc>
          <w:tcPr>
            <w:tcW w:w="702" w:type="pct"/>
          </w:tcPr>
          <w:p>
            <w:pPr>
              <w:spacing w:line="240" w:lineRule="auto"/>
              <w:ind w:firstLine="0" w:firstLineChars="0"/>
              <w:jc w:val="center"/>
              <w:rPr>
                <w:sz w:val="21"/>
                <w:szCs w:val="16"/>
                <w:u w:val="single"/>
              </w:rPr>
            </w:pPr>
            <w:r>
              <w:rPr>
                <w:rFonts w:hint="eastAsia"/>
                <w:sz w:val="21"/>
                <w:szCs w:val="16"/>
                <w:u w:val="single"/>
              </w:rPr>
              <w:t>达标</w:t>
            </w:r>
          </w:p>
        </w:tc>
        <w:tc>
          <w:tcPr>
            <w:tcW w:w="732" w:type="pct"/>
          </w:tcPr>
          <w:p>
            <w:pPr>
              <w:spacing w:line="240" w:lineRule="auto"/>
              <w:ind w:firstLine="0" w:firstLineChars="0"/>
              <w:jc w:val="center"/>
              <w:rPr>
                <w:sz w:val="21"/>
                <w:szCs w:val="16"/>
                <w:u w:val="single"/>
              </w:rPr>
            </w:pPr>
            <w:r>
              <w:rPr>
                <w:rFonts w:hint="eastAsia"/>
                <w:sz w:val="21"/>
                <w:szCs w:val="16"/>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pPr>
              <w:spacing w:line="240" w:lineRule="auto"/>
              <w:ind w:firstLine="0" w:firstLineChars="0"/>
              <w:jc w:val="center"/>
              <w:rPr>
                <w:sz w:val="21"/>
                <w:szCs w:val="16"/>
                <w:u w:val="single"/>
              </w:rPr>
            </w:pPr>
            <w:r>
              <w:rPr>
                <w:sz w:val="21"/>
                <w:szCs w:val="16"/>
                <w:u w:val="single"/>
              </w:rPr>
              <w:t>颗粒物</w:t>
            </w:r>
          </w:p>
        </w:tc>
        <w:tc>
          <w:tcPr>
            <w:tcW w:w="1414" w:type="pct"/>
            <w:gridSpan w:val="3"/>
            <w:vAlign w:val="center"/>
          </w:tcPr>
          <w:p>
            <w:pPr>
              <w:spacing w:line="240" w:lineRule="auto"/>
              <w:ind w:firstLine="0" w:firstLineChars="0"/>
              <w:jc w:val="center"/>
              <w:rPr>
                <w:sz w:val="21"/>
                <w:szCs w:val="16"/>
                <w:u w:val="single"/>
              </w:rPr>
            </w:pPr>
            <w:r>
              <w:rPr>
                <w:sz w:val="21"/>
                <w:szCs w:val="16"/>
                <w:u w:val="single"/>
              </w:rPr>
              <w:t>产生量t/a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0563.3</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0563.3</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0563.3</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0563.3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产生浓度mg/m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592.84</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592.84</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592.84</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592.84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处理效率%</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9</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9</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9</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05.63</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05.63</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05.63</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05.63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排放速率kg/h</w:t>
            </w:r>
          </w:p>
        </w:tc>
        <w:tc>
          <w:tcPr>
            <w:tcW w:w="705"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3.34</w:t>
            </w:r>
          </w:p>
        </w:tc>
        <w:tc>
          <w:tcPr>
            <w:tcW w:w="73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3.34</w:t>
            </w:r>
          </w:p>
        </w:tc>
        <w:tc>
          <w:tcPr>
            <w:tcW w:w="70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3.34</w:t>
            </w:r>
          </w:p>
        </w:tc>
        <w:tc>
          <w:tcPr>
            <w:tcW w:w="73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排放浓度mg/m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5.93</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5.93</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5.93</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标准限值mg/m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w:t>
            </w:r>
          </w:p>
        </w:tc>
        <w:tc>
          <w:tcPr>
            <w:tcW w:w="70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达标情况</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达标</w:t>
            </w:r>
          </w:p>
        </w:tc>
        <w:tc>
          <w:tcPr>
            <w:tcW w:w="732" w:type="pct"/>
          </w:tcPr>
          <w:p>
            <w:pPr>
              <w:spacing w:line="240" w:lineRule="auto"/>
              <w:ind w:firstLine="0" w:firstLineChars="0"/>
              <w:jc w:val="center"/>
              <w:rPr>
                <w:sz w:val="21"/>
                <w:szCs w:val="16"/>
                <w:u w:val="single"/>
              </w:rPr>
            </w:pPr>
            <w:r>
              <w:rPr>
                <w:rFonts w:hint="eastAsia"/>
                <w:sz w:val="21"/>
                <w:szCs w:val="16"/>
                <w:u w:val="single"/>
              </w:rPr>
              <w:t>达标</w:t>
            </w:r>
          </w:p>
        </w:tc>
        <w:tc>
          <w:tcPr>
            <w:tcW w:w="702" w:type="pct"/>
          </w:tcPr>
          <w:p>
            <w:pPr>
              <w:spacing w:line="240" w:lineRule="auto"/>
              <w:ind w:firstLine="0" w:firstLineChars="0"/>
              <w:jc w:val="center"/>
              <w:rPr>
                <w:sz w:val="21"/>
                <w:szCs w:val="16"/>
                <w:u w:val="single"/>
              </w:rPr>
            </w:pPr>
            <w:r>
              <w:rPr>
                <w:rFonts w:hint="eastAsia"/>
                <w:sz w:val="21"/>
                <w:szCs w:val="16"/>
                <w:u w:val="single"/>
              </w:rPr>
              <w:t>达标</w:t>
            </w:r>
          </w:p>
        </w:tc>
        <w:tc>
          <w:tcPr>
            <w:tcW w:w="732" w:type="pct"/>
          </w:tcPr>
          <w:p>
            <w:pPr>
              <w:spacing w:line="240" w:lineRule="auto"/>
              <w:ind w:firstLine="0" w:firstLineChars="0"/>
              <w:jc w:val="center"/>
              <w:rPr>
                <w:sz w:val="21"/>
                <w:szCs w:val="16"/>
                <w:u w:val="single"/>
              </w:rPr>
            </w:pPr>
            <w:r>
              <w:rPr>
                <w:rFonts w:hint="eastAsia"/>
                <w:sz w:val="21"/>
                <w:szCs w:val="16"/>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pPr>
              <w:spacing w:line="240" w:lineRule="auto"/>
              <w:ind w:firstLine="0" w:firstLineChars="0"/>
              <w:jc w:val="center"/>
              <w:rPr>
                <w:sz w:val="21"/>
                <w:szCs w:val="16"/>
                <w:u w:val="single"/>
              </w:rPr>
            </w:pPr>
            <w:r>
              <w:rPr>
                <w:rFonts w:hint="eastAsia"/>
                <w:sz w:val="21"/>
                <w:szCs w:val="16"/>
                <w:u w:val="single"/>
              </w:rPr>
              <w:t>NMHC</w:t>
            </w:r>
          </w:p>
        </w:tc>
        <w:tc>
          <w:tcPr>
            <w:tcW w:w="1414" w:type="pct"/>
            <w:gridSpan w:val="3"/>
            <w:vAlign w:val="center"/>
          </w:tcPr>
          <w:p>
            <w:pPr>
              <w:spacing w:line="240" w:lineRule="auto"/>
              <w:ind w:firstLine="0" w:firstLineChars="0"/>
              <w:jc w:val="center"/>
              <w:rPr>
                <w:sz w:val="21"/>
                <w:szCs w:val="16"/>
                <w:u w:val="single"/>
              </w:rPr>
            </w:pPr>
            <w:r>
              <w:rPr>
                <w:sz w:val="21"/>
                <w:szCs w:val="16"/>
                <w:u w:val="single"/>
              </w:rPr>
              <w:t>产生量t/a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w:t>
            </w:r>
          </w:p>
        </w:tc>
        <w:tc>
          <w:tcPr>
            <w:tcW w:w="702" w:type="pct"/>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产生浓度mg/m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w:t>
            </w:r>
          </w:p>
        </w:tc>
        <w:tc>
          <w:tcPr>
            <w:tcW w:w="702" w:type="pct"/>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处理效率%</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w:t>
            </w:r>
          </w:p>
        </w:tc>
        <w:tc>
          <w:tcPr>
            <w:tcW w:w="702" w:type="pct"/>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w:t>
            </w:r>
          </w:p>
        </w:tc>
        <w:tc>
          <w:tcPr>
            <w:tcW w:w="702" w:type="pct"/>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排放速率kg/h</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w:t>
            </w:r>
          </w:p>
        </w:tc>
        <w:tc>
          <w:tcPr>
            <w:tcW w:w="702" w:type="pct"/>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排放浓度mg/m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w:t>
            </w:r>
          </w:p>
        </w:tc>
        <w:tc>
          <w:tcPr>
            <w:tcW w:w="702" w:type="pct"/>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707" w:type="pct"/>
            <w:gridSpan w:val="2"/>
            <w:vMerge w:val="restart"/>
            <w:vAlign w:val="center"/>
          </w:tcPr>
          <w:p>
            <w:pPr>
              <w:spacing w:line="240" w:lineRule="auto"/>
              <w:ind w:firstLine="0" w:firstLineChars="0"/>
              <w:jc w:val="center"/>
              <w:rPr>
                <w:sz w:val="21"/>
                <w:szCs w:val="16"/>
                <w:u w:val="single"/>
              </w:rPr>
            </w:pPr>
            <w:r>
              <w:rPr>
                <w:sz w:val="21"/>
                <w:szCs w:val="16"/>
                <w:u w:val="single"/>
              </w:rPr>
              <w:t>标准限值</w:t>
            </w:r>
          </w:p>
        </w:tc>
        <w:tc>
          <w:tcPr>
            <w:tcW w:w="707" w:type="pct"/>
            <w:vAlign w:val="center"/>
          </w:tcPr>
          <w:p>
            <w:pPr>
              <w:spacing w:line="240" w:lineRule="auto"/>
              <w:ind w:firstLine="0" w:firstLineChars="0"/>
              <w:jc w:val="center"/>
              <w:rPr>
                <w:sz w:val="21"/>
                <w:szCs w:val="16"/>
                <w:u w:val="single"/>
              </w:rPr>
            </w:pPr>
            <w:r>
              <w:rPr>
                <w:sz w:val="21"/>
                <w:szCs w:val="16"/>
                <w:u w:val="single"/>
              </w:rPr>
              <w:t>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w:t>
            </w:r>
          </w:p>
        </w:tc>
        <w:tc>
          <w:tcPr>
            <w:tcW w:w="702" w:type="pct"/>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707" w:type="pct"/>
            <w:gridSpan w:val="2"/>
            <w:vMerge w:val="continue"/>
            <w:vAlign w:val="center"/>
          </w:tcPr>
          <w:p>
            <w:pPr>
              <w:spacing w:line="240" w:lineRule="auto"/>
              <w:ind w:firstLine="0" w:firstLineChars="0"/>
              <w:jc w:val="center"/>
              <w:rPr>
                <w:sz w:val="21"/>
                <w:szCs w:val="16"/>
                <w:u w:val="single"/>
              </w:rPr>
            </w:pPr>
          </w:p>
        </w:tc>
        <w:tc>
          <w:tcPr>
            <w:tcW w:w="707" w:type="pct"/>
            <w:vAlign w:val="center"/>
          </w:tcPr>
          <w:p>
            <w:pPr>
              <w:spacing w:line="240" w:lineRule="auto"/>
              <w:ind w:firstLine="0" w:firstLineChars="0"/>
              <w:jc w:val="center"/>
              <w:rPr>
                <w:sz w:val="21"/>
                <w:szCs w:val="16"/>
                <w:u w:val="single"/>
              </w:rPr>
            </w:pPr>
            <w:r>
              <w:rPr>
                <w:rFonts w:hint="eastAsia"/>
                <w:sz w:val="21"/>
                <w:szCs w:val="16"/>
                <w:u w:val="single"/>
              </w:rPr>
              <w:t>k</w:t>
            </w:r>
            <w:r>
              <w:rPr>
                <w:sz w:val="21"/>
                <w:szCs w:val="16"/>
                <w:u w:val="single"/>
              </w:rPr>
              <w:t>g/h</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w:t>
            </w:r>
          </w:p>
        </w:tc>
        <w:tc>
          <w:tcPr>
            <w:tcW w:w="702" w:type="pct"/>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3"/>
            <w:vAlign w:val="center"/>
          </w:tcPr>
          <w:p>
            <w:pPr>
              <w:spacing w:line="240" w:lineRule="auto"/>
              <w:ind w:firstLine="0" w:firstLineChars="0"/>
              <w:jc w:val="center"/>
              <w:rPr>
                <w:sz w:val="21"/>
                <w:szCs w:val="16"/>
                <w:u w:val="single"/>
              </w:rPr>
            </w:pPr>
            <w:r>
              <w:rPr>
                <w:sz w:val="21"/>
                <w:szCs w:val="16"/>
                <w:u w:val="single"/>
              </w:rPr>
              <w:t>达标情况</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w:t>
            </w:r>
          </w:p>
        </w:tc>
        <w:tc>
          <w:tcPr>
            <w:tcW w:w="702" w:type="pct"/>
          </w:tcPr>
          <w:p>
            <w:pPr>
              <w:spacing w:line="240" w:lineRule="auto"/>
              <w:ind w:firstLine="0" w:firstLineChars="0"/>
              <w:jc w:val="center"/>
              <w:rPr>
                <w:sz w:val="21"/>
                <w:szCs w:val="16"/>
                <w:u w:val="single"/>
              </w:rPr>
            </w:pPr>
            <w:r>
              <w:rPr>
                <w:rFonts w:hint="eastAsia"/>
                <w:sz w:val="21"/>
                <w:szCs w:val="16"/>
                <w:u w:val="single"/>
              </w:rPr>
              <w:t>/</w:t>
            </w:r>
          </w:p>
        </w:tc>
        <w:tc>
          <w:tcPr>
            <w:tcW w:w="732" w:type="pct"/>
          </w:tcPr>
          <w:p>
            <w:pPr>
              <w:spacing w:line="240" w:lineRule="auto"/>
              <w:ind w:firstLine="0" w:firstLineChars="0"/>
              <w:jc w:val="center"/>
              <w:rPr>
                <w:sz w:val="21"/>
                <w:szCs w:val="16"/>
                <w:u w:val="single"/>
              </w:rPr>
            </w:pPr>
            <w:r>
              <w:rPr>
                <w:rFonts w:hint="eastAsia"/>
                <w:sz w:val="21"/>
                <w:szCs w:val="16"/>
                <w:u w:val="single"/>
              </w:rPr>
              <w:t>达标</w:t>
            </w:r>
          </w:p>
        </w:tc>
      </w:tr>
    </w:tbl>
    <w:p>
      <w:pPr>
        <w:ind w:firstLine="480"/>
        <w:rPr>
          <w:rFonts w:cs="Times New Roman"/>
          <w:u w:val="single"/>
        </w:rPr>
      </w:pPr>
      <w:r>
        <w:rPr>
          <w:rFonts w:cs="Times New Roman"/>
          <w:u w:val="single"/>
        </w:rPr>
        <w:t>5、压制成型废气G3、G7</w:t>
      </w:r>
    </w:p>
    <w:p>
      <w:pPr>
        <w:ind w:firstLine="480"/>
        <w:rPr>
          <w:rFonts w:cs="Times New Roman"/>
          <w:u w:val="single"/>
        </w:rPr>
      </w:pPr>
      <w:r>
        <w:rPr>
          <w:rFonts w:cs="Times New Roman"/>
          <w:u w:val="single"/>
        </w:rPr>
        <w:t>压制成型过程会有产生少量粉尘，类比醴陵市和丰瓷业有限公司运行情况，压制成型废气颗粒物产生量约为67.5kg/万m</w:t>
      </w:r>
      <w:r>
        <w:rPr>
          <w:rFonts w:cs="Times New Roman"/>
          <w:u w:val="single"/>
          <w:vertAlign w:val="superscript"/>
        </w:rPr>
        <w:t>2</w:t>
      </w:r>
      <w:r>
        <w:rPr>
          <w:rFonts w:cs="Times New Roman"/>
          <w:u w:val="single"/>
        </w:rPr>
        <w:t>-产品，涉及压制成型的产品分别为仿古/抛釉砖、通体抛釉砖及通体抛光砖</w:t>
      </w:r>
      <w:r>
        <w:rPr>
          <w:rFonts w:hint="eastAsia" w:cs="Times New Roman"/>
          <w:u w:val="single"/>
        </w:rPr>
        <w:t>，四个生产车间各设置1个成型车间</w:t>
      </w:r>
      <w:r>
        <w:rPr>
          <w:rFonts w:cs="Times New Roman"/>
          <w:u w:val="single"/>
        </w:rPr>
        <w:t>，</w:t>
      </w:r>
      <w:r>
        <w:rPr>
          <w:rFonts w:hint="eastAsia" w:cs="Times New Roman"/>
          <w:u w:val="single"/>
        </w:rPr>
        <w:t>根据各车间烧成窑的数量，生产一车间~生产四车间建筑陶瓷</w:t>
      </w:r>
      <w:r>
        <w:rPr>
          <w:rFonts w:cs="Times New Roman"/>
          <w:u w:val="single"/>
        </w:rPr>
        <w:t>产量分别为3201万m</w:t>
      </w:r>
      <w:r>
        <w:rPr>
          <w:rFonts w:cs="Times New Roman"/>
          <w:u w:val="single"/>
          <w:vertAlign w:val="superscript"/>
        </w:rPr>
        <w:t>2</w:t>
      </w:r>
      <w:r>
        <w:rPr>
          <w:rFonts w:cs="Times New Roman"/>
          <w:u w:val="single"/>
        </w:rPr>
        <w:t>、4268万m</w:t>
      </w:r>
      <w:r>
        <w:rPr>
          <w:rFonts w:cs="Times New Roman"/>
          <w:u w:val="single"/>
          <w:vertAlign w:val="superscript"/>
        </w:rPr>
        <w:t>2</w:t>
      </w:r>
      <w:r>
        <w:rPr>
          <w:rFonts w:cs="Times New Roman"/>
          <w:u w:val="single"/>
        </w:rPr>
        <w:t>、3201万m</w:t>
      </w:r>
      <w:r>
        <w:rPr>
          <w:rFonts w:cs="Times New Roman"/>
          <w:u w:val="single"/>
          <w:vertAlign w:val="superscript"/>
        </w:rPr>
        <w:t>2</w:t>
      </w:r>
      <w:r>
        <w:rPr>
          <w:rFonts w:hint="eastAsia" w:cs="Times New Roman"/>
          <w:u w:val="single"/>
        </w:rPr>
        <w:t>、</w:t>
      </w:r>
      <w:r>
        <w:rPr>
          <w:rFonts w:cs="Times New Roman"/>
          <w:u w:val="single"/>
        </w:rPr>
        <w:t>2134万m</w:t>
      </w:r>
      <w:r>
        <w:rPr>
          <w:rFonts w:cs="Times New Roman"/>
          <w:u w:val="single"/>
          <w:vertAlign w:val="superscript"/>
        </w:rPr>
        <w:t>2</w:t>
      </w:r>
      <w:r>
        <w:rPr>
          <w:rFonts w:cs="Times New Roman"/>
          <w:u w:val="single"/>
        </w:rPr>
        <w:t>，则颗粒物产生量分别为216.07t/a、288.09t/a、216.07t/a</w:t>
      </w:r>
      <w:r>
        <w:rPr>
          <w:rFonts w:hint="eastAsia" w:cs="Times New Roman"/>
          <w:u w:val="single"/>
        </w:rPr>
        <w:t>、</w:t>
      </w:r>
      <w:r>
        <w:rPr>
          <w:rFonts w:cs="Times New Roman"/>
          <w:u w:val="single"/>
        </w:rPr>
        <w:t>144.05t/a，</w:t>
      </w:r>
      <w:r>
        <w:rPr>
          <w:rFonts w:hint="eastAsia" w:cs="Times New Roman"/>
          <w:u w:val="single"/>
        </w:rPr>
        <w:t>每个车间设置1个</w:t>
      </w:r>
      <w:r>
        <w:rPr>
          <w:rFonts w:cs="Times New Roman"/>
          <w:u w:val="single"/>
        </w:rPr>
        <w:t>脉冲式袋式除尘器收集处理（处理效率按99%计算），分别通过4个15m排气筒（DA0010~DA013）排放</w:t>
      </w:r>
      <w:r>
        <w:rPr>
          <w:rFonts w:hint="eastAsia" w:cs="Times New Roman"/>
          <w:u w:val="single"/>
        </w:rPr>
        <w:t>，各车间集气风机风量分别为：1</w:t>
      </w:r>
      <w:r>
        <w:rPr>
          <w:rFonts w:cs="Times New Roman"/>
          <w:u w:val="single"/>
        </w:rPr>
        <w:t>5000</w:t>
      </w:r>
      <w:r>
        <w:rPr>
          <w:rFonts w:hint="eastAsia" w:cs="Times New Roman"/>
          <w:u w:val="single"/>
        </w:rPr>
        <w:t>m</w:t>
      </w:r>
      <w:r>
        <w:rPr>
          <w:rFonts w:cs="Times New Roman"/>
          <w:u w:val="single"/>
          <w:vertAlign w:val="superscript"/>
        </w:rPr>
        <w:t>3</w:t>
      </w:r>
      <w:r>
        <w:rPr>
          <w:rFonts w:cs="Times New Roman"/>
          <w:u w:val="single"/>
        </w:rPr>
        <w:t>/h</w:t>
      </w:r>
      <w:r>
        <w:rPr>
          <w:rFonts w:hint="eastAsia" w:cs="Times New Roman"/>
          <w:u w:val="single"/>
        </w:rPr>
        <w:t>、2</w:t>
      </w:r>
      <w:r>
        <w:rPr>
          <w:rFonts w:cs="Times New Roman"/>
          <w:u w:val="single"/>
        </w:rPr>
        <w:t>0</w:t>
      </w:r>
      <w:r>
        <w:rPr>
          <w:rFonts w:hint="eastAsia" w:cs="Times New Roman"/>
          <w:u w:val="single"/>
        </w:rPr>
        <w:t>0</w:t>
      </w:r>
      <w:r>
        <w:rPr>
          <w:rFonts w:cs="Times New Roman"/>
          <w:u w:val="single"/>
        </w:rPr>
        <w:t>00</w:t>
      </w:r>
      <w:r>
        <w:rPr>
          <w:rFonts w:hint="eastAsia" w:cs="Times New Roman"/>
          <w:u w:val="single"/>
        </w:rPr>
        <w:t>m</w:t>
      </w:r>
      <w:r>
        <w:rPr>
          <w:rFonts w:cs="Times New Roman"/>
          <w:u w:val="single"/>
          <w:vertAlign w:val="superscript"/>
        </w:rPr>
        <w:t>3</w:t>
      </w:r>
      <w:r>
        <w:rPr>
          <w:rFonts w:cs="Times New Roman"/>
          <w:u w:val="single"/>
        </w:rPr>
        <w:t>/h</w:t>
      </w:r>
      <w:r>
        <w:rPr>
          <w:rFonts w:hint="eastAsia" w:cs="Times New Roman"/>
          <w:u w:val="single"/>
        </w:rPr>
        <w:t>、1</w:t>
      </w:r>
      <w:r>
        <w:rPr>
          <w:rFonts w:cs="Times New Roman"/>
          <w:u w:val="single"/>
        </w:rPr>
        <w:t>5000</w:t>
      </w:r>
      <w:r>
        <w:rPr>
          <w:rFonts w:hint="eastAsia" w:cs="Times New Roman"/>
          <w:u w:val="single"/>
        </w:rPr>
        <w:t>m</w:t>
      </w:r>
      <w:r>
        <w:rPr>
          <w:rFonts w:cs="Times New Roman"/>
          <w:u w:val="single"/>
          <w:vertAlign w:val="superscript"/>
        </w:rPr>
        <w:t>3</w:t>
      </w:r>
      <w:r>
        <w:rPr>
          <w:rFonts w:cs="Times New Roman"/>
          <w:u w:val="single"/>
        </w:rPr>
        <w:t>/h</w:t>
      </w:r>
      <w:r>
        <w:rPr>
          <w:rFonts w:hint="eastAsia" w:cs="Times New Roman"/>
          <w:u w:val="single"/>
        </w:rPr>
        <w:t>、</w:t>
      </w:r>
      <w:r>
        <w:rPr>
          <w:rFonts w:cs="Times New Roman"/>
          <w:u w:val="single"/>
        </w:rPr>
        <w:t>10</w:t>
      </w:r>
      <w:r>
        <w:rPr>
          <w:rFonts w:hint="eastAsia" w:cs="Times New Roman"/>
          <w:u w:val="single"/>
        </w:rPr>
        <w:t>0</w:t>
      </w:r>
      <w:r>
        <w:rPr>
          <w:rFonts w:cs="Times New Roman"/>
          <w:u w:val="single"/>
        </w:rPr>
        <w:t>00</w:t>
      </w:r>
      <w:r>
        <w:rPr>
          <w:rFonts w:hint="eastAsia" w:cs="Times New Roman"/>
          <w:u w:val="single"/>
        </w:rPr>
        <w:t>m</w:t>
      </w:r>
      <w:r>
        <w:rPr>
          <w:rFonts w:cs="Times New Roman"/>
          <w:u w:val="single"/>
          <w:vertAlign w:val="superscript"/>
        </w:rPr>
        <w:t>3</w:t>
      </w:r>
      <w:r>
        <w:rPr>
          <w:rFonts w:cs="Times New Roman"/>
          <w:u w:val="single"/>
        </w:rPr>
        <w:t>/h，则各排气筒污染物产排情况如下：</w:t>
      </w:r>
    </w:p>
    <w:p>
      <w:pPr>
        <w:ind w:firstLine="0" w:firstLineChars="0"/>
        <w:jc w:val="center"/>
        <w:rPr>
          <w:rFonts w:cs="Times New Roman"/>
          <w:u w:val="single"/>
        </w:rPr>
      </w:pPr>
      <w:r>
        <w:rPr>
          <w:rFonts w:cs="Times New Roman"/>
          <w:u w:val="single"/>
        </w:rPr>
        <w:t>表3.3-5  成型车间各排气筒污染物产排情况表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2374"/>
        <w:gridCol w:w="1336"/>
        <w:gridCol w:w="1203"/>
        <w:gridCol w:w="1203"/>
        <w:gridCol w:w="1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vAlign w:val="center"/>
          </w:tcPr>
          <w:p>
            <w:pPr>
              <w:spacing w:line="240" w:lineRule="auto"/>
              <w:ind w:firstLine="0" w:firstLineChars="0"/>
              <w:jc w:val="center"/>
              <w:rPr>
                <w:sz w:val="21"/>
                <w:szCs w:val="16"/>
                <w:u w:val="single"/>
              </w:rPr>
            </w:pPr>
            <w:r>
              <w:rPr>
                <w:sz w:val="21"/>
                <w:szCs w:val="16"/>
                <w:u w:val="single"/>
              </w:rPr>
              <w:t>排气筒编号</w:t>
            </w:r>
          </w:p>
        </w:tc>
        <w:tc>
          <w:tcPr>
            <w:tcW w:w="784" w:type="pct"/>
            <w:vAlign w:val="center"/>
          </w:tcPr>
          <w:p>
            <w:pPr>
              <w:spacing w:line="240" w:lineRule="auto"/>
              <w:ind w:firstLine="0" w:firstLineChars="0"/>
              <w:jc w:val="center"/>
              <w:rPr>
                <w:sz w:val="21"/>
                <w:szCs w:val="16"/>
                <w:u w:val="single"/>
              </w:rPr>
            </w:pPr>
            <w:r>
              <w:rPr>
                <w:sz w:val="21"/>
                <w:szCs w:val="16"/>
                <w:u w:val="single"/>
              </w:rPr>
              <w:t>DA0010</w:t>
            </w:r>
          </w:p>
        </w:tc>
        <w:tc>
          <w:tcPr>
            <w:tcW w:w="706" w:type="pct"/>
            <w:vAlign w:val="center"/>
          </w:tcPr>
          <w:p>
            <w:pPr>
              <w:spacing w:line="240" w:lineRule="auto"/>
              <w:ind w:firstLine="0" w:firstLineChars="0"/>
              <w:jc w:val="center"/>
              <w:rPr>
                <w:sz w:val="21"/>
                <w:szCs w:val="16"/>
                <w:u w:val="single"/>
              </w:rPr>
            </w:pPr>
            <w:r>
              <w:rPr>
                <w:sz w:val="21"/>
                <w:szCs w:val="16"/>
                <w:u w:val="single"/>
              </w:rPr>
              <w:t>DA011</w:t>
            </w:r>
          </w:p>
        </w:tc>
        <w:tc>
          <w:tcPr>
            <w:tcW w:w="706" w:type="pct"/>
            <w:vAlign w:val="center"/>
          </w:tcPr>
          <w:p>
            <w:pPr>
              <w:spacing w:line="240" w:lineRule="auto"/>
              <w:ind w:firstLine="0" w:firstLineChars="0"/>
              <w:jc w:val="center"/>
              <w:rPr>
                <w:sz w:val="21"/>
                <w:szCs w:val="16"/>
                <w:u w:val="single"/>
              </w:rPr>
            </w:pPr>
            <w:r>
              <w:rPr>
                <w:sz w:val="21"/>
                <w:szCs w:val="16"/>
                <w:u w:val="single"/>
              </w:rPr>
              <w:t>DA012</w:t>
            </w:r>
          </w:p>
        </w:tc>
        <w:tc>
          <w:tcPr>
            <w:tcW w:w="705" w:type="pct"/>
            <w:vAlign w:val="center"/>
          </w:tcPr>
          <w:p>
            <w:pPr>
              <w:spacing w:line="240" w:lineRule="auto"/>
              <w:ind w:firstLine="0" w:firstLineChars="0"/>
              <w:jc w:val="center"/>
              <w:rPr>
                <w:sz w:val="21"/>
                <w:szCs w:val="16"/>
                <w:u w:val="single"/>
              </w:rPr>
            </w:pPr>
            <w:r>
              <w:rPr>
                <w:sz w:val="21"/>
                <w:szCs w:val="16"/>
                <w:u w:val="single"/>
              </w:rPr>
              <w:t>DA013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vAlign w:val="center"/>
          </w:tcPr>
          <w:p>
            <w:pPr>
              <w:spacing w:line="240" w:lineRule="auto"/>
              <w:ind w:firstLine="0" w:firstLineChars="0"/>
              <w:jc w:val="center"/>
              <w:rPr>
                <w:sz w:val="21"/>
                <w:szCs w:val="16"/>
                <w:u w:val="single"/>
              </w:rPr>
            </w:pPr>
            <w:r>
              <w:rPr>
                <w:sz w:val="21"/>
                <w:szCs w:val="16"/>
                <w:u w:val="single"/>
              </w:rPr>
              <w:t>废气量Nm</w:t>
            </w:r>
            <w:r>
              <w:rPr>
                <w:sz w:val="21"/>
                <w:szCs w:val="16"/>
                <w:u w:val="single"/>
                <w:vertAlign w:val="superscript"/>
              </w:rPr>
              <w:t>3</w:t>
            </w:r>
            <w:r>
              <w:rPr>
                <w:sz w:val="21"/>
                <w:szCs w:val="16"/>
                <w:u w:val="single"/>
              </w:rPr>
              <w:t>/h</w:t>
            </w:r>
          </w:p>
        </w:tc>
        <w:tc>
          <w:tcPr>
            <w:tcW w:w="784" w:type="pct"/>
            <w:vAlign w:val="center"/>
          </w:tcPr>
          <w:p>
            <w:pPr>
              <w:spacing w:line="240" w:lineRule="auto"/>
              <w:ind w:firstLine="0" w:firstLineChars="0"/>
              <w:jc w:val="center"/>
              <w:rPr>
                <w:sz w:val="21"/>
                <w:szCs w:val="16"/>
                <w:u w:val="single"/>
              </w:rPr>
            </w:pPr>
            <w:r>
              <w:rPr>
                <w:sz w:val="21"/>
                <w:szCs w:val="16"/>
                <w:u w:val="single"/>
              </w:rPr>
              <w:t>15000</w:t>
            </w:r>
          </w:p>
        </w:tc>
        <w:tc>
          <w:tcPr>
            <w:tcW w:w="706" w:type="pct"/>
            <w:vAlign w:val="center"/>
          </w:tcPr>
          <w:p>
            <w:pPr>
              <w:spacing w:line="240" w:lineRule="auto"/>
              <w:ind w:firstLine="0" w:firstLineChars="0"/>
              <w:jc w:val="center"/>
              <w:rPr>
                <w:sz w:val="21"/>
                <w:szCs w:val="16"/>
                <w:u w:val="single"/>
              </w:rPr>
            </w:pPr>
            <w:r>
              <w:rPr>
                <w:sz w:val="21"/>
                <w:szCs w:val="16"/>
                <w:u w:val="single"/>
              </w:rPr>
              <w:t>20000</w:t>
            </w:r>
          </w:p>
        </w:tc>
        <w:tc>
          <w:tcPr>
            <w:tcW w:w="706" w:type="pct"/>
            <w:vAlign w:val="center"/>
          </w:tcPr>
          <w:p>
            <w:pPr>
              <w:spacing w:line="240" w:lineRule="auto"/>
              <w:ind w:firstLine="0" w:firstLineChars="0"/>
              <w:jc w:val="center"/>
              <w:rPr>
                <w:sz w:val="21"/>
                <w:szCs w:val="16"/>
                <w:u w:val="single"/>
              </w:rPr>
            </w:pPr>
            <w:r>
              <w:rPr>
                <w:sz w:val="21"/>
                <w:szCs w:val="16"/>
                <w:u w:val="single"/>
              </w:rPr>
              <w:t>15000</w:t>
            </w:r>
          </w:p>
        </w:tc>
        <w:tc>
          <w:tcPr>
            <w:tcW w:w="705" w:type="pct"/>
            <w:vAlign w:val="center"/>
          </w:tcPr>
          <w:p>
            <w:pPr>
              <w:spacing w:line="240" w:lineRule="auto"/>
              <w:ind w:firstLine="0" w:firstLineChars="0"/>
              <w:jc w:val="center"/>
              <w:rPr>
                <w:sz w:val="21"/>
                <w:szCs w:val="16"/>
                <w:u w:val="single"/>
              </w:rPr>
            </w:pPr>
            <w:r>
              <w:rPr>
                <w:sz w:val="21"/>
                <w:szCs w:val="16"/>
                <w:u w:val="singl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restart"/>
            <w:vAlign w:val="center"/>
          </w:tcPr>
          <w:p>
            <w:pPr>
              <w:spacing w:line="240" w:lineRule="auto"/>
              <w:ind w:firstLine="0" w:firstLineChars="0"/>
              <w:jc w:val="center"/>
              <w:rPr>
                <w:sz w:val="21"/>
                <w:szCs w:val="16"/>
                <w:u w:val="single"/>
              </w:rPr>
            </w:pPr>
            <w:r>
              <w:rPr>
                <w:sz w:val="21"/>
                <w:szCs w:val="16"/>
                <w:u w:val="single"/>
              </w:rPr>
              <w:t>颗粒物</w:t>
            </w:r>
          </w:p>
        </w:tc>
        <w:tc>
          <w:tcPr>
            <w:tcW w:w="1393" w:type="pct"/>
            <w:vAlign w:val="center"/>
          </w:tcPr>
          <w:p>
            <w:pPr>
              <w:spacing w:line="240" w:lineRule="auto"/>
              <w:ind w:firstLine="0" w:firstLineChars="0"/>
              <w:jc w:val="center"/>
              <w:rPr>
                <w:sz w:val="21"/>
                <w:szCs w:val="16"/>
                <w:u w:val="single"/>
              </w:rPr>
            </w:pPr>
            <w:r>
              <w:rPr>
                <w:sz w:val="21"/>
                <w:szCs w:val="16"/>
                <w:u w:val="single"/>
              </w:rPr>
              <w:t>产生量t/a</w:t>
            </w:r>
          </w:p>
        </w:tc>
        <w:tc>
          <w:tcPr>
            <w:tcW w:w="784"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16.07</w:t>
            </w:r>
          </w:p>
        </w:tc>
        <w:tc>
          <w:tcPr>
            <w:tcW w:w="706"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88.09</w:t>
            </w:r>
          </w:p>
        </w:tc>
        <w:tc>
          <w:tcPr>
            <w:tcW w:w="706"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16.07</w:t>
            </w:r>
          </w:p>
        </w:tc>
        <w:tc>
          <w:tcPr>
            <w:tcW w:w="705" w:type="pct"/>
            <w:vAlign w:val="center"/>
          </w:tcPr>
          <w:p>
            <w:pPr>
              <w:spacing w:line="240" w:lineRule="auto"/>
              <w:ind w:firstLine="0" w:firstLineChars="0"/>
              <w:jc w:val="center"/>
              <w:rPr>
                <w:sz w:val="21"/>
                <w:szCs w:val="16"/>
                <w:u w:val="single"/>
              </w:rPr>
            </w:pPr>
            <w:r>
              <w:rPr>
                <w:sz w:val="21"/>
                <w:szCs w:val="16"/>
                <w:u w:val="single"/>
              </w:rPr>
              <w:t>144.05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pPr>
              <w:spacing w:line="240" w:lineRule="auto"/>
              <w:ind w:firstLine="0" w:firstLineChars="0"/>
              <w:jc w:val="center"/>
              <w:rPr>
                <w:sz w:val="21"/>
                <w:szCs w:val="16"/>
                <w:u w:val="single"/>
              </w:rPr>
            </w:pPr>
          </w:p>
        </w:tc>
        <w:tc>
          <w:tcPr>
            <w:tcW w:w="1393" w:type="pct"/>
            <w:vAlign w:val="center"/>
          </w:tcPr>
          <w:p>
            <w:pPr>
              <w:spacing w:line="240" w:lineRule="auto"/>
              <w:ind w:firstLine="0" w:firstLineChars="0"/>
              <w:jc w:val="center"/>
              <w:rPr>
                <w:sz w:val="21"/>
                <w:szCs w:val="16"/>
                <w:u w:val="single"/>
              </w:rPr>
            </w:pPr>
            <w:r>
              <w:rPr>
                <w:sz w:val="21"/>
                <w:szCs w:val="16"/>
                <w:u w:val="single"/>
              </w:rPr>
              <w:t>产生浓度mg/m</w:t>
            </w:r>
            <w:r>
              <w:rPr>
                <w:sz w:val="21"/>
                <w:szCs w:val="16"/>
                <w:u w:val="single"/>
                <w:vertAlign w:val="superscript"/>
              </w:rPr>
              <w:t>3</w:t>
            </w:r>
          </w:p>
        </w:tc>
        <w:tc>
          <w:tcPr>
            <w:tcW w:w="784"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818.77</w:t>
            </w:r>
          </w:p>
        </w:tc>
        <w:tc>
          <w:tcPr>
            <w:tcW w:w="706"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818.77</w:t>
            </w:r>
          </w:p>
        </w:tc>
        <w:tc>
          <w:tcPr>
            <w:tcW w:w="706"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818.77</w:t>
            </w:r>
          </w:p>
        </w:tc>
        <w:tc>
          <w:tcPr>
            <w:tcW w:w="705"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818.77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pPr>
              <w:spacing w:line="240" w:lineRule="auto"/>
              <w:ind w:firstLine="0" w:firstLineChars="0"/>
              <w:jc w:val="center"/>
              <w:rPr>
                <w:sz w:val="21"/>
                <w:szCs w:val="16"/>
                <w:u w:val="single"/>
              </w:rPr>
            </w:pPr>
          </w:p>
        </w:tc>
        <w:tc>
          <w:tcPr>
            <w:tcW w:w="1393" w:type="pct"/>
            <w:vAlign w:val="center"/>
          </w:tcPr>
          <w:p>
            <w:pPr>
              <w:spacing w:line="240" w:lineRule="auto"/>
              <w:ind w:firstLine="0" w:firstLineChars="0"/>
              <w:jc w:val="center"/>
              <w:rPr>
                <w:sz w:val="21"/>
                <w:szCs w:val="16"/>
                <w:u w:val="single"/>
              </w:rPr>
            </w:pPr>
            <w:r>
              <w:rPr>
                <w:sz w:val="21"/>
                <w:szCs w:val="16"/>
                <w:u w:val="single"/>
              </w:rPr>
              <w:t>处理效率%</w:t>
            </w:r>
          </w:p>
        </w:tc>
        <w:tc>
          <w:tcPr>
            <w:tcW w:w="784" w:type="pct"/>
            <w:vAlign w:val="center"/>
          </w:tcPr>
          <w:p>
            <w:pPr>
              <w:spacing w:line="240" w:lineRule="auto"/>
              <w:ind w:firstLine="0" w:firstLineChars="0"/>
              <w:jc w:val="center"/>
              <w:rPr>
                <w:sz w:val="21"/>
                <w:szCs w:val="16"/>
                <w:u w:val="single"/>
              </w:rPr>
            </w:pPr>
            <w:r>
              <w:rPr>
                <w:sz w:val="21"/>
                <w:szCs w:val="16"/>
                <w:u w:val="single"/>
              </w:rPr>
              <w:t>99</w:t>
            </w:r>
          </w:p>
        </w:tc>
        <w:tc>
          <w:tcPr>
            <w:tcW w:w="706" w:type="pct"/>
            <w:vAlign w:val="center"/>
          </w:tcPr>
          <w:p>
            <w:pPr>
              <w:spacing w:line="240" w:lineRule="auto"/>
              <w:ind w:firstLine="0" w:firstLineChars="0"/>
              <w:jc w:val="center"/>
              <w:rPr>
                <w:sz w:val="21"/>
                <w:szCs w:val="16"/>
                <w:u w:val="single"/>
              </w:rPr>
            </w:pPr>
            <w:r>
              <w:rPr>
                <w:sz w:val="21"/>
                <w:szCs w:val="16"/>
                <w:u w:val="single"/>
              </w:rPr>
              <w:t>99</w:t>
            </w:r>
          </w:p>
        </w:tc>
        <w:tc>
          <w:tcPr>
            <w:tcW w:w="706" w:type="pct"/>
            <w:vAlign w:val="center"/>
          </w:tcPr>
          <w:p>
            <w:pPr>
              <w:spacing w:line="240" w:lineRule="auto"/>
              <w:ind w:firstLine="0" w:firstLineChars="0"/>
              <w:jc w:val="center"/>
              <w:rPr>
                <w:sz w:val="21"/>
                <w:szCs w:val="16"/>
                <w:u w:val="single"/>
              </w:rPr>
            </w:pPr>
            <w:r>
              <w:rPr>
                <w:sz w:val="21"/>
                <w:szCs w:val="16"/>
                <w:u w:val="single"/>
              </w:rPr>
              <w:t>99</w:t>
            </w:r>
          </w:p>
        </w:tc>
        <w:tc>
          <w:tcPr>
            <w:tcW w:w="705" w:type="pct"/>
            <w:vAlign w:val="center"/>
          </w:tcPr>
          <w:p>
            <w:pPr>
              <w:spacing w:line="240" w:lineRule="auto"/>
              <w:ind w:firstLine="0" w:firstLineChars="0"/>
              <w:jc w:val="center"/>
              <w:rPr>
                <w:sz w:val="21"/>
                <w:szCs w:val="16"/>
                <w:u w:val="single"/>
              </w:rPr>
            </w:pPr>
            <w:r>
              <w:rPr>
                <w:sz w:val="21"/>
                <w:szCs w:val="16"/>
                <w:u w:val="single"/>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pPr>
              <w:spacing w:line="240" w:lineRule="auto"/>
              <w:ind w:firstLine="0" w:firstLineChars="0"/>
              <w:jc w:val="center"/>
              <w:rPr>
                <w:sz w:val="21"/>
                <w:szCs w:val="16"/>
                <w:u w:val="single"/>
              </w:rPr>
            </w:pPr>
          </w:p>
        </w:tc>
        <w:tc>
          <w:tcPr>
            <w:tcW w:w="1393" w:type="pct"/>
            <w:vAlign w:val="center"/>
          </w:tcPr>
          <w:p>
            <w:pPr>
              <w:spacing w:line="240" w:lineRule="auto"/>
              <w:ind w:firstLine="0" w:firstLineChars="0"/>
              <w:jc w:val="center"/>
              <w:rPr>
                <w:sz w:val="21"/>
                <w:szCs w:val="16"/>
                <w:u w:val="single"/>
              </w:rPr>
            </w:pPr>
            <w:r>
              <w:rPr>
                <w:sz w:val="21"/>
                <w:szCs w:val="16"/>
                <w:u w:val="single"/>
              </w:rPr>
              <w:t>排放量t/a</w:t>
            </w:r>
          </w:p>
        </w:tc>
        <w:tc>
          <w:tcPr>
            <w:tcW w:w="784"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.16</w:t>
            </w:r>
          </w:p>
        </w:tc>
        <w:tc>
          <w:tcPr>
            <w:tcW w:w="706"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.88</w:t>
            </w:r>
          </w:p>
        </w:tc>
        <w:tc>
          <w:tcPr>
            <w:tcW w:w="706"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.16</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pPr>
              <w:spacing w:line="240" w:lineRule="auto"/>
              <w:ind w:firstLine="0" w:firstLineChars="0"/>
              <w:jc w:val="center"/>
              <w:rPr>
                <w:sz w:val="21"/>
                <w:szCs w:val="16"/>
                <w:u w:val="single"/>
              </w:rPr>
            </w:pPr>
          </w:p>
        </w:tc>
        <w:tc>
          <w:tcPr>
            <w:tcW w:w="1393" w:type="pct"/>
            <w:vAlign w:val="center"/>
          </w:tcPr>
          <w:p>
            <w:pPr>
              <w:spacing w:line="240" w:lineRule="auto"/>
              <w:ind w:firstLine="0" w:firstLineChars="0"/>
              <w:jc w:val="center"/>
              <w:rPr>
                <w:sz w:val="21"/>
                <w:szCs w:val="16"/>
                <w:u w:val="single"/>
              </w:rPr>
            </w:pPr>
            <w:r>
              <w:rPr>
                <w:sz w:val="21"/>
                <w:szCs w:val="16"/>
                <w:u w:val="single"/>
              </w:rPr>
              <w:t>排放浓度mg/m</w:t>
            </w:r>
            <w:r>
              <w:rPr>
                <w:sz w:val="21"/>
                <w:szCs w:val="16"/>
                <w:u w:val="single"/>
                <w:vertAlign w:val="superscript"/>
              </w:rPr>
              <w:t>3</w:t>
            </w:r>
          </w:p>
        </w:tc>
        <w:tc>
          <w:tcPr>
            <w:tcW w:w="784" w:type="pct"/>
            <w:vAlign w:val="center"/>
          </w:tcPr>
          <w:p>
            <w:pPr>
              <w:spacing w:line="240" w:lineRule="auto"/>
              <w:ind w:firstLine="0" w:firstLineChars="0"/>
              <w:jc w:val="center"/>
              <w:rPr>
                <w:sz w:val="21"/>
                <w:szCs w:val="16"/>
                <w:u w:val="single"/>
              </w:rPr>
            </w:pPr>
            <w:r>
              <w:rPr>
                <w:sz w:val="21"/>
                <w:szCs w:val="16"/>
                <w:u w:val="single"/>
              </w:rPr>
              <w:t>18.19</w:t>
            </w:r>
          </w:p>
        </w:tc>
        <w:tc>
          <w:tcPr>
            <w:tcW w:w="706" w:type="pct"/>
          </w:tcPr>
          <w:p>
            <w:pPr>
              <w:spacing w:line="240" w:lineRule="auto"/>
              <w:ind w:firstLine="0" w:firstLineChars="0"/>
              <w:jc w:val="center"/>
              <w:rPr>
                <w:sz w:val="21"/>
                <w:szCs w:val="16"/>
                <w:u w:val="single"/>
              </w:rPr>
            </w:pPr>
            <w:r>
              <w:rPr>
                <w:sz w:val="21"/>
                <w:szCs w:val="16"/>
                <w:u w:val="single"/>
              </w:rPr>
              <w:t>18.19</w:t>
            </w:r>
          </w:p>
        </w:tc>
        <w:tc>
          <w:tcPr>
            <w:tcW w:w="706" w:type="pct"/>
          </w:tcPr>
          <w:p>
            <w:pPr>
              <w:spacing w:line="240" w:lineRule="auto"/>
              <w:ind w:firstLine="0" w:firstLineChars="0"/>
              <w:jc w:val="center"/>
              <w:rPr>
                <w:sz w:val="21"/>
                <w:szCs w:val="16"/>
                <w:u w:val="single"/>
              </w:rPr>
            </w:pPr>
            <w:r>
              <w:rPr>
                <w:sz w:val="21"/>
                <w:szCs w:val="16"/>
                <w:u w:val="single"/>
              </w:rPr>
              <w:t>18.19</w:t>
            </w:r>
          </w:p>
        </w:tc>
        <w:tc>
          <w:tcPr>
            <w:tcW w:w="705" w:type="pct"/>
          </w:tcPr>
          <w:p>
            <w:pPr>
              <w:spacing w:line="240" w:lineRule="auto"/>
              <w:ind w:firstLine="0" w:firstLineChars="0"/>
              <w:jc w:val="center"/>
              <w:rPr>
                <w:sz w:val="21"/>
                <w:szCs w:val="16"/>
                <w:u w:val="single"/>
              </w:rPr>
            </w:pPr>
            <w:r>
              <w:rPr>
                <w:sz w:val="21"/>
                <w:szCs w:val="16"/>
                <w:u w:val="single"/>
              </w:rPr>
              <w:t>18.19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pPr>
              <w:spacing w:line="240" w:lineRule="auto"/>
              <w:ind w:firstLine="0" w:firstLineChars="0"/>
              <w:jc w:val="center"/>
              <w:rPr>
                <w:sz w:val="21"/>
                <w:szCs w:val="16"/>
                <w:u w:val="single"/>
              </w:rPr>
            </w:pPr>
          </w:p>
        </w:tc>
        <w:tc>
          <w:tcPr>
            <w:tcW w:w="1393" w:type="pct"/>
            <w:vAlign w:val="center"/>
          </w:tcPr>
          <w:p>
            <w:pPr>
              <w:spacing w:line="240" w:lineRule="auto"/>
              <w:ind w:firstLine="0" w:firstLineChars="0"/>
              <w:jc w:val="center"/>
              <w:rPr>
                <w:sz w:val="21"/>
                <w:szCs w:val="16"/>
                <w:u w:val="single"/>
              </w:rPr>
            </w:pPr>
            <w:r>
              <w:rPr>
                <w:sz w:val="21"/>
                <w:szCs w:val="16"/>
                <w:u w:val="single"/>
              </w:rPr>
              <w:t>排放速率kg/h</w:t>
            </w:r>
          </w:p>
        </w:tc>
        <w:tc>
          <w:tcPr>
            <w:tcW w:w="784"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.27</w:t>
            </w:r>
          </w:p>
        </w:tc>
        <w:tc>
          <w:tcPr>
            <w:tcW w:w="70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.36</w:t>
            </w:r>
          </w:p>
        </w:tc>
        <w:tc>
          <w:tcPr>
            <w:tcW w:w="70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.27</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.18</w:t>
            </w:r>
          </w:p>
        </w:tc>
      </w:tr>
    </w:tbl>
    <w:p>
      <w:pPr>
        <w:ind w:firstLine="480"/>
        <w:rPr>
          <w:rFonts w:cs="Times New Roman"/>
          <w:u w:val="single"/>
        </w:rPr>
      </w:pPr>
      <w:r>
        <w:rPr>
          <w:rFonts w:cs="Times New Roman"/>
          <w:u w:val="single"/>
        </w:rPr>
        <w:t>6、釉烧、素烧、干燥、熔制废气G4、G8、G9、G10、G12</w:t>
      </w:r>
    </w:p>
    <w:p>
      <w:pPr>
        <w:ind w:firstLine="480"/>
        <w:rPr>
          <w:rFonts w:cs="Times New Roman"/>
          <w:u w:val="single"/>
        </w:rPr>
      </w:pPr>
      <w:r>
        <w:rPr>
          <w:rFonts w:cs="Times New Roman"/>
          <w:u w:val="single"/>
        </w:rPr>
        <w:t>本项目共设置12条烧成窑（釉烧、素烧</w:t>
      </w:r>
      <w:r>
        <w:rPr>
          <w:rFonts w:hint="eastAsia" w:cs="Times New Roman"/>
          <w:u w:val="single"/>
        </w:rPr>
        <w:t>、熔制</w:t>
      </w:r>
      <w:r>
        <w:rPr>
          <w:rFonts w:cs="Times New Roman"/>
          <w:u w:val="single"/>
        </w:rPr>
        <w:t>）、8条干燥窑</w:t>
      </w:r>
      <w:r>
        <w:rPr>
          <w:rFonts w:hint="eastAsia" w:cs="Times New Roman"/>
          <w:u w:val="single"/>
        </w:rPr>
        <w:t>，干燥窑主要采用烧成窑尾气余热进行干燥，但尾气余热不足以满足生产需求，需要燃烧少量天然气供热，根据建设单位提供资料，约有8</w:t>
      </w:r>
      <w:r>
        <w:rPr>
          <w:rFonts w:cs="Times New Roman"/>
          <w:u w:val="single"/>
        </w:rPr>
        <w:t>0</w:t>
      </w:r>
      <w:r>
        <w:rPr>
          <w:rFonts w:hint="eastAsia" w:cs="Times New Roman"/>
          <w:u w:val="single"/>
        </w:rPr>
        <w:t>%的天然气用于烧成窑燃烧，2</w:t>
      </w:r>
      <w:r>
        <w:rPr>
          <w:rFonts w:cs="Times New Roman"/>
          <w:u w:val="single"/>
        </w:rPr>
        <w:t>0</w:t>
      </w:r>
      <w:r>
        <w:rPr>
          <w:rFonts w:hint="eastAsia" w:cs="Times New Roman"/>
          <w:u w:val="single"/>
        </w:rPr>
        <w:t>%的天然气用于干燥窑燃烧</w:t>
      </w:r>
      <w:r>
        <w:rPr>
          <w:rFonts w:cs="Times New Roman"/>
          <w:u w:val="single"/>
        </w:rPr>
        <w:t>。</w:t>
      </w:r>
      <w:r>
        <w:rPr>
          <w:rFonts w:hint="eastAsia" w:cs="Times New Roman"/>
          <w:u w:val="single"/>
        </w:rPr>
        <w:t>天然气</w:t>
      </w:r>
      <w:r>
        <w:rPr>
          <w:rFonts w:cs="Times New Roman"/>
          <w:u w:val="single"/>
        </w:rPr>
        <w:t>的主要成分是CO、H</w:t>
      </w:r>
      <w:r>
        <w:rPr>
          <w:rFonts w:cs="Times New Roman"/>
          <w:u w:val="single"/>
          <w:vertAlign w:val="subscript"/>
        </w:rPr>
        <w:t>2</w:t>
      </w:r>
      <w:r>
        <w:rPr>
          <w:rFonts w:cs="Times New Roman"/>
          <w:u w:val="single"/>
        </w:rPr>
        <w:t>、CH</w:t>
      </w:r>
      <w:r>
        <w:rPr>
          <w:rFonts w:cs="Times New Roman"/>
          <w:u w:val="single"/>
          <w:vertAlign w:val="subscript"/>
        </w:rPr>
        <w:t>4</w:t>
      </w:r>
      <w:r>
        <w:rPr>
          <w:rFonts w:cs="Times New Roman"/>
          <w:u w:val="single"/>
        </w:rPr>
        <w:t>、CmHn、H</w:t>
      </w:r>
      <w:r>
        <w:rPr>
          <w:rFonts w:cs="Times New Roman"/>
          <w:u w:val="single"/>
          <w:vertAlign w:val="subscript"/>
        </w:rPr>
        <w:t>2</w:t>
      </w:r>
      <w:r>
        <w:rPr>
          <w:rFonts w:cs="Times New Roman"/>
          <w:u w:val="single"/>
        </w:rPr>
        <w:t>S等可燃气体和CO</w:t>
      </w:r>
      <w:r>
        <w:rPr>
          <w:rFonts w:cs="Times New Roman"/>
          <w:u w:val="single"/>
          <w:vertAlign w:val="subscript"/>
        </w:rPr>
        <w:t>2</w:t>
      </w:r>
      <w:r>
        <w:rPr>
          <w:rFonts w:cs="Times New Roman"/>
          <w:u w:val="single"/>
        </w:rPr>
        <w:t>、N</w:t>
      </w:r>
      <w:r>
        <w:rPr>
          <w:rFonts w:cs="Times New Roman"/>
          <w:u w:val="single"/>
          <w:vertAlign w:val="subscript"/>
        </w:rPr>
        <w:t>2</w:t>
      </w:r>
      <w:r>
        <w:rPr>
          <w:rFonts w:cs="Times New Roman"/>
          <w:u w:val="single"/>
        </w:rPr>
        <w:t>、O</w:t>
      </w:r>
      <w:r>
        <w:rPr>
          <w:rFonts w:cs="Times New Roman"/>
          <w:u w:val="single"/>
          <w:vertAlign w:val="subscript"/>
        </w:rPr>
        <w:t>2</w:t>
      </w:r>
      <w:r>
        <w:rPr>
          <w:rFonts w:cs="Times New Roman"/>
          <w:u w:val="single"/>
        </w:rPr>
        <w:t>、H</w:t>
      </w:r>
      <w:r>
        <w:rPr>
          <w:rFonts w:cs="Times New Roman"/>
          <w:u w:val="single"/>
          <w:vertAlign w:val="subscript"/>
        </w:rPr>
        <w:t>2</w:t>
      </w:r>
      <w:r>
        <w:rPr>
          <w:rFonts w:cs="Times New Roman"/>
          <w:u w:val="single"/>
        </w:rPr>
        <w:t>O等不可燃气体。CO、H</w:t>
      </w:r>
      <w:r>
        <w:rPr>
          <w:rFonts w:cs="Times New Roman"/>
          <w:u w:val="single"/>
          <w:vertAlign w:val="subscript"/>
        </w:rPr>
        <w:t>2</w:t>
      </w:r>
      <w:r>
        <w:rPr>
          <w:rFonts w:cs="Times New Roman"/>
          <w:u w:val="single"/>
        </w:rPr>
        <w:t>、CH</w:t>
      </w:r>
      <w:r>
        <w:rPr>
          <w:rFonts w:cs="Times New Roman"/>
          <w:u w:val="single"/>
          <w:vertAlign w:val="subscript"/>
        </w:rPr>
        <w:t>4</w:t>
      </w:r>
      <w:r>
        <w:rPr>
          <w:rFonts w:cs="Times New Roman"/>
          <w:u w:val="single"/>
        </w:rPr>
        <w:t>、CmHn等燃烧的产物是CO</w:t>
      </w:r>
      <w:r>
        <w:rPr>
          <w:rFonts w:cs="Times New Roman"/>
          <w:u w:val="single"/>
          <w:vertAlign w:val="subscript"/>
        </w:rPr>
        <w:t>2</w:t>
      </w:r>
      <w:r>
        <w:rPr>
          <w:rFonts w:cs="Times New Roman"/>
          <w:u w:val="single"/>
        </w:rPr>
        <w:t>和水，对环境无污染；H</w:t>
      </w:r>
      <w:r>
        <w:rPr>
          <w:rFonts w:cs="Times New Roman"/>
          <w:u w:val="single"/>
          <w:vertAlign w:val="subscript"/>
        </w:rPr>
        <w:t>2</w:t>
      </w:r>
      <w:r>
        <w:rPr>
          <w:rFonts w:cs="Times New Roman"/>
          <w:u w:val="single"/>
        </w:rPr>
        <w:t>S的燃烧产物是SO</w:t>
      </w:r>
      <w:r>
        <w:rPr>
          <w:rFonts w:cs="Times New Roman"/>
          <w:u w:val="single"/>
          <w:vertAlign w:val="subscript"/>
        </w:rPr>
        <w:t>2</w:t>
      </w:r>
      <w:r>
        <w:rPr>
          <w:rFonts w:cs="Times New Roman"/>
          <w:u w:val="single"/>
        </w:rPr>
        <w:t>；N</w:t>
      </w:r>
      <w:r>
        <w:rPr>
          <w:rFonts w:cs="Times New Roman"/>
          <w:u w:val="single"/>
          <w:vertAlign w:val="subscript"/>
        </w:rPr>
        <w:t>2</w:t>
      </w:r>
      <w:r>
        <w:rPr>
          <w:rFonts w:cs="Times New Roman"/>
          <w:u w:val="single"/>
        </w:rPr>
        <w:t>在高温燃烧下会生成NOx。窑炉的废气主要来自</w:t>
      </w:r>
      <w:r>
        <w:rPr>
          <w:rFonts w:hint="eastAsia" w:cs="Times New Roman"/>
          <w:u w:val="single"/>
        </w:rPr>
        <w:t>天然气</w:t>
      </w:r>
      <w:r>
        <w:rPr>
          <w:rFonts w:cs="Times New Roman"/>
          <w:u w:val="single"/>
        </w:rPr>
        <w:t>的燃烧，主要污染物为SO</w:t>
      </w:r>
      <w:r>
        <w:rPr>
          <w:rFonts w:cs="Times New Roman"/>
          <w:u w:val="single"/>
          <w:vertAlign w:val="subscript"/>
        </w:rPr>
        <w:t>2</w:t>
      </w:r>
      <w:r>
        <w:rPr>
          <w:rFonts w:cs="Times New Roman"/>
          <w:u w:val="single"/>
        </w:rPr>
        <w:t>、NOx和烟尘。</w:t>
      </w:r>
    </w:p>
    <w:p>
      <w:pPr>
        <w:ind w:firstLine="480"/>
        <w:rPr>
          <w:rFonts w:cs="Times New Roman"/>
          <w:u w:val="single"/>
        </w:rPr>
      </w:pPr>
      <w:r>
        <w:rPr>
          <w:rFonts w:cs="Times New Roman"/>
          <w:u w:val="single"/>
        </w:rPr>
        <w:t>（1）烟气量</w:t>
      </w:r>
    </w:p>
    <w:p>
      <w:pPr>
        <w:ind w:firstLine="480"/>
        <w:rPr>
          <w:rFonts w:cs="Times New Roman"/>
          <w:u w:val="single"/>
        </w:rPr>
      </w:pPr>
      <w:r>
        <w:rPr>
          <w:rFonts w:cs="Times New Roman"/>
          <w:u w:val="single"/>
        </w:rPr>
        <w:t>根据《环境保护统计手册》（奚元福主编，四川科学技术出版社，1990年）推荐的公式，对于</w:t>
      </w:r>
      <w:r>
        <w:rPr>
          <w:rFonts w:hint="eastAsia" w:cs="Times New Roman"/>
          <w:u w:val="single"/>
        </w:rPr>
        <w:t>天然气</w:t>
      </w:r>
      <w:r>
        <w:rPr>
          <w:rFonts w:cs="Times New Roman"/>
          <w:u w:val="single"/>
        </w:rPr>
        <w:t>燃料理论空气需要量</w:t>
      </w:r>
      <w:r>
        <w:rPr>
          <w:rFonts w:cs="Times New Roman"/>
          <w:i/>
          <w:u w:val="single"/>
        </w:rPr>
        <w:t>V</w:t>
      </w:r>
      <w:r>
        <w:rPr>
          <w:rFonts w:cs="Times New Roman"/>
          <w:i/>
          <w:u w:val="single"/>
          <w:vertAlign w:val="subscript"/>
        </w:rPr>
        <w:t>0</w:t>
      </w:r>
      <w:r>
        <w:rPr>
          <w:rFonts w:cs="Times New Roman"/>
          <w:u w:val="single"/>
        </w:rPr>
        <w:t>计算公式为：</w:t>
      </w:r>
    </w:p>
    <w:p>
      <w:pPr>
        <w:ind w:firstLine="480"/>
        <w:jc w:val="center"/>
        <w:rPr>
          <w:rFonts w:cs="Times New Roman"/>
          <w:u w:val="single"/>
        </w:rPr>
      </w:pPr>
      <w:r>
        <w:rPr>
          <w:rFonts w:cs="Times New Roman"/>
          <w:u w:val="single"/>
        </w:rPr>
        <w:object>
          <v:shape id="_x0000_i1033" o:spt="75" type="#_x0000_t75" style="height:33.25pt;width:144pt;" o:ole="t" filled="f" o:preferrelative="t" stroked="f" coordsize="21600,21600">
            <v:path/>
            <v:fill on="f" focussize="0,0"/>
            <v:stroke on="f" joinstyle="miter"/>
            <v:imagedata r:id="rId43" o:title=""/>
            <o:lock v:ext="edit" aspectratio="t"/>
            <w10:wrap type="none"/>
            <w10:anchorlock/>
          </v:shape>
          <o:OLEObject Type="Embed" ProgID="Equation.3" ShapeID="_x0000_i1033" DrawAspect="Content" ObjectID="_1468075733" r:id="rId42">
            <o:LockedField>false</o:LockedField>
          </o:OLEObject>
        </w:object>
      </w:r>
    </w:p>
    <w:p>
      <w:pPr>
        <w:ind w:firstLine="480"/>
        <w:rPr>
          <w:rFonts w:cs="Times New Roman"/>
          <w:u w:val="single"/>
        </w:rPr>
      </w:pPr>
      <w:r>
        <w:rPr>
          <w:rFonts w:cs="Times New Roman"/>
          <w:u w:val="single"/>
        </w:rPr>
        <w:t>式中：</w:t>
      </w:r>
      <w:r>
        <w:rPr>
          <w:rFonts w:cs="Times New Roman"/>
          <w:u w:val="single"/>
        </w:rPr>
        <w:object>
          <v:shape id="_x0000_i1034" o:spt="75" type="#_x0000_t75" style="height:18.3pt;width:17.7pt;" o:ole="t" filled="f" o:preferrelative="t" stroked="f" coordsize="21600,21600">
            <v:path/>
            <v:fill on="f" focussize="0,0"/>
            <v:stroke on="f" joinstyle="miter"/>
            <v:imagedata r:id="rId45" o:title=""/>
            <o:lock v:ext="edit" aspectratio="t"/>
            <w10:wrap type="none"/>
            <w10:anchorlock/>
          </v:shape>
          <o:OLEObject Type="Embed" ProgID="Equation.3" ShapeID="_x0000_i1034" DrawAspect="Content" ObjectID="_1468075734" r:id="rId44">
            <o:LockedField>false</o:LockedField>
          </o:OLEObject>
        </w:object>
      </w:r>
      <w:r>
        <w:rPr>
          <w:rFonts w:cs="Times New Roman"/>
          <w:u w:val="single"/>
        </w:rPr>
        <w:t>——煤低位热值，1450kcal/Nm</w:t>
      </w:r>
      <w:r>
        <w:rPr>
          <w:rFonts w:cs="Times New Roman"/>
          <w:u w:val="single"/>
          <w:vertAlign w:val="superscript"/>
        </w:rPr>
        <w:t>3</w:t>
      </w:r>
      <w:r>
        <w:rPr>
          <w:rFonts w:cs="Times New Roman"/>
          <w:u w:val="single"/>
        </w:rPr>
        <w:t>；算出理论空气需要量为</w:t>
      </w:r>
      <w:r>
        <w:rPr>
          <w:rFonts w:cs="Times New Roman"/>
          <w:i/>
          <w:u w:val="single"/>
        </w:rPr>
        <w:t>V</w:t>
      </w:r>
      <w:r>
        <w:rPr>
          <w:rFonts w:cs="Times New Roman"/>
          <w:i/>
          <w:u w:val="single"/>
          <w:vertAlign w:val="subscript"/>
        </w:rPr>
        <w:t>0</w:t>
      </w:r>
      <w:r>
        <w:rPr>
          <w:rFonts w:cs="Times New Roman"/>
          <w:u w:val="single"/>
        </w:rPr>
        <w:t>=1.27Nm</w:t>
      </w:r>
      <w:r>
        <w:rPr>
          <w:rFonts w:cs="Times New Roman"/>
          <w:u w:val="single"/>
          <w:vertAlign w:val="superscript"/>
        </w:rPr>
        <w:t>3</w:t>
      </w:r>
      <w:r>
        <w:rPr>
          <w:rFonts w:cs="Times New Roman"/>
          <w:u w:val="single"/>
        </w:rPr>
        <w:t>/Nm</w:t>
      </w:r>
      <w:r>
        <w:rPr>
          <w:rFonts w:cs="Times New Roman"/>
          <w:u w:val="single"/>
          <w:vertAlign w:val="superscript"/>
        </w:rPr>
        <w:t>3</w:t>
      </w:r>
      <w:r>
        <w:rPr>
          <w:rFonts w:cs="Times New Roman"/>
          <w:u w:val="single"/>
        </w:rPr>
        <w:t>。</w:t>
      </w:r>
    </w:p>
    <w:p>
      <w:pPr>
        <w:ind w:firstLine="480"/>
        <w:rPr>
          <w:rFonts w:cs="Times New Roman"/>
          <w:u w:val="single"/>
        </w:rPr>
      </w:pPr>
      <w:r>
        <w:rPr>
          <w:rFonts w:cs="Times New Roman"/>
          <w:u w:val="single"/>
        </w:rPr>
        <w:t>窑炉实际烟气产生量</w:t>
      </w:r>
      <w:r>
        <w:rPr>
          <w:rFonts w:cs="Times New Roman"/>
          <w:i/>
          <w:u w:val="single"/>
        </w:rPr>
        <w:t>V</w:t>
      </w:r>
      <w:r>
        <w:rPr>
          <w:rFonts w:cs="Times New Roman"/>
          <w:i/>
          <w:u w:val="single"/>
          <w:vertAlign w:val="subscript"/>
        </w:rPr>
        <w:t>y</w:t>
      </w:r>
      <w:r>
        <w:rPr>
          <w:rFonts w:cs="Times New Roman"/>
          <w:u w:val="single"/>
        </w:rPr>
        <w:t>计算公式为：</w:t>
      </w:r>
    </w:p>
    <w:p>
      <w:pPr>
        <w:ind w:firstLine="480"/>
        <w:jc w:val="center"/>
        <w:rPr>
          <w:rFonts w:cs="Times New Roman"/>
          <w:u w:val="single"/>
        </w:rPr>
      </w:pPr>
      <w:r>
        <w:rPr>
          <w:rFonts w:cs="Times New Roman"/>
          <w:u w:val="single"/>
        </w:rPr>
        <w:object>
          <v:shape id="_x0000_i1035" o:spt="75" type="#_x0000_t75" style="height:33.25pt;width:150.65pt;" o:ole="t" filled="f" o:preferrelative="t" stroked="f" coordsize="21600,21600">
            <v:path/>
            <v:fill on="f" focussize="0,0"/>
            <v:stroke on="f" joinstyle="miter"/>
            <v:imagedata r:id="rId47" o:title=""/>
            <o:lock v:ext="edit" aspectratio="t"/>
            <w10:wrap type="none"/>
            <w10:anchorlock/>
          </v:shape>
          <o:OLEObject Type="Embed" ProgID="Equation.3" ShapeID="_x0000_i1035" DrawAspect="Content" ObjectID="_1468075735" r:id="rId46">
            <o:LockedField>false</o:LockedField>
          </o:OLEObject>
        </w:object>
      </w:r>
    </w:p>
    <w:p>
      <w:pPr>
        <w:ind w:firstLine="480"/>
        <w:rPr>
          <w:rFonts w:cs="Times New Roman"/>
          <w:u w:val="single"/>
        </w:rPr>
      </w:pPr>
      <w:r>
        <w:rPr>
          <w:rFonts w:cs="Times New Roman"/>
          <w:u w:val="single"/>
        </w:rPr>
        <w:t>式中，α为空气过剩系数，取7；其余符号同上。</w:t>
      </w:r>
    </w:p>
    <w:p>
      <w:pPr>
        <w:ind w:firstLine="480"/>
        <w:rPr>
          <w:rFonts w:cs="Times New Roman"/>
          <w:u w:val="single"/>
        </w:rPr>
      </w:pPr>
      <w:r>
        <w:rPr>
          <w:rFonts w:cs="Times New Roman"/>
          <w:u w:val="single"/>
        </w:rPr>
        <w:t>（根据《关于发布国家污染物排放标准&lt;陶瓷工业污染物排放标准&gt;（GB 25464-2010）修改单的公告》（环境保护部公告公告2014年第83号）规定，“将4.2.7条修改为：喷雾干燥塔、陶瓷窑烟气基准含氧量为18%，实测喷雾干燥塔、陶瓷窑的大气污染物排放浓度，应换算为基准含氧量条件下的排放浓度，并以此作为判定排放是否达标的依据。”据此算出过量空气系数取值为7。）</w:t>
      </w:r>
    </w:p>
    <w:p>
      <w:pPr>
        <w:ind w:firstLine="480"/>
        <w:rPr>
          <w:rFonts w:cs="Times New Roman"/>
          <w:u w:val="single"/>
        </w:rPr>
      </w:pPr>
      <w:r>
        <w:rPr>
          <w:rFonts w:cs="Times New Roman"/>
          <w:u w:val="single"/>
        </w:rPr>
        <w:t>经结果可得</w:t>
      </w:r>
      <w:r>
        <w:rPr>
          <w:rFonts w:cs="Times New Roman"/>
          <w:i/>
          <w:u w:val="single"/>
        </w:rPr>
        <w:t>V</w:t>
      </w:r>
      <w:r>
        <w:rPr>
          <w:rFonts w:cs="Times New Roman"/>
          <w:i/>
          <w:u w:val="single"/>
          <w:vertAlign w:val="subscript"/>
        </w:rPr>
        <w:t>y</w:t>
      </w:r>
      <w:r>
        <w:rPr>
          <w:rFonts w:cs="Times New Roman"/>
          <w:u w:val="single"/>
        </w:rPr>
        <w:t>=9.67Nm</w:t>
      </w:r>
      <w:r>
        <w:rPr>
          <w:rFonts w:cs="Times New Roman"/>
          <w:u w:val="single"/>
          <w:vertAlign w:val="superscript"/>
        </w:rPr>
        <w:t>3</w:t>
      </w:r>
      <w:r>
        <w:rPr>
          <w:rFonts w:cs="Times New Roman"/>
          <w:u w:val="single"/>
        </w:rPr>
        <w:t>/Nm</w:t>
      </w:r>
      <w:r>
        <w:rPr>
          <w:rFonts w:cs="Times New Roman"/>
          <w:u w:val="single"/>
          <w:vertAlign w:val="superscript"/>
        </w:rPr>
        <w:t>3</w:t>
      </w:r>
      <w:r>
        <w:rPr>
          <w:rFonts w:cs="Times New Roman"/>
          <w:u w:val="single"/>
        </w:rPr>
        <w:t>，即窑炉燃烧1Nm</w:t>
      </w:r>
      <w:r>
        <w:rPr>
          <w:rFonts w:cs="Times New Roman"/>
          <w:u w:val="single"/>
          <w:vertAlign w:val="superscript"/>
        </w:rPr>
        <w:t>3</w:t>
      </w:r>
      <w:r>
        <w:rPr>
          <w:rFonts w:hint="eastAsia" w:cs="Times New Roman"/>
          <w:u w:val="single"/>
        </w:rPr>
        <w:t>天然气</w:t>
      </w:r>
      <w:r>
        <w:rPr>
          <w:rFonts w:cs="Times New Roman"/>
          <w:u w:val="single"/>
        </w:rPr>
        <w:t>约产生烟气9.67Nm</w:t>
      </w:r>
      <w:r>
        <w:rPr>
          <w:rFonts w:cs="Times New Roman"/>
          <w:u w:val="single"/>
          <w:vertAlign w:val="superscript"/>
        </w:rPr>
        <w:t>3</w:t>
      </w:r>
      <w:r>
        <w:rPr>
          <w:rFonts w:cs="Times New Roman"/>
          <w:u w:val="single"/>
        </w:rPr>
        <w:t>。项目总</w:t>
      </w:r>
      <w:r>
        <w:rPr>
          <w:rFonts w:hint="eastAsia" w:cs="Times New Roman"/>
          <w:u w:val="single"/>
        </w:rPr>
        <w:t>天然气用量</w:t>
      </w:r>
      <w:r>
        <w:rPr>
          <w:rFonts w:cs="Times New Roman"/>
          <w:u w:val="single"/>
        </w:rPr>
        <w:t>为23000万Nm</w:t>
      </w:r>
      <w:r>
        <w:rPr>
          <w:rFonts w:cs="Times New Roman"/>
          <w:u w:val="single"/>
          <w:vertAlign w:val="superscript"/>
        </w:rPr>
        <w:t>3</w:t>
      </w:r>
      <w:r>
        <w:rPr>
          <w:rFonts w:cs="Times New Roman"/>
          <w:u w:val="single"/>
        </w:rPr>
        <w:t>/a。</w:t>
      </w:r>
      <w:r>
        <w:rPr>
          <w:rFonts w:hint="eastAsia" w:cs="Times New Roman"/>
          <w:u w:val="single"/>
        </w:rPr>
        <w:t>则</w:t>
      </w:r>
      <w:r>
        <w:rPr>
          <w:rFonts w:cs="Times New Roman"/>
          <w:u w:val="single"/>
        </w:rPr>
        <w:t>窑炉总烟气产生量为222410万Nm</w:t>
      </w:r>
      <w:r>
        <w:rPr>
          <w:rFonts w:cs="Times New Roman"/>
          <w:u w:val="single"/>
          <w:vertAlign w:val="superscript"/>
        </w:rPr>
        <w:t>3</w:t>
      </w:r>
      <w:r>
        <w:rPr>
          <w:rFonts w:cs="Times New Roman"/>
          <w:u w:val="single"/>
        </w:rPr>
        <w:t>/a。</w:t>
      </w:r>
    </w:p>
    <w:p>
      <w:pPr>
        <w:ind w:firstLine="480"/>
        <w:rPr>
          <w:rFonts w:cs="Times New Roman"/>
          <w:u w:val="single"/>
        </w:rPr>
      </w:pPr>
      <w:r>
        <w:rPr>
          <w:rFonts w:hint="eastAsia" w:cs="Times New Roman"/>
          <w:u w:val="single"/>
        </w:rPr>
        <w:t>项目单条干燥窑规模不一致，但每条烧成窑规模一直，干燥窑规模为对应工艺线的烧成窑，项目共设置4个排气筒排放废气，各排气筒、烧成窑及干燥窑对应关系如下：</w:t>
      </w:r>
    </w:p>
    <w:p>
      <w:pPr>
        <w:ind w:firstLine="0" w:firstLineChars="0"/>
        <w:jc w:val="center"/>
        <w:rPr>
          <w:rFonts w:cs="Times New Roman"/>
          <w:u w:val="single"/>
        </w:rPr>
      </w:pPr>
      <w:r>
        <w:rPr>
          <w:rFonts w:hint="eastAsia" w:cs="Times New Roman"/>
          <w:u w:val="single"/>
        </w:rPr>
        <w:t>表3</w:t>
      </w:r>
      <w:r>
        <w:rPr>
          <w:rFonts w:cs="Times New Roman"/>
          <w:u w:val="single"/>
        </w:rPr>
        <w:t>.3</w:t>
      </w:r>
      <w:r>
        <w:rPr>
          <w:rFonts w:hint="eastAsia" w:cs="Times New Roman"/>
          <w:u w:val="single"/>
        </w:rPr>
        <w:t>-</w:t>
      </w:r>
      <w:r>
        <w:rPr>
          <w:rFonts w:cs="Times New Roman"/>
          <w:u w:val="single"/>
        </w:rPr>
        <w:t xml:space="preserve">1  </w:t>
      </w:r>
      <w:r>
        <w:rPr>
          <w:rFonts w:hint="eastAsia" w:cs="Times New Roman"/>
          <w:u w:val="single"/>
        </w:rPr>
        <w:t>炉窑废气排气筒对应关系表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19"/>
        <w:gridCol w:w="2837"/>
        <w:gridCol w:w="2395"/>
        <w:gridCol w:w="1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73" w:type="pct"/>
            <w:vAlign w:val="center"/>
          </w:tcPr>
          <w:p>
            <w:pPr>
              <w:spacing w:line="240" w:lineRule="auto"/>
              <w:ind w:firstLine="0" w:firstLineChars="0"/>
              <w:jc w:val="center"/>
              <w:rPr>
                <w:sz w:val="21"/>
                <w:szCs w:val="16"/>
                <w:u w:val="single"/>
              </w:rPr>
            </w:pPr>
            <w:r>
              <w:rPr>
                <w:rFonts w:hint="eastAsia"/>
                <w:sz w:val="21"/>
                <w:szCs w:val="16"/>
                <w:u w:val="single"/>
              </w:rPr>
              <w:t>排气筒编号</w:t>
            </w:r>
          </w:p>
        </w:tc>
        <w:tc>
          <w:tcPr>
            <w:tcW w:w="1706" w:type="pct"/>
            <w:vAlign w:val="center"/>
          </w:tcPr>
          <w:p>
            <w:pPr>
              <w:spacing w:line="240" w:lineRule="auto"/>
              <w:ind w:firstLine="0" w:firstLineChars="0"/>
              <w:jc w:val="center"/>
              <w:rPr>
                <w:sz w:val="21"/>
                <w:szCs w:val="16"/>
                <w:u w:val="single"/>
              </w:rPr>
            </w:pPr>
            <w:r>
              <w:rPr>
                <w:rFonts w:hint="eastAsia"/>
                <w:sz w:val="21"/>
                <w:szCs w:val="16"/>
                <w:u w:val="single"/>
              </w:rPr>
              <w:t>对应烧成窑</w:t>
            </w:r>
          </w:p>
        </w:tc>
        <w:tc>
          <w:tcPr>
            <w:tcW w:w="1440" w:type="pct"/>
            <w:vAlign w:val="center"/>
          </w:tcPr>
          <w:p>
            <w:pPr>
              <w:spacing w:line="240" w:lineRule="auto"/>
              <w:ind w:firstLine="0" w:firstLineChars="0"/>
              <w:jc w:val="center"/>
              <w:rPr>
                <w:sz w:val="21"/>
                <w:szCs w:val="16"/>
                <w:u w:val="single"/>
              </w:rPr>
            </w:pPr>
            <w:r>
              <w:rPr>
                <w:rFonts w:hint="eastAsia"/>
                <w:sz w:val="21"/>
                <w:szCs w:val="16"/>
                <w:u w:val="single"/>
              </w:rPr>
              <w:t>对应干燥窑</w:t>
            </w:r>
          </w:p>
        </w:tc>
        <w:tc>
          <w:tcPr>
            <w:tcW w:w="1181" w:type="pct"/>
            <w:vAlign w:val="center"/>
          </w:tcPr>
          <w:p>
            <w:pPr>
              <w:spacing w:line="240" w:lineRule="auto"/>
              <w:ind w:firstLine="0" w:firstLineChars="0"/>
              <w:jc w:val="center"/>
              <w:rPr>
                <w:sz w:val="21"/>
                <w:szCs w:val="16"/>
                <w:u w:val="single"/>
              </w:rPr>
            </w:pPr>
            <w:r>
              <w:rPr>
                <w:rFonts w:hint="eastAsia"/>
                <w:sz w:val="21"/>
                <w:szCs w:val="16"/>
                <w:u w:val="single"/>
              </w:rPr>
              <w:t>烟气量（万Nm</w:t>
            </w:r>
            <w:r>
              <w:rPr>
                <w:sz w:val="21"/>
                <w:szCs w:val="16"/>
                <w:u w:val="single"/>
                <w:vertAlign w:val="superscript"/>
              </w:rPr>
              <w:t>3</w:t>
            </w:r>
            <w:r>
              <w:rPr>
                <w:sz w:val="21"/>
                <w:szCs w:val="16"/>
                <w:u w:val="single"/>
              </w:rPr>
              <w:t>/a</w:t>
            </w: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73"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06</w:t>
            </w:r>
          </w:p>
        </w:tc>
        <w:tc>
          <w:tcPr>
            <w:tcW w:w="1706" w:type="pct"/>
            <w:vAlign w:val="center"/>
          </w:tcPr>
          <w:p>
            <w:pPr>
              <w:spacing w:line="240" w:lineRule="auto"/>
              <w:ind w:firstLine="0" w:firstLineChars="0"/>
              <w:jc w:val="center"/>
              <w:rPr>
                <w:sz w:val="21"/>
                <w:szCs w:val="16"/>
                <w:u w:val="single"/>
              </w:rPr>
            </w:pPr>
            <w:r>
              <w:rPr>
                <w:rFonts w:hint="eastAsia"/>
                <w:sz w:val="21"/>
                <w:szCs w:val="16"/>
                <w:u w:val="single"/>
              </w:rPr>
              <w:t>2条；1#、2#烧成窑</w:t>
            </w:r>
          </w:p>
        </w:tc>
        <w:tc>
          <w:tcPr>
            <w:tcW w:w="1440" w:type="pct"/>
            <w:vAlign w:val="center"/>
          </w:tcPr>
          <w:p>
            <w:pPr>
              <w:spacing w:line="240" w:lineRule="auto"/>
              <w:ind w:firstLine="0" w:firstLineChars="0"/>
              <w:jc w:val="center"/>
              <w:rPr>
                <w:sz w:val="21"/>
                <w:szCs w:val="16"/>
                <w:u w:val="single"/>
              </w:rPr>
            </w:pPr>
            <w:r>
              <w:rPr>
                <w:rFonts w:hint="eastAsia"/>
                <w:sz w:val="21"/>
                <w:szCs w:val="16"/>
                <w:u w:val="single"/>
              </w:rPr>
              <w:t>1条；1#干燥窑</w:t>
            </w:r>
          </w:p>
        </w:tc>
        <w:tc>
          <w:tcPr>
            <w:tcW w:w="1181"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7068.33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73"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07</w:t>
            </w:r>
          </w:p>
        </w:tc>
        <w:tc>
          <w:tcPr>
            <w:tcW w:w="1706" w:type="pct"/>
            <w:vAlign w:val="center"/>
          </w:tcPr>
          <w:p>
            <w:pPr>
              <w:spacing w:line="240" w:lineRule="auto"/>
              <w:ind w:firstLine="0" w:firstLineChars="0"/>
              <w:jc w:val="center"/>
              <w:rPr>
                <w:sz w:val="21"/>
                <w:szCs w:val="16"/>
                <w:u w:val="single"/>
              </w:rPr>
            </w:pPr>
            <w:r>
              <w:rPr>
                <w:rFonts w:hint="eastAsia"/>
                <w:sz w:val="21"/>
                <w:szCs w:val="16"/>
                <w:u w:val="single"/>
              </w:rPr>
              <w:t>3条，3#、4#、5#烧成窑</w:t>
            </w:r>
          </w:p>
        </w:tc>
        <w:tc>
          <w:tcPr>
            <w:tcW w:w="1440" w:type="pct"/>
            <w:vAlign w:val="center"/>
          </w:tcPr>
          <w:p>
            <w:pPr>
              <w:spacing w:line="240" w:lineRule="auto"/>
              <w:ind w:firstLine="0" w:firstLineChars="0"/>
              <w:jc w:val="center"/>
              <w:rPr>
                <w:sz w:val="21"/>
                <w:szCs w:val="16"/>
                <w:u w:val="single"/>
              </w:rPr>
            </w:pPr>
            <w:r>
              <w:rPr>
                <w:rFonts w:hint="eastAsia"/>
                <w:sz w:val="21"/>
                <w:szCs w:val="16"/>
                <w:u w:val="single"/>
              </w:rPr>
              <w:t>3条；2#、3#、4#干燥窑</w:t>
            </w:r>
          </w:p>
        </w:tc>
        <w:tc>
          <w:tcPr>
            <w:tcW w:w="1181"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5602.50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73"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08</w:t>
            </w:r>
          </w:p>
        </w:tc>
        <w:tc>
          <w:tcPr>
            <w:tcW w:w="1706" w:type="pct"/>
            <w:vAlign w:val="center"/>
          </w:tcPr>
          <w:p>
            <w:pPr>
              <w:spacing w:line="240" w:lineRule="auto"/>
              <w:ind w:firstLine="0" w:firstLineChars="0"/>
              <w:jc w:val="center"/>
              <w:rPr>
                <w:sz w:val="21"/>
                <w:szCs w:val="16"/>
                <w:u w:val="single"/>
              </w:rPr>
            </w:pPr>
            <w:r>
              <w:rPr>
                <w:rFonts w:hint="eastAsia"/>
                <w:sz w:val="21"/>
                <w:szCs w:val="16"/>
                <w:u w:val="single"/>
              </w:rPr>
              <w:t>4条，6#、7#、8#、9#烧成窑</w:t>
            </w:r>
          </w:p>
        </w:tc>
        <w:tc>
          <w:tcPr>
            <w:tcW w:w="1440" w:type="pct"/>
            <w:vAlign w:val="center"/>
          </w:tcPr>
          <w:p>
            <w:pPr>
              <w:spacing w:line="240" w:lineRule="auto"/>
              <w:ind w:firstLine="0" w:firstLineChars="0"/>
              <w:jc w:val="center"/>
              <w:rPr>
                <w:sz w:val="21"/>
                <w:szCs w:val="16"/>
                <w:u w:val="single"/>
              </w:rPr>
            </w:pPr>
            <w:r>
              <w:rPr>
                <w:rFonts w:hint="eastAsia"/>
                <w:sz w:val="21"/>
                <w:szCs w:val="16"/>
                <w:u w:val="single"/>
              </w:rPr>
              <w:t>1条，5#烧成窑</w:t>
            </w:r>
          </w:p>
        </w:tc>
        <w:tc>
          <w:tcPr>
            <w:tcW w:w="1181" w:type="pct"/>
            <w:vAlign w:val="center"/>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4136.67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73"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09</w:t>
            </w:r>
          </w:p>
        </w:tc>
        <w:tc>
          <w:tcPr>
            <w:tcW w:w="1706" w:type="pct"/>
            <w:vAlign w:val="center"/>
          </w:tcPr>
          <w:p>
            <w:pPr>
              <w:spacing w:line="240" w:lineRule="auto"/>
              <w:ind w:firstLine="0" w:firstLineChars="0"/>
              <w:jc w:val="center"/>
              <w:rPr>
                <w:sz w:val="21"/>
                <w:szCs w:val="16"/>
                <w:u w:val="single"/>
              </w:rPr>
            </w:pPr>
            <w:r>
              <w:rPr>
                <w:rFonts w:hint="eastAsia"/>
                <w:sz w:val="21"/>
                <w:szCs w:val="16"/>
                <w:u w:val="single"/>
              </w:rPr>
              <w:t>3条，1</w:t>
            </w:r>
            <w:r>
              <w:rPr>
                <w:sz w:val="21"/>
                <w:szCs w:val="16"/>
                <w:u w:val="single"/>
              </w:rPr>
              <w:t>0</w:t>
            </w:r>
            <w:r>
              <w:rPr>
                <w:rFonts w:hint="eastAsia"/>
                <w:sz w:val="21"/>
                <w:szCs w:val="16"/>
                <w:u w:val="single"/>
              </w:rPr>
              <w:t>#、1</w:t>
            </w:r>
            <w:r>
              <w:rPr>
                <w:sz w:val="21"/>
                <w:szCs w:val="16"/>
                <w:u w:val="single"/>
              </w:rPr>
              <w:t>1</w:t>
            </w:r>
            <w:r>
              <w:rPr>
                <w:rFonts w:hint="eastAsia"/>
                <w:sz w:val="21"/>
                <w:szCs w:val="16"/>
                <w:u w:val="single"/>
              </w:rPr>
              <w:t>#、1</w:t>
            </w:r>
            <w:r>
              <w:rPr>
                <w:sz w:val="21"/>
                <w:szCs w:val="16"/>
                <w:u w:val="single"/>
              </w:rPr>
              <w:t>2</w:t>
            </w:r>
            <w:r>
              <w:rPr>
                <w:rFonts w:hint="eastAsia"/>
                <w:sz w:val="21"/>
                <w:szCs w:val="16"/>
                <w:u w:val="single"/>
              </w:rPr>
              <w:t>#烧成窑</w:t>
            </w:r>
          </w:p>
        </w:tc>
        <w:tc>
          <w:tcPr>
            <w:tcW w:w="1440" w:type="pct"/>
            <w:vAlign w:val="center"/>
          </w:tcPr>
          <w:p>
            <w:pPr>
              <w:spacing w:line="240" w:lineRule="auto"/>
              <w:ind w:firstLine="0" w:firstLineChars="0"/>
              <w:jc w:val="center"/>
              <w:rPr>
                <w:sz w:val="21"/>
                <w:szCs w:val="16"/>
                <w:u w:val="single"/>
              </w:rPr>
            </w:pPr>
            <w:r>
              <w:rPr>
                <w:rFonts w:hint="eastAsia"/>
                <w:sz w:val="21"/>
                <w:szCs w:val="16"/>
                <w:u w:val="single"/>
              </w:rPr>
              <w:t>3条，6#、7#、8#干燥窑</w:t>
            </w:r>
          </w:p>
        </w:tc>
        <w:tc>
          <w:tcPr>
            <w:tcW w:w="1181"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5602.50</w:t>
            </w:r>
          </w:p>
        </w:tc>
      </w:tr>
    </w:tbl>
    <w:p>
      <w:pPr>
        <w:ind w:firstLine="480"/>
        <w:rPr>
          <w:rFonts w:cs="Times New Roman"/>
          <w:u w:val="single"/>
        </w:rPr>
      </w:pPr>
      <w:r>
        <w:rPr>
          <w:rFonts w:cs="Times New Roman"/>
          <w:u w:val="single"/>
        </w:rPr>
        <w:t>（2）SO</w:t>
      </w:r>
      <w:r>
        <w:rPr>
          <w:rFonts w:cs="Times New Roman"/>
          <w:u w:val="single"/>
          <w:vertAlign w:val="subscript"/>
        </w:rPr>
        <w:t>2</w:t>
      </w:r>
    </w:p>
    <w:p>
      <w:pPr>
        <w:ind w:firstLine="480"/>
        <w:rPr>
          <w:rFonts w:cs="Times New Roman"/>
          <w:u w:val="single"/>
        </w:rPr>
      </w:pPr>
      <w:r>
        <w:rPr>
          <w:rFonts w:hint="eastAsia" w:cs="Times New Roman"/>
          <w:u w:val="single"/>
        </w:rPr>
        <w:t>根据项目硫平衡分析可知，对应各排气筒的含硫量如下：</w:t>
      </w:r>
    </w:p>
    <w:p>
      <w:pPr>
        <w:ind w:firstLine="0" w:firstLineChars="0"/>
        <w:jc w:val="center"/>
        <w:rPr>
          <w:rFonts w:cs="Times New Roman"/>
          <w:u w:val="single"/>
        </w:rPr>
      </w:pPr>
      <w:r>
        <w:rPr>
          <w:rFonts w:hint="eastAsia" w:cs="Times New Roman"/>
          <w:u w:val="single"/>
        </w:rPr>
        <w:t>表3</w:t>
      </w:r>
      <w:r>
        <w:rPr>
          <w:rFonts w:cs="Times New Roman"/>
          <w:u w:val="single"/>
        </w:rPr>
        <w:t>.3</w:t>
      </w:r>
      <w:r>
        <w:rPr>
          <w:rFonts w:hint="eastAsia" w:cs="Times New Roman"/>
          <w:u w:val="single"/>
        </w:rPr>
        <w:t>-</w:t>
      </w:r>
      <w:r>
        <w:rPr>
          <w:rFonts w:cs="Times New Roman"/>
          <w:u w:val="single"/>
        </w:rPr>
        <w:t xml:space="preserve">2  </w:t>
      </w:r>
      <w:r>
        <w:rPr>
          <w:rFonts w:hint="eastAsia" w:cs="Times New Roman"/>
          <w:u w:val="single"/>
        </w:rPr>
        <w:t>炉窑废气含硫量及SO</w:t>
      </w:r>
      <w:r>
        <w:rPr>
          <w:rFonts w:cs="Times New Roman"/>
          <w:u w:val="single"/>
          <w:vertAlign w:val="subscript"/>
        </w:rPr>
        <w:t>2</w:t>
      </w:r>
      <w:r>
        <w:rPr>
          <w:rFonts w:hint="eastAsia" w:cs="Times New Roman"/>
          <w:u w:val="single"/>
        </w:rPr>
        <w:t>产生量一览表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78"/>
        <w:gridCol w:w="1178"/>
        <w:gridCol w:w="1660"/>
        <w:gridCol w:w="1106"/>
        <w:gridCol w:w="1334"/>
        <w:gridCol w:w="1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排气筒编号</w:t>
            </w:r>
          </w:p>
        </w:tc>
        <w:tc>
          <w:tcPr>
            <w:tcW w:w="708" w:type="pct"/>
            <w:vAlign w:val="center"/>
          </w:tcPr>
          <w:p>
            <w:pPr>
              <w:spacing w:line="240" w:lineRule="auto"/>
              <w:ind w:firstLine="0" w:firstLineChars="0"/>
              <w:jc w:val="center"/>
              <w:rPr>
                <w:sz w:val="21"/>
                <w:szCs w:val="16"/>
                <w:u w:val="single"/>
              </w:rPr>
            </w:pPr>
            <w:r>
              <w:rPr>
                <w:rFonts w:hint="eastAsia"/>
                <w:sz w:val="21"/>
                <w:szCs w:val="16"/>
                <w:u w:val="single"/>
              </w:rPr>
              <w:t>含硫量t</w:t>
            </w:r>
            <w:r>
              <w:rPr>
                <w:sz w:val="21"/>
                <w:szCs w:val="16"/>
                <w:u w:val="single"/>
              </w:rPr>
              <w:t>/a</w:t>
            </w:r>
          </w:p>
        </w:tc>
        <w:tc>
          <w:tcPr>
            <w:tcW w:w="998" w:type="pct"/>
            <w:vAlign w:val="center"/>
          </w:tcPr>
          <w:p>
            <w:pPr>
              <w:spacing w:line="240" w:lineRule="auto"/>
              <w:ind w:firstLine="0" w:firstLineChars="0"/>
              <w:jc w:val="center"/>
              <w:rPr>
                <w:sz w:val="21"/>
                <w:szCs w:val="16"/>
                <w:u w:val="single"/>
              </w:rPr>
            </w:pPr>
            <w:r>
              <w:rPr>
                <w:rFonts w:hint="eastAsia"/>
                <w:sz w:val="21"/>
                <w:szCs w:val="16"/>
                <w:u w:val="single"/>
              </w:rPr>
              <w:t>S</w:t>
            </w:r>
            <w:r>
              <w:rPr>
                <w:sz w:val="21"/>
                <w:szCs w:val="16"/>
                <w:u w:val="single"/>
              </w:rPr>
              <w:t>O</w:t>
            </w:r>
            <w:r>
              <w:rPr>
                <w:sz w:val="21"/>
                <w:szCs w:val="16"/>
                <w:u w:val="single"/>
                <w:vertAlign w:val="subscript"/>
              </w:rPr>
              <w:t>2</w:t>
            </w:r>
            <w:r>
              <w:rPr>
                <w:rFonts w:hint="eastAsia"/>
                <w:sz w:val="21"/>
                <w:szCs w:val="16"/>
                <w:u w:val="single"/>
              </w:rPr>
              <w:t>产生量t</w:t>
            </w:r>
            <w:r>
              <w:rPr>
                <w:sz w:val="21"/>
                <w:szCs w:val="16"/>
                <w:u w:val="single"/>
              </w:rPr>
              <w:t>/a</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脱硫工艺</w:t>
            </w:r>
          </w:p>
        </w:tc>
        <w:tc>
          <w:tcPr>
            <w:tcW w:w="802" w:type="pct"/>
            <w:vAlign w:val="center"/>
          </w:tcPr>
          <w:p>
            <w:pPr>
              <w:spacing w:line="240" w:lineRule="auto"/>
              <w:ind w:firstLine="0" w:firstLineChars="0"/>
              <w:jc w:val="center"/>
              <w:rPr>
                <w:sz w:val="21"/>
                <w:szCs w:val="16"/>
                <w:u w:val="single"/>
              </w:rPr>
            </w:pPr>
            <w:r>
              <w:rPr>
                <w:rFonts w:hint="eastAsia"/>
                <w:sz w:val="21"/>
                <w:szCs w:val="16"/>
                <w:u w:val="single"/>
              </w:rPr>
              <w:t>脱硫效率%</w:t>
            </w:r>
          </w:p>
        </w:tc>
        <w:tc>
          <w:tcPr>
            <w:tcW w:w="998" w:type="pct"/>
            <w:vAlign w:val="center"/>
          </w:tcPr>
          <w:p>
            <w:pPr>
              <w:spacing w:line="240" w:lineRule="auto"/>
              <w:ind w:firstLine="0" w:firstLineChars="0"/>
              <w:jc w:val="center"/>
              <w:rPr>
                <w:sz w:val="21"/>
                <w:szCs w:val="16"/>
                <w:u w:val="single"/>
              </w:rPr>
            </w:pPr>
            <w:r>
              <w:rPr>
                <w:rFonts w:hint="eastAsia"/>
                <w:sz w:val="21"/>
                <w:szCs w:val="16"/>
                <w:u w:val="single"/>
              </w:rPr>
              <w:t>SO</w:t>
            </w:r>
            <w:r>
              <w:rPr>
                <w:sz w:val="21"/>
                <w:szCs w:val="16"/>
                <w:u w:val="single"/>
                <w:vertAlign w:val="subscript"/>
              </w:rPr>
              <w:t>2</w:t>
            </w:r>
            <w:r>
              <w:rPr>
                <w:rFonts w:hint="eastAsia"/>
                <w:sz w:val="21"/>
                <w:szCs w:val="16"/>
                <w:u w:val="single"/>
              </w:rPr>
              <w:t>排放量t</w:t>
            </w:r>
            <w:r>
              <w:rPr>
                <w:sz w:val="21"/>
                <w:szCs w:val="16"/>
                <w:u w:val="singl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006</w:t>
            </w:r>
          </w:p>
        </w:tc>
        <w:tc>
          <w:tcPr>
            <w:tcW w:w="708" w:type="pct"/>
            <w:vAlign w:val="center"/>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.66</w:t>
            </w:r>
          </w:p>
        </w:tc>
        <w:tc>
          <w:tcPr>
            <w:tcW w:w="998" w:type="pct"/>
            <w:vAlign w:val="bottom"/>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5.32</w:t>
            </w:r>
          </w:p>
        </w:tc>
        <w:tc>
          <w:tcPr>
            <w:tcW w:w="665" w:type="pct"/>
            <w:vMerge w:val="restart"/>
            <w:vAlign w:val="center"/>
          </w:tcPr>
          <w:p>
            <w:pPr>
              <w:spacing w:line="240" w:lineRule="auto"/>
              <w:ind w:firstLine="0" w:firstLineChars="0"/>
              <w:jc w:val="center"/>
              <w:rPr>
                <w:sz w:val="21"/>
                <w:szCs w:val="16"/>
                <w:u w:val="single"/>
              </w:rPr>
            </w:pPr>
            <w:r>
              <w:rPr>
                <w:rFonts w:hint="eastAsia"/>
                <w:sz w:val="21"/>
                <w:szCs w:val="16"/>
                <w:u w:val="single"/>
              </w:rPr>
              <w:t>石灰-石膏法脱硫</w:t>
            </w:r>
          </w:p>
        </w:tc>
        <w:tc>
          <w:tcPr>
            <w:tcW w:w="802" w:type="pct"/>
            <w:vMerge w:val="restar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5</w:t>
            </w:r>
            <w:r>
              <w:rPr>
                <w:rFonts w:hint="eastAsia"/>
                <w:sz w:val="21"/>
                <w:szCs w:val="16"/>
                <w:u w:val="single"/>
              </w:rPr>
              <w:t>%</w:t>
            </w:r>
          </w:p>
        </w:tc>
        <w:tc>
          <w:tcPr>
            <w:tcW w:w="998" w:type="pct"/>
            <w:vAlign w:val="bottom"/>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007</w:t>
            </w:r>
          </w:p>
        </w:tc>
        <w:tc>
          <w:tcPr>
            <w:tcW w:w="708"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1.50</w:t>
            </w:r>
          </w:p>
        </w:tc>
        <w:tc>
          <w:tcPr>
            <w:tcW w:w="998" w:type="pct"/>
            <w:vAlign w:val="bottom"/>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3.00</w:t>
            </w:r>
          </w:p>
        </w:tc>
        <w:tc>
          <w:tcPr>
            <w:tcW w:w="665" w:type="pct"/>
            <w:vMerge w:val="continue"/>
            <w:vAlign w:val="center"/>
          </w:tcPr>
          <w:p>
            <w:pPr>
              <w:spacing w:line="240" w:lineRule="auto"/>
              <w:ind w:firstLine="0" w:firstLineChars="0"/>
              <w:jc w:val="center"/>
              <w:rPr>
                <w:sz w:val="21"/>
                <w:szCs w:val="16"/>
                <w:u w:val="single"/>
              </w:rPr>
            </w:pPr>
          </w:p>
        </w:tc>
        <w:tc>
          <w:tcPr>
            <w:tcW w:w="802" w:type="pct"/>
            <w:vMerge w:val="continue"/>
            <w:vAlign w:val="center"/>
          </w:tcPr>
          <w:p>
            <w:pPr>
              <w:spacing w:line="240" w:lineRule="auto"/>
              <w:ind w:firstLine="0" w:firstLineChars="0"/>
              <w:jc w:val="center"/>
              <w:rPr>
                <w:sz w:val="21"/>
                <w:szCs w:val="16"/>
                <w:u w:val="single"/>
              </w:rPr>
            </w:pPr>
          </w:p>
        </w:tc>
        <w:tc>
          <w:tcPr>
            <w:tcW w:w="998" w:type="pct"/>
            <w:vAlign w:val="bottom"/>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008</w:t>
            </w:r>
          </w:p>
        </w:tc>
        <w:tc>
          <w:tcPr>
            <w:tcW w:w="708"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5.34</w:t>
            </w:r>
          </w:p>
        </w:tc>
        <w:tc>
          <w:tcPr>
            <w:tcW w:w="998" w:type="pct"/>
            <w:vAlign w:val="bottom"/>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0.68</w:t>
            </w:r>
          </w:p>
        </w:tc>
        <w:tc>
          <w:tcPr>
            <w:tcW w:w="665" w:type="pct"/>
            <w:vMerge w:val="continue"/>
            <w:vAlign w:val="center"/>
          </w:tcPr>
          <w:p>
            <w:pPr>
              <w:spacing w:line="240" w:lineRule="auto"/>
              <w:ind w:firstLine="0" w:firstLineChars="0"/>
              <w:jc w:val="center"/>
              <w:rPr>
                <w:sz w:val="21"/>
                <w:szCs w:val="16"/>
                <w:u w:val="single"/>
              </w:rPr>
            </w:pPr>
          </w:p>
        </w:tc>
        <w:tc>
          <w:tcPr>
            <w:tcW w:w="802" w:type="pct"/>
            <w:vMerge w:val="continue"/>
            <w:vAlign w:val="center"/>
          </w:tcPr>
          <w:p>
            <w:pPr>
              <w:spacing w:line="240" w:lineRule="auto"/>
              <w:ind w:firstLine="0" w:firstLineChars="0"/>
              <w:jc w:val="center"/>
              <w:rPr>
                <w:sz w:val="21"/>
                <w:szCs w:val="16"/>
                <w:u w:val="single"/>
              </w:rPr>
            </w:pPr>
          </w:p>
        </w:tc>
        <w:tc>
          <w:tcPr>
            <w:tcW w:w="998" w:type="pct"/>
            <w:vAlign w:val="bottom"/>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009</w:t>
            </w:r>
          </w:p>
        </w:tc>
        <w:tc>
          <w:tcPr>
            <w:tcW w:w="708"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1.50</w:t>
            </w:r>
          </w:p>
        </w:tc>
        <w:tc>
          <w:tcPr>
            <w:tcW w:w="998" w:type="pct"/>
            <w:vAlign w:val="bottom"/>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3.00</w:t>
            </w:r>
          </w:p>
        </w:tc>
        <w:tc>
          <w:tcPr>
            <w:tcW w:w="665" w:type="pct"/>
            <w:vMerge w:val="continue"/>
            <w:vAlign w:val="center"/>
          </w:tcPr>
          <w:p>
            <w:pPr>
              <w:spacing w:line="240" w:lineRule="auto"/>
              <w:ind w:firstLine="0" w:firstLineChars="0"/>
              <w:jc w:val="center"/>
              <w:rPr>
                <w:sz w:val="21"/>
                <w:szCs w:val="16"/>
                <w:u w:val="single"/>
              </w:rPr>
            </w:pPr>
          </w:p>
        </w:tc>
        <w:tc>
          <w:tcPr>
            <w:tcW w:w="802" w:type="pct"/>
            <w:vMerge w:val="continue"/>
            <w:vAlign w:val="center"/>
          </w:tcPr>
          <w:p>
            <w:pPr>
              <w:spacing w:line="240" w:lineRule="auto"/>
              <w:ind w:firstLine="0" w:firstLineChars="0"/>
              <w:jc w:val="center"/>
              <w:rPr>
                <w:sz w:val="21"/>
                <w:szCs w:val="16"/>
                <w:u w:val="single"/>
              </w:rPr>
            </w:pPr>
          </w:p>
        </w:tc>
        <w:tc>
          <w:tcPr>
            <w:tcW w:w="998" w:type="pct"/>
            <w:vAlign w:val="bottom"/>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29" w:type="pct"/>
            <w:vAlign w:val="center"/>
          </w:tcPr>
          <w:p>
            <w:pPr>
              <w:spacing w:line="240" w:lineRule="auto"/>
              <w:ind w:firstLine="0" w:firstLineChars="0"/>
              <w:jc w:val="center"/>
              <w:rPr>
                <w:sz w:val="21"/>
                <w:szCs w:val="16"/>
                <w:u w:val="single"/>
              </w:rPr>
            </w:pPr>
            <w:r>
              <w:rPr>
                <w:rFonts w:hint="eastAsia"/>
                <w:sz w:val="21"/>
                <w:szCs w:val="16"/>
                <w:u w:val="single"/>
              </w:rPr>
              <w:t>合计</w:t>
            </w:r>
          </w:p>
        </w:tc>
        <w:tc>
          <w:tcPr>
            <w:tcW w:w="708" w:type="pct"/>
            <w:vAlign w:val="bottom"/>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6</w:t>
            </w:r>
          </w:p>
        </w:tc>
        <w:tc>
          <w:tcPr>
            <w:tcW w:w="998" w:type="pct"/>
            <w:vAlign w:val="bottom"/>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2</w:t>
            </w:r>
          </w:p>
        </w:tc>
        <w:tc>
          <w:tcPr>
            <w:tcW w:w="665" w:type="pct"/>
            <w:vMerge w:val="continue"/>
            <w:vAlign w:val="center"/>
          </w:tcPr>
          <w:p>
            <w:pPr>
              <w:spacing w:line="240" w:lineRule="auto"/>
              <w:ind w:firstLine="0" w:firstLineChars="0"/>
              <w:jc w:val="center"/>
              <w:rPr>
                <w:sz w:val="21"/>
                <w:szCs w:val="16"/>
                <w:u w:val="single"/>
              </w:rPr>
            </w:pPr>
          </w:p>
        </w:tc>
        <w:tc>
          <w:tcPr>
            <w:tcW w:w="802" w:type="pct"/>
            <w:vMerge w:val="continue"/>
            <w:vAlign w:val="center"/>
          </w:tcPr>
          <w:p>
            <w:pPr>
              <w:spacing w:line="240" w:lineRule="auto"/>
              <w:ind w:firstLine="0" w:firstLineChars="0"/>
              <w:jc w:val="center"/>
              <w:rPr>
                <w:sz w:val="21"/>
                <w:szCs w:val="16"/>
                <w:u w:val="single"/>
              </w:rPr>
            </w:pPr>
          </w:p>
        </w:tc>
        <w:tc>
          <w:tcPr>
            <w:tcW w:w="998" w:type="pct"/>
            <w:vAlign w:val="bottom"/>
          </w:tcPr>
          <w:p>
            <w:pPr>
              <w:spacing w:line="240" w:lineRule="auto"/>
              <w:ind w:firstLine="0" w:firstLineChars="0"/>
              <w:jc w:val="center"/>
              <w:rPr>
                <w:sz w:val="21"/>
                <w:szCs w:val="16"/>
                <w:u w:val="single"/>
              </w:rPr>
            </w:pPr>
            <w:r>
              <w:rPr>
                <w:sz w:val="21"/>
                <w:szCs w:val="16"/>
                <w:u w:val="single"/>
              </w:rPr>
              <w:t>13.80</w:t>
            </w:r>
          </w:p>
        </w:tc>
      </w:tr>
    </w:tbl>
    <w:p>
      <w:pPr>
        <w:ind w:firstLine="480"/>
        <w:rPr>
          <w:rFonts w:cs="Times New Roman"/>
          <w:u w:val="single"/>
        </w:rPr>
      </w:pPr>
      <w:r>
        <w:rPr>
          <w:rFonts w:cs="Times New Roman"/>
          <w:u w:val="single"/>
        </w:rPr>
        <w:t>（3）颗粒物</w:t>
      </w:r>
    </w:p>
    <w:p>
      <w:pPr>
        <w:ind w:firstLine="480"/>
        <w:rPr>
          <w:rFonts w:cs="Times New Roman"/>
          <w:u w:val="single"/>
        </w:rPr>
      </w:pPr>
      <w:r>
        <w:rPr>
          <w:rFonts w:cs="Times New Roman"/>
          <w:u w:val="single"/>
        </w:rPr>
        <w:t>辊道窑烟气中污染物主要为少量原料挥发的粉尘以及辊道窑中设备运转扬起的粉尘。</w:t>
      </w:r>
    </w:p>
    <w:p>
      <w:pPr>
        <w:ind w:firstLine="480"/>
        <w:rPr>
          <w:rFonts w:cs="Times New Roman"/>
          <w:u w:val="single"/>
        </w:rPr>
      </w:pPr>
      <w:r>
        <w:rPr>
          <w:rFonts w:hint="eastAsia" w:cs="Times New Roman"/>
          <w:u w:val="single"/>
        </w:rPr>
        <w:t>辊道窑工艺颗粒物产生量根据《排放源统计调查产排污核算方法和系数手册-锅炉产排污量核算系数手册-</w:t>
      </w:r>
      <w:r>
        <w:rPr>
          <w:rFonts w:hint="eastAsia"/>
          <w:u w:val="single"/>
        </w:rPr>
        <w:t xml:space="preserve"> </w:t>
      </w:r>
      <w:r>
        <w:rPr>
          <w:rFonts w:hint="eastAsia" w:cs="Times New Roman"/>
          <w:u w:val="single"/>
        </w:rPr>
        <w:t>3071建筑陶瓷制品制造行业系数手册</w:t>
      </w:r>
      <w:r>
        <w:rPr>
          <w:rFonts w:cs="Times New Roman"/>
          <w:u w:val="single"/>
        </w:rPr>
        <w:t>》</w:t>
      </w:r>
      <w:r>
        <w:rPr>
          <w:rFonts w:hint="eastAsia" w:cs="Times New Roman"/>
          <w:u w:val="single"/>
        </w:rPr>
        <w:t>进行核算，辊道窑颗粒物的产污系数为</w:t>
      </w:r>
      <w:r>
        <w:rPr>
          <w:rFonts w:cs="Times New Roman"/>
          <w:u w:val="single"/>
        </w:rPr>
        <w:t>70</w:t>
      </w:r>
      <w:r>
        <w:rPr>
          <w:rFonts w:hint="eastAsia" w:cs="Times New Roman"/>
          <w:u w:val="single"/>
        </w:rPr>
        <w:t>kg</w:t>
      </w:r>
      <w:r>
        <w:rPr>
          <w:rFonts w:cs="Times New Roman"/>
          <w:u w:val="single"/>
        </w:rPr>
        <w:t>/</w:t>
      </w:r>
      <w:r>
        <w:rPr>
          <w:rFonts w:hint="eastAsia" w:cs="Times New Roman"/>
          <w:u w:val="single"/>
        </w:rPr>
        <w:t>万m</w:t>
      </w:r>
      <w:r>
        <w:rPr>
          <w:rFonts w:cs="Times New Roman"/>
          <w:u w:val="single"/>
          <w:vertAlign w:val="superscript"/>
        </w:rPr>
        <w:t>2</w:t>
      </w:r>
      <w:r>
        <w:rPr>
          <w:rFonts w:hint="eastAsia" w:cs="Times New Roman"/>
          <w:u w:val="single"/>
        </w:rPr>
        <w:t>-产品，项目产品总产量为1</w:t>
      </w:r>
      <w:r>
        <w:rPr>
          <w:rFonts w:cs="Times New Roman"/>
          <w:u w:val="single"/>
        </w:rPr>
        <w:t>2804</w:t>
      </w:r>
      <w:r>
        <w:rPr>
          <w:rFonts w:hint="eastAsia" w:cs="Times New Roman"/>
          <w:u w:val="single"/>
        </w:rPr>
        <w:t>万m</w:t>
      </w:r>
      <w:r>
        <w:rPr>
          <w:rFonts w:cs="Times New Roman"/>
          <w:u w:val="single"/>
          <w:vertAlign w:val="superscript"/>
        </w:rPr>
        <w:t>2</w:t>
      </w:r>
      <w:r>
        <w:rPr>
          <w:rFonts w:hint="eastAsia" w:cs="Times New Roman"/>
          <w:u w:val="single"/>
        </w:rPr>
        <w:t>，则颗粒物产生量为</w:t>
      </w:r>
      <w:r>
        <w:rPr>
          <w:rFonts w:cs="Times New Roman"/>
          <w:u w:val="single"/>
        </w:rPr>
        <w:t>896.28</w:t>
      </w:r>
      <w:r>
        <w:rPr>
          <w:rFonts w:hint="eastAsia" w:cs="Times New Roman"/>
          <w:u w:val="single"/>
        </w:rPr>
        <w:t>t</w:t>
      </w:r>
      <w:r>
        <w:rPr>
          <w:rFonts w:cs="Times New Roman"/>
          <w:u w:val="single"/>
        </w:rPr>
        <w:t>/a</w:t>
      </w:r>
      <w:r>
        <w:rPr>
          <w:rFonts w:hint="eastAsia" w:cs="Times New Roman"/>
          <w:u w:val="single"/>
        </w:rPr>
        <w:t>，项目采用袋式除尘处理，除尘效率按9</w:t>
      </w:r>
      <w:r>
        <w:rPr>
          <w:rFonts w:cs="Times New Roman"/>
          <w:u w:val="single"/>
        </w:rPr>
        <w:t>9</w:t>
      </w:r>
      <w:r>
        <w:rPr>
          <w:rFonts w:hint="eastAsia" w:cs="Times New Roman"/>
          <w:u w:val="single"/>
        </w:rPr>
        <w:t>%计算，则颗粒物排放量为</w:t>
      </w:r>
      <w:r>
        <w:rPr>
          <w:rFonts w:cs="Times New Roman"/>
          <w:u w:val="single"/>
        </w:rPr>
        <w:t>8.96t/a</w:t>
      </w:r>
      <w:r>
        <w:rPr>
          <w:rFonts w:hint="eastAsia" w:cs="Times New Roman"/>
          <w:u w:val="single"/>
        </w:rPr>
        <w:t>。</w:t>
      </w:r>
    </w:p>
    <w:p>
      <w:pPr>
        <w:ind w:firstLine="480"/>
        <w:rPr>
          <w:rFonts w:cs="Times New Roman"/>
          <w:u w:val="single"/>
        </w:rPr>
      </w:pPr>
      <w:r>
        <w:rPr>
          <w:rFonts w:cs="Times New Roman"/>
          <w:u w:val="single"/>
        </w:rPr>
        <w:t>因此，</w:t>
      </w:r>
      <w:r>
        <w:rPr>
          <w:rFonts w:hint="eastAsia" w:cs="Times New Roman"/>
          <w:u w:val="single"/>
        </w:rPr>
        <w:t>可计算出项目窑炉废气中颗粒物产排情况如下：</w:t>
      </w:r>
    </w:p>
    <w:p>
      <w:pPr>
        <w:ind w:firstLine="0" w:firstLineChars="0"/>
        <w:jc w:val="center"/>
        <w:rPr>
          <w:rFonts w:cs="Times New Roman"/>
          <w:u w:val="single"/>
        </w:rPr>
      </w:pPr>
      <w:r>
        <w:rPr>
          <w:rFonts w:hint="eastAsia" w:cs="Times New Roman"/>
          <w:u w:val="single"/>
        </w:rPr>
        <w:t>表3</w:t>
      </w:r>
      <w:r>
        <w:rPr>
          <w:rFonts w:cs="Times New Roman"/>
          <w:u w:val="single"/>
        </w:rPr>
        <w:t>.3</w:t>
      </w:r>
      <w:r>
        <w:rPr>
          <w:rFonts w:hint="eastAsia" w:cs="Times New Roman"/>
          <w:u w:val="single"/>
        </w:rPr>
        <w:t>-</w:t>
      </w:r>
      <w:r>
        <w:rPr>
          <w:rFonts w:cs="Times New Roman"/>
          <w:u w:val="single"/>
        </w:rPr>
        <w:t xml:space="preserve">3  </w:t>
      </w:r>
      <w:r>
        <w:rPr>
          <w:rFonts w:hint="eastAsia" w:cs="Times New Roman"/>
          <w:u w:val="single"/>
        </w:rPr>
        <w:t>炉窑废气颗粒物产排情况表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63"/>
        <w:gridCol w:w="1106"/>
        <w:gridCol w:w="930"/>
        <w:gridCol w:w="702"/>
        <w:gridCol w:w="930"/>
        <w:gridCol w:w="930"/>
        <w:gridCol w:w="930"/>
        <w:gridCol w:w="700"/>
        <w:gridCol w:w="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21"/>
                <w:u w:val="single"/>
              </w:rPr>
              <w:t>排气筒编号</w:t>
            </w:r>
          </w:p>
        </w:tc>
        <w:tc>
          <w:tcPr>
            <w:tcW w:w="665" w:type="pct"/>
            <w:vAlign w:val="center"/>
          </w:tcPr>
          <w:p>
            <w:pPr>
              <w:spacing w:line="240" w:lineRule="auto"/>
              <w:ind w:firstLine="0" w:firstLineChars="0"/>
              <w:jc w:val="center"/>
              <w:rPr>
                <w:sz w:val="21"/>
                <w:szCs w:val="21"/>
                <w:u w:val="single"/>
              </w:rPr>
            </w:pPr>
            <w:r>
              <w:rPr>
                <w:rFonts w:hint="eastAsia"/>
                <w:sz w:val="21"/>
                <w:szCs w:val="21"/>
                <w:u w:val="single"/>
              </w:rPr>
              <w:t>烟气量</w:t>
            </w:r>
          </w:p>
          <w:p>
            <w:pPr>
              <w:spacing w:line="240" w:lineRule="auto"/>
              <w:ind w:firstLine="0" w:firstLineChars="0"/>
              <w:jc w:val="center"/>
              <w:rPr>
                <w:sz w:val="21"/>
                <w:szCs w:val="21"/>
                <w:u w:val="single"/>
              </w:rPr>
            </w:pPr>
            <w:r>
              <w:rPr>
                <w:rFonts w:hint="eastAsia"/>
                <w:sz w:val="21"/>
                <w:szCs w:val="21"/>
                <w:u w:val="single"/>
              </w:rPr>
              <w:t>万Nm</w:t>
            </w:r>
            <w:r>
              <w:rPr>
                <w:sz w:val="21"/>
                <w:szCs w:val="21"/>
                <w:u w:val="single"/>
                <w:vertAlign w:val="superscript"/>
              </w:rPr>
              <w:t>3</w:t>
            </w:r>
            <w:r>
              <w:rPr>
                <w:sz w:val="21"/>
                <w:szCs w:val="21"/>
                <w:u w:val="single"/>
              </w:rPr>
              <w:t>/a</w:t>
            </w:r>
          </w:p>
        </w:tc>
        <w:tc>
          <w:tcPr>
            <w:tcW w:w="559" w:type="pct"/>
          </w:tcPr>
          <w:p>
            <w:pPr>
              <w:spacing w:line="240" w:lineRule="auto"/>
              <w:ind w:firstLine="0" w:firstLineChars="0"/>
              <w:jc w:val="center"/>
              <w:rPr>
                <w:sz w:val="21"/>
                <w:szCs w:val="21"/>
                <w:u w:val="single"/>
              </w:rPr>
            </w:pPr>
            <w:r>
              <w:rPr>
                <w:rFonts w:hint="eastAsia"/>
                <w:sz w:val="21"/>
                <w:szCs w:val="21"/>
                <w:u w:val="single"/>
              </w:rPr>
              <w:t>产生浓度</w:t>
            </w:r>
          </w:p>
          <w:p>
            <w:pPr>
              <w:spacing w:line="240" w:lineRule="auto"/>
              <w:ind w:firstLine="0" w:firstLineChars="0"/>
              <w:jc w:val="center"/>
              <w:rPr>
                <w:sz w:val="21"/>
                <w:szCs w:val="21"/>
                <w:u w:val="single"/>
              </w:rPr>
            </w:pPr>
            <w:r>
              <w:rPr>
                <w:rFonts w:hint="eastAsia"/>
                <w:sz w:val="21"/>
                <w:szCs w:val="21"/>
                <w:u w:val="single"/>
              </w:rPr>
              <w:t>mg</w:t>
            </w:r>
            <w:r>
              <w:rPr>
                <w:sz w:val="21"/>
                <w:szCs w:val="21"/>
                <w:u w:val="single"/>
              </w:rPr>
              <w:t>/m</w:t>
            </w:r>
            <w:r>
              <w:rPr>
                <w:sz w:val="21"/>
                <w:szCs w:val="21"/>
                <w:u w:val="single"/>
                <w:vertAlign w:val="superscript"/>
              </w:rPr>
              <w:t>3</w:t>
            </w:r>
          </w:p>
        </w:tc>
        <w:tc>
          <w:tcPr>
            <w:tcW w:w="422" w:type="pct"/>
          </w:tcPr>
          <w:p>
            <w:pPr>
              <w:spacing w:line="240" w:lineRule="auto"/>
              <w:ind w:firstLine="0" w:firstLineChars="0"/>
              <w:jc w:val="center"/>
              <w:rPr>
                <w:sz w:val="21"/>
                <w:szCs w:val="21"/>
                <w:u w:val="single"/>
              </w:rPr>
            </w:pPr>
            <w:r>
              <w:rPr>
                <w:rFonts w:hint="eastAsia"/>
                <w:sz w:val="21"/>
                <w:szCs w:val="21"/>
                <w:u w:val="single"/>
              </w:rPr>
              <w:t>产生量</w:t>
            </w:r>
          </w:p>
          <w:p>
            <w:pPr>
              <w:spacing w:line="240" w:lineRule="auto"/>
              <w:ind w:firstLine="0" w:firstLineChars="0"/>
              <w:jc w:val="center"/>
              <w:rPr>
                <w:sz w:val="21"/>
                <w:szCs w:val="21"/>
                <w:u w:val="single"/>
              </w:rPr>
            </w:pPr>
            <w:r>
              <w:rPr>
                <w:rFonts w:hint="eastAsia"/>
                <w:sz w:val="21"/>
                <w:szCs w:val="21"/>
                <w:u w:val="single"/>
              </w:rPr>
              <w:t>t</w:t>
            </w:r>
            <w:r>
              <w:rPr>
                <w:sz w:val="21"/>
                <w:szCs w:val="21"/>
                <w:u w:val="single"/>
              </w:rPr>
              <w:t>/a</w:t>
            </w:r>
          </w:p>
        </w:tc>
        <w:tc>
          <w:tcPr>
            <w:tcW w:w="559" w:type="pct"/>
          </w:tcPr>
          <w:p>
            <w:pPr>
              <w:spacing w:line="240" w:lineRule="auto"/>
              <w:ind w:firstLine="0" w:firstLineChars="0"/>
              <w:jc w:val="center"/>
              <w:rPr>
                <w:sz w:val="21"/>
                <w:szCs w:val="21"/>
                <w:u w:val="single"/>
              </w:rPr>
            </w:pPr>
            <w:r>
              <w:rPr>
                <w:rFonts w:hint="eastAsia"/>
                <w:sz w:val="21"/>
                <w:szCs w:val="21"/>
                <w:u w:val="single"/>
              </w:rPr>
              <w:t>处理工艺</w:t>
            </w:r>
          </w:p>
        </w:tc>
        <w:tc>
          <w:tcPr>
            <w:tcW w:w="559" w:type="pct"/>
          </w:tcPr>
          <w:p>
            <w:pPr>
              <w:spacing w:line="240" w:lineRule="auto"/>
              <w:ind w:firstLine="0" w:firstLineChars="0"/>
              <w:jc w:val="center"/>
              <w:rPr>
                <w:sz w:val="21"/>
                <w:szCs w:val="21"/>
                <w:u w:val="single"/>
              </w:rPr>
            </w:pPr>
            <w:r>
              <w:rPr>
                <w:rFonts w:hint="eastAsia"/>
                <w:sz w:val="21"/>
                <w:szCs w:val="21"/>
                <w:u w:val="single"/>
              </w:rPr>
              <w:t>处理效率</w:t>
            </w:r>
          </w:p>
          <w:p>
            <w:pPr>
              <w:spacing w:line="240" w:lineRule="auto"/>
              <w:ind w:firstLine="0" w:firstLineChars="0"/>
              <w:jc w:val="center"/>
              <w:rPr>
                <w:sz w:val="21"/>
                <w:szCs w:val="21"/>
                <w:u w:val="single"/>
              </w:rPr>
            </w:pPr>
            <w:r>
              <w:rPr>
                <w:rFonts w:hint="eastAsia"/>
                <w:sz w:val="21"/>
                <w:szCs w:val="21"/>
                <w:u w:val="single"/>
              </w:rPr>
              <w:t>%</w:t>
            </w:r>
          </w:p>
        </w:tc>
        <w:tc>
          <w:tcPr>
            <w:tcW w:w="559" w:type="pct"/>
          </w:tcPr>
          <w:p>
            <w:pPr>
              <w:spacing w:line="240" w:lineRule="auto"/>
              <w:ind w:firstLine="0" w:firstLineChars="0"/>
              <w:jc w:val="center"/>
              <w:rPr>
                <w:sz w:val="21"/>
                <w:szCs w:val="21"/>
                <w:u w:val="single"/>
              </w:rPr>
            </w:pPr>
            <w:r>
              <w:rPr>
                <w:rFonts w:hint="eastAsia"/>
                <w:sz w:val="21"/>
                <w:szCs w:val="21"/>
                <w:u w:val="single"/>
              </w:rPr>
              <w:t>排放浓度</w:t>
            </w:r>
          </w:p>
          <w:p>
            <w:pPr>
              <w:spacing w:line="240" w:lineRule="auto"/>
              <w:ind w:firstLine="0" w:firstLineChars="0"/>
              <w:jc w:val="center"/>
              <w:rPr>
                <w:sz w:val="21"/>
                <w:szCs w:val="21"/>
                <w:u w:val="single"/>
              </w:rPr>
            </w:pPr>
            <w:r>
              <w:rPr>
                <w:rFonts w:hint="eastAsia"/>
                <w:sz w:val="21"/>
                <w:szCs w:val="21"/>
                <w:u w:val="single"/>
              </w:rPr>
              <w:t>mg</w:t>
            </w:r>
            <w:r>
              <w:rPr>
                <w:sz w:val="21"/>
                <w:szCs w:val="21"/>
                <w:u w:val="single"/>
              </w:rPr>
              <w:t>/m</w:t>
            </w:r>
            <w:r>
              <w:rPr>
                <w:sz w:val="21"/>
                <w:szCs w:val="21"/>
                <w:u w:val="single"/>
                <w:vertAlign w:val="superscript"/>
              </w:rPr>
              <w:t>3</w:t>
            </w:r>
          </w:p>
        </w:tc>
        <w:tc>
          <w:tcPr>
            <w:tcW w:w="421" w:type="pct"/>
          </w:tcPr>
          <w:p>
            <w:pPr>
              <w:spacing w:line="240" w:lineRule="auto"/>
              <w:ind w:firstLine="0" w:firstLineChars="0"/>
              <w:jc w:val="center"/>
              <w:rPr>
                <w:sz w:val="21"/>
                <w:szCs w:val="21"/>
                <w:u w:val="single"/>
              </w:rPr>
            </w:pPr>
            <w:r>
              <w:rPr>
                <w:rFonts w:hint="eastAsia"/>
                <w:sz w:val="21"/>
                <w:szCs w:val="21"/>
                <w:u w:val="single"/>
              </w:rPr>
              <w:t>排放量</w:t>
            </w:r>
          </w:p>
          <w:p>
            <w:pPr>
              <w:spacing w:line="240" w:lineRule="auto"/>
              <w:ind w:firstLine="0" w:firstLineChars="0"/>
              <w:jc w:val="center"/>
              <w:rPr>
                <w:sz w:val="21"/>
                <w:szCs w:val="21"/>
                <w:u w:val="single"/>
              </w:rPr>
            </w:pPr>
            <w:r>
              <w:rPr>
                <w:rFonts w:hint="eastAsia"/>
                <w:sz w:val="21"/>
                <w:szCs w:val="21"/>
                <w:u w:val="single"/>
              </w:rPr>
              <w:t>t</w:t>
            </w:r>
            <w:r>
              <w:rPr>
                <w:sz w:val="21"/>
                <w:szCs w:val="21"/>
                <w:u w:val="single"/>
              </w:rPr>
              <w:t>/a</w:t>
            </w:r>
          </w:p>
        </w:tc>
        <w:tc>
          <w:tcPr>
            <w:tcW w:w="556" w:type="pct"/>
          </w:tcPr>
          <w:p>
            <w:pPr>
              <w:spacing w:line="240" w:lineRule="auto"/>
              <w:ind w:firstLine="0" w:firstLineChars="0"/>
              <w:jc w:val="center"/>
              <w:rPr>
                <w:sz w:val="21"/>
                <w:szCs w:val="21"/>
                <w:u w:val="single"/>
              </w:rPr>
            </w:pPr>
            <w:r>
              <w:rPr>
                <w:rFonts w:hint="eastAsia"/>
                <w:sz w:val="21"/>
                <w:szCs w:val="21"/>
                <w:u w:val="single"/>
              </w:rPr>
              <w:t>排放速率</w:t>
            </w:r>
          </w:p>
          <w:p>
            <w:pPr>
              <w:spacing w:line="240" w:lineRule="auto"/>
              <w:ind w:firstLine="0" w:firstLineChars="0"/>
              <w:jc w:val="center"/>
              <w:rPr>
                <w:sz w:val="21"/>
                <w:szCs w:val="21"/>
                <w:u w:val="single"/>
              </w:rPr>
            </w:pPr>
            <w:r>
              <w:rPr>
                <w:rFonts w:hint="eastAsia"/>
                <w:sz w:val="21"/>
                <w:szCs w:val="21"/>
                <w:u w:val="single"/>
              </w:rPr>
              <w:t>kg</w:t>
            </w:r>
            <w:r>
              <w:rPr>
                <w:sz w:val="21"/>
                <w:szCs w:val="21"/>
                <w:u w:val="single"/>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16"/>
                <w:u w:val="single"/>
              </w:rPr>
              <w:t>DA</w:t>
            </w:r>
            <w:r>
              <w:rPr>
                <w:sz w:val="21"/>
                <w:szCs w:val="16"/>
                <w:u w:val="single"/>
              </w:rPr>
              <w:t>006</w:t>
            </w:r>
          </w:p>
        </w:tc>
        <w:tc>
          <w:tcPr>
            <w:tcW w:w="665" w:type="pct"/>
            <w:vAlign w:val="center"/>
          </w:tcPr>
          <w:p>
            <w:pPr>
              <w:spacing w:line="240" w:lineRule="auto"/>
              <w:ind w:firstLine="0" w:firstLineChars="0"/>
              <w:jc w:val="center"/>
              <w:rPr>
                <w:sz w:val="21"/>
                <w:szCs w:val="21"/>
                <w:u w:val="single"/>
              </w:rPr>
            </w:pPr>
            <w:r>
              <w:rPr>
                <w:rFonts w:hint="eastAsia"/>
                <w:sz w:val="21"/>
                <w:szCs w:val="16"/>
                <w:u w:val="single"/>
              </w:rPr>
              <w:t>3</w:t>
            </w:r>
            <w:r>
              <w:rPr>
                <w:sz w:val="21"/>
                <w:szCs w:val="16"/>
                <w:u w:val="single"/>
              </w:rPr>
              <w:t>7068.33</w:t>
            </w: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08.82</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49.38</w:t>
            </w:r>
          </w:p>
        </w:tc>
        <w:tc>
          <w:tcPr>
            <w:tcW w:w="559" w:type="pct"/>
            <w:vMerge w:val="restart"/>
            <w:vAlign w:val="center"/>
          </w:tcPr>
          <w:p>
            <w:pPr>
              <w:spacing w:line="240" w:lineRule="auto"/>
              <w:ind w:firstLine="0" w:firstLineChars="0"/>
              <w:jc w:val="center"/>
              <w:rPr>
                <w:sz w:val="21"/>
                <w:szCs w:val="21"/>
                <w:u w:val="single"/>
              </w:rPr>
            </w:pPr>
            <w:r>
              <w:rPr>
                <w:rFonts w:hint="eastAsia"/>
                <w:sz w:val="21"/>
                <w:szCs w:val="21"/>
                <w:u w:val="single"/>
              </w:rPr>
              <w:t>袋式</w:t>
            </w:r>
          </w:p>
          <w:p>
            <w:pPr>
              <w:spacing w:line="240" w:lineRule="auto"/>
              <w:ind w:firstLine="0" w:firstLineChars="0"/>
              <w:jc w:val="center"/>
              <w:rPr>
                <w:sz w:val="21"/>
                <w:szCs w:val="21"/>
                <w:u w:val="single"/>
              </w:rPr>
            </w:pPr>
            <w:r>
              <w:rPr>
                <w:rFonts w:hint="eastAsia"/>
                <w:sz w:val="21"/>
                <w:szCs w:val="21"/>
                <w:u w:val="single"/>
              </w:rPr>
              <w:t>除尘器</w:t>
            </w:r>
          </w:p>
        </w:tc>
        <w:tc>
          <w:tcPr>
            <w:tcW w:w="559" w:type="pct"/>
            <w:vMerge w:val="restart"/>
            <w:vAlign w:val="center"/>
          </w:tcPr>
          <w:p>
            <w:pPr>
              <w:spacing w:line="240" w:lineRule="auto"/>
              <w:ind w:firstLine="0" w:firstLineChars="0"/>
              <w:jc w:val="center"/>
              <w:rPr>
                <w:sz w:val="21"/>
                <w:szCs w:val="21"/>
                <w:u w:val="single"/>
              </w:rPr>
            </w:pPr>
            <w:r>
              <w:rPr>
                <w:rFonts w:hint="eastAsia"/>
                <w:sz w:val="21"/>
                <w:szCs w:val="21"/>
                <w:u w:val="single"/>
              </w:rPr>
              <w:t>9</w:t>
            </w:r>
            <w:r>
              <w:rPr>
                <w:sz w:val="21"/>
                <w:szCs w:val="21"/>
                <w:u w:val="single"/>
              </w:rPr>
              <w:t>9</w:t>
            </w:r>
          </w:p>
        </w:tc>
        <w:tc>
          <w:tcPr>
            <w:tcW w:w="559" w:type="pct"/>
            <w:vAlign w:val="center"/>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.09</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.49</w:t>
            </w:r>
          </w:p>
        </w:tc>
        <w:tc>
          <w:tcPr>
            <w:tcW w:w="556" w:type="pct"/>
          </w:tcPr>
          <w:p>
            <w:pPr>
              <w:spacing w:line="240" w:lineRule="auto"/>
              <w:ind w:firstLine="0" w:firstLineChars="0"/>
              <w:jc w:val="center"/>
              <w:rPr>
                <w:sz w:val="21"/>
                <w:szCs w:val="21"/>
                <w:u w:val="single"/>
              </w:rPr>
            </w:pPr>
            <w:r>
              <w:rPr>
                <w:rFonts w:hint="eastAsia"/>
                <w:sz w:val="21"/>
                <w:szCs w:val="21"/>
                <w:u w:val="single"/>
              </w:rPr>
              <w:t>0</w:t>
            </w:r>
            <w:r>
              <w:rPr>
                <w:sz w:val="21"/>
                <w:szCs w:val="21"/>
                <w:u w:val="single"/>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16"/>
                <w:u w:val="single"/>
              </w:rPr>
              <w:t>DA</w:t>
            </w:r>
            <w:r>
              <w:rPr>
                <w:sz w:val="21"/>
                <w:szCs w:val="16"/>
                <w:u w:val="single"/>
              </w:rPr>
              <w:t>007</w:t>
            </w:r>
          </w:p>
        </w:tc>
        <w:tc>
          <w:tcPr>
            <w:tcW w:w="665" w:type="pct"/>
            <w:vAlign w:val="center"/>
          </w:tcPr>
          <w:p>
            <w:pPr>
              <w:spacing w:line="240" w:lineRule="auto"/>
              <w:ind w:firstLine="0" w:firstLineChars="0"/>
              <w:jc w:val="center"/>
              <w:rPr>
                <w:sz w:val="21"/>
                <w:szCs w:val="21"/>
                <w:u w:val="single"/>
              </w:rPr>
            </w:pPr>
            <w:r>
              <w:rPr>
                <w:rFonts w:hint="eastAsia"/>
                <w:sz w:val="21"/>
                <w:szCs w:val="16"/>
                <w:u w:val="single"/>
              </w:rPr>
              <w:t>5</w:t>
            </w:r>
            <w:r>
              <w:rPr>
                <w:sz w:val="21"/>
                <w:szCs w:val="16"/>
                <w:u w:val="single"/>
              </w:rPr>
              <w:t>5602.50</w:t>
            </w:r>
          </w:p>
        </w:tc>
        <w:tc>
          <w:tcPr>
            <w:tcW w:w="559" w:type="pct"/>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08.82</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24.07</w:t>
            </w:r>
          </w:p>
        </w:tc>
        <w:tc>
          <w:tcPr>
            <w:tcW w:w="559" w:type="pct"/>
            <w:vMerge w:val="continue"/>
          </w:tcPr>
          <w:p>
            <w:pPr>
              <w:spacing w:line="240" w:lineRule="auto"/>
              <w:ind w:firstLine="0" w:firstLineChars="0"/>
              <w:jc w:val="center"/>
              <w:rPr>
                <w:sz w:val="21"/>
                <w:szCs w:val="21"/>
                <w:u w:val="single"/>
              </w:rPr>
            </w:pPr>
          </w:p>
        </w:tc>
        <w:tc>
          <w:tcPr>
            <w:tcW w:w="559" w:type="pct"/>
            <w:vMerge w:val="continue"/>
          </w:tcPr>
          <w:p>
            <w:pPr>
              <w:spacing w:line="240" w:lineRule="auto"/>
              <w:ind w:firstLine="0" w:firstLineChars="0"/>
              <w:jc w:val="center"/>
              <w:rPr>
                <w:sz w:val="21"/>
                <w:szCs w:val="21"/>
                <w:u w:val="single"/>
              </w:rPr>
            </w:pPr>
          </w:p>
        </w:tc>
        <w:tc>
          <w:tcPr>
            <w:tcW w:w="559" w:type="pct"/>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.09</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.24</w:t>
            </w:r>
          </w:p>
        </w:tc>
        <w:tc>
          <w:tcPr>
            <w:tcW w:w="556" w:type="pct"/>
          </w:tcPr>
          <w:p>
            <w:pPr>
              <w:spacing w:line="240" w:lineRule="auto"/>
              <w:ind w:firstLine="0" w:firstLineChars="0"/>
              <w:jc w:val="center"/>
              <w:rPr>
                <w:sz w:val="21"/>
                <w:szCs w:val="21"/>
                <w:u w:val="single"/>
              </w:rPr>
            </w:pPr>
            <w:r>
              <w:rPr>
                <w:rFonts w:hint="eastAsia"/>
                <w:sz w:val="21"/>
                <w:szCs w:val="21"/>
                <w:u w:val="single"/>
              </w:rPr>
              <w:t>0</w:t>
            </w:r>
            <w:r>
              <w:rPr>
                <w:sz w:val="21"/>
                <w:szCs w:val="21"/>
                <w:u w:val="single"/>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16"/>
                <w:u w:val="single"/>
              </w:rPr>
              <w:t>DA</w:t>
            </w:r>
            <w:r>
              <w:rPr>
                <w:sz w:val="21"/>
                <w:szCs w:val="16"/>
                <w:u w:val="single"/>
              </w:rPr>
              <w:t>008</w:t>
            </w:r>
          </w:p>
        </w:tc>
        <w:tc>
          <w:tcPr>
            <w:tcW w:w="665" w:type="pct"/>
            <w:vAlign w:val="center"/>
          </w:tcPr>
          <w:p>
            <w:pPr>
              <w:spacing w:line="240" w:lineRule="auto"/>
              <w:ind w:firstLine="0" w:firstLineChars="0"/>
              <w:jc w:val="center"/>
              <w:rPr>
                <w:sz w:val="21"/>
                <w:szCs w:val="21"/>
                <w:u w:val="single"/>
              </w:rPr>
            </w:pPr>
            <w:r>
              <w:rPr>
                <w:rFonts w:hint="eastAsia"/>
                <w:sz w:val="21"/>
                <w:szCs w:val="16"/>
                <w:u w:val="single"/>
              </w:rPr>
              <w:t>7</w:t>
            </w:r>
            <w:r>
              <w:rPr>
                <w:sz w:val="21"/>
                <w:szCs w:val="16"/>
                <w:u w:val="single"/>
              </w:rPr>
              <w:t>4136.67</w:t>
            </w:r>
          </w:p>
        </w:tc>
        <w:tc>
          <w:tcPr>
            <w:tcW w:w="559" w:type="pct"/>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08.82</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98.76</w:t>
            </w:r>
          </w:p>
        </w:tc>
        <w:tc>
          <w:tcPr>
            <w:tcW w:w="559" w:type="pct"/>
            <w:vMerge w:val="continue"/>
          </w:tcPr>
          <w:p>
            <w:pPr>
              <w:spacing w:line="240" w:lineRule="auto"/>
              <w:ind w:firstLine="0" w:firstLineChars="0"/>
              <w:jc w:val="center"/>
              <w:rPr>
                <w:sz w:val="21"/>
                <w:szCs w:val="21"/>
                <w:u w:val="single"/>
              </w:rPr>
            </w:pPr>
          </w:p>
        </w:tc>
        <w:tc>
          <w:tcPr>
            <w:tcW w:w="559" w:type="pct"/>
            <w:vMerge w:val="continue"/>
          </w:tcPr>
          <w:p>
            <w:pPr>
              <w:spacing w:line="240" w:lineRule="auto"/>
              <w:ind w:firstLine="0" w:firstLineChars="0"/>
              <w:jc w:val="center"/>
              <w:rPr>
                <w:sz w:val="21"/>
                <w:szCs w:val="21"/>
                <w:u w:val="single"/>
              </w:rPr>
            </w:pPr>
          </w:p>
        </w:tc>
        <w:tc>
          <w:tcPr>
            <w:tcW w:w="559" w:type="pct"/>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.09</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.99</w:t>
            </w:r>
          </w:p>
        </w:tc>
        <w:tc>
          <w:tcPr>
            <w:tcW w:w="556" w:type="pct"/>
          </w:tcPr>
          <w:p>
            <w:pPr>
              <w:spacing w:line="240" w:lineRule="auto"/>
              <w:ind w:firstLine="0" w:firstLineChars="0"/>
              <w:jc w:val="center"/>
              <w:rPr>
                <w:sz w:val="21"/>
                <w:szCs w:val="21"/>
                <w:u w:val="single"/>
              </w:rPr>
            </w:pPr>
            <w:r>
              <w:rPr>
                <w:rFonts w:hint="eastAsia"/>
                <w:sz w:val="21"/>
                <w:szCs w:val="21"/>
                <w:u w:val="single"/>
              </w:rPr>
              <w:t>0</w:t>
            </w:r>
            <w:r>
              <w:rPr>
                <w:sz w:val="21"/>
                <w:szCs w:val="21"/>
                <w:u w:val="single"/>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21"/>
                <w:u w:val="single"/>
              </w:rPr>
            </w:pPr>
            <w:r>
              <w:rPr>
                <w:rFonts w:hint="eastAsia"/>
                <w:sz w:val="21"/>
                <w:szCs w:val="16"/>
                <w:u w:val="single"/>
              </w:rPr>
              <w:t>DA</w:t>
            </w:r>
            <w:r>
              <w:rPr>
                <w:sz w:val="21"/>
                <w:szCs w:val="16"/>
                <w:u w:val="single"/>
              </w:rPr>
              <w:t>009</w:t>
            </w:r>
          </w:p>
        </w:tc>
        <w:tc>
          <w:tcPr>
            <w:tcW w:w="665" w:type="pct"/>
            <w:vAlign w:val="center"/>
          </w:tcPr>
          <w:p>
            <w:pPr>
              <w:spacing w:line="240" w:lineRule="auto"/>
              <w:ind w:firstLine="0" w:firstLineChars="0"/>
              <w:jc w:val="center"/>
              <w:rPr>
                <w:sz w:val="21"/>
                <w:szCs w:val="21"/>
                <w:u w:val="single"/>
              </w:rPr>
            </w:pPr>
            <w:r>
              <w:rPr>
                <w:rFonts w:hint="eastAsia"/>
                <w:sz w:val="21"/>
                <w:szCs w:val="16"/>
                <w:u w:val="single"/>
              </w:rPr>
              <w:t>5</w:t>
            </w:r>
            <w:r>
              <w:rPr>
                <w:sz w:val="21"/>
                <w:szCs w:val="16"/>
                <w:u w:val="single"/>
              </w:rPr>
              <w:t>5602.50</w:t>
            </w:r>
          </w:p>
        </w:tc>
        <w:tc>
          <w:tcPr>
            <w:tcW w:w="559" w:type="pct"/>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08.82</w:t>
            </w:r>
          </w:p>
        </w:tc>
        <w:tc>
          <w:tcPr>
            <w:tcW w:w="422"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24.07</w:t>
            </w:r>
          </w:p>
        </w:tc>
        <w:tc>
          <w:tcPr>
            <w:tcW w:w="559" w:type="pct"/>
            <w:vMerge w:val="continue"/>
          </w:tcPr>
          <w:p>
            <w:pPr>
              <w:spacing w:line="240" w:lineRule="auto"/>
              <w:ind w:firstLine="0" w:firstLineChars="0"/>
              <w:jc w:val="center"/>
              <w:rPr>
                <w:sz w:val="21"/>
                <w:szCs w:val="21"/>
                <w:u w:val="single"/>
              </w:rPr>
            </w:pPr>
          </w:p>
        </w:tc>
        <w:tc>
          <w:tcPr>
            <w:tcW w:w="559" w:type="pct"/>
            <w:vMerge w:val="continue"/>
          </w:tcPr>
          <w:p>
            <w:pPr>
              <w:spacing w:line="240" w:lineRule="auto"/>
              <w:ind w:firstLine="0" w:firstLineChars="0"/>
              <w:jc w:val="center"/>
              <w:rPr>
                <w:sz w:val="21"/>
                <w:szCs w:val="21"/>
                <w:u w:val="single"/>
              </w:rPr>
            </w:pPr>
          </w:p>
        </w:tc>
        <w:tc>
          <w:tcPr>
            <w:tcW w:w="559" w:type="pct"/>
          </w:tcPr>
          <w:p>
            <w:pPr>
              <w:spacing w:line="240" w:lineRule="auto"/>
              <w:ind w:firstLine="0" w:firstLineChars="0"/>
              <w:jc w:val="center"/>
              <w:rPr>
                <w:sz w:val="21"/>
                <w:szCs w:val="21"/>
                <w:u w:val="single"/>
              </w:rPr>
            </w:pPr>
            <w:r>
              <w:rPr>
                <w:rFonts w:hint="eastAsia"/>
                <w:sz w:val="21"/>
                <w:szCs w:val="21"/>
                <w:u w:val="single"/>
              </w:rPr>
              <w:t>5</w:t>
            </w:r>
            <w:r>
              <w:rPr>
                <w:sz w:val="21"/>
                <w:szCs w:val="21"/>
                <w:u w:val="single"/>
              </w:rPr>
              <w:t>.09</w:t>
            </w:r>
          </w:p>
        </w:tc>
        <w:tc>
          <w:tcPr>
            <w:tcW w:w="421"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.24</w:t>
            </w:r>
          </w:p>
        </w:tc>
        <w:tc>
          <w:tcPr>
            <w:tcW w:w="556" w:type="pct"/>
          </w:tcPr>
          <w:p>
            <w:pPr>
              <w:spacing w:line="240" w:lineRule="auto"/>
              <w:ind w:firstLine="0" w:firstLineChars="0"/>
              <w:jc w:val="center"/>
              <w:rPr>
                <w:sz w:val="21"/>
                <w:szCs w:val="21"/>
                <w:u w:val="single"/>
              </w:rPr>
            </w:pPr>
            <w:r>
              <w:rPr>
                <w:rFonts w:hint="eastAsia"/>
                <w:sz w:val="21"/>
                <w:szCs w:val="21"/>
                <w:u w:val="single"/>
              </w:rPr>
              <w:t>0</w:t>
            </w:r>
            <w:r>
              <w:rPr>
                <w:sz w:val="21"/>
                <w:szCs w:val="21"/>
                <w:u w:val="single"/>
              </w:rPr>
              <w:t>.28</w:t>
            </w:r>
          </w:p>
        </w:tc>
      </w:tr>
    </w:tbl>
    <w:p>
      <w:pPr>
        <w:ind w:firstLine="480"/>
        <w:rPr>
          <w:rFonts w:cs="Times New Roman"/>
          <w:u w:val="single"/>
        </w:rPr>
      </w:pPr>
      <w:r>
        <w:rPr>
          <w:rFonts w:cs="Times New Roman"/>
          <w:u w:val="single"/>
        </w:rPr>
        <w:t>（4）NO</w:t>
      </w:r>
      <w:r>
        <w:rPr>
          <w:rFonts w:cs="Times New Roman"/>
          <w:u w:val="single"/>
          <w:vertAlign w:val="subscript"/>
        </w:rPr>
        <w:t>x</w:t>
      </w:r>
    </w:p>
    <w:p>
      <w:pPr>
        <w:ind w:firstLine="480"/>
        <w:rPr>
          <w:rFonts w:cs="Times New Roman"/>
          <w:u w:val="single"/>
        </w:rPr>
      </w:pPr>
      <w:r>
        <w:rPr>
          <w:rFonts w:cs="Times New Roman"/>
          <w:u w:val="single"/>
        </w:rPr>
        <w:t>辊道窑烟气中的氮氧化物主要来自高温烧制过程空气中被氧化的氮。</w:t>
      </w:r>
    </w:p>
    <w:p>
      <w:pPr>
        <w:ind w:firstLine="480"/>
        <w:rPr>
          <w:rFonts w:cs="Times New Roman"/>
          <w:u w:val="single"/>
        </w:rPr>
      </w:pPr>
      <w:r>
        <w:rPr>
          <w:rFonts w:hint="eastAsia" w:cs="Times New Roman"/>
          <w:u w:val="single"/>
        </w:rPr>
        <w:t>参照</w:t>
      </w:r>
      <w:r>
        <w:rPr>
          <w:rFonts w:cs="Times New Roman"/>
          <w:u w:val="single"/>
        </w:rPr>
        <w:t>《</w:t>
      </w:r>
      <w:r>
        <w:rPr>
          <w:rFonts w:hint="eastAsia" w:cs="Times New Roman"/>
          <w:u w:val="single"/>
        </w:rPr>
        <w:t>排放源统计调查产排污核算方法和系数手册-3071建筑陶瓷制品制造行业系数手册</w:t>
      </w:r>
      <w:r>
        <w:rPr>
          <w:rFonts w:cs="Times New Roman"/>
          <w:u w:val="single"/>
        </w:rPr>
        <w:t>》，</w:t>
      </w:r>
      <w:r>
        <w:rPr>
          <w:rFonts w:hint="eastAsia" w:cs="Times New Roman"/>
          <w:u w:val="single"/>
        </w:rPr>
        <w:t>辊道窑（天然气）</w:t>
      </w:r>
      <w:r>
        <w:rPr>
          <w:rFonts w:cs="Times New Roman"/>
          <w:u w:val="single"/>
        </w:rPr>
        <w:t>氮氧化物产污系数为110千克/万</w:t>
      </w:r>
      <w:r>
        <w:rPr>
          <w:rFonts w:hint="eastAsia" w:cs="Times New Roman"/>
          <w:u w:val="single"/>
        </w:rPr>
        <w:t>平方</w:t>
      </w:r>
      <w:r>
        <w:rPr>
          <w:rFonts w:cs="Times New Roman"/>
          <w:u w:val="single"/>
        </w:rPr>
        <w:t>米-</w:t>
      </w:r>
      <w:r>
        <w:rPr>
          <w:rFonts w:hint="eastAsia" w:cs="Times New Roman"/>
          <w:u w:val="single"/>
        </w:rPr>
        <w:t>产品</w:t>
      </w:r>
      <w:r>
        <w:rPr>
          <w:rFonts w:cs="Times New Roman"/>
          <w:u w:val="single"/>
        </w:rPr>
        <w:t>。</w:t>
      </w:r>
      <w:r>
        <w:rPr>
          <w:rFonts w:hint="eastAsia" w:cs="Times New Roman"/>
          <w:u w:val="single"/>
        </w:rPr>
        <w:t>项目产品总产量为1</w:t>
      </w:r>
      <w:r>
        <w:rPr>
          <w:rFonts w:cs="Times New Roman"/>
          <w:u w:val="single"/>
        </w:rPr>
        <w:t>2804</w:t>
      </w:r>
      <w:r>
        <w:rPr>
          <w:rFonts w:hint="eastAsia" w:cs="Times New Roman"/>
          <w:u w:val="single"/>
        </w:rPr>
        <w:t>万m</w:t>
      </w:r>
      <w:r>
        <w:rPr>
          <w:rFonts w:cs="Times New Roman"/>
          <w:u w:val="single"/>
          <w:vertAlign w:val="superscript"/>
        </w:rPr>
        <w:t>2</w:t>
      </w:r>
      <w:r>
        <w:rPr>
          <w:rFonts w:hint="eastAsia" w:cs="Times New Roman"/>
          <w:u w:val="single"/>
        </w:rPr>
        <w:t>，则NOx总产生量为</w:t>
      </w:r>
      <w:r>
        <w:rPr>
          <w:rFonts w:cs="Times New Roman"/>
          <w:u w:val="single"/>
        </w:rPr>
        <w:t>1959.01</w:t>
      </w:r>
      <w:r>
        <w:rPr>
          <w:rFonts w:hint="eastAsia" w:cs="Times New Roman"/>
          <w:u w:val="single"/>
        </w:rPr>
        <w:t>t</w:t>
      </w:r>
      <w:r>
        <w:rPr>
          <w:rFonts w:cs="Times New Roman"/>
          <w:u w:val="single"/>
        </w:rPr>
        <w:t>/a</w:t>
      </w:r>
      <w:r>
        <w:rPr>
          <w:rFonts w:hint="eastAsia" w:cs="Times New Roman"/>
          <w:u w:val="single"/>
        </w:rPr>
        <w:t>，项目采用SNCR脱硝+SCR脱硝工艺，参照</w:t>
      </w:r>
      <w:r>
        <w:rPr>
          <w:rFonts w:cs="Times New Roman"/>
          <w:u w:val="single"/>
        </w:rPr>
        <w:t>《</w:t>
      </w:r>
      <w:r>
        <w:rPr>
          <w:rFonts w:hint="eastAsia" w:cs="Times New Roman"/>
          <w:u w:val="single"/>
        </w:rPr>
        <w:t>排放源统计调查产排污核算方法和系数手册-锅炉产排污量核算系数手册</w:t>
      </w:r>
      <w:r>
        <w:rPr>
          <w:rFonts w:cs="Times New Roman"/>
          <w:u w:val="single"/>
        </w:rPr>
        <w:t>》</w:t>
      </w:r>
      <w:r>
        <w:rPr>
          <w:rFonts w:hint="eastAsia" w:cs="Times New Roman"/>
          <w:u w:val="single"/>
        </w:rPr>
        <w:t>，SNCR脱硝效率为</w:t>
      </w:r>
      <w:r>
        <w:rPr>
          <w:rFonts w:cs="Times New Roman"/>
          <w:u w:val="single"/>
        </w:rPr>
        <w:t>50</w:t>
      </w:r>
      <w:r>
        <w:rPr>
          <w:rFonts w:hint="eastAsia" w:cs="Times New Roman"/>
          <w:u w:val="single"/>
        </w:rPr>
        <w:t>%，SCR脱硝效率为</w:t>
      </w:r>
      <w:r>
        <w:rPr>
          <w:rFonts w:cs="Times New Roman"/>
          <w:u w:val="single"/>
        </w:rPr>
        <w:t>80</w:t>
      </w:r>
      <w:r>
        <w:rPr>
          <w:rFonts w:hint="eastAsia" w:cs="Times New Roman"/>
          <w:u w:val="single"/>
        </w:rPr>
        <w:t>%，则综合脱硝效率按</w:t>
      </w:r>
      <w:r>
        <w:rPr>
          <w:rFonts w:cs="Times New Roman"/>
          <w:u w:val="single"/>
        </w:rPr>
        <w:t>90</w:t>
      </w:r>
      <w:r>
        <w:rPr>
          <w:rFonts w:hint="eastAsia" w:cs="Times New Roman"/>
          <w:u w:val="single"/>
        </w:rPr>
        <w:t>%计算，则NO</w:t>
      </w:r>
      <w:r>
        <w:rPr>
          <w:rFonts w:hint="eastAsia" w:cs="Times New Roman"/>
          <w:u w:val="single"/>
          <w:vertAlign w:val="subscript"/>
        </w:rPr>
        <w:t>x</w:t>
      </w:r>
      <w:r>
        <w:rPr>
          <w:rFonts w:hint="eastAsia" w:cs="Times New Roman"/>
          <w:u w:val="single"/>
        </w:rPr>
        <w:t>排放量为</w:t>
      </w:r>
      <w:r>
        <w:rPr>
          <w:rFonts w:cs="Times New Roman"/>
          <w:u w:val="single"/>
        </w:rPr>
        <w:t>195.90</w:t>
      </w:r>
      <w:r>
        <w:rPr>
          <w:rFonts w:hint="eastAsia" w:cs="Times New Roman"/>
          <w:u w:val="single"/>
        </w:rPr>
        <w:t>t</w:t>
      </w:r>
      <w:r>
        <w:rPr>
          <w:rFonts w:cs="Times New Roman"/>
          <w:u w:val="single"/>
        </w:rPr>
        <w:t>/a</w:t>
      </w:r>
      <w:r>
        <w:rPr>
          <w:rFonts w:hint="eastAsia" w:cs="Times New Roman"/>
          <w:u w:val="single"/>
        </w:rPr>
        <w:t>。</w:t>
      </w:r>
    </w:p>
    <w:p>
      <w:pPr>
        <w:ind w:firstLine="480"/>
        <w:rPr>
          <w:rFonts w:cs="Times New Roman"/>
          <w:u w:val="single"/>
        </w:rPr>
      </w:pPr>
      <w:r>
        <w:rPr>
          <w:rFonts w:hint="eastAsia" w:cs="Times New Roman"/>
          <w:u w:val="single"/>
        </w:rPr>
        <w:t>项目烧成、干燥工艺废气中NO</w:t>
      </w:r>
      <w:r>
        <w:rPr>
          <w:rFonts w:hint="eastAsia" w:cs="Times New Roman"/>
          <w:u w:val="single"/>
          <w:vertAlign w:val="subscript"/>
        </w:rPr>
        <w:t>x</w:t>
      </w:r>
      <w:r>
        <w:rPr>
          <w:rFonts w:hint="eastAsia" w:cs="Times New Roman"/>
          <w:u w:val="single"/>
        </w:rPr>
        <w:t>产排情况如下：</w:t>
      </w:r>
    </w:p>
    <w:p>
      <w:pPr>
        <w:ind w:firstLine="0" w:firstLineChars="0"/>
        <w:jc w:val="center"/>
        <w:rPr>
          <w:rFonts w:cs="Times New Roman"/>
          <w:u w:val="single"/>
        </w:rPr>
      </w:pPr>
      <w:r>
        <w:rPr>
          <w:rFonts w:hint="eastAsia" w:cs="Times New Roman"/>
          <w:u w:val="single"/>
        </w:rPr>
        <w:t>表3</w:t>
      </w:r>
      <w:r>
        <w:rPr>
          <w:rFonts w:cs="Times New Roman"/>
          <w:u w:val="single"/>
        </w:rPr>
        <w:t>.3</w:t>
      </w:r>
      <w:r>
        <w:rPr>
          <w:rFonts w:hint="eastAsia" w:cs="Times New Roman"/>
          <w:u w:val="single"/>
        </w:rPr>
        <w:t>-</w:t>
      </w:r>
      <w:r>
        <w:rPr>
          <w:rFonts w:cs="Times New Roman"/>
          <w:u w:val="single"/>
        </w:rPr>
        <w:t xml:space="preserve">4  </w:t>
      </w:r>
      <w:r>
        <w:rPr>
          <w:rFonts w:hint="eastAsia" w:cs="Times New Roman"/>
          <w:u w:val="single"/>
        </w:rPr>
        <w:t>炉窑废气氮氧化物产排情况表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63"/>
        <w:gridCol w:w="1106"/>
        <w:gridCol w:w="930"/>
        <w:gridCol w:w="702"/>
        <w:gridCol w:w="930"/>
        <w:gridCol w:w="930"/>
        <w:gridCol w:w="930"/>
        <w:gridCol w:w="700"/>
        <w:gridCol w:w="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16"/>
                <w:u w:val="single"/>
              </w:rPr>
            </w:pPr>
            <w:r>
              <w:rPr>
                <w:rFonts w:hint="eastAsia"/>
                <w:sz w:val="21"/>
                <w:szCs w:val="16"/>
                <w:u w:val="single"/>
              </w:rPr>
              <w:t>排气筒编号</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烟气量</w:t>
            </w:r>
          </w:p>
          <w:p>
            <w:pPr>
              <w:spacing w:line="240" w:lineRule="auto"/>
              <w:ind w:firstLine="0" w:firstLineChars="0"/>
              <w:jc w:val="center"/>
              <w:rPr>
                <w:sz w:val="21"/>
                <w:szCs w:val="16"/>
                <w:u w:val="single"/>
              </w:rPr>
            </w:pPr>
            <w:r>
              <w:rPr>
                <w:rFonts w:hint="eastAsia"/>
                <w:sz w:val="21"/>
                <w:szCs w:val="16"/>
                <w:u w:val="single"/>
              </w:rPr>
              <w:t>万Nm</w:t>
            </w:r>
            <w:r>
              <w:rPr>
                <w:sz w:val="21"/>
                <w:szCs w:val="16"/>
                <w:u w:val="single"/>
                <w:vertAlign w:val="superscript"/>
              </w:rPr>
              <w:t>3</w:t>
            </w:r>
            <w:r>
              <w:rPr>
                <w:sz w:val="21"/>
                <w:szCs w:val="16"/>
                <w:u w:val="single"/>
              </w:rPr>
              <w:t>/a</w:t>
            </w:r>
          </w:p>
        </w:tc>
        <w:tc>
          <w:tcPr>
            <w:tcW w:w="559" w:type="pct"/>
          </w:tcPr>
          <w:p>
            <w:pPr>
              <w:spacing w:line="240" w:lineRule="auto"/>
              <w:ind w:firstLine="0" w:firstLineChars="0"/>
              <w:jc w:val="center"/>
              <w:rPr>
                <w:sz w:val="21"/>
                <w:szCs w:val="16"/>
                <w:u w:val="single"/>
              </w:rPr>
            </w:pPr>
            <w:r>
              <w:rPr>
                <w:rFonts w:hint="eastAsia"/>
                <w:sz w:val="21"/>
                <w:szCs w:val="16"/>
                <w:u w:val="single"/>
              </w:rPr>
              <w:t>产生浓度</w:t>
            </w:r>
          </w:p>
          <w:p>
            <w:pPr>
              <w:spacing w:line="240" w:lineRule="auto"/>
              <w:ind w:firstLine="0" w:firstLineChars="0"/>
              <w:jc w:val="center"/>
              <w:rPr>
                <w:sz w:val="21"/>
                <w:szCs w:val="16"/>
                <w:u w:val="single"/>
              </w:rPr>
            </w:pPr>
            <w:r>
              <w:rPr>
                <w:rFonts w:hint="eastAsia"/>
                <w:sz w:val="21"/>
                <w:szCs w:val="16"/>
                <w:u w:val="single"/>
              </w:rPr>
              <w:t>mg</w:t>
            </w:r>
            <w:r>
              <w:rPr>
                <w:sz w:val="21"/>
                <w:szCs w:val="16"/>
                <w:u w:val="single"/>
              </w:rPr>
              <w:t>/m</w:t>
            </w:r>
            <w:r>
              <w:rPr>
                <w:sz w:val="21"/>
                <w:szCs w:val="16"/>
                <w:u w:val="single"/>
                <w:vertAlign w:val="superscript"/>
              </w:rPr>
              <w:t>3</w:t>
            </w:r>
          </w:p>
        </w:tc>
        <w:tc>
          <w:tcPr>
            <w:tcW w:w="422" w:type="pct"/>
          </w:tcPr>
          <w:p>
            <w:pPr>
              <w:spacing w:line="240" w:lineRule="auto"/>
              <w:ind w:firstLine="0" w:firstLineChars="0"/>
              <w:jc w:val="center"/>
              <w:rPr>
                <w:sz w:val="21"/>
                <w:szCs w:val="16"/>
                <w:u w:val="single"/>
              </w:rPr>
            </w:pPr>
            <w:r>
              <w:rPr>
                <w:rFonts w:hint="eastAsia"/>
                <w:sz w:val="21"/>
                <w:szCs w:val="16"/>
                <w:u w:val="single"/>
              </w:rPr>
              <w:t>产生量</w:t>
            </w:r>
          </w:p>
          <w:p>
            <w:pPr>
              <w:spacing w:line="240" w:lineRule="auto"/>
              <w:ind w:firstLine="0" w:firstLineChars="0"/>
              <w:jc w:val="center"/>
              <w:rPr>
                <w:sz w:val="21"/>
                <w:szCs w:val="16"/>
                <w:u w:val="single"/>
              </w:rPr>
            </w:pPr>
            <w:r>
              <w:rPr>
                <w:rFonts w:hint="eastAsia"/>
                <w:sz w:val="21"/>
                <w:szCs w:val="16"/>
                <w:u w:val="single"/>
              </w:rPr>
              <w:t>t</w:t>
            </w:r>
            <w:r>
              <w:rPr>
                <w:sz w:val="21"/>
                <w:szCs w:val="16"/>
                <w:u w:val="single"/>
              </w:rPr>
              <w:t>/a</w:t>
            </w:r>
          </w:p>
        </w:tc>
        <w:tc>
          <w:tcPr>
            <w:tcW w:w="559" w:type="pct"/>
          </w:tcPr>
          <w:p>
            <w:pPr>
              <w:spacing w:line="240" w:lineRule="auto"/>
              <w:ind w:firstLine="0" w:firstLineChars="0"/>
              <w:jc w:val="center"/>
              <w:rPr>
                <w:sz w:val="21"/>
                <w:szCs w:val="16"/>
                <w:u w:val="single"/>
              </w:rPr>
            </w:pPr>
            <w:r>
              <w:rPr>
                <w:rFonts w:hint="eastAsia"/>
                <w:sz w:val="21"/>
                <w:szCs w:val="16"/>
                <w:u w:val="single"/>
              </w:rPr>
              <w:t>处理工艺</w:t>
            </w:r>
          </w:p>
        </w:tc>
        <w:tc>
          <w:tcPr>
            <w:tcW w:w="559" w:type="pct"/>
          </w:tcPr>
          <w:p>
            <w:pPr>
              <w:spacing w:line="240" w:lineRule="auto"/>
              <w:ind w:firstLine="0" w:firstLineChars="0"/>
              <w:jc w:val="center"/>
              <w:rPr>
                <w:sz w:val="21"/>
                <w:szCs w:val="16"/>
                <w:u w:val="single"/>
              </w:rPr>
            </w:pPr>
            <w:r>
              <w:rPr>
                <w:rFonts w:hint="eastAsia"/>
                <w:sz w:val="21"/>
                <w:szCs w:val="16"/>
                <w:u w:val="single"/>
              </w:rPr>
              <w:t>处理效率</w:t>
            </w:r>
          </w:p>
          <w:p>
            <w:pPr>
              <w:spacing w:line="240" w:lineRule="auto"/>
              <w:ind w:firstLine="0" w:firstLineChars="0"/>
              <w:jc w:val="center"/>
              <w:rPr>
                <w:sz w:val="21"/>
                <w:szCs w:val="16"/>
                <w:u w:val="single"/>
              </w:rPr>
            </w:pPr>
            <w:r>
              <w:rPr>
                <w:rFonts w:hint="eastAsia"/>
                <w:sz w:val="21"/>
                <w:szCs w:val="16"/>
                <w:u w:val="single"/>
              </w:rPr>
              <w:t>%</w:t>
            </w:r>
          </w:p>
        </w:tc>
        <w:tc>
          <w:tcPr>
            <w:tcW w:w="559" w:type="pct"/>
          </w:tcPr>
          <w:p>
            <w:pPr>
              <w:spacing w:line="240" w:lineRule="auto"/>
              <w:ind w:firstLine="0" w:firstLineChars="0"/>
              <w:jc w:val="center"/>
              <w:rPr>
                <w:sz w:val="21"/>
                <w:szCs w:val="16"/>
                <w:u w:val="single"/>
              </w:rPr>
            </w:pPr>
            <w:r>
              <w:rPr>
                <w:rFonts w:hint="eastAsia"/>
                <w:sz w:val="21"/>
                <w:szCs w:val="16"/>
                <w:u w:val="single"/>
              </w:rPr>
              <w:t>排放浓度</w:t>
            </w:r>
          </w:p>
          <w:p>
            <w:pPr>
              <w:spacing w:line="240" w:lineRule="auto"/>
              <w:ind w:firstLine="0" w:firstLineChars="0"/>
              <w:jc w:val="center"/>
              <w:rPr>
                <w:sz w:val="21"/>
                <w:szCs w:val="16"/>
                <w:u w:val="single"/>
              </w:rPr>
            </w:pPr>
            <w:r>
              <w:rPr>
                <w:rFonts w:hint="eastAsia"/>
                <w:sz w:val="21"/>
                <w:szCs w:val="16"/>
                <w:u w:val="single"/>
              </w:rPr>
              <w:t>mg</w:t>
            </w:r>
            <w:r>
              <w:rPr>
                <w:sz w:val="21"/>
                <w:szCs w:val="16"/>
                <w:u w:val="single"/>
              </w:rPr>
              <w:t>/m</w:t>
            </w:r>
            <w:r>
              <w:rPr>
                <w:sz w:val="21"/>
                <w:szCs w:val="16"/>
                <w:u w:val="single"/>
                <w:vertAlign w:val="superscript"/>
              </w:rPr>
              <w:t>3</w:t>
            </w:r>
          </w:p>
        </w:tc>
        <w:tc>
          <w:tcPr>
            <w:tcW w:w="421" w:type="pct"/>
          </w:tcPr>
          <w:p>
            <w:pPr>
              <w:spacing w:line="240" w:lineRule="auto"/>
              <w:ind w:firstLine="0" w:firstLineChars="0"/>
              <w:jc w:val="center"/>
              <w:rPr>
                <w:sz w:val="21"/>
                <w:szCs w:val="16"/>
                <w:u w:val="single"/>
              </w:rPr>
            </w:pPr>
            <w:r>
              <w:rPr>
                <w:rFonts w:hint="eastAsia"/>
                <w:sz w:val="21"/>
                <w:szCs w:val="16"/>
                <w:u w:val="single"/>
              </w:rPr>
              <w:t>排放量</w:t>
            </w:r>
          </w:p>
          <w:p>
            <w:pPr>
              <w:spacing w:line="240" w:lineRule="auto"/>
              <w:ind w:firstLine="0" w:firstLineChars="0"/>
              <w:jc w:val="center"/>
              <w:rPr>
                <w:sz w:val="21"/>
                <w:szCs w:val="16"/>
                <w:u w:val="single"/>
              </w:rPr>
            </w:pPr>
            <w:r>
              <w:rPr>
                <w:rFonts w:hint="eastAsia"/>
                <w:sz w:val="21"/>
                <w:szCs w:val="16"/>
                <w:u w:val="single"/>
              </w:rPr>
              <w:t>t</w:t>
            </w:r>
            <w:r>
              <w:rPr>
                <w:sz w:val="21"/>
                <w:szCs w:val="16"/>
                <w:u w:val="single"/>
              </w:rPr>
              <w:t>/a</w:t>
            </w:r>
          </w:p>
        </w:tc>
        <w:tc>
          <w:tcPr>
            <w:tcW w:w="556" w:type="pct"/>
          </w:tcPr>
          <w:p>
            <w:pPr>
              <w:spacing w:line="240" w:lineRule="auto"/>
              <w:ind w:firstLine="0" w:firstLineChars="0"/>
              <w:jc w:val="center"/>
              <w:rPr>
                <w:sz w:val="21"/>
                <w:szCs w:val="16"/>
                <w:u w:val="single"/>
              </w:rPr>
            </w:pPr>
            <w:r>
              <w:rPr>
                <w:rFonts w:hint="eastAsia"/>
                <w:sz w:val="21"/>
                <w:szCs w:val="16"/>
                <w:u w:val="single"/>
              </w:rPr>
              <w:t>排放速率</w:t>
            </w:r>
          </w:p>
          <w:p>
            <w:pPr>
              <w:spacing w:line="240" w:lineRule="auto"/>
              <w:ind w:firstLine="0" w:firstLineChars="0"/>
              <w:jc w:val="center"/>
              <w:rPr>
                <w:sz w:val="21"/>
                <w:szCs w:val="16"/>
                <w:u w:val="single"/>
              </w:rPr>
            </w:pPr>
            <w:r>
              <w:rPr>
                <w:rFonts w:hint="eastAsia"/>
                <w:sz w:val="21"/>
                <w:szCs w:val="16"/>
                <w:u w:val="single"/>
              </w:rPr>
              <w:t>kg</w:t>
            </w:r>
            <w:r>
              <w:rPr>
                <w:sz w:val="21"/>
                <w:szCs w:val="16"/>
                <w:u w:val="single"/>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006</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7068.33</w:t>
            </w:r>
          </w:p>
        </w:tc>
        <w:tc>
          <w:tcPr>
            <w:tcW w:w="559" w:type="pc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80.80</w:t>
            </w:r>
          </w:p>
        </w:tc>
        <w:tc>
          <w:tcPr>
            <w:tcW w:w="422"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26.50</w:t>
            </w:r>
          </w:p>
        </w:tc>
        <w:tc>
          <w:tcPr>
            <w:tcW w:w="559" w:type="pct"/>
            <w:vMerge w:val="restart"/>
          </w:tcPr>
          <w:p>
            <w:pPr>
              <w:spacing w:line="240" w:lineRule="auto"/>
              <w:ind w:firstLine="0" w:firstLineChars="0"/>
              <w:jc w:val="center"/>
              <w:rPr>
                <w:sz w:val="21"/>
                <w:szCs w:val="16"/>
                <w:u w:val="single"/>
              </w:rPr>
            </w:pPr>
            <w:r>
              <w:rPr>
                <w:rFonts w:hint="eastAsia"/>
                <w:sz w:val="21"/>
                <w:szCs w:val="16"/>
                <w:u w:val="single"/>
              </w:rPr>
              <w:t>SCNR</w:t>
            </w:r>
          </w:p>
          <w:p>
            <w:pPr>
              <w:spacing w:line="240" w:lineRule="auto"/>
              <w:ind w:firstLine="0" w:firstLineChars="0"/>
              <w:jc w:val="center"/>
              <w:rPr>
                <w:sz w:val="21"/>
                <w:szCs w:val="16"/>
                <w:u w:val="single"/>
              </w:rPr>
            </w:pPr>
            <w:r>
              <w:rPr>
                <w:rFonts w:hint="eastAsia"/>
                <w:sz w:val="21"/>
                <w:szCs w:val="16"/>
                <w:u w:val="single"/>
              </w:rPr>
              <w:t>+SCR</w:t>
            </w:r>
          </w:p>
        </w:tc>
        <w:tc>
          <w:tcPr>
            <w:tcW w:w="559" w:type="pct"/>
            <w:vMerge w:val="restart"/>
          </w:tcPr>
          <w:p>
            <w:pPr>
              <w:spacing w:line="240" w:lineRule="auto"/>
              <w:ind w:firstLine="0" w:firstLineChars="0"/>
              <w:jc w:val="center"/>
              <w:rPr>
                <w:sz w:val="21"/>
                <w:szCs w:val="16"/>
                <w:u w:val="single"/>
              </w:rPr>
            </w:pPr>
            <w:r>
              <w:rPr>
                <w:sz w:val="21"/>
                <w:szCs w:val="16"/>
                <w:u w:val="single"/>
              </w:rPr>
              <w:t>90</w:t>
            </w:r>
          </w:p>
        </w:tc>
        <w:tc>
          <w:tcPr>
            <w:tcW w:w="559" w:type="pc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w:t>
            </w:r>
          </w:p>
        </w:tc>
        <w:tc>
          <w:tcPr>
            <w:tcW w:w="421"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2.65</w:t>
            </w:r>
          </w:p>
        </w:tc>
        <w:tc>
          <w:tcPr>
            <w:tcW w:w="556"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007</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5602.50</w:t>
            </w:r>
          </w:p>
        </w:tc>
        <w:tc>
          <w:tcPr>
            <w:tcW w:w="559"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80.80</w:t>
            </w:r>
          </w:p>
        </w:tc>
        <w:tc>
          <w:tcPr>
            <w:tcW w:w="42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89.75</w:t>
            </w:r>
          </w:p>
        </w:tc>
        <w:tc>
          <w:tcPr>
            <w:tcW w:w="559" w:type="pct"/>
            <w:vMerge w:val="continue"/>
          </w:tcPr>
          <w:p>
            <w:pPr>
              <w:spacing w:line="240" w:lineRule="auto"/>
              <w:ind w:firstLine="0" w:firstLineChars="0"/>
              <w:jc w:val="center"/>
              <w:rPr>
                <w:sz w:val="21"/>
                <w:szCs w:val="16"/>
                <w:u w:val="single"/>
              </w:rPr>
            </w:pPr>
          </w:p>
        </w:tc>
        <w:tc>
          <w:tcPr>
            <w:tcW w:w="559" w:type="pct"/>
            <w:vMerge w:val="continue"/>
          </w:tcPr>
          <w:p>
            <w:pPr>
              <w:spacing w:line="240" w:lineRule="auto"/>
              <w:ind w:firstLine="0" w:firstLineChars="0"/>
              <w:jc w:val="center"/>
              <w:rPr>
                <w:sz w:val="21"/>
                <w:szCs w:val="16"/>
                <w:u w:val="single"/>
              </w:rPr>
            </w:pPr>
          </w:p>
        </w:tc>
        <w:tc>
          <w:tcPr>
            <w:tcW w:w="559"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w:t>
            </w:r>
          </w:p>
        </w:tc>
        <w:tc>
          <w:tcPr>
            <w:tcW w:w="421"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8.98</w:t>
            </w:r>
          </w:p>
        </w:tc>
        <w:tc>
          <w:tcPr>
            <w:tcW w:w="556" w:type="pct"/>
            <w:vAlign w:val="center"/>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008</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4136.67</w:t>
            </w:r>
          </w:p>
        </w:tc>
        <w:tc>
          <w:tcPr>
            <w:tcW w:w="559"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80.80</w:t>
            </w:r>
          </w:p>
        </w:tc>
        <w:tc>
          <w:tcPr>
            <w:tcW w:w="422" w:type="pct"/>
            <w:vAlign w:val="center"/>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53.00</w:t>
            </w:r>
          </w:p>
        </w:tc>
        <w:tc>
          <w:tcPr>
            <w:tcW w:w="559" w:type="pct"/>
            <w:vMerge w:val="continue"/>
          </w:tcPr>
          <w:p>
            <w:pPr>
              <w:spacing w:line="240" w:lineRule="auto"/>
              <w:ind w:firstLine="0" w:firstLineChars="0"/>
              <w:jc w:val="center"/>
              <w:rPr>
                <w:sz w:val="21"/>
                <w:szCs w:val="16"/>
                <w:u w:val="single"/>
              </w:rPr>
            </w:pPr>
          </w:p>
        </w:tc>
        <w:tc>
          <w:tcPr>
            <w:tcW w:w="559" w:type="pct"/>
            <w:vMerge w:val="continue"/>
          </w:tcPr>
          <w:p>
            <w:pPr>
              <w:spacing w:line="240" w:lineRule="auto"/>
              <w:ind w:firstLine="0" w:firstLineChars="0"/>
              <w:jc w:val="center"/>
              <w:rPr>
                <w:sz w:val="21"/>
                <w:szCs w:val="16"/>
                <w:u w:val="single"/>
              </w:rPr>
            </w:pPr>
          </w:p>
        </w:tc>
        <w:tc>
          <w:tcPr>
            <w:tcW w:w="559"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w:t>
            </w:r>
          </w:p>
        </w:tc>
        <w:tc>
          <w:tcPr>
            <w:tcW w:w="421" w:type="pct"/>
            <w:vAlign w:val="center"/>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5.30</w:t>
            </w:r>
          </w:p>
        </w:tc>
        <w:tc>
          <w:tcPr>
            <w:tcW w:w="556" w:type="pc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009</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5602.50</w:t>
            </w:r>
          </w:p>
        </w:tc>
        <w:tc>
          <w:tcPr>
            <w:tcW w:w="559"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80.80</w:t>
            </w:r>
          </w:p>
        </w:tc>
        <w:tc>
          <w:tcPr>
            <w:tcW w:w="42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89.75</w:t>
            </w:r>
          </w:p>
        </w:tc>
        <w:tc>
          <w:tcPr>
            <w:tcW w:w="559" w:type="pct"/>
            <w:vMerge w:val="continue"/>
          </w:tcPr>
          <w:p>
            <w:pPr>
              <w:spacing w:line="240" w:lineRule="auto"/>
              <w:ind w:firstLine="0" w:firstLineChars="0"/>
              <w:jc w:val="center"/>
              <w:rPr>
                <w:sz w:val="21"/>
                <w:szCs w:val="16"/>
                <w:u w:val="single"/>
              </w:rPr>
            </w:pPr>
          </w:p>
        </w:tc>
        <w:tc>
          <w:tcPr>
            <w:tcW w:w="559" w:type="pct"/>
            <w:vMerge w:val="continue"/>
          </w:tcPr>
          <w:p>
            <w:pPr>
              <w:spacing w:line="240" w:lineRule="auto"/>
              <w:ind w:firstLine="0" w:firstLineChars="0"/>
              <w:jc w:val="center"/>
              <w:rPr>
                <w:sz w:val="21"/>
                <w:szCs w:val="16"/>
                <w:u w:val="single"/>
              </w:rPr>
            </w:pPr>
          </w:p>
        </w:tc>
        <w:tc>
          <w:tcPr>
            <w:tcW w:w="559"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w:t>
            </w:r>
          </w:p>
        </w:tc>
        <w:tc>
          <w:tcPr>
            <w:tcW w:w="421"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8.98</w:t>
            </w:r>
          </w:p>
        </w:tc>
        <w:tc>
          <w:tcPr>
            <w:tcW w:w="556" w:type="pct"/>
            <w:vAlign w:val="center"/>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.18</w:t>
            </w:r>
          </w:p>
        </w:tc>
      </w:tr>
    </w:tbl>
    <w:p>
      <w:pPr>
        <w:ind w:firstLine="480"/>
        <w:rPr>
          <w:rFonts w:cs="Times New Roman"/>
          <w:u w:val="single"/>
        </w:rPr>
      </w:pPr>
      <w:r>
        <w:rPr>
          <w:rFonts w:cs="Times New Roman"/>
          <w:u w:val="single"/>
        </w:rPr>
        <w:t>（5）氟化物</w:t>
      </w:r>
    </w:p>
    <w:p>
      <w:pPr>
        <w:ind w:firstLine="480"/>
        <w:rPr>
          <w:rFonts w:cs="Times New Roman"/>
          <w:u w:val="single"/>
        </w:rPr>
      </w:pPr>
      <w:r>
        <w:rPr>
          <w:rFonts w:cs="Times New Roman"/>
          <w:u w:val="single"/>
        </w:rPr>
        <w:t>辊道窑烟气中氟化物主要来自于极少量的原料挥发</w:t>
      </w:r>
      <w:r>
        <w:rPr>
          <w:rFonts w:hint="eastAsia" w:cs="Times New Roman"/>
          <w:u w:val="single"/>
        </w:rPr>
        <w:t>，本项目原料中氟含量极少，原料和产品中氟均未检出。本次</w:t>
      </w:r>
      <w:r>
        <w:rPr>
          <w:rFonts w:cs="Times New Roman"/>
          <w:u w:val="single"/>
        </w:rPr>
        <w:t>类比河源市恒福陶瓷有限公司的运行情况</w:t>
      </w:r>
      <w:r>
        <w:rPr>
          <w:rFonts w:hint="eastAsia" w:cs="Times New Roman"/>
          <w:u w:val="single"/>
        </w:rPr>
        <w:t>进行污染物源强核算</w:t>
      </w:r>
      <w:r>
        <w:rPr>
          <w:rFonts w:cs="Times New Roman"/>
          <w:u w:val="single"/>
        </w:rPr>
        <w:t>，辊道窑烟气中的氟化物浓度约为3.2mg/m</w:t>
      </w:r>
      <w:r>
        <w:rPr>
          <w:rFonts w:cs="Times New Roman"/>
          <w:u w:val="single"/>
          <w:vertAlign w:val="superscript"/>
        </w:rPr>
        <w:t>3</w:t>
      </w:r>
      <w:r>
        <w:rPr>
          <w:rFonts w:cs="Times New Roman"/>
          <w:u w:val="single"/>
        </w:rPr>
        <w:t>，</w:t>
      </w:r>
      <w:r>
        <w:rPr>
          <w:rFonts w:hint="eastAsia" w:cs="Times New Roman"/>
          <w:u w:val="single"/>
        </w:rPr>
        <w:t>本项目尾气处理设施为“</w:t>
      </w:r>
      <w:r>
        <w:rPr>
          <w:rFonts w:cs="Times New Roman"/>
          <w:u w:val="single"/>
        </w:rPr>
        <w:t>SNCR脱硝</w:t>
      </w:r>
      <w:r>
        <w:rPr>
          <w:rFonts w:hint="eastAsia" w:cs="Times New Roman"/>
          <w:u w:val="single"/>
        </w:rPr>
        <w:t>+SCR脱硝</w:t>
      </w:r>
      <w:r>
        <w:rPr>
          <w:rFonts w:cs="Times New Roman"/>
          <w:u w:val="single"/>
        </w:rPr>
        <w:t>+石灰-石膏法脱硫+袋式除尘</w:t>
      </w:r>
      <w:r>
        <w:rPr>
          <w:rFonts w:hint="eastAsia" w:cs="Times New Roman"/>
          <w:u w:val="single"/>
        </w:rPr>
        <w:t>”，氟化物在烟气中是气态和颗粒态共存的状态，袋式除尘器能去除大部分颗粒态的氟化物，因此本次考虑废气治理设施对氟化物的去除效率为5</w:t>
      </w:r>
      <w:r>
        <w:rPr>
          <w:rFonts w:cs="Times New Roman"/>
          <w:u w:val="single"/>
        </w:rPr>
        <w:t>0</w:t>
      </w:r>
      <w:r>
        <w:rPr>
          <w:rFonts w:hint="eastAsia" w:cs="Times New Roman"/>
          <w:u w:val="single"/>
        </w:rPr>
        <w:t>%，氟化物产排情况如下：</w:t>
      </w:r>
    </w:p>
    <w:p>
      <w:pPr>
        <w:ind w:firstLine="0" w:firstLineChars="0"/>
        <w:jc w:val="center"/>
        <w:rPr>
          <w:rFonts w:cs="Times New Roman"/>
          <w:u w:val="single"/>
        </w:rPr>
      </w:pPr>
      <w:r>
        <w:rPr>
          <w:rFonts w:hint="eastAsia" w:cs="Times New Roman"/>
          <w:u w:val="single"/>
        </w:rPr>
        <w:t>表3</w:t>
      </w:r>
      <w:r>
        <w:rPr>
          <w:rFonts w:cs="Times New Roman"/>
          <w:u w:val="single"/>
        </w:rPr>
        <w:t>.3</w:t>
      </w:r>
      <w:r>
        <w:rPr>
          <w:rFonts w:hint="eastAsia" w:cs="Times New Roman"/>
          <w:u w:val="single"/>
        </w:rPr>
        <w:t>-</w:t>
      </w:r>
      <w:r>
        <w:rPr>
          <w:rFonts w:cs="Times New Roman"/>
          <w:u w:val="single"/>
        </w:rPr>
        <w:t xml:space="preserve">5  </w:t>
      </w:r>
      <w:r>
        <w:rPr>
          <w:rFonts w:hint="eastAsia" w:cs="Times New Roman"/>
          <w:u w:val="single"/>
        </w:rPr>
        <w:t>炉窑废气氟化物产排情况表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63"/>
        <w:gridCol w:w="1106"/>
        <w:gridCol w:w="930"/>
        <w:gridCol w:w="702"/>
        <w:gridCol w:w="930"/>
        <w:gridCol w:w="930"/>
        <w:gridCol w:w="930"/>
        <w:gridCol w:w="700"/>
        <w:gridCol w:w="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16"/>
                <w:u w:val="single"/>
              </w:rPr>
            </w:pPr>
            <w:r>
              <w:rPr>
                <w:rFonts w:hint="eastAsia"/>
                <w:sz w:val="21"/>
                <w:szCs w:val="16"/>
                <w:u w:val="single"/>
              </w:rPr>
              <w:t>排气筒编号</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烟气量</w:t>
            </w:r>
          </w:p>
          <w:p>
            <w:pPr>
              <w:spacing w:line="240" w:lineRule="auto"/>
              <w:ind w:firstLine="0" w:firstLineChars="0"/>
              <w:jc w:val="center"/>
              <w:rPr>
                <w:sz w:val="21"/>
                <w:szCs w:val="16"/>
                <w:u w:val="single"/>
              </w:rPr>
            </w:pPr>
            <w:r>
              <w:rPr>
                <w:rFonts w:hint="eastAsia"/>
                <w:sz w:val="21"/>
                <w:szCs w:val="16"/>
                <w:u w:val="single"/>
              </w:rPr>
              <w:t>万Nm</w:t>
            </w:r>
            <w:r>
              <w:rPr>
                <w:sz w:val="21"/>
                <w:szCs w:val="16"/>
                <w:u w:val="single"/>
                <w:vertAlign w:val="superscript"/>
              </w:rPr>
              <w:t>3</w:t>
            </w:r>
            <w:r>
              <w:rPr>
                <w:sz w:val="21"/>
                <w:szCs w:val="16"/>
                <w:u w:val="single"/>
              </w:rPr>
              <w:t>/a</w:t>
            </w:r>
          </w:p>
        </w:tc>
        <w:tc>
          <w:tcPr>
            <w:tcW w:w="559" w:type="pct"/>
            <w:vAlign w:val="center"/>
          </w:tcPr>
          <w:p>
            <w:pPr>
              <w:spacing w:line="240" w:lineRule="auto"/>
              <w:ind w:firstLine="0" w:firstLineChars="0"/>
              <w:jc w:val="center"/>
              <w:rPr>
                <w:sz w:val="21"/>
                <w:szCs w:val="16"/>
                <w:u w:val="single"/>
              </w:rPr>
            </w:pPr>
            <w:r>
              <w:rPr>
                <w:rFonts w:hint="eastAsia"/>
                <w:sz w:val="21"/>
                <w:szCs w:val="16"/>
                <w:u w:val="single"/>
              </w:rPr>
              <w:t>产生浓度</w:t>
            </w:r>
          </w:p>
          <w:p>
            <w:pPr>
              <w:spacing w:line="240" w:lineRule="auto"/>
              <w:ind w:firstLine="0" w:firstLineChars="0"/>
              <w:jc w:val="center"/>
              <w:rPr>
                <w:sz w:val="21"/>
                <w:szCs w:val="16"/>
                <w:u w:val="single"/>
              </w:rPr>
            </w:pPr>
            <w:r>
              <w:rPr>
                <w:rFonts w:hint="eastAsia"/>
                <w:sz w:val="21"/>
                <w:szCs w:val="16"/>
                <w:u w:val="single"/>
              </w:rPr>
              <w:t>mg</w:t>
            </w:r>
            <w:r>
              <w:rPr>
                <w:sz w:val="21"/>
                <w:szCs w:val="16"/>
                <w:u w:val="single"/>
              </w:rPr>
              <w:t>/m</w:t>
            </w:r>
            <w:r>
              <w:rPr>
                <w:sz w:val="21"/>
                <w:szCs w:val="16"/>
                <w:u w:val="single"/>
                <w:vertAlign w:val="superscript"/>
              </w:rPr>
              <w:t>3</w:t>
            </w:r>
          </w:p>
        </w:tc>
        <w:tc>
          <w:tcPr>
            <w:tcW w:w="422" w:type="pct"/>
            <w:vAlign w:val="center"/>
          </w:tcPr>
          <w:p>
            <w:pPr>
              <w:spacing w:line="240" w:lineRule="auto"/>
              <w:ind w:firstLine="0" w:firstLineChars="0"/>
              <w:jc w:val="center"/>
              <w:rPr>
                <w:sz w:val="21"/>
                <w:szCs w:val="16"/>
                <w:u w:val="single"/>
              </w:rPr>
            </w:pPr>
            <w:r>
              <w:rPr>
                <w:rFonts w:hint="eastAsia"/>
                <w:sz w:val="21"/>
                <w:szCs w:val="16"/>
                <w:u w:val="single"/>
              </w:rPr>
              <w:t>产生量</w:t>
            </w:r>
          </w:p>
          <w:p>
            <w:pPr>
              <w:spacing w:line="240" w:lineRule="auto"/>
              <w:ind w:firstLine="0" w:firstLineChars="0"/>
              <w:jc w:val="center"/>
              <w:rPr>
                <w:sz w:val="21"/>
                <w:szCs w:val="16"/>
                <w:u w:val="single"/>
              </w:rPr>
            </w:pPr>
            <w:r>
              <w:rPr>
                <w:rFonts w:hint="eastAsia"/>
                <w:sz w:val="21"/>
                <w:szCs w:val="16"/>
                <w:u w:val="single"/>
              </w:rPr>
              <w:t>t</w:t>
            </w:r>
            <w:r>
              <w:rPr>
                <w:sz w:val="21"/>
                <w:szCs w:val="16"/>
                <w:u w:val="single"/>
              </w:rPr>
              <w:t>/a</w:t>
            </w:r>
          </w:p>
        </w:tc>
        <w:tc>
          <w:tcPr>
            <w:tcW w:w="559" w:type="pct"/>
            <w:vAlign w:val="center"/>
          </w:tcPr>
          <w:p>
            <w:pPr>
              <w:spacing w:line="240" w:lineRule="auto"/>
              <w:ind w:firstLine="0" w:firstLineChars="0"/>
              <w:jc w:val="center"/>
              <w:rPr>
                <w:sz w:val="21"/>
                <w:szCs w:val="16"/>
                <w:u w:val="single"/>
              </w:rPr>
            </w:pPr>
            <w:r>
              <w:rPr>
                <w:rFonts w:hint="eastAsia"/>
                <w:sz w:val="21"/>
                <w:szCs w:val="16"/>
                <w:u w:val="single"/>
              </w:rPr>
              <w:t>处理工艺</w:t>
            </w:r>
          </w:p>
        </w:tc>
        <w:tc>
          <w:tcPr>
            <w:tcW w:w="559" w:type="pct"/>
            <w:vAlign w:val="center"/>
          </w:tcPr>
          <w:p>
            <w:pPr>
              <w:spacing w:line="240" w:lineRule="auto"/>
              <w:ind w:firstLine="0" w:firstLineChars="0"/>
              <w:jc w:val="center"/>
              <w:rPr>
                <w:sz w:val="21"/>
                <w:szCs w:val="16"/>
                <w:u w:val="single"/>
              </w:rPr>
            </w:pPr>
            <w:r>
              <w:rPr>
                <w:rFonts w:hint="eastAsia"/>
                <w:sz w:val="21"/>
                <w:szCs w:val="16"/>
                <w:u w:val="single"/>
              </w:rPr>
              <w:t>处理效率</w:t>
            </w:r>
          </w:p>
          <w:p>
            <w:pPr>
              <w:spacing w:line="240" w:lineRule="auto"/>
              <w:ind w:firstLine="0" w:firstLineChars="0"/>
              <w:jc w:val="center"/>
              <w:rPr>
                <w:sz w:val="21"/>
                <w:szCs w:val="16"/>
                <w:u w:val="single"/>
              </w:rPr>
            </w:pPr>
            <w:r>
              <w:rPr>
                <w:rFonts w:hint="eastAsia"/>
                <w:sz w:val="21"/>
                <w:szCs w:val="16"/>
                <w:u w:val="single"/>
              </w:rPr>
              <w:t>%</w:t>
            </w:r>
          </w:p>
        </w:tc>
        <w:tc>
          <w:tcPr>
            <w:tcW w:w="559" w:type="pct"/>
            <w:vAlign w:val="center"/>
          </w:tcPr>
          <w:p>
            <w:pPr>
              <w:spacing w:line="240" w:lineRule="auto"/>
              <w:ind w:firstLine="0" w:firstLineChars="0"/>
              <w:jc w:val="center"/>
              <w:rPr>
                <w:sz w:val="21"/>
                <w:szCs w:val="16"/>
                <w:u w:val="single"/>
              </w:rPr>
            </w:pPr>
            <w:r>
              <w:rPr>
                <w:rFonts w:hint="eastAsia"/>
                <w:sz w:val="21"/>
                <w:szCs w:val="16"/>
                <w:u w:val="single"/>
              </w:rPr>
              <w:t>排放浓度</w:t>
            </w:r>
          </w:p>
          <w:p>
            <w:pPr>
              <w:spacing w:line="240" w:lineRule="auto"/>
              <w:ind w:firstLine="0" w:firstLineChars="0"/>
              <w:jc w:val="center"/>
              <w:rPr>
                <w:sz w:val="21"/>
                <w:szCs w:val="16"/>
                <w:u w:val="single"/>
              </w:rPr>
            </w:pPr>
            <w:r>
              <w:rPr>
                <w:rFonts w:hint="eastAsia"/>
                <w:sz w:val="21"/>
                <w:szCs w:val="16"/>
                <w:u w:val="single"/>
              </w:rPr>
              <w:t>mg</w:t>
            </w:r>
            <w:r>
              <w:rPr>
                <w:sz w:val="21"/>
                <w:szCs w:val="16"/>
                <w:u w:val="single"/>
              </w:rPr>
              <w:t>/m</w:t>
            </w:r>
            <w:r>
              <w:rPr>
                <w:sz w:val="21"/>
                <w:szCs w:val="16"/>
                <w:u w:val="single"/>
                <w:vertAlign w:val="superscript"/>
              </w:rPr>
              <w:t>3</w:t>
            </w:r>
          </w:p>
        </w:tc>
        <w:tc>
          <w:tcPr>
            <w:tcW w:w="421" w:type="pct"/>
            <w:vAlign w:val="center"/>
          </w:tcPr>
          <w:p>
            <w:pPr>
              <w:spacing w:line="240" w:lineRule="auto"/>
              <w:ind w:firstLine="0" w:firstLineChars="0"/>
              <w:jc w:val="center"/>
              <w:rPr>
                <w:sz w:val="21"/>
                <w:szCs w:val="16"/>
                <w:u w:val="single"/>
              </w:rPr>
            </w:pPr>
            <w:r>
              <w:rPr>
                <w:rFonts w:hint="eastAsia"/>
                <w:sz w:val="21"/>
                <w:szCs w:val="16"/>
                <w:u w:val="single"/>
              </w:rPr>
              <w:t>排放量</w:t>
            </w:r>
          </w:p>
          <w:p>
            <w:pPr>
              <w:spacing w:line="240" w:lineRule="auto"/>
              <w:ind w:firstLine="0" w:firstLineChars="0"/>
              <w:jc w:val="center"/>
              <w:rPr>
                <w:sz w:val="21"/>
                <w:szCs w:val="16"/>
                <w:u w:val="single"/>
              </w:rPr>
            </w:pPr>
            <w:r>
              <w:rPr>
                <w:rFonts w:hint="eastAsia"/>
                <w:sz w:val="21"/>
                <w:szCs w:val="16"/>
                <w:u w:val="single"/>
              </w:rPr>
              <w:t>t</w:t>
            </w:r>
            <w:r>
              <w:rPr>
                <w:sz w:val="21"/>
                <w:szCs w:val="16"/>
                <w:u w:val="single"/>
              </w:rPr>
              <w:t>/a</w:t>
            </w:r>
          </w:p>
        </w:tc>
        <w:tc>
          <w:tcPr>
            <w:tcW w:w="556" w:type="pct"/>
            <w:vAlign w:val="center"/>
          </w:tcPr>
          <w:p>
            <w:pPr>
              <w:spacing w:line="240" w:lineRule="auto"/>
              <w:ind w:firstLine="0" w:firstLineChars="0"/>
              <w:jc w:val="center"/>
              <w:rPr>
                <w:sz w:val="21"/>
                <w:szCs w:val="16"/>
                <w:u w:val="single"/>
              </w:rPr>
            </w:pPr>
            <w:r>
              <w:rPr>
                <w:rFonts w:hint="eastAsia"/>
                <w:sz w:val="21"/>
                <w:szCs w:val="16"/>
                <w:u w:val="single"/>
              </w:rPr>
              <w:t>排放速率</w:t>
            </w:r>
          </w:p>
          <w:p>
            <w:pPr>
              <w:spacing w:line="240" w:lineRule="auto"/>
              <w:ind w:firstLine="0" w:firstLineChars="0"/>
              <w:jc w:val="center"/>
              <w:rPr>
                <w:sz w:val="21"/>
                <w:szCs w:val="16"/>
                <w:u w:val="single"/>
              </w:rPr>
            </w:pPr>
            <w:r>
              <w:rPr>
                <w:rFonts w:hint="eastAsia"/>
                <w:sz w:val="21"/>
                <w:szCs w:val="16"/>
                <w:u w:val="single"/>
              </w:rPr>
              <w:t>kg</w:t>
            </w:r>
            <w:r>
              <w:rPr>
                <w:sz w:val="21"/>
                <w:szCs w:val="16"/>
                <w:u w:val="single"/>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006</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7068.33</w:t>
            </w:r>
          </w:p>
        </w:tc>
        <w:tc>
          <w:tcPr>
            <w:tcW w:w="559"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w:t>
            </w:r>
          </w:p>
        </w:tc>
        <w:tc>
          <w:tcPr>
            <w:tcW w:w="42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.19</w:t>
            </w:r>
          </w:p>
        </w:tc>
        <w:tc>
          <w:tcPr>
            <w:tcW w:w="559" w:type="pct"/>
            <w:vMerge w:val="restart"/>
            <w:vAlign w:val="center"/>
          </w:tcPr>
          <w:p>
            <w:pPr>
              <w:spacing w:line="240" w:lineRule="auto"/>
              <w:ind w:firstLine="0" w:firstLineChars="0"/>
              <w:jc w:val="center"/>
              <w:rPr>
                <w:sz w:val="21"/>
                <w:szCs w:val="16"/>
                <w:u w:val="single"/>
              </w:rPr>
            </w:pPr>
            <w:r>
              <w:rPr>
                <w:rFonts w:hint="eastAsia"/>
                <w:sz w:val="21"/>
                <w:szCs w:val="16"/>
                <w:u w:val="single"/>
              </w:rPr>
              <w:t>袋式除尘</w:t>
            </w:r>
          </w:p>
        </w:tc>
        <w:tc>
          <w:tcPr>
            <w:tcW w:w="559" w:type="pct"/>
            <w:vMerge w:val="restart"/>
            <w:vAlign w:val="center"/>
          </w:tcPr>
          <w:p>
            <w:pPr>
              <w:spacing w:line="240" w:lineRule="auto"/>
              <w:ind w:firstLine="0" w:firstLineChars="0"/>
              <w:jc w:val="center"/>
              <w:rPr>
                <w:sz w:val="21"/>
                <w:szCs w:val="16"/>
                <w:u w:val="single"/>
              </w:rPr>
            </w:pPr>
            <w:r>
              <w:rPr>
                <w:sz w:val="21"/>
                <w:szCs w:val="16"/>
                <w:u w:val="single"/>
              </w:rPr>
              <w:t>50</w:t>
            </w:r>
          </w:p>
        </w:tc>
        <w:tc>
          <w:tcPr>
            <w:tcW w:w="559" w:type="pct"/>
            <w:vAlign w:val="center"/>
          </w:tcPr>
          <w:p>
            <w:pPr>
              <w:spacing w:line="240" w:lineRule="auto"/>
              <w:ind w:firstLine="0" w:firstLineChars="0"/>
              <w:jc w:val="center"/>
              <w:rPr>
                <w:sz w:val="21"/>
                <w:szCs w:val="16"/>
                <w:u w:val="single"/>
              </w:rPr>
            </w:pPr>
            <w:r>
              <w:rPr>
                <w:rFonts w:eastAsia="等线"/>
                <w:color w:val="000000"/>
                <w:sz w:val="21"/>
                <w:szCs w:val="21"/>
                <w:u w:val="single"/>
              </w:rPr>
              <w:t>1.6</w:t>
            </w:r>
          </w:p>
        </w:tc>
        <w:tc>
          <w:tcPr>
            <w:tcW w:w="421"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.60</w:t>
            </w:r>
          </w:p>
        </w:tc>
        <w:tc>
          <w:tcPr>
            <w:tcW w:w="55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007</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5602.50</w:t>
            </w:r>
          </w:p>
        </w:tc>
        <w:tc>
          <w:tcPr>
            <w:tcW w:w="559"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w:t>
            </w:r>
          </w:p>
        </w:tc>
        <w:tc>
          <w:tcPr>
            <w:tcW w:w="42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.78</w:t>
            </w:r>
          </w:p>
        </w:tc>
        <w:tc>
          <w:tcPr>
            <w:tcW w:w="559" w:type="pct"/>
            <w:vMerge w:val="continue"/>
            <w:vAlign w:val="center"/>
          </w:tcPr>
          <w:p>
            <w:pPr>
              <w:spacing w:line="240" w:lineRule="auto"/>
              <w:ind w:firstLine="0" w:firstLineChars="0"/>
              <w:jc w:val="center"/>
              <w:rPr>
                <w:sz w:val="21"/>
                <w:szCs w:val="16"/>
                <w:u w:val="single"/>
              </w:rPr>
            </w:pPr>
          </w:p>
        </w:tc>
        <w:tc>
          <w:tcPr>
            <w:tcW w:w="559" w:type="pct"/>
            <w:vMerge w:val="continue"/>
            <w:vAlign w:val="center"/>
          </w:tcPr>
          <w:p>
            <w:pPr>
              <w:spacing w:line="240" w:lineRule="auto"/>
              <w:ind w:firstLine="0" w:firstLineChars="0"/>
              <w:jc w:val="center"/>
              <w:rPr>
                <w:sz w:val="21"/>
                <w:szCs w:val="16"/>
                <w:u w:val="single"/>
              </w:rPr>
            </w:pPr>
          </w:p>
        </w:tc>
        <w:tc>
          <w:tcPr>
            <w:tcW w:w="559" w:type="pct"/>
            <w:vAlign w:val="center"/>
          </w:tcPr>
          <w:p>
            <w:pPr>
              <w:spacing w:line="240" w:lineRule="auto"/>
              <w:ind w:firstLine="0" w:firstLineChars="0"/>
              <w:jc w:val="center"/>
              <w:rPr>
                <w:sz w:val="21"/>
                <w:szCs w:val="16"/>
                <w:u w:val="single"/>
              </w:rPr>
            </w:pPr>
            <w:r>
              <w:rPr>
                <w:rFonts w:eastAsia="等线"/>
                <w:color w:val="000000"/>
                <w:sz w:val="21"/>
                <w:szCs w:val="21"/>
                <w:u w:val="single"/>
              </w:rPr>
              <w:t>1.6</w:t>
            </w:r>
          </w:p>
        </w:tc>
        <w:tc>
          <w:tcPr>
            <w:tcW w:w="421"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.89</w:t>
            </w:r>
          </w:p>
        </w:tc>
        <w:tc>
          <w:tcPr>
            <w:tcW w:w="55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008</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4136.67</w:t>
            </w:r>
          </w:p>
        </w:tc>
        <w:tc>
          <w:tcPr>
            <w:tcW w:w="559"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w:t>
            </w:r>
          </w:p>
        </w:tc>
        <w:tc>
          <w:tcPr>
            <w:tcW w:w="42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.37</w:t>
            </w:r>
          </w:p>
        </w:tc>
        <w:tc>
          <w:tcPr>
            <w:tcW w:w="559" w:type="pct"/>
            <w:vMerge w:val="continue"/>
            <w:vAlign w:val="center"/>
          </w:tcPr>
          <w:p>
            <w:pPr>
              <w:spacing w:line="240" w:lineRule="auto"/>
              <w:ind w:firstLine="0" w:firstLineChars="0"/>
              <w:jc w:val="center"/>
              <w:rPr>
                <w:sz w:val="21"/>
                <w:szCs w:val="16"/>
                <w:u w:val="single"/>
              </w:rPr>
            </w:pPr>
          </w:p>
        </w:tc>
        <w:tc>
          <w:tcPr>
            <w:tcW w:w="559" w:type="pct"/>
            <w:vMerge w:val="continue"/>
            <w:vAlign w:val="center"/>
          </w:tcPr>
          <w:p>
            <w:pPr>
              <w:spacing w:line="240" w:lineRule="auto"/>
              <w:ind w:firstLine="0" w:firstLineChars="0"/>
              <w:jc w:val="center"/>
              <w:rPr>
                <w:sz w:val="21"/>
                <w:szCs w:val="16"/>
                <w:u w:val="single"/>
              </w:rPr>
            </w:pPr>
          </w:p>
        </w:tc>
        <w:tc>
          <w:tcPr>
            <w:tcW w:w="559" w:type="pct"/>
            <w:vAlign w:val="center"/>
          </w:tcPr>
          <w:p>
            <w:pPr>
              <w:spacing w:line="240" w:lineRule="auto"/>
              <w:ind w:firstLine="0" w:firstLineChars="0"/>
              <w:jc w:val="center"/>
              <w:rPr>
                <w:sz w:val="21"/>
                <w:szCs w:val="16"/>
                <w:u w:val="single"/>
              </w:rPr>
            </w:pPr>
            <w:r>
              <w:rPr>
                <w:rFonts w:eastAsia="等线"/>
                <w:color w:val="000000"/>
                <w:sz w:val="21"/>
                <w:szCs w:val="21"/>
                <w:u w:val="single"/>
              </w:rPr>
              <w:t>1.6</w:t>
            </w:r>
          </w:p>
        </w:tc>
        <w:tc>
          <w:tcPr>
            <w:tcW w:w="421"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.19</w:t>
            </w:r>
          </w:p>
        </w:tc>
        <w:tc>
          <w:tcPr>
            <w:tcW w:w="55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0" w:type="pc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009</w:t>
            </w:r>
          </w:p>
        </w:tc>
        <w:tc>
          <w:tcPr>
            <w:tcW w:w="665"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5602.50</w:t>
            </w:r>
          </w:p>
        </w:tc>
        <w:tc>
          <w:tcPr>
            <w:tcW w:w="559"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w:t>
            </w:r>
          </w:p>
        </w:tc>
        <w:tc>
          <w:tcPr>
            <w:tcW w:w="42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.78</w:t>
            </w:r>
          </w:p>
        </w:tc>
        <w:tc>
          <w:tcPr>
            <w:tcW w:w="559" w:type="pct"/>
            <w:vMerge w:val="continue"/>
            <w:vAlign w:val="center"/>
          </w:tcPr>
          <w:p>
            <w:pPr>
              <w:spacing w:line="240" w:lineRule="auto"/>
              <w:ind w:firstLine="0" w:firstLineChars="0"/>
              <w:jc w:val="center"/>
              <w:rPr>
                <w:sz w:val="21"/>
                <w:szCs w:val="16"/>
                <w:u w:val="single"/>
              </w:rPr>
            </w:pPr>
          </w:p>
        </w:tc>
        <w:tc>
          <w:tcPr>
            <w:tcW w:w="559" w:type="pct"/>
            <w:vMerge w:val="continue"/>
            <w:vAlign w:val="center"/>
          </w:tcPr>
          <w:p>
            <w:pPr>
              <w:spacing w:line="240" w:lineRule="auto"/>
              <w:ind w:firstLine="0" w:firstLineChars="0"/>
              <w:jc w:val="center"/>
              <w:rPr>
                <w:sz w:val="21"/>
                <w:szCs w:val="16"/>
                <w:u w:val="single"/>
              </w:rPr>
            </w:pPr>
          </w:p>
        </w:tc>
        <w:tc>
          <w:tcPr>
            <w:tcW w:w="559" w:type="pct"/>
            <w:vAlign w:val="center"/>
          </w:tcPr>
          <w:p>
            <w:pPr>
              <w:spacing w:line="240" w:lineRule="auto"/>
              <w:ind w:firstLine="0" w:firstLineChars="0"/>
              <w:jc w:val="center"/>
              <w:rPr>
                <w:sz w:val="21"/>
                <w:szCs w:val="16"/>
                <w:u w:val="single"/>
              </w:rPr>
            </w:pPr>
            <w:r>
              <w:rPr>
                <w:rFonts w:eastAsia="等线"/>
                <w:color w:val="000000"/>
                <w:sz w:val="21"/>
                <w:szCs w:val="21"/>
                <w:u w:val="single"/>
              </w:rPr>
              <w:t>1.6</w:t>
            </w:r>
          </w:p>
        </w:tc>
        <w:tc>
          <w:tcPr>
            <w:tcW w:w="421"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.89</w:t>
            </w:r>
          </w:p>
        </w:tc>
        <w:tc>
          <w:tcPr>
            <w:tcW w:w="55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.11</w:t>
            </w:r>
          </w:p>
        </w:tc>
      </w:tr>
    </w:tbl>
    <w:p>
      <w:pPr>
        <w:ind w:firstLine="480"/>
        <w:rPr>
          <w:rFonts w:cs="Times New Roman"/>
          <w:u w:val="single"/>
        </w:rPr>
      </w:pPr>
      <w:r>
        <w:rPr>
          <w:rFonts w:cs="Times New Roman"/>
          <w:u w:val="single"/>
        </w:rPr>
        <w:t>（6）污染物排放情况</w:t>
      </w:r>
    </w:p>
    <w:p>
      <w:pPr>
        <w:ind w:firstLine="480"/>
        <w:rPr>
          <w:rFonts w:cs="Times New Roman"/>
          <w:u w:val="single"/>
        </w:rPr>
      </w:pPr>
      <w:r>
        <w:rPr>
          <w:rFonts w:hint="eastAsia" w:cs="Times New Roman"/>
          <w:u w:val="single"/>
        </w:rPr>
        <w:t>综上所述，</w:t>
      </w:r>
      <w:r>
        <w:rPr>
          <w:rFonts w:cs="Times New Roman"/>
          <w:u w:val="single"/>
        </w:rPr>
        <w:t>各排气筒污染物产排量如下：</w:t>
      </w:r>
    </w:p>
    <w:p>
      <w:pPr>
        <w:ind w:firstLine="0" w:firstLineChars="0"/>
        <w:jc w:val="center"/>
        <w:rPr>
          <w:rFonts w:cs="Times New Roman"/>
          <w:u w:val="single"/>
        </w:rPr>
      </w:pPr>
      <w:r>
        <w:rPr>
          <w:rFonts w:cs="Times New Roman"/>
          <w:u w:val="single"/>
        </w:rPr>
        <w:t>表3.3-6  炉窑各排气筒污染物产排情况表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6"/>
        <w:gridCol w:w="592"/>
        <w:gridCol w:w="1819"/>
        <w:gridCol w:w="1202"/>
        <w:gridCol w:w="1248"/>
        <w:gridCol w:w="1197"/>
        <w:gridCol w:w="1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8" w:type="pct"/>
            <w:gridSpan w:val="3"/>
            <w:vAlign w:val="center"/>
          </w:tcPr>
          <w:p>
            <w:pPr>
              <w:spacing w:line="240" w:lineRule="auto"/>
              <w:ind w:firstLine="0" w:firstLineChars="0"/>
              <w:jc w:val="center"/>
              <w:rPr>
                <w:sz w:val="21"/>
                <w:szCs w:val="16"/>
                <w:u w:val="single"/>
              </w:rPr>
            </w:pPr>
            <w:r>
              <w:rPr>
                <w:sz w:val="21"/>
                <w:szCs w:val="16"/>
                <w:u w:val="single"/>
              </w:rPr>
              <w:t>排气筒编号</w:t>
            </w:r>
          </w:p>
        </w:tc>
        <w:tc>
          <w:tcPr>
            <w:tcW w:w="705" w:type="pct"/>
            <w:vAlign w:val="center"/>
          </w:tcPr>
          <w:p>
            <w:pPr>
              <w:spacing w:line="240" w:lineRule="auto"/>
              <w:ind w:firstLine="0" w:firstLineChars="0"/>
              <w:jc w:val="center"/>
              <w:rPr>
                <w:sz w:val="21"/>
                <w:szCs w:val="16"/>
                <w:u w:val="single"/>
              </w:rPr>
            </w:pPr>
            <w:r>
              <w:rPr>
                <w:sz w:val="21"/>
                <w:szCs w:val="16"/>
                <w:u w:val="single"/>
              </w:rPr>
              <w:t>DA006</w:t>
            </w:r>
          </w:p>
        </w:tc>
        <w:tc>
          <w:tcPr>
            <w:tcW w:w="732" w:type="pct"/>
            <w:vAlign w:val="center"/>
          </w:tcPr>
          <w:p>
            <w:pPr>
              <w:spacing w:line="240" w:lineRule="auto"/>
              <w:ind w:firstLine="0" w:firstLineChars="0"/>
              <w:jc w:val="center"/>
              <w:rPr>
                <w:sz w:val="21"/>
                <w:szCs w:val="16"/>
                <w:u w:val="single"/>
              </w:rPr>
            </w:pPr>
            <w:r>
              <w:rPr>
                <w:sz w:val="21"/>
                <w:szCs w:val="16"/>
                <w:u w:val="single"/>
              </w:rPr>
              <w:t>DA007</w:t>
            </w:r>
          </w:p>
        </w:tc>
        <w:tc>
          <w:tcPr>
            <w:tcW w:w="702" w:type="pct"/>
            <w:vAlign w:val="center"/>
          </w:tcPr>
          <w:p>
            <w:pPr>
              <w:spacing w:line="240" w:lineRule="auto"/>
              <w:ind w:firstLine="0" w:firstLineChars="0"/>
              <w:jc w:val="center"/>
              <w:rPr>
                <w:sz w:val="21"/>
                <w:szCs w:val="16"/>
                <w:u w:val="single"/>
              </w:rPr>
            </w:pPr>
            <w:r>
              <w:rPr>
                <w:sz w:val="21"/>
                <w:szCs w:val="16"/>
                <w:u w:val="single"/>
              </w:rPr>
              <w:t>DA008</w:t>
            </w:r>
          </w:p>
        </w:tc>
        <w:tc>
          <w:tcPr>
            <w:tcW w:w="732" w:type="pct"/>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gridSpan w:val="2"/>
            <w:vMerge w:val="restart"/>
            <w:vAlign w:val="center"/>
          </w:tcPr>
          <w:p>
            <w:pPr>
              <w:spacing w:line="240" w:lineRule="auto"/>
              <w:ind w:firstLine="420"/>
              <w:jc w:val="center"/>
              <w:rPr>
                <w:sz w:val="21"/>
                <w:szCs w:val="16"/>
                <w:u w:val="single"/>
              </w:rPr>
            </w:pPr>
            <w:r>
              <w:rPr>
                <w:sz w:val="21"/>
                <w:szCs w:val="16"/>
                <w:u w:val="single"/>
              </w:rPr>
              <w:t>烟气量</w:t>
            </w:r>
          </w:p>
        </w:tc>
        <w:tc>
          <w:tcPr>
            <w:tcW w:w="1067" w:type="pct"/>
            <w:vAlign w:val="center"/>
          </w:tcPr>
          <w:p>
            <w:pPr>
              <w:spacing w:line="240" w:lineRule="auto"/>
              <w:ind w:firstLine="0" w:firstLineChars="0"/>
              <w:jc w:val="center"/>
              <w:rPr>
                <w:sz w:val="21"/>
                <w:szCs w:val="16"/>
                <w:u w:val="single"/>
              </w:rPr>
            </w:pPr>
            <w:r>
              <w:rPr>
                <w:rFonts w:hint="eastAsia"/>
                <w:sz w:val="21"/>
                <w:szCs w:val="16"/>
                <w:u w:val="single"/>
              </w:rPr>
              <w:t>万</w:t>
            </w:r>
            <w:r>
              <w:rPr>
                <w:sz w:val="21"/>
                <w:szCs w:val="16"/>
                <w:u w:val="single"/>
              </w:rPr>
              <w:t>Nm</w:t>
            </w:r>
            <w:r>
              <w:rPr>
                <w:sz w:val="21"/>
                <w:szCs w:val="16"/>
                <w:u w:val="single"/>
                <w:vertAlign w:val="superscript"/>
              </w:rPr>
              <w:t>3</w:t>
            </w:r>
            <w:r>
              <w:rPr>
                <w:sz w:val="21"/>
                <w:szCs w:val="16"/>
                <w:u w:val="single"/>
              </w:rPr>
              <w:t>/</w:t>
            </w:r>
            <w:r>
              <w:rPr>
                <w:rFonts w:hint="eastAsia"/>
                <w:sz w:val="21"/>
                <w:szCs w:val="16"/>
                <w:u w:val="single"/>
              </w:rPr>
              <w: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7068.33</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5602.50</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4136.67</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5602.50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gridSpan w:val="2"/>
            <w:vMerge w:val="continue"/>
            <w:vAlign w:val="center"/>
          </w:tcPr>
          <w:p>
            <w:pPr>
              <w:spacing w:line="240" w:lineRule="auto"/>
              <w:ind w:firstLine="0" w:firstLineChars="0"/>
              <w:jc w:val="center"/>
              <w:rPr>
                <w:sz w:val="21"/>
                <w:szCs w:val="16"/>
                <w:u w:val="single"/>
              </w:rPr>
            </w:pPr>
          </w:p>
        </w:tc>
        <w:tc>
          <w:tcPr>
            <w:tcW w:w="1067" w:type="pct"/>
            <w:vAlign w:val="center"/>
          </w:tcPr>
          <w:p>
            <w:pPr>
              <w:spacing w:line="240" w:lineRule="auto"/>
              <w:ind w:firstLine="0" w:firstLineChars="0"/>
              <w:jc w:val="center"/>
              <w:rPr>
                <w:sz w:val="21"/>
                <w:szCs w:val="16"/>
                <w:u w:val="single"/>
              </w:rPr>
            </w:pPr>
            <w:r>
              <w:rPr>
                <w:sz w:val="21"/>
                <w:szCs w:val="16"/>
                <w:u w:val="single"/>
              </w:rPr>
              <w:t>Nm</w:t>
            </w:r>
            <w:r>
              <w:rPr>
                <w:sz w:val="21"/>
                <w:szCs w:val="16"/>
                <w:u w:val="single"/>
                <w:vertAlign w:val="superscript"/>
              </w:rPr>
              <w:t>3</w:t>
            </w:r>
            <w:r>
              <w:rPr>
                <w:sz w:val="21"/>
                <w:szCs w:val="16"/>
                <w:u w:val="single"/>
              </w:rPr>
              <w:t>/h</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6803.45</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0205.18</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3606.91</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0205.18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pPr>
              <w:spacing w:line="240" w:lineRule="auto"/>
              <w:ind w:firstLine="0" w:firstLineChars="0"/>
              <w:jc w:val="center"/>
              <w:rPr>
                <w:sz w:val="21"/>
                <w:szCs w:val="16"/>
                <w:u w:val="single"/>
              </w:rPr>
            </w:pPr>
            <w:r>
              <w:rPr>
                <w:sz w:val="21"/>
                <w:szCs w:val="16"/>
                <w:u w:val="single"/>
              </w:rPr>
              <w:t>SO</w:t>
            </w:r>
            <w:r>
              <w:rPr>
                <w:sz w:val="21"/>
                <w:szCs w:val="16"/>
                <w:u w:val="single"/>
                <w:vertAlign w:val="subscript"/>
              </w:rPr>
              <w:t>2</w:t>
            </w:r>
          </w:p>
        </w:tc>
        <w:tc>
          <w:tcPr>
            <w:tcW w:w="1414" w:type="pct"/>
            <w:gridSpan w:val="2"/>
            <w:vAlign w:val="center"/>
          </w:tcPr>
          <w:p>
            <w:pPr>
              <w:spacing w:line="240" w:lineRule="auto"/>
              <w:ind w:firstLine="0" w:firstLineChars="0"/>
              <w:jc w:val="center"/>
              <w:rPr>
                <w:sz w:val="21"/>
                <w:szCs w:val="16"/>
                <w:u w:val="single"/>
              </w:rPr>
            </w:pPr>
            <w:r>
              <w:rPr>
                <w:sz w:val="21"/>
                <w:szCs w:val="16"/>
                <w:u w:val="single"/>
              </w:rPr>
              <w:t>产生量t/a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5.32</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3.00</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0.68</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产生浓度mg/m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1.33</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1.33</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1.33</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处理效率%</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5</w:t>
            </w:r>
          </w:p>
        </w:tc>
        <w:tc>
          <w:tcPr>
            <w:tcW w:w="732"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5</w:t>
            </w:r>
          </w:p>
        </w:tc>
        <w:tc>
          <w:tcPr>
            <w:tcW w:w="702"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5</w:t>
            </w:r>
          </w:p>
        </w:tc>
        <w:tc>
          <w:tcPr>
            <w:tcW w:w="732"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.30</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.45</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.60</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排放速率kg/h</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.29</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.44</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.58</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排放浓度mg/m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.20</w:t>
            </w:r>
          </w:p>
        </w:tc>
        <w:tc>
          <w:tcPr>
            <w:tcW w:w="732" w:type="pct"/>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.20</w:t>
            </w:r>
          </w:p>
        </w:tc>
        <w:tc>
          <w:tcPr>
            <w:tcW w:w="702" w:type="pct"/>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.20</w:t>
            </w:r>
          </w:p>
        </w:tc>
        <w:tc>
          <w:tcPr>
            <w:tcW w:w="732" w:type="pct"/>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标准限值mg/m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eastAsia="等线"/>
                <w:color w:val="000000"/>
                <w:sz w:val="21"/>
                <w:szCs w:val="21"/>
                <w:u w:val="single"/>
              </w:rPr>
              <w:t>50</w:t>
            </w:r>
          </w:p>
        </w:tc>
        <w:tc>
          <w:tcPr>
            <w:tcW w:w="732" w:type="pct"/>
            <w:vAlign w:val="center"/>
          </w:tcPr>
          <w:p>
            <w:pPr>
              <w:spacing w:line="240" w:lineRule="auto"/>
              <w:ind w:firstLine="0" w:firstLineChars="0"/>
              <w:jc w:val="center"/>
              <w:rPr>
                <w:sz w:val="21"/>
                <w:szCs w:val="16"/>
                <w:u w:val="single"/>
              </w:rPr>
            </w:pPr>
            <w:r>
              <w:rPr>
                <w:rFonts w:eastAsia="等线"/>
                <w:color w:val="000000"/>
                <w:sz w:val="21"/>
                <w:szCs w:val="21"/>
                <w:u w:val="single"/>
              </w:rPr>
              <w:t>50</w:t>
            </w:r>
          </w:p>
        </w:tc>
        <w:tc>
          <w:tcPr>
            <w:tcW w:w="702" w:type="pct"/>
            <w:vAlign w:val="center"/>
          </w:tcPr>
          <w:p>
            <w:pPr>
              <w:spacing w:line="240" w:lineRule="auto"/>
              <w:ind w:firstLine="0" w:firstLineChars="0"/>
              <w:jc w:val="center"/>
              <w:rPr>
                <w:sz w:val="21"/>
                <w:szCs w:val="16"/>
                <w:u w:val="single"/>
              </w:rPr>
            </w:pPr>
            <w:r>
              <w:rPr>
                <w:rFonts w:eastAsia="等线"/>
                <w:color w:val="000000"/>
                <w:sz w:val="21"/>
                <w:szCs w:val="21"/>
                <w:u w:val="single"/>
              </w:rPr>
              <w:t>50</w:t>
            </w:r>
          </w:p>
        </w:tc>
        <w:tc>
          <w:tcPr>
            <w:tcW w:w="732" w:type="pct"/>
            <w:vAlign w:val="center"/>
          </w:tcPr>
          <w:p>
            <w:pPr>
              <w:spacing w:line="240" w:lineRule="auto"/>
              <w:ind w:firstLine="0" w:firstLineChars="0"/>
              <w:jc w:val="center"/>
              <w:rPr>
                <w:sz w:val="21"/>
                <w:szCs w:val="16"/>
                <w:u w:val="single"/>
              </w:rPr>
            </w:pPr>
            <w:r>
              <w:rPr>
                <w:rFonts w:eastAsia="等线"/>
                <w:color w:val="000000"/>
                <w:sz w:val="21"/>
                <w:szCs w:val="21"/>
                <w:u w:val="singl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达标情况</w:t>
            </w:r>
          </w:p>
        </w:tc>
        <w:tc>
          <w:tcPr>
            <w:tcW w:w="705" w:type="pct"/>
            <w:vAlign w:val="center"/>
          </w:tcPr>
          <w:p>
            <w:pPr>
              <w:spacing w:line="240" w:lineRule="auto"/>
              <w:ind w:firstLine="0" w:firstLineChars="0"/>
              <w:jc w:val="center"/>
              <w:rPr>
                <w:sz w:val="21"/>
                <w:szCs w:val="16"/>
                <w:u w:val="single"/>
              </w:rPr>
            </w:pPr>
            <w:r>
              <w:rPr>
                <w:rFonts w:hint="eastAsia"/>
                <w:color w:val="000000"/>
                <w:sz w:val="21"/>
                <w:szCs w:val="21"/>
                <w:u w:val="single"/>
              </w:rPr>
              <w:t>达标</w:t>
            </w:r>
          </w:p>
        </w:tc>
        <w:tc>
          <w:tcPr>
            <w:tcW w:w="732" w:type="pct"/>
            <w:vAlign w:val="center"/>
          </w:tcPr>
          <w:p>
            <w:pPr>
              <w:spacing w:line="240" w:lineRule="auto"/>
              <w:ind w:firstLine="0" w:firstLineChars="0"/>
              <w:jc w:val="center"/>
              <w:rPr>
                <w:sz w:val="21"/>
                <w:szCs w:val="16"/>
                <w:u w:val="single"/>
              </w:rPr>
            </w:pPr>
            <w:r>
              <w:rPr>
                <w:rFonts w:hint="eastAsia"/>
                <w:color w:val="000000"/>
                <w:sz w:val="21"/>
                <w:szCs w:val="21"/>
                <w:u w:val="single"/>
              </w:rPr>
              <w:t>达标</w:t>
            </w:r>
          </w:p>
        </w:tc>
        <w:tc>
          <w:tcPr>
            <w:tcW w:w="702" w:type="pct"/>
            <w:vAlign w:val="center"/>
          </w:tcPr>
          <w:p>
            <w:pPr>
              <w:spacing w:line="240" w:lineRule="auto"/>
              <w:ind w:firstLine="0" w:firstLineChars="0"/>
              <w:jc w:val="center"/>
              <w:rPr>
                <w:sz w:val="21"/>
                <w:szCs w:val="16"/>
                <w:u w:val="single"/>
              </w:rPr>
            </w:pPr>
            <w:r>
              <w:rPr>
                <w:rFonts w:hint="eastAsia"/>
                <w:color w:val="000000"/>
                <w:sz w:val="21"/>
                <w:szCs w:val="21"/>
                <w:u w:val="single"/>
              </w:rPr>
              <w:t>达标</w:t>
            </w:r>
          </w:p>
        </w:tc>
        <w:tc>
          <w:tcPr>
            <w:tcW w:w="732" w:type="pct"/>
            <w:vAlign w:val="center"/>
          </w:tcPr>
          <w:p>
            <w:pPr>
              <w:spacing w:line="240" w:lineRule="auto"/>
              <w:ind w:firstLine="0" w:firstLineChars="0"/>
              <w:jc w:val="center"/>
              <w:rPr>
                <w:sz w:val="21"/>
                <w:szCs w:val="16"/>
                <w:u w:val="single"/>
              </w:rPr>
            </w:pPr>
            <w:r>
              <w:rPr>
                <w:rFonts w:hint="eastAsia"/>
                <w:color w:val="00000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pPr>
              <w:spacing w:line="240" w:lineRule="auto"/>
              <w:ind w:firstLine="0" w:firstLineChars="0"/>
              <w:jc w:val="center"/>
              <w:rPr>
                <w:sz w:val="21"/>
                <w:szCs w:val="16"/>
                <w:u w:val="single"/>
              </w:rPr>
            </w:pPr>
            <w:r>
              <w:rPr>
                <w:sz w:val="21"/>
                <w:szCs w:val="16"/>
                <w:u w:val="single"/>
              </w:rPr>
              <w:t>NO</w:t>
            </w:r>
            <w:r>
              <w:rPr>
                <w:sz w:val="21"/>
                <w:szCs w:val="16"/>
                <w:u w:val="single"/>
                <w:vertAlign w:val="subscript"/>
              </w:rPr>
              <w:t>x</w:t>
            </w:r>
          </w:p>
        </w:tc>
        <w:tc>
          <w:tcPr>
            <w:tcW w:w="1414" w:type="pct"/>
            <w:gridSpan w:val="2"/>
            <w:vAlign w:val="center"/>
          </w:tcPr>
          <w:p>
            <w:pPr>
              <w:spacing w:line="240" w:lineRule="auto"/>
              <w:ind w:firstLine="0" w:firstLineChars="0"/>
              <w:jc w:val="center"/>
              <w:rPr>
                <w:sz w:val="21"/>
                <w:szCs w:val="16"/>
                <w:u w:val="single"/>
              </w:rPr>
            </w:pPr>
            <w:r>
              <w:rPr>
                <w:sz w:val="21"/>
                <w:szCs w:val="16"/>
                <w:u w:val="single"/>
              </w:rPr>
              <w:t>产生量t/a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26.50</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89.75</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53.00</w:t>
            </w:r>
          </w:p>
        </w:tc>
        <w:tc>
          <w:tcPr>
            <w:tcW w:w="732" w:type="pct"/>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89.75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产生浓度mg/m</w:t>
            </w:r>
            <w:r>
              <w:rPr>
                <w:sz w:val="21"/>
                <w:szCs w:val="16"/>
                <w:u w:val="single"/>
                <w:vertAlign w:val="superscript"/>
              </w:rPr>
              <w:t>3</w:t>
            </w:r>
          </w:p>
        </w:tc>
        <w:tc>
          <w:tcPr>
            <w:tcW w:w="705"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80.80</w:t>
            </w:r>
          </w:p>
        </w:tc>
        <w:tc>
          <w:tcPr>
            <w:tcW w:w="732"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80.80</w:t>
            </w:r>
          </w:p>
        </w:tc>
        <w:tc>
          <w:tcPr>
            <w:tcW w:w="702"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80.80</w:t>
            </w:r>
          </w:p>
        </w:tc>
        <w:tc>
          <w:tcPr>
            <w:tcW w:w="732" w:type="pct"/>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处理效率%</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c>
          <w:tcPr>
            <w:tcW w:w="702" w:type="pct"/>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2.65</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8.98</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5.30</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8.98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排放速率kg/h</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.12</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.18</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.24</w:t>
            </w:r>
          </w:p>
        </w:tc>
        <w:tc>
          <w:tcPr>
            <w:tcW w:w="732" w:type="pct"/>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排放浓度mg/m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8</w:t>
            </w:r>
            <w:r>
              <w:rPr>
                <w:sz w:val="21"/>
                <w:szCs w:val="16"/>
                <w:u w:val="single"/>
              </w:rPr>
              <w:t>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标准限值mg/m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80</w:t>
            </w:r>
          </w:p>
        </w:tc>
        <w:tc>
          <w:tcPr>
            <w:tcW w:w="73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80</w:t>
            </w:r>
          </w:p>
        </w:tc>
        <w:tc>
          <w:tcPr>
            <w:tcW w:w="70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80</w:t>
            </w:r>
          </w:p>
        </w:tc>
        <w:tc>
          <w:tcPr>
            <w:tcW w:w="732" w:type="pct"/>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达标情况</w:t>
            </w:r>
          </w:p>
        </w:tc>
        <w:tc>
          <w:tcPr>
            <w:tcW w:w="705" w:type="pct"/>
            <w:vAlign w:val="center"/>
          </w:tcPr>
          <w:p>
            <w:pPr>
              <w:spacing w:line="240" w:lineRule="auto"/>
              <w:ind w:firstLine="0" w:firstLineChars="0"/>
              <w:jc w:val="center"/>
              <w:rPr>
                <w:sz w:val="21"/>
                <w:szCs w:val="16"/>
                <w:u w:val="single"/>
              </w:rPr>
            </w:pPr>
            <w:r>
              <w:rPr>
                <w:rFonts w:hint="eastAsia"/>
                <w:color w:val="000000"/>
                <w:sz w:val="21"/>
                <w:szCs w:val="21"/>
                <w:u w:val="single"/>
              </w:rPr>
              <w:t>达标</w:t>
            </w:r>
          </w:p>
        </w:tc>
        <w:tc>
          <w:tcPr>
            <w:tcW w:w="732" w:type="pct"/>
            <w:vAlign w:val="center"/>
          </w:tcPr>
          <w:p>
            <w:pPr>
              <w:spacing w:line="240" w:lineRule="auto"/>
              <w:ind w:firstLine="0" w:firstLineChars="0"/>
              <w:jc w:val="center"/>
              <w:rPr>
                <w:sz w:val="21"/>
                <w:szCs w:val="16"/>
                <w:u w:val="single"/>
              </w:rPr>
            </w:pPr>
            <w:r>
              <w:rPr>
                <w:rFonts w:hint="eastAsia"/>
                <w:color w:val="000000"/>
                <w:sz w:val="21"/>
                <w:szCs w:val="21"/>
                <w:u w:val="single"/>
              </w:rPr>
              <w:t>达标</w:t>
            </w:r>
          </w:p>
        </w:tc>
        <w:tc>
          <w:tcPr>
            <w:tcW w:w="702" w:type="pct"/>
            <w:vAlign w:val="center"/>
          </w:tcPr>
          <w:p>
            <w:pPr>
              <w:spacing w:line="240" w:lineRule="auto"/>
              <w:ind w:firstLine="0" w:firstLineChars="0"/>
              <w:jc w:val="center"/>
              <w:rPr>
                <w:sz w:val="21"/>
                <w:szCs w:val="16"/>
                <w:u w:val="single"/>
              </w:rPr>
            </w:pPr>
            <w:r>
              <w:rPr>
                <w:rFonts w:hint="eastAsia"/>
                <w:color w:val="000000"/>
                <w:sz w:val="21"/>
                <w:szCs w:val="21"/>
                <w:u w:val="single"/>
              </w:rPr>
              <w:t>达标</w:t>
            </w:r>
          </w:p>
        </w:tc>
        <w:tc>
          <w:tcPr>
            <w:tcW w:w="732" w:type="pct"/>
            <w:vAlign w:val="center"/>
          </w:tcPr>
          <w:p>
            <w:pPr>
              <w:spacing w:line="240" w:lineRule="auto"/>
              <w:ind w:firstLine="0" w:firstLineChars="0"/>
              <w:jc w:val="center"/>
              <w:rPr>
                <w:sz w:val="21"/>
                <w:szCs w:val="16"/>
                <w:u w:val="single"/>
              </w:rPr>
            </w:pPr>
            <w:r>
              <w:rPr>
                <w:rFonts w:hint="eastAsia"/>
                <w:color w:val="00000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pPr>
              <w:spacing w:line="240" w:lineRule="auto"/>
              <w:ind w:firstLine="0" w:firstLineChars="0"/>
              <w:jc w:val="center"/>
              <w:rPr>
                <w:sz w:val="21"/>
                <w:szCs w:val="16"/>
                <w:u w:val="single"/>
              </w:rPr>
            </w:pPr>
            <w:r>
              <w:rPr>
                <w:sz w:val="21"/>
                <w:szCs w:val="16"/>
                <w:u w:val="single"/>
              </w:rPr>
              <w:t>颗粒物</w:t>
            </w:r>
          </w:p>
        </w:tc>
        <w:tc>
          <w:tcPr>
            <w:tcW w:w="1414" w:type="pct"/>
            <w:gridSpan w:val="2"/>
            <w:vAlign w:val="center"/>
          </w:tcPr>
          <w:p>
            <w:pPr>
              <w:spacing w:line="240" w:lineRule="auto"/>
              <w:ind w:firstLine="0" w:firstLineChars="0"/>
              <w:jc w:val="center"/>
              <w:rPr>
                <w:sz w:val="21"/>
                <w:szCs w:val="16"/>
                <w:u w:val="single"/>
              </w:rPr>
            </w:pPr>
            <w:r>
              <w:rPr>
                <w:sz w:val="21"/>
                <w:szCs w:val="16"/>
                <w:u w:val="single"/>
              </w:rPr>
              <w:t>产生量t/a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49.38</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24.07</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98.76</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产生浓度mg/m</w:t>
            </w:r>
            <w:r>
              <w:rPr>
                <w:sz w:val="21"/>
                <w:szCs w:val="16"/>
                <w:u w:val="single"/>
                <w:vertAlign w:val="superscript"/>
              </w:rPr>
              <w:t>3</w:t>
            </w:r>
          </w:p>
        </w:tc>
        <w:tc>
          <w:tcPr>
            <w:tcW w:w="705"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08.82</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08.82</w:t>
            </w:r>
          </w:p>
        </w:tc>
        <w:tc>
          <w:tcPr>
            <w:tcW w:w="70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08.82</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处理效率%</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9</w:t>
            </w:r>
          </w:p>
        </w:tc>
        <w:tc>
          <w:tcPr>
            <w:tcW w:w="732" w:type="pct"/>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9</w:t>
            </w:r>
          </w:p>
        </w:tc>
        <w:tc>
          <w:tcPr>
            <w:tcW w:w="702" w:type="pct"/>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9</w:t>
            </w:r>
          </w:p>
        </w:tc>
        <w:tc>
          <w:tcPr>
            <w:tcW w:w="732" w:type="pct"/>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.49</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.24</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.99</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排放速率kg/h</w:t>
            </w:r>
          </w:p>
        </w:tc>
        <w:tc>
          <w:tcPr>
            <w:tcW w:w="705" w:type="pct"/>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.19</w:t>
            </w:r>
          </w:p>
        </w:tc>
        <w:tc>
          <w:tcPr>
            <w:tcW w:w="732" w:type="pct"/>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.28</w:t>
            </w:r>
          </w:p>
        </w:tc>
        <w:tc>
          <w:tcPr>
            <w:tcW w:w="702" w:type="pct"/>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.38</w:t>
            </w:r>
          </w:p>
        </w:tc>
        <w:tc>
          <w:tcPr>
            <w:tcW w:w="732" w:type="pct"/>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排放浓度mg/m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.09</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.09</w:t>
            </w:r>
          </w:p>
        </w:tc>
        <w:tc>
          <w:tcPr>
            <w:tcW w:w="70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.09</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标准限值mg/m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w:t>
            </w:r>
          </w:p>
        </w:tc>
        <w:tc>
          <w:tcPr>
            <w:tcW w:w="70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达标情况</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达标</w:t>
            </w:r>
          </w:p>
        </w:tc>
        <w:tc>
          <w:tcPr>
            <w:tcW w:w="732" w:type="pct"/>
          </w:tcPr>
          <w:p>
            <w:pPr>
              <w:spacing w:line="240" w:lineRule="auto"/>
              <w:ind w:firstLine="0" w:firstLineChars="0"/>
              <w:jc w:val="center"/>
              <w:rPr>
                <w:sz w:val="21"/>
                <w:szCs w:val="16"/>
                <w:u w:val="single"/>
              </w:rPr>
            </w:pPr>
            <w:r>
              <w:rPr>
                <w:rFonts w:hint="eastAsia"/>
                <w:sz w:val="21"/>
                <w:szCs w:val="16"/>
                <w:u w:val="single"/>
              </w:rPr>
              <w:t>达标</w:t>
            </w:r>
          </w:p>
        </w:tc>
        <w:tc>
          <w:tcPr>
            <w:tcW w:w="702" w:type="pct"/>
          </w:tcPr>
          <w:p>
            <w:pPr>
              <w:spacing w:line="240" w:lineRule="auto"/>
              <w:ind w:firstLine="0" w:firstLineChars="0"/>
              <w:jc w:val="center"/>
              <w:rPr>
                <w:sz w:val="21"/>
                <w:szCs w:val="16"/>
                <w:u w:val="single"/>
              </w:rPr>
            </w:pPr>
            <w:r>
              <w:rPr>
                <w:rFonts w:hint="eastAsia"/>
                <w:sz w:val="21"/>
                <w:szCs w:val="16"/>
                <w:u w:val="single"/>
              </w:rPr>
              <w:t>达标</w:t>
            </w:r>
          </w:p>
        </w:tc>
        <w:tc>
          <w:tcPr>
            <w:tcW w:w="732" w:type="pct"/>
          </w:tcPr>
          <w:p>
            <w:pPr>
              <w:spacing w:line="240" w:lineRule="auto"/>
              <w:ind w:firstLine="0" w:firstLineChars="0"/>
              <w:jc w:val="center"/>
              <w:rPr>
                <w:sz w:val="21"/>
                <w:szCs w:val="16"/>
                <w:u w:val="single"/>
              </w:rPr>
            </w:pPr>
            <w:r>
              <w:rPr>
                <w:rFonts w:hint="eastAsia"/>
                <w:sz w:val="21"/>
                <w:szCs w:val="16"/>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pPr>
              <w:spacing w:line="240" w:lineRule="auto"/>
              <w:ind w:firstLine="0" w:firstLineChars="0"/>
              <w:jc w:val="center"/>
              <w:rPr>
                <w:sz w:val="21"/>
                <w:szCs w:val="16"/>
                <w:u w:val="single"/>
              </w:rPr>
            </w:pPr>
            <w:r>
              <w:rPr>
                <w:sz w:val="21"/>
                <w:szCs w:val="16"/>
                <w:u w:val="single"/>
              </w:rPr>
              <w:t>氟化物</w:t>
            </w:r>
          </w:p>
        </w:tc>
        <w:tc>
          <w:tcPr>
            <w:tcW w:w="1414" w:type="pct"/>
            <w:gridSpan w:val="2"/>
            <w:vAlign w:val="center"/>
          </w:tcPr>
          <w:p>
            <w:pPr>
              <w:spacing w:line="240" w:lineRule="auto"/>
              <w:ind w:firstLine="0" w:firstLineChars="0"/>
              <w:jc w:val="center"/>
              <w:rPr>
                <w:sz w:val="21"/>
                <w:szCs w:val="16"/>
                <w:u w:val="single"/>
              </w:rPr>
            </w:pPr>
            <w:r>
              <w:rPr>
                <w:sz w:val="21"/>
                <w:szCs w:val="16"/>
                <w:u w:val="single"/>
              </w:rPr>
              <w:t>产生量t/a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.19</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.78</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.37</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产生浓度mg/m</w:t>
            </w:r>
            <w:r>
              <w:rPr>
                <w:sz w:val="21"/>
                <w:szCs w:val="16"/>
                <w:u w:val="single"/>
                <w:vertAlign w:val="superscript"/>
              </w:rPr>
              <w:t>3</w:t>
            </w:r>
          </w:p>
        </w:tc>
        <w:tc>
          <w:tcPr>
            <w:tcW w:w="705"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w:t>
            </w:r>
          </w:p>
        </w:tc>
        <w:tc>
          <w:tcPr>
            <w:tcW w:w="73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w:t>
            </w:r>
          </w:p>
        </w:tc>
        <w:tc>
          <w:tcPr>
            <w:tcW w:w="70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w:t>
            </w:r>
          </w:p>
        </w:tc>
        <w:tc>
          <w:tcPr>
            <w:tcW w:w="73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处理效率%</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w:t>
            </w:r>
          </w:p>
        </w:tc>
        <w:tc>
          <w:tcPr>
            <w:tcW w:w="70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排放量t/a</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.60</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.89</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.19</w:t>
            </w:r>
          </w:p>
        </w:tc>
        <w:tc>
          <w:tcPr>
            <w:tcW w:w="732" w:type="pct"/>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排放速率kg/h</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.08</w:t>
            </w:r>
          </w:p>
        </w:tc>
        <w:tc>
          <w:tcPr>
            <w:tcW w:w="732"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.11</w:t>
            </w:r>
          </w:p>
        </w:tc>
        <w:tc>
          <w:tcPr>
            <w:tcW w:w="702"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.15</w:t>
            </w:r>
          </w:p>
        </w:tc>
        <w:tc>
          <w:tcPr>
            <w:tcW w:w="732" w:type="pct"/>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排放浓度mg/m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eastAsia="等线"/>
                <w:color w:val="000000"/>
                <w:sz w:val="21"/>
                <w:szCs w:val="21"/>
                <w:u w:val="single"/>
              </w:rPr>
              <w:t>1.6</w:t>
            </w:r>
          </w:p>
        </w:tc>
        <w:tc>
          <w:tcPr>
            <w:tcW w:w="732" w:type="pct"/>
          </w:tcPr>
          <w:p>
            <w:pPr>
              <w:spacing w:line="240" w:lineRule="auto"/>
              <w:ind w:firstLine="0" w:firstLineChars="0"/>
              <w:jc w:val="center"/>
              <w:rPr>
                <w:sz w:val="21"/>
                <w:szCs w:val="16"/>
                <w:u w:val="single"/>
              </w:rPr>
            </w:pPr>
            <w:r>
              <w:rPr>
                <w:rFonts w:eastAsia="等线"/>
                <w:color w:val="000000"/>
                <w:sz w:val="21"/>
                <w:szCs w:val="21"/>
                <w:u w:val="single"/>
              </w:rPr>
              <w:t>1.6</w:t>
            </w:r>
          </w:p>
        </w:tc>
        <w:tc>
          <w:tcPr>
            <w:tcW w:w="702" w:type="pct"/>
          </w:tcPr>
          <w:p>
            <w:pPr>
              <w:spacing w:line="240" w:lineRule="auto"/>
              <w:ind w:firstLine="0" w:firstLineChars="0"/>
              <w:jc w:val="center"/>
              <w:rPr>
                <w:sz w:val="21"/>
                <w:szCs w:val="16"/>
                <w:u w:val="single"/>
              </w:rPr>
            </w:pPr>
            <w:r>
              <w:rPr>
                <w:rFonts w:eastAsia="等线"/>
                <w:color w:val="000000"/>
                <w:sz w:val="21"/>
                <w:szCs w:val="21"/>
                <w:u w:val="single"/>
              </w:rPr>
              <w:t>1.6</w:t>
            </w:r>
          </w:p>
        </w:tc>
        <w:tc>
          <w:tcPr>
            <w:tcW w:w="732" w:type="pct"/>
          </w:tcPr>
          <w:p>
            <w:pPr>
              <w:spacing w:line="240" w:lineRule="auto"/>
              <w:ind w:firstLine="0" w:firstLineChars="0"/>
              <w:jc w:val="center"/>
              <w:rPr>
                <w:sz w:val="21"/>
                <w:szCs w:val="16"/>
                <w:u w:val="single"/>
              </w:rPr>
            </w:pPr>
            <w:r>
              <w:rPr>
                <w:rFonts w:eastAsia="等线"/>
                <w:color w:val="000000"/>
                <w:sz w:val="21"/>
                <w:szCs w:val="21"/>
                <w:u w:val="single"/>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标准限值mg/m</w:t>
            </w:r>
            <w:r>
              <w:rPr>
                <w:sz w:val="21"/>
                <w:szCs w:val="16"/>
                <w:u w:val="single"/>
                <w:vertAlign w:val="superscript"/>
              </w:rPr>
              <w:t>3</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w:t>
            </w:r>
          </w:p>
        </w:tc>
        <w:tc>
          <w:tcPr>
            <w:tcW w:w="70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w:t>
            </w:r>
          </w:p>
        </w:tc>
        <w:tc>
          <w:tcPr>
            <w:tcW w:w="732" w:type="pct"/>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spacing w:line="240" w:lineRule="auto"/>
              <w:ind w:firstLine="0" w:firstLineChars="0"/>
              <w:jc w:val="center"/>
              <w:rPr>
                <w:sz w:val="21"/>
                <w:szCs w:val="16"/>
                <w:u w:val="single"/>
              </w:rPr>
            </w:pPr>
          </w:p>
        </w:tc>
        <w:tc>
          <w:tcPr>
            <w:tcW w:w="1414" w:type="pct"/>
            <w:gridSpan w:val="2"/>
            <w:vAlign w:val="center"/>
          </w:tcPr>
          <w:p>
            <w:pPr>
              <w:spacing w:line="240" w:lineRule="auto"/>
              <w:ind w:firstLine="0" w:firstLineChars="0"/>
              <w:jc w:val="center"/>
              <w:rPr>
                <w:sz w:val="21"/>
                <w:szCs w:val="16"/>
                <w:u w:val="single"/>
              </w:rPr>
            </w:pPr>
            <w:r>
              <w:rPr>
                <w:sz w:val="21"/>
                <w:szCs w:val="16"/>
                <w:u w:val="single"/>
              </w:rPr>
              <w:t>达标情况</w:t>
            </w:r>
          </w:p>
        </w:tc>
        <w:tc>
          <w:tcPr>
            <w:tcW w:w="705" w:type="pct"/>
            <w:vAlign w:val="center"/>
          </w:tcPr>
          <w:p>
            <w:pPr>
              <w:spacing w:line="240" w:lineRule="auto"/>
              <w:ind w:firstLine="0" w:firstLineChars="0"/>
              <w:jc w:val="center"/>
              <w:rPr>
                <w:sz w:val="21"/>
                <w:szCs w:val="16"/>
                <w:u w:val="single"/>
              </w:rPr>
            </w:pPr>
            <w:r>
              <w:rPr>
                <w:rFonts w:hint="eastAsia"/>
                <w:sz w:val="21"/>
                <w:szCs w:val="16"/>
                <w:u w:val="single"/>
              </w:rPr>
              <w:t>达标</w:t>
            </w:r>
          </w:p>
        </w:tc>
        <w:tc>
          <w:tcPr>
            <w:tcW w:w="732" w:type="pct"/>
          </w:tcPr>
          <w:p>
            <w:pPr>
              <w:spacing w:line="240" w:lineRule="auto"/>
              <w:ind w:firstLine="0" w:firstLineChars="0"/>
              <w:jc w:val="center"/>
              <w:rPr>
                <w:sz w:val="21"/>
                <w:szCs w:val="16"/>
                <w:u w:val="single"/>
              </w:rPr>
            </w:pPr>
            <w:r>
              <w:rPr>
                <w:rFonts w:hint="eastAsia"/>
                <w:sz w:val="21"/>
                <w:szCs w:val="16"/>
                <w:u w:val="single"/>
              </w:rPr>
              <w:t>达标</w:t>
            </w:r>
          </w:p>
        </w:tc>
        <w:tc>
          <w:tcPr>
            <w:tcW w:w="702" w:type="pct"/>
          </w:tcPr>
          <w:p>
            <w:pPr>
              <w:spacing w:line="240" w:lineRule="auto"/>
              <w:ind w:firstLine="0" w:firstLineChars="0"/>
              <w:jc w:val="center"/>
              <w:rPr>
                <w:sz w:val="21"/>
                <w:szCs w:val="16"/>
                <w:u w:val="single"/>
              </w:rPr>
            </w:pPr>
            <w:r>
              <w:rPr>
                <w:rFonts w:hint="eastAsia"/>
                <w:sz w:val="21"/>
                <w:szCs w:val="16"/>
                <w:u w:val="single"/>
              </w:rPr>
              <w:t>达标</w:t>
            </w:r>
          </w:p>
        </w:tc>
        <w:tc>
          <w:tcPr>
            <w:tcW w:w="732" w:type="pct"/>
          </w:tcPr>
          <w:p>
            <w:pPr>
              <w:spacing w:line="240" w:lineRule="auto"/>
              <w:ind w:firstLine="0" w:firstLineChars="0"/>
              <w:jc w:val="center"/>
              <w:rPr>
                <w:sz w:val="21"/>
                <w:szCs w:val="16"/>
                <w:u w:val="single"/>
              </w:rPr>
            </w:pPr>
            <w:r>
              <w:rPr>
                <w:rFonts w:hint="eastAsia"/>
                <w:sz w:val="21"/>
                <w:szCs w:val="16"/>
                <w:u w:val="single"/>
              </w:rPr>
              <w:t>达标</w:t>
            </w:r>
          </w:p>
        </w:tc>
      </w:tr>
    </w:tbl>
    <w:p>
      <w:pPr>
        <w:ind w:firstLine="480"/>
        <w:rPr>
          <w:rFonts w:cs="Times New Roman"/>
          <w:u w:val="single"/>
        </w:rPr>
      </w:pPr>
      <w:r>
        <w:rPr>
          <w:rFonts w:cs="Times New Roman"/>
          <w:u w:val="single"/>
        </w:rPr>
        <w:t>7、胚体清理修整废气G11</w:t>
      </w:r>
    </w:p>
    <w:p>
      <w:pPr>
        <w:ind w:firstLine="480"/>
        <w:rPr>
          <w:rFonts w:cs="Times New Roman"/>
          <w:u w:val="single"/>
        </w:rPr>
      </w:pPr>
      <w:r>
        <w:rPr>
          <w:rFonts w:cs="Times New Roman"/>
          <w:u w:val="single"/>
        </w:rPr>
        <w:t>胚体清理修整废气主要为胚体进行表面清理过程中会产生少量粉尘，类比临澧县先陶卫浴有限公司运行情况，产生量约为2.3</w:t>
      </w:r>
      <w:r>
        <w:rPr>
          <w:rFonts w:hint="eastAsia" w:cs="Times New Roman"/>
          <w:u w:val="single"/>
        </w:rPr>
        <w:t>k</w:t>
      </w:r>
      <w:r>
        <w:rPr>
          <w:rFonts w:cs="Times New Roman"/>
          <w:u w:val="single"/>
        </w:rPr>
        <w:t>g/</w:t>
      </w:r>
      <w:r>
        <w:rPr>
          <w:rFonts w:hint="eastAsia" w:cs="Times New Roman"/>
          <w:u w:val="single"/>
        </w:rPr>
        <w:t>万m</w:t>
      </w:r>
      <w:r>
        <w:rPr>
          <w:rFonts w:cs="Times New Roman"/>
          <w:u w:val="single"/>
          <w:vertAlign w:val="superscript"/>
        </w:rPr>
        <w:t>2</w:t>
      </w:r>
      <w:r>
        <w:rPr>
          <w:rFonts w:cs="Times New Roman"/>
          <w:u w:val="single"/>
        </w:rPr>
        <w:t>-产品，则本工序颗粒物产生量约为29.45t/a，均在车间内无组织排放，项目车间为密闭车间，大部分颗粒物均在车间内沉降，排放量按产生量的10%计算，则无组织排放量为2.95t/a，排放速率为0.37kg/h。</w:t>
      </w:r>
    </w:p>
    <w:p>
      <w:pPr>
        <w:ind w:firstLine="480"/>
        <w:rPr>
          <w:rFonts w:cs="Times New Roman"/>
          <w:u w:val="single"/>
        </w:rPr>
      </w:pPr>
      <w:r>
        <w:rPr>
          <w:rFonts w:cs="Times New Roman"/>
          <w:u w:val="single"/>
        </w:rPr>
        <w:t>8、食堂油烟G15</w:t>
      </w:r>
    </w:p>
    <w:p>
      <w:pPr>
        <w:ind w:firstLine="480"/>
        <w:rPr>
          <w:rFonts w:cs="Times New Roman"/>
          <w:bCs/>
          <w:u w:val="single"/>
        </w:rPr>
        <w:sectPr>
          <w:pgSz w:w="11906" w:h="16838"/>
          <w:pgMar w:top="1440" w:right="1800" w:bottom="1440" w:left="1800" w:header="851" w:footer="992" w:gutter="0"/>
          <w:cols w:space="425" w:num="1"/>
          <w:docGrid w:type="lines" w:linePitch="326" w:charSpace="0"/>
        </w:sectPr>
      </w:pPr>
      <w:r>
        <w:rPr>
          <w:rFonts w:cs="Times New Roman"/>
          <w:u w:val="single"/>
        </w:rPr>
        <w:t>本项目劳动定员总数为1600人，均在厂内食宿，厨房</w:t>
      </w:r>
      <w:r>
        <w:rPr>
          <w:rFonts w:cs="Times New Roman"/>
          <w:bCs/>
          <w:u w:val="single"/>
        </w:rPr>
        <w:t>采用液化石油气为燃料。液化石油气为清洁能源，污染物产生量很少。项目厨房</w:t>
      </w:r>
      <w:r>
        <w:rPr>
          <w:rFonts w:cs="Times New Roman"/>
          <w:u w:val="single"/>
        </w:rPr>
        <w:t>配置了油烟净化装置，其油烟净化率≥85%。按人均消耗食用油30g/d 人计算，消耗食用油48kg/d，每天按6小时计算，8kg/h，油烟排放一般为用油量的2%~3%，本次取3%计算，则产生油烟量为0.24kg/h，432kg/a。食堂油烟通过油烟净化机（风机风量20000m</w:t>
      </w:r>
      <w:r>
        <w:rPr>
          <w:rFonts w:cs="Times New Roman"/>
          <w:u w:val="single"/>
          <w:vertAlign w:val="superscript"/>
        </w:rPr>
        <w:t>3</w:t>
      </w:r>
      <w:r>
        <w:rPr>
          <w:rFonts w:cs="Times New Roman"/>
          <w:u w:val="single"/>
        </w:rPr>
        <w:t>/h，处理效率不低于85%）净化后引至楼面高空排放，排气筒高度约为20m（DA0015），则油烟产生浓度为12mg/m</w:t>
      </w:r>
      <w:r>
        <w:rPr>
          <w:rFonts w:cs="Times New Roman"/>
          <w:u w:val="single"/>
          <w:vertAlign w:val="superscript"/>
        </w:rPr>
        <w:t>3</w:t>
      </w:r>
      <w:r>
        <w:rPr>
          <w:rFonts w:cs="Times New Roman"/>
          <w:bCs/>
          <w:u w:val="single"/>
        </w:rPr>
        <w:t>，排放浓度约为1.8mg/m</w:t>
      </w:r>
      <w:r>
        <w:rPr>
          <w:rFonts w:cs="Times New Roman"/>
          <w:bCs/>
          <w:u w:val="single"/>
          <w:vertAlign w:val="superscript"/>
        </w:rPr>
        <w:t>3</w:t>
      </w:r>
      <w:r>
        <w:rPr>
          <w:rFonts w:cs="Times New Roman"/>
          <w:bCs/>
          <w:u w:val="single"/>
        </w:rPr>
        <w:t>，排放量约为64.8kg/a。</w:t>
      </w:r>
    </w:p>
    <w:p>
      <w:pPr>
        <w:ind w:firstLine="480"/>
        <w:rPr>
          <w:rFonts w:cs="Times New Roman"/>
          <w:u w:val="single"/>
        </w:rPr>
      </w:pPr>
      <w:r>
        <w:rPr>
          <w:rFonts w:cs="Times New Roman"/>
          <w:u w:val="single"/>
        </w:rPr>
        <w:t>10、有组织废气治理及排放</w:t>
      </w:r>
    </w:p>
    <w:p>
      <w:pPr>
        <w:ind w:firstLine="0" w:firstLineChars="0"/>
        <w:jc w:val="center"/>
        <w:rPr>
          <w:rFonts w:cs="Times New Roman"/>
          <w:u w:val="single"/>
        </w:rPr>
      </w:pPr>
      <w:r>
        <w:rPr>
          <w:rFonts w:cs="Times New Roman"/>
          <w:u w:val="single"/>
        </w:rPr>
        <w:t>表3.3-7  有组织废气产排情况一览表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75"/>
        <w:gridCol w:w="947"/>
        <w:gridCol w:w="676"/>
        <w:gridCol w:w="838"/>
        <w:gridCol w:w="894"/>
        <w:gridCol w:w="676"/>
        <w:gridCol w:w="2333"/>
        <w:gridCol w:w="894"/>
        <w:gridCol w:w="676"/>
        <w:gridCol w:w="894"/>
        <w:gridCol w:w="894"/>
        <w:gridCol w:w="1112"/>
        <w:gridCol w:w="1112"/>
        <w:gridCol w:w="894"/>
        <w:gridCol w:w="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restar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排放口</w:t>
            </w:r>
          </w:p>
          <w:p>
            <w:pPr>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编号</w:t>
            </w:r>
          </w:p>
        </w:tc>
        <w:tc>
          <w:tcPr>
            <w:tcW w:w="339"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废气量</w:t>
            </w:r>
          </w:p>
        </w:tc>
        <w:tc>
          <w:tcPr>
            <w:tcW w:w="242" w:type="pct"/>
            <w:vMerge w:val="restar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污染物</w:t>
            </w:r>
          </w:p>
        </w:tc>
        <w:tc>
          <w:tcPr>
            <w:tcW w:w="300"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产生量</w:t>
            </w:r>
          </w:p>
        </w:tc>
        <w:tc>
          <w:tcPr>
            <w:tcW w:w="320"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产生浓度</w:t>
            </w:r>
          </w:p>
        </w:tc>
        <w:tc>
          <w:tcPr>
            <w:tcW w:w="242" w:type="pct"/>
            <w:vMerge w:val="restar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治理设</w:t>
            </w:r>
          </w:p>
          <w:p>
            <w:pPr>
              <w:spacing w:line="240" w:lineRule="auto"/>
              <w:ind w:firstLine="0" w:firstLineChars="0"/>
              <w:rPr>
                <w:rFonts w:ascii="宋体" w:hAnsi="宋体" w:cs="宋体"/>
                <w:color w:val="000000"/>
                <w:kern w:val="0"/>
                <w:sz w:val="21"/>
                <w:szCs w:val="21"/>
                <w:u w:val="single"/>
              </w:rPr>
            </w:pPr>
            <w:r>
              <w:rPr>
                <w:rFonts w:hint="eastAsia" w:ascii="宋体" w:hAnsi="宋体" w:cs="宋体"/>
                <w:color w:val="000000"/>
                <w:kern w:val="0"/>
                <w:sz w:val="21"/>
                <w:szCs w:val="21"/>
                <w:u w:val="single"/>
              </w:rPr>
              <w:t>施编号</w:t>
            </w:r>
          </w:p>
        </w:tc>
        <w:tc>
          <w:tcPr>
            <w:tcW w:w="835" w:type="pct"/>
            <w:vMerge w:val="restar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治理工艺</w:t>
            </w:r>
          </w:p>
        </w:tc>
        <w:tc>
          <w:tcPr>
            <w:tcW w:w="320"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治理效率</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排放量</w:t>
            </w:r>
          </w:p>
        </w:tc>
        <w:tc>
          <w:tcPr>
            <w:tcW w:w="320"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排放浓度</w:t>
            </w:r>
          </w:p>
        </w:tc>
        <w:tc>
          <w:tcPr>
            <w:tcW w:w="320"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排放速率</w:t>
            </w:r>
          </w:p>
        </w:tc>
        <w:tc>
          <w:tcPr>
            <w:tcW w:w="398"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排放小时数</w:t>
            </w:r>
          </w:p>
        </w:tc>
        <w:tc>
          <w:tcPr>
            <w:tcW w:w="398"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排气筒高度</w:t>
            </w:r>
          </w:p>
        </w:tc>
        <w:tc>
          <w:tcPr>
            <w:tcW w:w="320"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标准限值</w:t>
            </w:r>
          </w:p>
        </w:tc>
        <w:tc>
          <w:tcPr>
            <w:tcW w:w="162" w:type="pct"/>
            <w:vMerge w:val="restar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p>
            <w:pPr>
              <w:spacing w:line="240" w:lineRule="auto"/>
              <w:ind w:firstLine="0" w:firstLineChars="0"/>
              <w:rPr>
                <w:rFonts w:ascii="宋体" w:hAnsi="宋体" w:cs="宋体"/>
                <w:color w:val="000000"/>
                <w:kern w:val="0"/>
                <w:sz w:val="21"/>
                <w:szCs w:val="21"/>
                <w:u w:val="single"/>
              </w:rPr>
            </w:pPr>
            <w:r>
              <w:rPr>
                <w:rFonts w:hint="eastAsia" w:ascii="宋体" w:hAnsi="宋体" w:cs="宋体"/>
                <w:color w:val="000000"/>
                <w:kern w:val="0"/>
                <w:sz w:val="21"/>
                <w:szCs w:val="21"/>
                <w:u w:val="single"/>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p>
        </w:tc>
        <w:tc>
          <w:tcPr>
            <w:tcW w:w="339"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Nm</w:t>
            </w:r>
            <w:r>
              <w:rPr>
                <w:rFonts w:eastAsia="等线" w:cs="Times New Roman"/>
                <w:color w:val="000000"/>
                <w:kern w:val="0"/>
                <w:sz w:val="21"/>
                <w:szCs w:val="21"/>
                <w:u w:val="single"/>
                <w:vertAlign w:val="superscript"/>
              </w:rPr>
              <w:t>3</w:t>
            </w:r>
            <w:r>
              <w:rPr>
                <w:rFonts w:eastAsia="等线" w:cs="Times New Roman"/>
                <w:color w:val="000000"/>
                <w:kern w:val="0"/>
                <w:sz w:val="21"/>
                <w:szCs w:val="21"/>
                <w:u w:val="single"/>
              </w:rPr>
              <w:t>/h</w:t>
            </w:r>
          </w:p>
        </w:tc>
        <w:tc>
          <w:tcPr>
            <w:tcW w:w="242" w:type="pct"/>
            <w:vMerge w:val="continue"/>
            <w:vAlign w:val="center"/>
          </w:tcPr>
          <w:p>
            <w:pPr>
              <w:widowControl/>
              <w:spacing w:line="240" w:lineRule="auto"/>
              <w:ind w:firstLine="0" w:firstLineChars="0"/>
              <w:jc w:val="left"/>
              <w:rPr>
                <w:rFonts w:ascii="宋体" w:hAnsi="宋体" w:cs="宋体"/>
                <w:color w:val="000000"/>
                <w:kern w:val="0"/>
                <w:sz w:val="21"/>
                <w:szCs w:val="21"/>
                <w:u w:val="single"/>
              </w:rPr>
            </w:pP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mg/m</w:t>
            </w:r>
            <w:r>
              <w:rPr>
                <w:rFonts w:eastAsia="等线" w:cs="Times New Roman"/>
                <w:color w:val="000000"/>
                <w:kern w:val="0"/>
                <w:sz w:val="21"/>
                <w:szCs w:val="21"/>
                <w:u w:val="single"/>
                <w:vertAlign w:val="superscript"/>
              </w:rPr>
              <w:t>3</w:t>
            </w:r>
          </w:p>
        </w:tc>
        <w:tc>
          <w:tcPr>
            <w:tcW w:w="242" w:type="pct"/>
            <w:vMerge w:val="continue"/>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p>
        </w:tc>
        <w:tc>
          <w:tcPr>
            <w:tcW w:w="835" w:type="pct"/>
            <w:vMerge w:val="continue"/>
            <w:vAlign w:val="center"/>
          </w:tcPr>
          <w:p>
            <w:pPr>
              <w:widowControl/>
              <w:spacing w:line="240" w:lineRule="auto"/>
              <w:ind w:firstLine="0" w:firstLineChars="0"/>
              <w:jc w:val="left"/>
              <w:rPr>
                <w:rFonts w:ascii="宋体" w:hAnsi="宋体" w:cs="宋体"/>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mg/m</w:t>
            </w:r>
            <w:r>
              <w:rPr>
                <w:rFonts w:eastAsia="等线" w:cs="Times New Roman"/>
                <w:color w:val="000000"/>
                <w:kern w:val="0"/>
                <w:sz w:val="21"/>
                <w:szCs w:val="21"/>
                <w:u w:val="single"/>
                <w:vertAlign w:val="superscript"/>
              </w:rPr>
              <w:t>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kg/h</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h</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m</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mg/m</w:t>
            </w:r>
            <w:r>
              <w:rPr>
                <w:rFonts w:eastAsia="等线" w:cs="Times New Roman"/>
                <w:color w:val="000000"/>
                <w:kern w:val="0"/>
                <w:sz w:val="21"/>
                <w:szCs w:val="21"/>
                <w:u w:val="single"/>
                <w:vertAlign w:val="superscript"/>
              </w:rPr>
              <w:t>3</w:t>
            </w:r>
          </w:p>
        </w:tc>
        <w:tc>
          <w:tcPr>
            <w:tcW w:w="162" w:type="pct"/>
            <w:vMerge w:val="continue"/>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DA001</w:t>
            </w:r>
          </w:p>
        </w:tc>
        <w:tc>
          <w:tcPr>
            <w:tcW w:w="339"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25000</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106.55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38.13</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TA001</w:t>
            </w:r>
          </w:p>
        </w:tc>
        <w:tc>
          <w:tcPr>
            <w:tcW w:w="835"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脉冲式布袋除尘器</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1.07</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.38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0.14</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20</w:t>
            </w:r>
          </w:p>
        </w:tc>
        <w:tc>
          <w:tcPr>
            <w:tcW w:w="16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DA002</w:t>
            </w:r>
          </w:p>
        </w:tc>
        <w:tc>
          <w:tcPr>
            <w:tcW w:w="339"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29995</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0563.3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592.84</w:t>
            </w:r>
          </w:p>
        </w:tc>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TA002</w:t>
            </w:r>
          </w:p>
        </w:tc>
        <w:tc>
          <w:tcPr>
            <w:tcW w:w="835"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SNCR</w:t>
            </w: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+SCR</w:t>
            </w:r>
          </w:p>
          <w:p>
            <w:pPr>
              <w:widowControl/>
              <w:spacing w:line="240" w:lineRule="auto"/>
              <w:ind w:firstLine="0" w:firstLineChars="0"/>
              <w:jc w:val="center"/>
              <w:rPr>
                <w:rFonts w:ascii="宋体" w:hAnsi="宋体" w:cs="Times New Roman"/>
                <w:color w:val="000000"/>
                <w:kern w:val="0"/>
                <w:sz w:val="21"/>
                <w:szCs w:val="21"/>
                <w:u w:val="single"/>
              </w:rPr>
            </w:pP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石灰</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石膏</w:t>
            </w:r>
          </w:p>
          <w:p>
            <w:pPr>
              <w:widowControl/>
              <w:spacing w:line="240" w:lineRule="auto"/>
              <w:ind w:firstLine="0" w:firstLineChars="0"/>
              <w:jc w:val="center"/>
              <w:rPr>
                <w:rFonts w:eastAsia="等线" w:cs="Times New Roman"/>
                <w:color w:val="000000"/>
                <w:kern w:val="0"/>
                <w:sz w:val="21"/>
                <w:szCs w:val="21"/>
                <w:u w:val="single"/>
              </w:rPr>
            </w:pPr>
            <w:r>
              <w:rPr>
                <w:rFonts w:hint="eastAsia" w:ascii="宋体" w:hAnsi="宋体" w:cs="Times New Roman"/>
                <w:color w:val="000000"/>
                <w:kern w:val="0"/>
                <w:sz w:val="21"/>
                <w:szCs w:val="21"/>
                <w:u w:val="single"/>
              </w:rPr>
              <w:t>脱硫</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袋式除尘</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05.63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5.93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3.34</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SO</w:t>
            </w:r>
            <w:r>
              <w:rPr>
                <w:rFonts w:eastAsia="等线" w:cs="Times New Roman"/>
                <w:color w:val="000000"/>
                <w:kern w:val="0"/>
                <w:sz w:val="21"/>
                <w:szCs w:val="21"/>
                <w:u w:val="single"/>
                <w:vertAlign w:val="subscript"/>
              </w:rPr>
              <w:t>2</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35.60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02.44</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85</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5.34</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5.37</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.46</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NO</w:t>
            </w:r>
            <w:r>
              <w:rPr>
                <w:rFonts w:eastAsia="等线" w:cs="Times New Roman"/>
                <w:color w:val="000000"/>
                <w:kern w:val="0"/>
                <w:sz w:val="21"/>
                <w:szCs w:val="21"/>
                <w:u w:val="single"/>
                <w:vertAlign w:val="subscript"/>
              </w:rPr>
              <w:t>x</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28.165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29.64</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2.82</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.67</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240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DA003</w:t>
            </w:r>
          </w:p>
        </w:tc>
        <w:tc>
          <w:tcPr>
            <w:tcW w:w="339"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29995</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0563.3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592.84</w:t>
            </w:r>
          </w:p>
        </w:tc>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TA003</w:t>
            </w:r>
          </w:p>
        </w:tc>
        <w:tc>
          <w:tcPr>
            <w:tcW w:w="835"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SNCR</w:t>
            </w: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+SCR</w:t>
            </w:r>
          </w:p>
          <w:p>
            <w:pPr>
              <w:widowControl/>
              <w:spacing w:line="240" w:lineRule="auto"/>
              <w:ind w:firstLine="0" w:firstLineChars="0"/>
              <w:jc w:val="center"/>
              <w:rPr>
                <w:rFonts w:ascii="宋体" w:hAnsi="宋体" w:cs="Times New Roman"/>
                <w:color w:val="000000"/>
                <w:kern w:val="0"/>
                <w:sz w:val="21"/>
                <w:szCs w:val="21"/>
                <w:u w:val="single"/>
              </w:rPr>
            </w:pP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石灰</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石膏</w:t>
            </w:r>
          </w:p>
          <w:p>
            <w:pPr>
              <w:widowControl/>
              <w:spacing w:line="240" w:lineRule="auto"/>
              <w:ind w:firstLine="0" w:firstLineChars="0"/>
              <w:jc w:val="center"/>
              <w:rPr>
                <w:rFonts w:eastAsia="等线" w:cs="Times New Roman"/>
                <w:color w:val="000000"/>
                <w:kern w:val="0"/>
                <w:sz w:val="21"/>
                <w:szCs w:val="21"/>
                <w:u w:val="single"/>
              </w:rPr>
            </w:pPr>
            <w:r>
              <w:rPr>
                <w:rFonts w:hint="eastAsia" w:ascii="宋体" w:hAnsi="宋体" w:cs="Times New Roman"/>
                <w:color w:val="000000"/>
                <w:kern w:val="0"/>
                <w:sz w:val="21"/>
                <w:szCs w:val="21"/>
                <w:u w:val="single"/>
              </w:rPr>
              <w:t>脱硫</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袋式除尘</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05.63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5.93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3.34</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SO</w:t>
            </w:r>
            <w:r>
              <w:rPr>
                <w:rFonts w:eastAsia="等线" w:cs="Times New Roman"/>
                <w:color w:val="000000"/>
                <w:kern w:val="0"/>
                <w:sz w:val="21"/>
                <w:szCs w:val="21"/>
                <w:u w:val="single"/>
                <w:vertAlign w:val="subscript"/>
              </w:rPr>
              <w:t>2</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35.60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02.44</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85</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5.34</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5.37</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.46</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NO</w:t>
            </w:r>
            <w:r>
              <w:rPr>
                <w:rFonts w:eastAsia="等线" w:cs="Times New Roman"/>
                <w:color w:val="000000"/>
                <w:kern w:val="0"/>
                <w:sz w:val="21"/>
                <w:szCs w:val="21"/>
                <w:u w:val="single"/>
                <w:vertAlign w:val="subscript"/>
              </w:rPr>
              <w:t>x</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28.165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29.64</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2.82</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.67</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240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DA004</w:t>
            </w:r>
          </w:p>
        </w:tc>
        <w:tc>
          <w:tcPr>
            <w:tcW w:w="339"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29995</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0563.3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592.84</w:t>
            </w:r>
          </w:p>
        </w:tc>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TA004</w:t>
            </w:r>
          </w:p>
        </w:tc>
        <w:tc>
          <w:tcPr>
            <w:tcW w:w="835"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SNCR</w:t>
            </w: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+SCR</w:t>
            </w:r>
          </w:p>
          <w:p>
            <w:pPr>
              <w:widowControl/>
              <w:spacing w:line="240" w:lineRule="auto"/>
              <w:ind w:firstLine="0" w:firstLineChars="0"/>
              <w:jc w:val="center"/>
              <w:rPr>
                <w:rFonts w:ascii="宋体" w:hAnsi="宋体" w:cs="Times New Roman"/>
                <w:color w:val="000000"/>
                <w:kern w:val="0"/>
                <w:sz w:val="21"/>
                <w:szCs w:val="21"/>
                <w:u w:val="single"/>
              </w:rPr>
            </w:pP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石灰</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石膏</w:t>
            </w:r>
          </w:p>
          <w:p>
            <w:pPr>
              <w:widowControl/>
              <w:spacing w:line="240" w:lineRule="auto"/>
              <w:ind w:firstLine="0" w:firstLineChars="0"/>
              <w:jc w:val="center"/>
              <w:rPr>
                <w:rFonts w:eastAsia="等线" w:cs="Times New Roman"/>
                <w:color w:val="000000"/>
                <w:kern w:val="0"/>
                <w:sz w:val="21"/>
                <w:szCs w:val="21"/>
                <w:u w:val="single"/>
              </w:rPr>
            </w:pPr>
            <w:r>
              <w:rPr>
                <w:rFonts w:hint="eastAsia" w:ascii="宋体" w:hAnsi="宋体" w:cs="Times New Roman"/>
                <w:color w:val="000000"/>
                <w:kern w:val="0"/>
                <w:sz w:val="21"/>
                <w:szCs w:val="21"/>
                <w:u w:val="single"/>
              </w:rPr>
              <w:t>脱硫</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袋式除尘</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05.63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5.93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3.34</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SO</w:t>
            </w:r>
            <w:r>
              <w:rPr>
                <w:rFonts w:eastAsia="等线" w:cs="Times New Roman"/>
                <w:color w:val="000000"/>
                <w:kern w:val="0"/>
                <w:sz w:val="21"/>
                <w:szCs w:val="21"/>
                <w:u w:val="single"/>
                <w:vertAlign w:val="subscript"/>
              </w:rPr>
              <w:t>2</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35.60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02.44</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85</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5.34</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5.37</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.46</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NO</w:t>
            </w:r>
            <w:r>
              <w:rPr>
                <w:rFonts w:eastAsia="等线" w:cs="Times New Roman"/>
                <w:color w:val="000000"/>
                <w:kern w:val="0"/>
                <w:sz w:val="21"/>
                <w:szCs w:val="21"/>
                <w:u w:val="single"/>
                <w:vertAlign w:val="subscript"/>
              </w:rPr>
              <w:t>x</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28.165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29.64</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2.82</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.67</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240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DA005</w:t>
            </w:r>
          </w:p>
        </w:tc>
        <w:tc>
          <w:tcPr>
            <w:tcW w:w="339"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29995</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0563.3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592.84</w:t>
            </w:r>
          </w:p>
        </w:tc>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TA005</w:t>
            </w:r>
          </w:p>
        </w:tc>
        <w:tc>
          <w:tcPr>
            <w:tcW w:w="835"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SNCR</w:t>
            </w: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+SCR</w:t>
            </w:r>
          </w:p>
          <w:p>
            <w:pPr>
              <w:widowControl/>
              <w:spacing w:line="240" w:lineRule="auto"/>
              <w:ind w:firstLine="0" w:firstLineChars="0"/>
              <w:jc w:val="center"/>
              <w:rPr>
                <w:rFonts w:ascii="宋体" w:hAnsi="宋体" w:cs="Times New Roman"/>
                <w:color w:val="000000"/>
                <w:kern w:val="0"/>
                <w:sz w:val="21"/>
                <w:szCs w:val="21"/>
                <w:u w:val="single"/>
              </w:rPr>
            </w:pP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石灰</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石膏</w:t>
            </w:r>
          </w:p>
          <w:p>
            <w:pPr>
              <w:widowControl/>
              <w:spacing w:line="240" w:lineRule="auto"/>
              <w:ind w:firstLine="0" w:firstLineChars="0"/>
              <w:jc w:val="center"/>
              <w:rPr>
                <w:rFonts w:eastAsia="等线" w:cs="Times New Roman"/>
                <w:color w:val="000000"/>
                <w:kern w:val="0"/>
                <w:sz w:val="21"/>
                <w:szCs w:val="21"/>
                <w:u w:val="single"/>
              </w:rPr>
            </w:pPr>
            <w:r>
              <w:rPr>
                <w:rFonts w:hint="eastAsia" w:ascii="宋体" w:hAnsi="宋体" w:cs="Times New Roman"/>
                <w:color w:val="000000"/>
                <w:kern w:val="0"/>
                <w:sz w:val="21"/>
                <w:szCs w:val="21"/>
                <w:u w:val="single"/>
              </w:rPr>
              <w:t>脱硫</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袋式除尘</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05.63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5.93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3.34</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SO</w:t>
            </w:r>
            <w:r>
              <w:rPr>
                <w:rFonts w:eastAsia="等线" w:cs="Times New Roman"/>
                <w:color w:val="000000"/>
                <w:kern w:val="0"/>
                <w:sz w:val="21"/>
                <w:szCs w:val="21"/>
                <w:u w:val="single"/>
                <w:vertAlign w:val="subscript"/>
              </w:rPr>
              <w:t>2</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35.60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02.44</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85</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5.34</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5.37</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.46</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NO</w:t>
            </w:r>
            <w:r>
              <w:rPr>
                <w:rFonts w:eastAsia="等线" w:cs="Times New Roman"/>
                <w:color w:val="000000"/>
                <w:kern w:val="0"/>
                <w:sz w:val="21"/>
                <w:szCs w:val="21"/>
                <w:u w:val="single"/>
                <w:vertAlign w:val="subscript"/>
              </w:rPr>
              <w:t>x</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28.165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29.64</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2.82</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2.96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.67</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240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NMHC</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5.13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2.23</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835"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直接燃烧</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1.03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0.45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0.14</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50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DA006</w:t>
            </w:r>
          </w:p>
        </w:tc>
        <w:tc>
          <w:tcPr>
            <w:tcW w:w="339"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6803.45</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49.38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08.82</w:t>
            </w:r>
          </w:p>
        </w:tc>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TA006</w:t>
            </w:r>
          </w:p>
        </w:tc>
        <w:tc>
          <w:tcPr>
            <w:tcW w:w="835" w:type="pct"/>
            <w:vMerge w:val="restar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窑炉尾气</w:t>
            </w:r>
            <w:r>
              <w:rPr>
                <w:rFonts w:cs="Times New Roman"/>
                <w:color w:val="000000"/>
                <w:kern w:val="0"/>
                <w:sz w:val="21"/>
                <w:szCs w:val="21"/>
                <w:u w:val="single"/>
              </w:rPr>
              <w:t>SNCR</w:t>
            </w:r>
            <w:r>
              <w:rPr>
                <w:rFonts w:hint="eastAsia" w:ascii="宋体" w:hAnsi="宋体" w:cs="宋体"/>
                <w:color w:val="000000"/>
                <w:kern w:val="0"/>
                <w:sz w:val="21"/>
                <w:szCs w:val="21"/>
                <w:u w:val="single"/>
              </w:rPr>
              <w:t>脱硝</w:t>
            </w:r>
          </w:p>
          <w:p>
            <w:pPr>
              <w:spacing w:line="240" w:lineRule="auto"/>
              <w:ind w:firstLine="0" w:firstLineChars="0"/>
              <w:jc w:val="center"/>
              <w:rPr>
                <w:rFonts w:ascii="宋体" w:hAnsi="宋体" w:cs="Times New Roman"/>
                <w:color w:val="000000"/>
                <w:kern w:val="0"/>
                <w:sz w:val="21"/>
                <w:szCs w:val="21"/>
                <w:u w:val="single"/>
              </w:rPr>
            </w:pPr>
            <w:r>
              <w:rPr>
                <w:rFonts w:eastAsia="等线" w:cs="Times New Roman"/>
                <w:color w:val="000000"/>
                <w:kern w:val="0"/>
                <w:sz w:val="21"/>
                <w:szCs w:val="21"/>
                <w:u w:val="single"/>
              </w:rPr>
              <w:t>+SCR</w:t>
            </w: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石灰</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w:t>
            </w:r>
          </w:p>
          <w:p>
            <w:pPr>
              <w:spacing w:line="240" w:lineRule="auto"/>
              <w:ind w:firstLine="0" w:firstLineChars="0"/>
              <w:jc w:val="center"/>
              <w:rPr>
                <w:rFonts w:ascii="宋体" w:hAnsi="宋体" w:cs="宋体"/>
                <w:color w:val="000000"/>
                <w:kern w:val="0"/>
                <w:sz w:val="21"/>
                <w:szCs w:val="21"/>
                <w:u w:val="single"/>
              </w:rPr>
            </w:pPr>
            <w:r>
              <w:rPr>
                <w:rFonts w:hint="eastAsia" w:ascii="宋体" w:hAnsi="宋体" w:cs="Times New Roman"/>
                <w:color w:val="000000"/>
                <w:kern w:val="0"/>
                <w:sz w:val="21"/>
                <w:szCs w:val="21"/>
                <w:u w:val="single"/>
              </w:rPr>
              <w:t>膏法脱硫</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袋式除尘</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.49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.09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.19</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SO</w:t>
            </w:r>
            <w:r>
              <w:rPr>
                <w:rFonts w:eastAsia="等线" w:cs="Times New Roman"/>
                <w:color w:val="000000"/>
                <w:kern w:val="0"/>
                <w:sz w:val="21"/>
                <w:szCs w:val="21"/>
                <w:u w:val="single"/>
                <w:vertAlign w:val="subscript"/>
              </w:rPr>
              <w:t>2</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5.32</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1.33</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85</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.30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.20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.29</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NO</w:t>
            </w:r>
            <w:r>
              <w:rPr>
                <w:rFonts w:eastAsia="等线" w:cs="Times New Roman"/>
                <w:color w:val="000000"/>
                <w:kern w:val="0"/>
                <w:sz w:val="21"/>
                <w:szCs w:val="21"/>
                <w:u w:val="single"/>
                <w:vertAlign w:val="subscript"/>
              </w:rPr>
              <w:t>x</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26.50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8</w:t>
            </w:r>
            <w:r>
              <w:rPr>
                <w:rFonts w:eastAsia="等线" w:cs="Times New Roman"/>
                <w:color w:val="000000"/>
                <w:kern w:val="0"/>
                <w:sz w:val="21"/>
                <w:szCs w:val="21"/>
                <w:u w:val="single"/>
              </w:rPr>
              <w:t>80.80</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2.65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8</w:t>
            </w:r>
            <w:r>
              <w:rPr>
                <w:rFonts w:eastAsia="等线" w:cs="Times New Roman"/>
                <w:color w:val="000000"/>
                <w:kern w:val="0"/>
                <w:sz w:val="21"/>
                <w:szCs w:val="21"/>
                <w:u w:val="single"/>
              </w:rPr>
              <w:t>8.08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.12</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氟化物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.19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.2</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50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.60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.08</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DA007</w:t>
            </w:r>
          </w:p>
        </w:tc>
        <w:tc>
          <w:tcPr>
            <w:tcW w:w="339"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7</w:t>
            </w:r>
            <w:r>
              <w:rPr>
                <w:rFonts w:eastAsia="等线" w:cs="Times New Roman"/>
                <w:color w:val="000000"/>
                <w:kern w:val="0"/>
                <w:sz w:val="21"/>
                <w:szCs w:val="21"/>
                <w:u w:val="single"/>
              </w:rPr>
              <w:t>0205.18</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24.07</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08.82</w:t>
            </w:r>
          </w:p>
        </w:tc>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TA007</w:t>
            </w:r>
          </w:p>
        </w:tc>
        <w:tc>
          <w:tcPr>
            <w:tcW w:w="835" w:type="pct"/>
            <w:vMerge w:val="restar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窑炉尾气</w:t>
            </w:r>
            <w:r>
              <w:rPr>
                <w:rFonts w:cs="Times New Roman"/>
                <w:color w:val="000000"/>
                <w:kern w:val="0"/>
                <w:sz w:val="21"/>
                <w:szCs w:val="21"/>
                <w:u w:val="single"/>
              </w:rPr>
              <w:t>SNCR</w:t>
            </w:r>
            <w:r>
              <w:rPr>
                <w:rFonts w:hint="eastAsia" w:ascii="宋体" w:hAnsi="宋体" w:cs="宋体"/>
                <w:color w:val="000000"/>
                <w:kern w:val="0"/>
                <w:sz w:val="21"/>
                <w:szCs w:val="21"/>
                <w:u w:val="single"/>
              </w:rPr>
              <w:t>脱硝</w:t>
            </w:r>
          </w:p>
          <w:p>
            <w:pPr>
              <w:spacing w:line="240" w:lineRule="auto"/>
              <w:ind w:firstLine="0" w:firstLineChars="0"/>
              <w:jc w:val="center"/>
              <w:rPr>
                <w:rFonts w:ascii="宋体" w:hAnsi="宋体" w:cs="Times New Roman"/>
                <w:color w:val="000000"/>
                <w:kern w:val="0"/>
                <w:sz w:val="21"/>
                <w:szCs w:val="21"/>
                <w:u w:val="single"/>
              </w:rPr>
            </w:pPr>
            <w:r>
              <w:rPr>
                <w:rFonts w:eastAsia="等线" w:cs="Times New Roman"/>
                <w:color w:val="000000"/>
                <w:kern w:val="0"/>
                <w:sz w:val="21"/>
                <w:szCs w:val="21"/>
                <w:u w:val="single"/>
              </w:rPr>
              <w:t>+SCR</w:t>
            </w: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石灰</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w:t>
            </w:r>
          </w:p>
          <w:p>
            <w:pPr>
              <w:spacing w:line="240" w:lineRule="auto"/>
              <w:ind w:firstLine="0" w:firstLineChars="0"/>
              <w:jc w:val="center"/>
              <w:rPr>
                <w:rFonts w:ascii="宋体" w:hAnsi="宋体" w:cs="宋体"/>
                <w:color w:val="000000"/>
                <w:kern w:val="0"/>
                <w:sz w:val="21"/>
                <w:szCs w:val="21"/>
                <w:u w:val="single"/>
              </w:rPr>
            </w:pPr>
            <w:r>
              <w:rPr>
                <w:rFonts w:hint="eastAsia" w:ascii="宋体" w:hAnsi="宋体" w:cs="Times New Roman"/>
                <w:color w:val="000000"/>
                <w:kern w:val="0"/>
                <w:sz w:val="21"/>
                <w:szCs w:val="21"/>
                <w:u w:val="single"/>
              </w:rPr>
              <w:t>膏法脱硫</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袋式除尘</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.24</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.09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.28</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SO</w:t>
            </w:r>
            <w:r>
              <w:rPr>
                <w:rFonts w:eastAsia="等线" w:cs="Times New Roman"/>
                <w:color w:val="000000"/>
                <w:kern w:val="0"/>
                <w:sz w:val="21"/>
                <w:szCs w:val="21"/>
                <w:u w:val="single"/>
                <w:vertAlign w:val="subscript"/>
              </w:rPr>
              <w:t>2</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3.00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1.33</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85</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.45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.20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.44</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NO</w:t>
            </w:r>
            <w:r>
              <w:rPr>
                <w:rFonts w:eastAsia="等线" w:cs="Times New Roman"/>
                <w:color w:val="000000"/>
                <w:kern w:val="0"/>
                <w:sz w:val="21"/>
                <w:szCs w:val="21"/>
                <w:u w:val="single"/>
                <w:vertAlign w:val="subscript"/>
              </w:rPr>
              <w:t>x</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89.75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8</w:t>
            </w:r>
            <w:r>
              <w:rPr>
                <w:rFonts w:eastAsia="等线" w:cs="Times New Roman"/>
                <w:color w:val="000000"/>
                <w:kern w:val="0"/>
                <w:sz w:val="21"/>
                <w:szCs w:val="21"/>
                <w:u w:val="single"/>
              </w:rPr>
              <w:t>80.80</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8.98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8</w:t>
            </w:r>
            <w:r>
              <w:rPr>
                <w:rFonts w:eastAsia="等线" w:cs="Times New Roman"/>
                <w:color w:val="000000"/>
                <w:kern w:val="0"/>
                <w:sz w:val="21"/>
                <w:szCs w:val="21"/>
                <w:u w:val="single"/>
              </w:rPr>
              <w:t>8.08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.18</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氟化物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.78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.2</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50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.89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.11</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DA008</w:t>
            </w:r>
          </w:p>
        </w:tc>
        <w:tc>
          <w:tcPr>
            <w:tcW w:w="339"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9</w:t>
            </w:r>
            <w:r>
              <w:rPr>
                <w:rFonts w:eastAsia="等线" w:cs="Times New Roman"/>
                <w:color w:val="000000"/>
                <w:kern w:val="0"/>
                <w:sz w:val="21"/>
                <w:szCs w:val="21"/>
                <w:u w:val="single"/>
              </w:rPr>
              <w:t>3606.91</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96.76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08.82</w:t>
            </w:r>
          </w:p>
        </w:tc>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TA008</w:t>
            </w:r>
          </w:p>
        </w:tc>
        <w:tc>
          <w:tcPr>
            <w:tcW w:w="835" w:type="pct"/>
            <w:vMerge w:val="restar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窑炉尾气</w:t>
            </w:r>
            <w:r>
              <w:rPr>
                <w:rFonts w:cs="Times New Roman"/>
                <w:color w:val="000000"/>
                <w:kern w:val="0"/>
                <w:sz w:val="21"/>
                <w:szCs w:val="21"/>
                <w:u w:val="single"/>
              </w:rPr>
              <w:t>SNCR</w:t>
            </w:r>
            <w:r>
              <w:rPr>
                <w:rFonts w:hint="eastAsia" w:ascii="宋体" w:hAnsi="宋体" w:cs="宋体"/>
                <w:color w:val="000000"/>
                <w:kern w:val="0"/>
                <w:sz w:val="21"/>
                <w:szCs w:val="21"/>
                <w:u w:val="single"/>
              </w:rPr>
              <w:t>脱硝</w:t>
            </w:r>
          </w:p>
          <w:p>
            <w:pPr>
              <w:spacing w:line="240" w:lineRule="auto"/>
              <w:ind w:firstLine="0" w:firstLineChars="0"/>
              <w:jc w:val="center"/>
              <w:rPr>
                <w:rFonts w:ascii="宋体" w:hAnsi="宋体" w:cs="Times New Roman"/>
                <w:color w:val="000000"/>
                <w:kern w:val="0"/>
                <w:sz w:val="21"/>
                <w:szCs w:val="21"/>
                <w:u w:val="single"/>
              </w:rPr>
            </w:pPr>
            <w:r>
              <w:rPr>
                <w:rFonts w:eastAsia="等线" w:cs="Times New Roman"/>
                <w:color w:val="000000"/>
                <w:kern w:val="0"/>
                <w:sz w:val="21"/>
                <w:szCs w:val="21"/>
                <w:u w:val="single"/>
              </w:rPr>
              <w:t>+SCR</w:t>
            </w: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石灰</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w:t>
            </w:r>
          </w:p>
          <w:p>
            <w:pPr>
              <w:spacing w:line="240" w:lineRule="auto"/>
              <w:ind w:firstLine="0" w:firstLineChars="0"/>
              <w:jc w:val="center"/>
              <w:rPr>
                <w:rFonts w:ascii="宋体" w:hAnsi="宋体" w:cs="宋体"/>
                <w:color w:val="000000"/>
                <w:kern w:val="0"/>
                <w:sz w:val="21"/>
                <w:szCs w:val="21"/>
                <w:u w:val="single"/>
              </w:rPr>
            </w:pPr>
            <w:r>
              <w:rPr>
                <w:rFonts w:hint="eastAsia" w:ascii="宋体" w:hAnsi="宋体" w:cs="Times New Roman"/>
                <w:color w:val="000000"/>
                <w:kern w:val="0"/>
                <w:sz w:val="21"/>
                <w:szCs w:val="21"/>
                <w:u w:val="single"/>
              </w:rPr>
              <w:t>膏法脱硫</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袋式除尘</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.99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.09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.38</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SO</w:t>
            </w:r>
            <w:r>
              <w:rPr>
                <w:rFonts w:eastAsia="等线" w:cs="Times New Roman"/>
                <w:color w:val="000000"/>
                <w:kern w:val="0"/>
                <w:sz w:val="21"/>
                <w:szCs w:val="21"/>
                <w:u w:val="single"/>
                <w:vertAlign w:val="subscript"/>
              </w:rPr>
              <w:t>2</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0.68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1.33</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85</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.60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.20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.58</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NO</w:t>
            </w:r>
            <w:r>
              <w:rPr>
                <w:rFonts w:eastAsia="等线" w:cs="Times New Roman"/>
                <w:color w:val="000000"/>
                <w:kern w:val="0"/>
                <w:sz w:val="21"/>
                <w:szCs w:val="21"/>
                <w:u w:val="single"/>
                <w:vertAlign w:val="subscript"/>
              </w:rPr>
              <w:t>x</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53.00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8</w:t>
            </w:r>
            <w:r>
              <w:rPr>
                <w:rFonts w:eastAsia="等线" w:cs="Times New Roman"/>
                <w:color w:val="000000"/>
                <w:kern w:val="0"/>
                <w:sz w:val="21"/>
                <w:szCs w:val="21"/>
                <w:u w:val="single"/>
              </w:rPr>
              <w:t>80.08</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5.30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8</w:t>
            </w:r>
            <w:r>
              <w:rPr>
                <w:rFonts w:eastAsia="等线" w:cs="Times New Roman"/>
                <w:color w:val="000000"/>
                <w:kern w:val="0"/>
                <w:sz w:val="21"/>
                <w:szCs w:val="21"/>
                <w:u w:val="single"/>
              </w:rPr>
              <w:t>8.08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8</w:t>
            </w:r>
            <w:r>
              <w:rPr>
                <w:rFonts w:eastAsia="等线" w:cs="Times New Roman"/>
                <w:color w:val="000000"/>
                <w:kern w:val="0"/>
                <w:sz w:val="21"/>
                <w:szCs w:val="21"/>
                <w:u w:val="single"/>
              </w:rPr>
              <w:t>.24</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氟化物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.37</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.2</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50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.19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.15</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DA009</w:t>
            </w:r>
          </w:p>
        </w:tc>
        <w:tc>
          <w:tcPr>
            <w:tcW w:w="339"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7</w:t>
            </w:r>
            <w:r>
              <w:rPr>
                <w:rFonts w:eastAsia="等线" w:cs="Times New Roman"/>
                <w:color w:val="000000"/>
                <w:kern w:val="0"/>
                <w:sz w:val="21"/>
                <w:szCs w:val="21"/>
                <w:u w:val="single"/>
              </w:rPr>
              <w:t>0205.18</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24.07</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08.82</w:t>
            </w:r>
          </w:p>
        </w:tc>
        <w:tc>
          <w:tcPr>
            <w:tcW w:w="242" w:type="pct"/>
            <w:vMerge w:val="restar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TA009</w:t>
            </w:r>
          </w:p>
        </w:tc>
        <w:tc>
          <w:tcPr>
            <w:tcW w:w="835" w:type="pct"/>
            <w:vMerge w:val="restar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窑炉尾气</w:t>
            </w:r>
            <w:r>
              <w:rPr>
                <w:rFonts w:cs="Times New Roman"/>
                <w:color w:val="000000"/>
                <w:kern w:val="0"/>
                <w:sz w:val="21"/>
                <w:szCs w:val="21"/>
                <w:u w:val="single"/>
              </w:rPr>
              <w:t>SNCR</w:t>
            </w:r>
            <w:r>
              <w:rPr>
                <w:rFonts w:hint="eastAsia" w:ascii="宋体" w:hAnsi="宋体" w:cs="宋体"/>
                <w:color w:val="000000"/>
                <w:kern w:val="0"/>
                <w:sz w:val="21"/>
                <w:szCs w:val="21"/>
                <w:u w:val="single"/>
              </w:rPr>
              <w:t>脱硝</w:t>
            </w:r>
          </w:p>
          <w:p>
            <w:pPr>
              <w:spacing w:line="240" w:lineRule="auto"/>
              <w:ind w:firstLine="0" w:firstLineChars="0"/>
              <w:jc w:val="center"/>
              <w:rPr>
                <w:rFonts w:ascii="宋体" w:hAnsi="宋体" w:cs="Times New Roman"/>
                <w:color w:val="000000"/>
                <w:kern w:val="0"/>
                <w:sz w:val="21"/>
                <w:szCs w:val="21"/>
                <w:u w:val="single"/>
              </w:rPr>
            </w:pPr>
            <w:r>
              <w:rPr>
                <w:rFonts w:eastAsia="等线" w:cs="Times New Roman"/>
                <w:color w:val="000000"/>
                <w:kern w:val="0"/>
                <w:sz w:val="21"/>
                <w:szCs w:val="21"/>
                <w:u w:val="single"/>
              </w:rPr>
              <w:t>+SCR</w:t>
            </w:r>
            <w:r>
              <w:rPr>
                <w:rFonts w:hint="eastAsia" w:ascii="宋体" w:hAnsi="宋体" w:cs="Times New Roman"/>
                <w:color w:val="000000"/>
                <w:kern w:val="0"/>
                <w:sz w:val="21"/>
                <w:szCs w:val="21"/>
                <w:u w:val="single"/>
              </w:rPr>
              <w:t>脱硝</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石灰</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石</w:t>
            </w:r>
          </w:p>
          <w:p>
            <w:pPr>
              <w:spacing w:line="240" w:lineRule="auto"/>
              <w:ind w:firstLine="0" w:firstLineChars="0"/>
              <w:jc w:val="center"/>
              <w:rPr>
                <w:rFonts w:ascii="宋体" w:hAnsi="宋体" w:cs="宋体"/>
                <w:color w:val="000000"/>
                <w:kern w:val="0"/>
                <w:sz w:val="21"/>
                <w:szCs w:val="21"/>
                <w:u w:val="single"/>
              </w:rPr>
            </w:pPr>
            <w:r>
              <w:rPr>
                <w:rFonts w:hint="eastAsia" w:ascii="宋体" w:hAnsi="宋体" w:cs="Times New Roman"/>
                <w:color w:val="000000"/>
                <w:kern w:val="0"/>
                <w:sz w:val="21"/>
                <w:szCs w:val="21"/>
                <w:u w:val="single"/>
              </w:rPr>
              <w:t>膏法脱硫</w:t>
            </w:r>
            <w:r>
              <w:rPr>
                <w:rFonts w:eastAsia="等线" w:cs="Times New Roman"/>
                <w:color w:val="000000"/>
                <w:kern w:val="0"/>
                <w:sz w:val="21"/>
                <w:szCs w:val="21"/>
                <w:u w:val="single"/>
              </w:rPr>
              <w:t>+</w:t>
            </w:r>
            <w:r>
              <w:rPr>
                <w:rFonts w:hint="eastAsia" w:ascii="宋体" w:hAnsi="宋体" w:cs="Times New Roman"/>
                <w:color w:val="000000"/>
                <w:kern w:val="0"/>
                <w:sz w:val="21"/>
                <w:szCs w:val="21"/>
                <w:u w:val="single"/>
              </w:rPr>
              <w:t>袋式除尘</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.24</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5</w:t>
            </w:r>
            <w:r>
              <w:rPr>
                <w:rFonts w:eastAsia="等线" w:cs="Times New Roman"/>
                <w:color w:val="000000"/>
                <w:kern w:val="0"/>
                <w:sz w:val="21"/>
                <w:szCs w:val="21"/>
                <w:u w:val="single"/>
              </w:rPr>
              <w:t>.09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.28</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SO</w:t>
            </w:r>
            <w:r>
              <w:rPr>
                <w:rFonts w:eastAsia="等线" w:cs="Times New Roman"/>
                <w:color w:val="000000"/>
                <w:kern w:val="0"/>
                <w:sz w:val="21"/>
                <w:szCs w:val="21"/>
                <w:u w:val="single"/>
                <w:vertAlign w:val="subscript"/>
              </w:rPr>
              <w:t>2</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3.00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1.33</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85</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.45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.20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.44</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NO</w:t>
            </w:r>
            <w:r>
              <w:rPr>
                <w:rFonts w:eastAsia="等线" w:cs="Times New Roman"/>
                <w:color w:val="000000"/>
                <w:kern w:val="0"/>
                <w:sz w:val="21"/>
                <w:szCs w:val="21"/>
                <w:u w:val="single"/>
                <w:vertAlign w:val="subscript"/>
              </w:rPr>
              <w:t>x</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89.75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8</w:t>
            </w:r>
            <w:r>
              <w:rPr>
                <w:rFonts w:eastAsia="等线" w:cs="Times New Roman"/>
                <w:color w:val="000000"/>
                <w:kern w:val="0"/>
                <w:sz w:val="21"/>
                <w:szCs w:val="21"/>
                <w:u w:val="single"/>
              </w:rPr>
              <w:t>80.80</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4</w:t>
            </w:r>
            <w:r>
              <w:rPr>
                <w:rFonts w:eastAsia="等线" w:cs="Times New Roman"/>
                <w:color w:val="000000"/>
                <w:kern w:val="0"/>
                <w:sz w:val="21"/>
                <w:szCs w:val="21"/>
                <w:u w:val="single"/>
              </w:rPr>
              <w:t>8.98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8</w:t>
            </w:r>
            <w:r>
              <w:rPr>
                <w:rFonts w:eastAsia="等线" w:cs="Times New Roman"/>
                <w:color w:val="000000"/>
                <w:kern w:val="0"/>
                <w:sz w:val="21"/>
                <w:szCs w:val="21"/>
                <w:u w:val="single"/>
              </w:rPr>
              <w:t>8.08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6</w:t>
            </w:r>
            <w:r>
              <w:rPr>
                <w:rFonts w:eastAsia="等线" w:cs="Times New Roman"/>
                <w:color w:val="000000"/>
                <w:kern w:val="0"/>
                <w:sz w:val="21"/>
                <w:szCs w:val="21"/>
                <w:u w:val="single"/>
              </w:rPr>
              <w:t>.18</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300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39"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氟化物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.78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3</w:t>
            </w:r>
            <w:r>
              <w:rPr>
                <w:rFonts w:eastAsia="等线" w:cs="Times New Roman"/>
                <w:color w:val="000000"/>
                <w:kern w:val="0"/>
                <w:sz w:val="21"/>
                <w:szCs w:val="21"/>
                <w:u w:val="single"/>
              </w:rPr>
              <w:t>.2</w:t>
            </w:r>
          </w:p>
        </w:tc>
        <w:tc>
          <w:tcPr>
            <w:tcW w:w="242"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835" w:type="pct"/>
            <w:vMerge w:val="continue"/>
            <w:vAlign w:val="center"/>
          </w:tcPr>
          <w:p>
            <w:pPr>
              <w:widowControl/>
              <w:spacing w:line="240" w:lineRule="auto"/>
              <w:ind w:firstLine="0" w:firstLineChars="0"/>
              <w:jc w:val="left"/>
              <w:rPr>
                <w:rFonts w:eastAsia="等线" w:cs="Times New Roman"/>
                <w:color w:val="000000"/>
                <w:kern w:val="0"/>
                <w:sz w:val="21"/>
                <w:szCs w:val="21"/>
                <w:u w:val="single"/>
              </w:rPr>
            </w:pP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50</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.89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.11</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3</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Align w:val="center"/>
          </w:tcPr>
          <w:p>
            <w:pPr>
              <w:widowControl/>
              <w:spacing w:line="240" w:lineRule="auto"/>
              <w:ind w:firstLine="0" w:firstLineChars="0"/>
              <w:jc w:val="left"/>
              <w:rPr>
                <w:rFonts w:eastAsia="等线" w:cs="Times New Roman"/>
                <w:color w:val="000000"/>
                <w:kern w:val="0"/>
                <w:sz w:val="21"/>
                <w:szCs w:val="21"/>
                <w:u w:val="single"/>
              </w:rPr>
            </w:pPr>
            <w:r>
              <w:rPr>
                <w:rFonts w:eastAsia="等线" w:cs="Times New Roman"/>
                <w:color w:val="000000"/>
                <w:kern w:val="0"/>
                <w:sz w:val="21"/>
                <w:szCs w:val="21"/>
                <w:u w:val="single"/>
              </w:rPr>
              <w:t>DA010</w:t>
            </w:r>
          </w:p>
        </w:tc>
        <w:tc>
          <w:tcPr>
            <w:tcW w:w="339" w:type="pct"/>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5000</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16.07</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818.77</w:t>
            </w:r>
          </w:p>
        </w:tc>
        <w:tc>
          <w:tcPr>
            <w:tcW w:w="242" w:type="pct"/>
            <w:vAlign w:val="center"/>
          </w:tcPr>
          <w:p>
            <w:pPr>
              <w:widowControl/>
              <w:spacing w:line="240" w:lineRule="auto"/>
              <w:ind w:firstLine="0" w:firstLineChars="0"/>
              <w:jc w:val="left"/>
              <w:rPr>
                <w:rFonts w:eastAsia="等线" w:cs="Times New Roman"/>
                <w:color w:val="000000"/>
                <w:kern w:val="0"/>
                <w:sz w:val="21"/>
                <w:szCs w:val="21"/>
                <w:u w:val="single"/>
              </w:rPr>
            </w:pPr>
            <w:r>
              <w:rPr>
                <w:rFonts w:eastAsia="等线" w:cs="Times New Roman"/>
                <w:color w:val="000000"/>
                <w:kern w:val="0"/>
                <w:sz w:val="21"/>
                <w:szCs w:val="21"/>
                <w:u w:val="single"/>
              </w:rPr>
              <w:t>TA010</w:t>
            </w:r>
          </w:p>
        </w:tc>
        <w:tc>
          <w:tcPr>
            <w:tcW w:w="835" w:type="pct"/>
            <w:vAlign w:val="center"/>
          </w:tcPr>
          <w:p>
            <w:pPr>
              <w:widowControl/>
              <w:spacing w:line="240" w:lineRule="auto"/>
              <w:ind w:firstLine="0" w:firstLineChars="0"/>
              <w:jc w:val="left"/>
              <w:rPr>
                <w:rFonts w:eastAsia="等线" w:cs="Times New Roman"/>
                <w:color w:val="000000"/>
                <w:kern w:val="0"/>
                <w:sz w:val="21"/>
                <w:szCs w:val="21"/>
                <w:u w:val="single"/>
              </w:rPr>
            </w:pPr>
            <w:r>
              <w:rPr>
                <w:rFonts w:hint="eastAsia" w:ascii="宋体" w:hAnsi="宋体" w:cs="宋体"/>
                <w:color w:val="000000"/>
                <w:kern w:val="0"/>
                <w:sz w:val="21"/>
                <w:szCs w:val="21"/>
                <w:u w:val="single"/>
              </w:rPr>
              <w:t>脉冲式布袋除尘器</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.16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8.19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.27</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120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Align w:val="center"/>
          </w:tcPr>
          <w:p>
            <w:pPr>
              <w:widowControl/>
              <w:spacing w:line="240" w:lineRule="auto"/>
              <w:ind w:firstLine="0" w:firstLineChars="0"/>
              <w:jc w:val="left"/>
              <w:rPr>
                <w:rFonts w:eastAsia="等线" w:cs="Times New Roman"/>
                <w:color w:val="000000"/>
                <w:kern w:val="0"/>
                <w:sz w:val="21"/>
                <w:szCs w:val="21"/>
                <w:u w:val="single"/>
              </w:rPr>
            </w:pPr>
            <w:r>
              <w:rPr>
                <w:rFonts w:eastAsia="等线" w:cs="Times New Roman"/>
                <w:color w:val="000000"/>
                <w:kern w:val="0"/>
                <w:sz w:val="21"/>
                <w:szCs w:val="21"/>
                <w:u w:val="single"/>
              </w:rPr>
              <w:t>DA011</w:t>
            </w:r>
          </w:p>
        </w:tc>
        <w:tc>
          <w:tcPr>
            <w:tcW w:w="339" w:type="pct"/>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0000</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88.09</w:t>
            </w:r>
          </w:p>
        </w:tc>
        <w:tc>
          <w:tcPr>
            <w:tcW w:w="320"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818.77</w:t>
            </w:r>
          </w:p>
        </w:tc>
        <w:tc>
          <w:tcPr>
            <w:tcW w:w="242" w:type="pct"/>
            <w:vAlign w:val="center"/>
          </w:tcPr>
          <w:p>
            <w:pPr>
              <w:widowControl/>
              <w:spacing w:line="240" w:lineRule="auto"/>
              <w:ind w:firstLine="0" w:firstLineChars="0"/>
              <w:jc w:val="left"/>
              <w:rPr>
                <w:rFonts w:eastAsia="等线" w:cs="Times New Roman"/>
                <w:color w:val="000000"/>
                <w:kern w:val="0"/>
                <w:sz w:val="21"/>
                <w:szCs w:val="21"/>
                <w:u w:val="single"/>
              </w:rPr>
            </w:pPr>
            <w:r>
              <w:rPr>
                <w:rFonts w:eastAsia="等线" w:cs="Times New Roman"/>
                <w:color w:val="000000"/>
                <w:kern w:val="0"/>
                <w:sz w:val="21"/>
                <w:szCs w:val="21"/>
                <w:u w:val="single"/>
              </w:rPr>
              <w:t>TA011</w:t>
            </w:r>
          </w:p>
        </w:tc>
        <w:tc>
          <w:tcPr>
            <w:tcW w:w="835" w:type="pct"/>
            <w:vAlign w:val="center"/>
          </w:tcPr>
          <w:p>
            <w:pPr>
              <w:widowControl/>
              <w:spacing w:line="240" w:lineRule="auto"/>
              <w:ind w:firstLine="0" w:firstLineChars="0"/>
              <w:jc w:val="left"/>
              <w:rPr>
                <w:rFonts w:eastAsia="等线" w:cs="Times New Roman"/>
                <w:color w:val="000000"/>
                <w:kern w:val="0"/>
                <w:sz w:val="21"/>
                <w:szCs w:val="21"/>
                <w:u w:val="single"/>
              </w:rPr>
            </w:pPr>
            <w:r>
              <w:rPr>
                <w:rFonts w:hint="eastAsia" w:ascii="宋体" w:hAnsi="宋体" w:cs="宋体"/>
                <w:color w:val="000000"/>
                <w:kern w:val="0"/>
                <w:sz w:val="21"/>
                <w:szCs w:val="21"/>
                <w:u w:val="single"/>
              </w:rPr>
              <w:t>脉冲式布袋除尘器</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.88</w:t>
            </w:r>
          </w:p>
        </w:tc>
        <w:tc>
          <w:tcPr>
            <w:tcW w:w="320"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8.19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.36</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120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Align w:val="center"/>
          </w:tcPr>
          <w:p>
            <w:pPr>
              <w:widowControl/>
              <w:spacing w:line="240" w:lineRule="auto"/>
              <w:ind w:firstLine="0" w:firstLineChars="0"/>
              <w:jc w:val="left"/>
              <w:rPr>
                <w:rFonts w:eastAsia="等线" w:cs="Times New Roman"/>
                <w:color w:val="000000"/>
                <w:kern w:val="0"/>
                <w:sz w:val="21"/>
                <w:szCs w:val="21"/>
                <w:u w:val="single"/>
              </w:rPr>
            </w:pPr>
            <w:r>
              <w:rPr>
                <w:rFonts w:eastAsia="等线" w:cs="Times New Roman"/>
                <w:color w:val="000000"/>
                <w:kern w:val="0"/>
                <w:sz w:val="21"/>
                <w:szCs w:val="21"/>
                <w:u w:val="single"/>
              </w:rPr>
              <w:t>DA012</w:t>
            </w:r>
          </w:p>
        </w:tc>
        <w:tc>
          <w:tcPr>
            <w:tcW w:w="339" w:type="pct"/>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5000</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16.07</w:t>
            </w:r>
          </w:p>
        </w:tc>
        <w:tc>
          <w:tcPr>
            <w:tcW w:w="320"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818.77</w:t>
            </w:r>
          </w:p>
        </w:tc>
        <w:tc>
          <w:tcPr>
            <w:tcW w:w="242" w:type="pct"/>
            <w:vAlign w:val="center"/>
          </w:tcPr>
          <w:p>
            <w:pPr>
              <w:widowControl/>
              <w:spacing w:line="240" w:lineRule="auto"/>
              <w:ind w:firstLine="0" w:firstLineChars="0"/>
              <w:jc w:val="left"/>
              <w:rPr>
                <w:rFonts w:eastAsia="等线" w:cs="Times New Roman"/>
                <w:color w:val="000000"/>
                <w:kern w:val="0"/>
                <w:sz w:val="21"/>
                <w:szCs w:val="21"/>
                <w:u w:val="single"/>
              </w:rPr>
            </w:pPr>
            <w:r>
              <w:rPr>
                <w:rFonts w:eastAsia="等线" w:cs="Times New Roman"/>
                <w:color w:val="000000"/>
                <w:kern w:val="0"/>
                <w:sz w:val="21"/>
                <w:szCs w:val="21"/>
                <w:u w:val="single"/>
              </w:rPr>
              <w:t>TA012</w:t>
            </w:r>
          </w:p>
        </w:tc>
        <w:tc>
          <w:tcPr>
            <w:tcW w:w="835" w:type="pct"/>
            <w:vAlign w:val="center"/>
          </w:tcPr>
          <w:p>
            <w:pPr>
              <w:widowControl/>
              <w:spacing w:line="240" w:lineRule="auto"/>
              <w:ind w:firstLine="0" w:firstLineChars="0"/>
              <w:jc w:val="left"/>
              <w:rPr>
                <w:rFonts w:eastAsia="等线" w:cs="Times New Roman"/>
                <w:color w:val="000000"/>
                <w:kern w:val="0"/>
                <w:sz w:val="21"/>
                <w:szCs w:val="21"/>
                <w:u w:val="single"/>
              </w:rPr>
            </w:pPr>
            <w:r>
              <w:rPr>
                <w:rFonts w:hint="eastAsia" w:ascii="宋体" w:hAnsi="宋体" w:cs="宋体"/>
                <w:color w:val="000000"/>
                <w:kern w:val="0"/>
                <w:sz w:val="21"/>
                <w:szCs w:val="21"/>
                <w:u w:val="single"/>
              </w:rPr>
              <w:t>脉冲式布袋除尘器</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2</w:t>
            </w:r>
            <w:r>
              <w:rPr>
                <w:rFonts w:eastAsia="等线" w:cs="Times New Roman"/>
                <w:color w:val="000000"/>
                <w:kern w:val="0"/>
                <w:sz w:val="21"/>
                <w:szCs w:val="21"/>
                <w:u w:val="single"/>
              </w:rPr>
              <w:t>.16</w:t>
            </w:r>
          </w:p>
        </w:tc>
        <w:tc>
          <w:tcPr>
            <w:tcW w:w="320"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8.19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.27</w:t>
            </w:r>
          </w:p>
        </w:tc>
        <w:tc>
          <w:tcPr>
            <w:tcW w:w="398"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120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vAlign w:val="center"/>
          </w:tcPr>
          <w:p>
            <w:pPr>
              <w:widowControl/>
              <w:spacing w:line="240" w:lineRule="auto"/>
              <w:ind w:firstLine="0" w:firstLineChars="0"/>
              <w:jc w:val="left"/>
              <w:rPr>
                <w:rFonts w:eastAsia="等线" w:cs="Times New Roman"/>
                <w:color w:val="000000"/>
                <w:kern w:val="0"/>
                <w:sz w:val="21"/>
                <w:szCs w:val="21"/>
                <w:u w:val="single"/>
              </w:rPr>
            </w:pPr>
            <w:r>
              <w:rPr>
                <w:rFonts w:eastAsia="等线" w:cs="Times New Roman"/>
                <w:color w:val="000000"/>
                <w:kern w:val="0"/>
                <w:sz w:val="21"/>
                <w:szCs w:val="21"/>
                <w:u w:val="single"/>
              </w:rPr>
              <w:t>DA013</w:t>
            </w:r>
          </w:p>
        </w:tc>
        <w:tc>
          <w:tcPr>
            <w:tcW w:w="339" w:type="pct"/>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0000</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44.05</w:t>
            </w:r>
          </w:p>
        </w:tc>
        <w:tc>
          <w:tcPr>
            <w:tcW w:w="320"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818.77</w:t>
            </w:r>
          </w:p>
        </w:tc>
        <w:tc>
          <w:tcPr>
            <w:tcW w:w="242" w:type="pct"/>
            <w:vAlign w:val="center"/>
          </w:tcPr>
          <w:p>
            <w:pPr>
              <w:widowControl/>
              <w:spacing w:line="240" w:lineRule="auto"/>
              <w:ind w:firstLine="0" w:firstLineChars="0"/>
              <w:jc w:val="left"/>
              <w:rPr>
                <w:rFonts w:eastAsia="等线" w:cs="Times New Roman"/>
                <w:color w:val="000000"/>
                <w:kern w:val="0"/>
                <w:sz w:val="21"/>
                <w:szCs w:val="21"/>
                <w:u w:val="single"/>
              </w:rPr>
            </w:pPr>
            <w:r>
              <w:rPr>
                <w:rFonts w:eastAsia="等线" w:cs="Times New Roman"/>
                <w:color w:val="000000"/>
                <w:kern w:val="0"/>
                <w:sz w:val="21"/>
                <w:szCs w:val="21"/>
                <w:u w:val="single"/>
              </w:rPr>
              <w:t>TA013</w:t>
            </w:r>
          </w:p>
        </w:tc>
        <w:tc>
          <w:tcPr>
            <w:tcW w:w="835" w:type="pct"/>
            <w:vAlign w:val="center"/>
          </w:tcPr>
          <w:p>
            <w:pPr>
              <w:widowControl/>
              <w:spacing w:line="240" w:lineRule="auto"/>
              <w:ind w:firstLine="0" w:firstLineChars="0"/>
              <w:jc w:val="left"/>
              <w:rPr>
                <w:rFonts w:eastAsia="等线" w:cs="Times New Roman"/>
                <w:color w:val="000000"/>
                <w:kern w:val="0"/>
                <w:sz w:val="21"/>
                <w:szCs w:val="21"/>
                <w:u w:val="single"/>
              </w:rPr>
            </w:pPr>
            <w:r>
              <w:rPr>
                <w:rFonts w:hint="eastAsia" w:ascii="宋体" w:hAnsi="宋体" w:cs="宋体"/>
                <w:color w:val="000000"/>
                <w:kern w:val="0"/>
                <w:sz w:val="21"/>
                <w:szCs w:val="21"/>
                <w:u w:val="single"/>
              </w:rPr>
              <w:t>脉冲式布袋除尘器</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99</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.44</w:t>
            </w:r>
          </w:p>
        </w:tc>
        <w:tc>
          <w:tcPr>
            <w:tcW w:w="320" w:type="pct"/>
            <w:shd w:val="clear" w:color="auto" w:fill="auto"/>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1</w:t>
            </w:r>
            <w:r>
              <w:rPr>
                <w:rFonts w:eastAsia="等线" w:cs="Times New Roman"/>
                <w:color w:val="000000"/>
                <w:kern w:val="0"/>
                <w:sz w:val="21"/>
                <w:szCs w:val="21"/>
                <w:u w:val="single"/>
              </w:rPr>
              <w:t>8.19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hint="eastAsia" w:eastAsia="等线" w:cs="Times New Roman"/>
                <w:color w:val="000000"/>
                <w:kern w:val="0"/>
                <w:sz w:val="21"/>
                <w:szCs w:val="21"/>
                <w:u w:val="single"/>
              </w:rPr>
              <w:t>0</w:t>
            </w:r>
            <w:r>
              <w:rPr>
                <w:rFonts w:eastAsia="等线" w:cs="Times New Roman"/>
                <w:color w:val="000000"/>
                <w:kern w:val="0"/>
                <w:sz w:val="21"/>
                <w:szCs w:val="21"/>
                <w:u w:val="single"/>
              </w:rPr>
              <w:t>.18</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7920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120</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DA014</w:t>
            </w:r>
          </w:p>
        </w:tc>
        <w:tc>
          <w:tcPr>
            <w:tcW w:w="339"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20000</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油烟</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0.432</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12</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TA015</w:t>
            </w:r>
          </w:p>
        </w:tc>
        <w:tc>
          <w:tcPr>
            <w:tcW w:w="835"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油烟净化器</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85</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0.065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1.8</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0.036</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1800</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20</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2</w:t>
            </w:r>
          </w:p>
        </w:tc>
        <w:tc>
          <w:tcPr>
            <w:tcW w:w="16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581" w:type="pct"/>
            <w:gridSpan w:val="2"/>
            <w:vMerge w:val="restar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合计</w:t>
            </w: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颗粒物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44118.31</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835"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441.19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16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581" w:type="pct"/>
            <w:gridSpan w:val="2"/>
            <w:vMerge w:val="continue"/>
            <w:vAlign w:val="center"/>
          </w:tcPr>
          <w:p>
            <w:pPr>
              <w:widowControl/>
              <w:spacing w:line="240" w:lineRule="auto"/>
              <w:ind w:firstLine="0" w:firstLineChars="0"/>
              <w:jc w:val="left"/>
              <w:rPr>
                <w:rFonts w:ascii="宋体" w:hAnsi="宋体" w:cs="宋体"/>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SO</w:t>
            </w:r>
            <w:r>
              <w:rPr>
                <w:rFonts w:eastAsia="等线" w:cs="Times New Roman"/>
                <w:color w:val="000000"/>
                <w:kern w:val="0"/>
                <w:sz w:val="21"/>
                <w:szCs w:val="21"/>
                <w:u w:val="single"/>
                <w:vertAlign w:val="subscript"/>
              </w:rPr>
              <w:t>2</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1034.4</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835"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155.16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16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581" w:type="pct"/>
            <w:gridSpan w:val="2"/>
            <w:vMerge w:val="continue"/>
            <w:vAlign w:val="center"/>
          </w:tcPr>
          <w:p>
            <w:pPr>
              <w:widowControl/>
              <w:spacing w:line="240" w:lineRule="auto"/>
              <w:ind w:firstLine="0" w:firstLineChars="0"/>
              <w:jc w:val="left"/>
              <w:rPr>
                <w:rFonts w:ascii="宋体" w:hAnsi="宋体" w:cs="宋体"/>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NO</w:t>
            </w:r>
            <w:r>
              <w:rPr>
                <w:rFonts w:eastAsia="等线" w:cs="Times New Roman"/>
                <w:color w:val="000000"/>
                <w:kern w:val="0"/>
                <w:sz w:val="21"/>
                <w:szCs w:val="21"/>
                <w:u w:val="single"/>
                <w:vertAlign w:val="subscript"/>
              </w:rPr>
              <w:t>x</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4071.66</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835"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407.19</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16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581" w:type="pct"/>
            <w:gridSpan w:val="2"/>
            <w:vMerge w:val="continue"/>
            <w:vAlign w:val="center"/>
          </w:tcPr>
          <w:p>
            <w:pPr>
              <w:widowControl/>
              <w:spacing w:line="240" w:lineRule="auto"/>
              <w:ind w:firstLine="0" w:firstLineChars="0"/>
              <w:jc w:val="left"/>
              <w:rPr>
                <w:rFonts w:ascii="宋体" w:hAnsi="宋体" w:cs="宋体"/>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氟化物</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7.12</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835"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3.57</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16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581" w:type="pct"/>
            <w:gridSpan w:val="2"/>
            <w:vMerge w:val="continue"/>
            <w:vAlign w:val="center"/>
          </w:tcPr>
          <w:p>
            <w:pPr>
              <w:widowControl/>
              <w:spacing w:line="240" w:lineRule="auto"/>
              <w:ind w:firstLine="0" w:firstLineChars="0"/>
              <w:jc w:val="left"/>
              <w:rPr>
                <w:rFonts w:ascii="宋体" w:hAnsi="宋体" w:cs="宋体"/>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NMHC</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5.13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835"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1.03</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16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581" w:type="pct"/>
            <w:gridSpan w:val="2"/>
            <w:vMerge w:val="continue"/>
            <w:vAlign w:val="center"/>
          </w:tcPr>
          <w:p>
            <w:pPr>
              <w:widowControl/>
              <w:spacing w:line="240" w:lineRule="auto"/>
              <w:ind w:firstLine="0" w:firstLineChars="0"/>
              <w:jc w:val="left"/>
              <w:rPr>
                <w:rFonts w:ascii="宋体" w:hAnsi="宋体" w:cs="宋体"/>
                <w:color w:val="000000"/>
                <w:kern w:val="0"/>
                <w:sz w:val="21"/>
                <w:szCs w:val="21"/>
                <w:u w:val="single"/>
              </w:rPr>
            </w:pPr>
          </w:p>
        </w:tc>
        <w:tc>
          <w:tcPr>
            <w:tcW w:w="242" w:type="pct"/>
            <w:shd w:val="clear" w:color="auto" w:fill="auto"/>
            <w:vAlign w:val="center"/>
          </w:tcPr>
          <w:p>
            <w:pPr>
              <w:widowControl/>
              <w:spacing w:line="240" w:lineRule="auto"/>
              <w:ind w:firstLine="0" w:firstLineChars="0"/>
              <w:jc w:val="center"/>
              <w:rPr>
                <w:rFonts w:ascii="宋体" w:hAnsi="宋体" w:cs="宋体"/>
                <w:color w:val="000000"/>
                <w:kern w:val="0"/>
                <w:sz w:val="21"/>
                <w:szCs w:val="21"/>
                <w:u w:val="single"/>
              </w:rPr>
            </w:pPr>
            <w:r>
              <w:rPr>
                <w:rFonts w:hint="eastAsia" w:ascii="宋体" w:hAnsi="宋体" w:cs="宋体"/>
                <w:color w:val="000000"/>
                <w:kern w:val="0"/>
                <w:sz w:val="21"/>
                <w:szCs w:val="21"/>
                <w:u w:val="single"/>
              </w:rPr>
              <w:t>油烟</w:t>
            </w:r>
          </w:p>
        </w:tc>
        <w:tc>
          <w:tcPr>
            <w:tcW w:w="30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0.432</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835"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24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sz w:val="21"/>
                <w:szCs w:val="21"/>
                <w:u w:val="single"/>
              </w:rPr>
              <w:t>0.065</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98"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320"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c>
          <w:tcPr>
            <w:tcW w:w="162" w:type="pct"/>
            <w:shd w:val="clear" w:color="auto" w:fill="auto"/>
            <w:vAlign w:val="center"/>
          </w:tcPr>
          <w:p>
            <w:pPr>
              <w:widowControl/>
              <w:spacing w:line="240" w:lineRule="auto"/>
              <w:ind w:firstLine="0" w:firstLineChars="0"/>
              <w:jc w:val="center"/>
              <w:rPr>
                <w:rFonts w:eastAsia="等线" w:cs="Times New Roman"/>
                <w:color w:val="000000"/>
                <w:kern w:val="0"/>
                <w:sz w:val="21"/>
                <w:szCs w:val="21"/>
                <w:u w:val="single"/>
              </w:rPr>
            </w:pPr>
            <w:r>
              <w:rPr>
                <w:rFonts w:eastAsia="等线" w:cs="Times New Roman"/>
                <w:color w:val="000000"/>
                <w:kern w:val="0"/>
                <w:sz w:val="21"/>
                <w:szCs w:val="21"/>
                <w:u w:val="single"/>
              </w:rPr>
              <w:t>/</w:t>
            </w:r>
          </w:p>
        </w:tc>
      </w:tr>
    </w:tbl>
    <w:p>
      <w:pPr>
        <w:ind w:firstLine="480"/>
        <w:rPr>
          <w:rFonts w:cs="Times New Roman"/>
          <w:u w:val="single"/>
        </w:rPr>
        <w:sectPr>
          <w:pgSz w:w="16838" w:h="11906" w:orient="landscape"/>
          <w:pgMar w:top="1800" w:right="1440" w:bottom="1800" w:left="1440" w:header="851" w:footer="992" w:gutter="0"/>
          <w:cols w:space="425" w:num="1"/>
          <w:docGrid w:type="lines" w:linePitch="326" w:charSpace="0"/>
        </w:sectPr>
      </w:pPr>
    </w:p>
    <w:p>
      <w:pPr>
        <w:ind w:firstLine="480"/>
        <w:rPr>
          <w:rFonts w:cs="Times New Roman"/>
          <w:u w:val="single"/>
        </w:rPr>
      </w:pPr>
      <w:r>
        <w:rPr>
          <w:rFonts w:cs="Times New Roman"/>
          <w:u w:val="single"/>
        </w:rPr>
        <w:t>11、无组织废气治理及排放</w:t>
      </w:r>
    </w:p>
    <w:p>
      <w:pPr>
        <w:ind w:firstLine="0" w:firstLineChars="0"/>
        <w:jc w:val="center"/>
        <w:rPr>
          <w:rFonts w:cs="Times New Roman"/>
          <w:u w:val="single"/>
        </w:rPr>
      </w:pPr>
      <w:r>
        <w:rPr>
          <w:rFonts w:cs="Times New Roman"/>
          <w:u w:val="single"/>
        </w:rPr>
        <w:t>表3.3-8  无组织废气污染物排放情况表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6"/>
        <w:gridCol w:w="2741"/>
        <w:gridCol w:w="995"/>
        <w:gridCol w:w="1306"/>
        <w:gridCol w:w="17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sz w:val="21"/>
                <w:szCs w:val="16"/>
                <w:u w:val="single"/>
              </w:rPr>
              <w:t>无组织源</w:t>
            </w:r>
          </w:p>
        </w:tc>
        <w:tc>
          <w:tcPr>
            <w:tcW w:w="1608" w:type="pct"/>
            <w:vAlign w:val="center"/>
          </w:tcPr>
          <w:p>
            <w:pPr>
              <w:spacing w:line="240" w:lineRule="auto"/>
              <w:ind w:firstLine="0" w:firstLineChars="0"/>
              <w:jc w:val="center"/>
              <w:rPr>
                <w:sz w:val="21"/>
                <w:szCs w:val="16"/>
                <w:u w:val="single"/>
              </w:rPr>
            </w:pPr>
            <w:r>
              <w:rPr>
                <w:sz w:val="21"/>
                <w:szCs w:val="16"/>
                <w:u w:val="single"/>
              </w:rPr>
              <w:t>面源形状</w:t>
            </w:r>
          </w:p>
        </w:tc>
        <w:tc>
          <w:tcPr>
            <w:tcW w:w="584" w:type="pct"/>
            <w:vAlign w:val="center"/>
          </w:tcPr>
          <w:p>
            <w:pPr>
              <w:spacing w:line="240" w:lineRule="auto"/>
              <w:ind w:firstLine="0" w:firstLineChars="0"/>
              <w:jc w:val="center"/>
              <w:rPr>
                <w:sz w:val="21"/>
                <w:szCs w:val="16"/>
                <w:u w:val="single"/>
              </w:rPr>
            </w:pPr>
            <w:r>
              <w:rPr>
                <w:sz w:val="21"/>
                <w:szCs w:val="16"/>
                <w:u w:val="single"/>
              </w:rPr>
              <w:t>污染物</w:t>
            </w:r>
          </w:p>
        </w:tc>
        <w:tc>
          <w:tcPr>
            <w:tcW w:w="766" w:type="pct"/>
            <w:vAlign w:val="center"/>
          </w:tcPr>
          <w:p>
            <w:pPr>
              <w:spacing w:line="240" w:lineRule="auto"/>
              <w:ind w:firstLine="0" w:firstLineChars="0"/>
              <w:jc w:val="center"/>
              <w:rPr>
                <w:sz w:val="21"/>
                <w:szCs w:val="16"/>
                <w:u w:val="single"/>
              </w:rPr>
            </w:pPr>
            <w:r>
              <w:rPr>
                <w:sz w:val="21"/>
                <w:szCs w:val="16"/>
                <w:u w:val="single"/>
              </w:rPr>
              <w:t>排放量t/a</w:t>
            </w:r>
          </w:p>
        </w:tc>
        <w:tc>
          <w:tcPr>
            <w:tcW w:w="1023" w:type="pct"/>
            <w:vAlign w:val="center"/>
          </w:tcPr>
          <w:p>
            <w:pPr>
              <w:spacing w:line="240" w:lineRule="auto"/>
              <w:ind w:firstLine="0" w:firstLineChars="0"/>
              <w:jc w:val="center"/>
              <w:rPr>
                <w:sz w:val="21"/>
                <w:szCs w:val="16"/>
                <w:u w:val="single"/>
              </w:rPr>
            </w:pPr>
            <w:r>
              <w:rPr>
                <w:sz w:val="21"/>
                <w:szCs w:val="16"/>
                <w:u w:val="single"/>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rFonts w:hint="eastAsia" w:cs="Times New Roman"/>
                <w:sz w:val="21"/>
                <w:szCs w:val="21"/>
                <w:u w:val="single"/>
              </w:rPr>
              <w:t>5#原矿堆场</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矩形：1</w:t>
            </w:r>
            <w:r>
              <w:rPr>
                <w:sz w:val="21"/>
                <w:szCs w:val="16"/>
                <w:u w:val="single"/>
              </w:rPr>
              <w:t>31.5</w:t>
            </w:r>
            <w:r>
              <w:rPr>
                <w:rFonts w:hint="eastAsia"/>
                <w:sz w:val="21"/>
                <w:szCs w:val="16"/>
                <w:u w:val="single"/>
              </w:rPr>
              <w:t>×</w:t>
            </w:r>
            <w:r>
              <w:rPr>
                <w:sz w:val="21"/>
                <w:szCs w:val="16"/>
                <w:u w:val="single"/>
              </w:rPr>
              <w:t>90</w:t>
            </w:r>
            <w:r>
              <w:rPr>
                <w:rFonts w:hint="eastAsia"/>
                <w:sz w:val="21"/>
                <w:szCs w:val="16"/>
                <w:u w:val="single"/>
              </w:rPr>
              <w:t>m</w:t>
            </w:r>
          </w:p>
        </w:tc>
        <w:tc>
          <w:tcPr>
            <w:tcW w:w="584" w:type="pct"/>
            <w:vAlign w:val="center"/>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cs="Times New Roman"/>
                <w:color w:val="000000"/>
                <w:sz w:val="21"/>
                <w:szCs w:val="21"/>
                <w:u w:val="single"/>
              </w:rPr>
              <w:t xml:space="preserve">8.24 </w:t>
            </w:r>
          </w:p>
        </w:tc>
        <w:tc>
          <w:tcPr>
            <w:tcW w:w="1023" w:type="pct"/>
            <w:vAlign w:val="center"/>
          </w:tcPr>
          <w:p>
            <w:pPr>
              <w:spacing w:line="240" w:lineRule="auto"/>
              <w:ind w:firstLine="0" w:firstLineChars="0"/>
              <w:jc w:val="center"/>
              <w:rPr>
                <w:sz w:val="21"/>
                <w:szCs w:val="16"/>
                <w:u w:val="single"/>
              </w:rPr>
            </w:pPr>
            <w:r>
              <w:rPr>
                <w:rFonts w:cs="Times New Roman"/>
                <w:color w:val="000000"/>
                <w:sz w:val="21"/>
                <w:szCs w:val="21"/>
                <w:u w:val="single"/>
              </w:rPr>
              <w:t xml:space="preserve">1.14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rFonts w:hint="eastAsia" w:cs="Times New Roman"/>
                <w:sz w:val="21"/>
                <w:szCs w:val="21"/>
                <w:u w:val="single"/>
              </w:rPr>
              <w:t>6#原矿堆场</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多边形（梯形）</w:t>
            </w:r>
          </w:p>
        </w:tc>
        <w:tc>
          <w:tcPr>
            <w:tcW w:w="584" w:type="pct"/>
            <w:vAlign w:val="center"/>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cs="Times New Roman"/>
                <w:color w:val="000000"/>
                <w:sz w:val="21"/>
                <w:szCs w:val="21"/>
                <w:u w:val="single"/>
              </w:rPr>
              <w:t xml:space="preserve">8.51 </w:t>
            </w:r>
          </w:p>
        </w:tc>
        <w:tc>
          <w:tcPr>
            <w:tcW w:w="1023" w:type="pct"/>
            <w:vAlign w:val="center"/>
          </w:tcPr>
          <w:p>
            <w:pPr>
              <w:spacing w:line="240" w:lineRule="auto"/>
              <w:ind w:firstLine="0" w:firstLineChars="0"/>
              <w:jc w:val="center"/>
              <w:rPr>
                <w:sz w:val="21"/>
                <w:szCs w:val="16"/>
                <w:u w:val="single"/>
              </w:rPr>
            </w:pPr>
            <w:r>
              <w:rPr>
                <w:rFonts w:cs="Times New Roman"/>
                <w:color w:val="000000"/>
                <w:sz w:val="21"/>
                <w:szCs w:val="21"/>
                <w:u w:val="single"/>
              </w:rPr>
              <w:t xml:space="preserve">1.18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rFonts w:hint="eastAsia" w:cs="Times New Roman"/>
                <w:sz w:val="21"/>
                <w:szCs w:val="21"/>
                <w:u w:val="single"/>
              </w:rPr>
              <w:t>3#原矿堆场</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多边形（梯形）</w:t>
            </w:r>
          </w:p>
        </w:tc>
        <w:tc>
          <w:tcPr>
            <w:tcW w:w="584" w:type="pct"/>
            <w:vAlign w:val="center"/>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cs="Times New Roman"/>
                <w:color w:val="000000"/>
                <w:sz w:val="21"/>
                <w:szCs w:val="21"/>
                <w:u w:val="single"/>
              </w:rPr>
              <w:t xml:space="preserve">9.24 </w:t>
            </w:r>
          </w:p>
        </w:tc>
        <w:tc>
          <w:tcPr>
            <w:tcW w:w="1023" w:type="pct"/>
            <w:vAlign w:val="center"/>
          </w:tcPr>
          <w:p>
            <w:pPr>
              <w:spacing w:line="240" w:lineRule="auto"/>
              <w:ind w:firstLine="0" w:firstLineChars="0"/>
              <w:jc w:val="center"/>
              <w:rPr>
                <w:sz w:val="21"/>
                <w:szCs w:val="16"/>
                <w:u w:val="single"/>
              </w:rPr>
            </w:pPr>
            <w:r>
              <w:rPr>
                <w:rFonts w:cs="Times New Roman"/>
                <w:color w:val="000000"/>
                <w:sz w:val="21"/>
                <w:szCs w:val="21"/>
                <w:u w:val="single"/>
              </w:rPr>
              <w:t xml:space="preserve">1.28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rFonts w:hint="eastAsia" w:cs="Times New Roman"/>
                <w:sz w:val="21"/>
                <w:szCs w:val="21"/>
                <w:u w:val="single"/>
              </w:rPr>
              <w:t>7#原矿堆场</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多边形（梯形）</w:t>
            </w:r>
          </w:p>
        </w:tc>
        <w:tc>
          <w:tcPr>
            <w:tcW w:w="584" w:type="pct"/>
            <w:vAlign w:val="center"/>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cs="Times New Roman"/>
                <w:color w:val="000000"/>
                <w:sz w:val="21"/>
                <w:szCs w:val="21"/>
                <w:u w:val="single"/>
              </w:rPr>
              <w:t xml:space="preserve">0.34 </w:t>
            </w:r>
          </w:p>
        </w:tc>
        <w:tc>
          <w:tcPr>
            <w:tcW w:w="1023" w:type="pct"/>
            <w:vAlign w:val="center"/>
          </w:tcPr>
          <w:p>
            <w:pPr>
              <w:spacing w:line="240" w:lineRule="auto"/>
              <w:ind w:firstLine="0" w:firstLineChars="0"/>
              <w:jc w:val="center"/>
              <w:rPr>
                <w:sz w:val="21"/>
                <w:szCs w:val="16"/>
                <w:u w:val="single"/>
              </w:rPr>
            </w:pPr>
            <w:r>
              <w:rPr>
                <w:rFonts w:cs="Times New Roman"/>
                <w:color w:val="000000"/>
                <w:sz w:val="21"/>
                <w:szCs w:val="21"/>
                <w:u w:val="single"/>
              </w:rPr>
              <w:t xml:space="preserve">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rFonts w:hint="eastAsia" w:cs="Times New Roman"/>
                <w:sz w:val="21"/>
                <w:szCs w:val="21"/>
                <w:u w:val="single"/>
              </w:rPr>
              <w:t>4#原矿堆场</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矩形：1</w:t>
            </w:r>
            <w:r>
              <w:rPr>
                <w:sz w:val="21"/>
                <w:szCs w:val="16"/>
                <w:u w:val="single"/>
              </w:rPr>
              <w:t>31.5</w:t>
            </w:r>
            <w:r>
              <w:rPr>
                <w:rFonts w:hint="eastAsia"/>
                <w:sz w:val="21"/>
                <w:szCs w:val="16"/>
                <w:u w:val="single"/>
              </w:rPr>
              <w:t>×</w:t>
            </w:r>
            <w:r>
              <w:rPr>
                <w:sz w:val="21"/>
                <w:szCs w:val="16"/>
                <w:u w:val="single"/>
              </w:rPr>
              <w:t>126</w:t>
            </w:r>
            <w:r>
              <w:rPr>
                <w:rFonts w:hint="eastAsia"/>
                <w:sz w:val="21"/>
                <w:szCs w:val="16"/>
                <w:u w:val="single"/>
              </w:rPr>
              <w:t>m</w:t>
            </w:r>
          </w:p>
        </w:tc>
        <w:tc>
          <w:tcPr>
            <w:tcW w:w="584" w:type="pct"/>
            <w:vAlign w:val="center"/>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cs="Times New Roman"/>
                <w:color w:val="000000"/>
                <w:sz w:val="21"/>
                <w:szCs w:val="21"/>
                <w:u w:val="single"/>
              </w:rPr>
              <w:t xml:space="preserve">0.54 </w:t>
            </w:r>
          </w:p>
        </w:tc>
        <w:tc>
          <w:tcPr>
            <w:tcW w:w="1023" w:type="pct"/>
            <w:vAlign w:val="center"/>
          </w:tcPr>
          <w:p>
            <w:pPr>
              <w:spacing w:line="240" w:lineRule="auto"/>
              <w:ind w:firstLine="0" w:firstLineChars="0"/>
              <w:jc w:val="center"/>
              <w:rPr>
                <w:sz w:val="21"/>
                <w:szCs w:val="16"/>
                <w:u w:val="single"/>
              </w:rPr>
            </w:pPr>
            <w:r>
              <w:rPr>
                <w:rFonts w:cs="Times New Roman"/>
                <w:color w:val="000000"/>
                <w:sz w:val="21"/>
                <w:szCs w:val="21"/>
                <w:u w:val="single"/>
              </w:rPr>
              <w:t xml:space="preserve">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rFonts w:hint="eastAsia"/>
                <w:sz w:val="21"/>
                <w:szCs w:val="16"/>
                <w:u w:val="single"/>
              </w:rPr>
              <w:t>1#原矿堆场</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矩形：</w:t>
            </w:r>
            <w:r>
              <w:rPr>
                <w:sz w:val="21"/>
                <w:szCs w:val="16"/>
                <w:u w:val="single"/>
              </w:rPr>
              <w:t>140.5</w:t>
            </w:r>
            <w:r>
              <w:rPr>
                <w:rFonts w:hint="eastAsia"/>
                <w:sz w:val="21"/>
                <w:szCs w:val="16"/>
                <w:u w:val="single"/>
              </w:rPr>
              <w:t>×</w:t>
            </w:r>
            <w:r>
              <w:rPr>
                <w:sz w:val="21"/>
                <w:szCs w:val="16"/>
                <w:u w:val="single"/>
              </w:rPr>
              <w:t>90</w:t>
            </w:r>
            <w:r>
              <w:rPr>
                <w:rFonts w:hint="eastAsia"/>
                <w:sz w:val="21"/>
                <w:szCs w:val="16"/>
                <w:u w:val="single"/>
              </w:rPr>
              <w:t>m</w:t>
            </w:r>
          </w:p>
        </w:tc>
        <w:tc>
          <w:tcPr>
            <w:tcW w:w="584" w:type="pct"/>
            <w:vAlign w:val="center"/>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.59</w:t>
            </w:r>
          </w:p>
        </w:tc>
        <w:tc>
          <w:tcPr>
            <w:tcW w:w="1023"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rFonts w:hint="eastAsia"/>
                <w:sz w:val="21"/>
                <w:szCs w:val="16"/>
                <w:u w:val="single"/>
              </w:rPr>
              <w:t>2#原矿堆场</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矩形：</w:t>
            </w:r>
            <w:r>
              <w:rPr>
                <w:sz w:val="21"/>
                <w:szCs w:val="16"/>
                <w:u w:val="single"/>
              </w:rPr>
              <w:t>140.5</w:t>
            </w:r>
            <w:r>
              <w:rPr>
                <w:rFonts w:hint="eastAsia"/>
                <w:sz w:val="21"/>
                <w:szCs w:val="16"/>
                <w:u w:val="single"/>
              </w:rPr>
              <w:t>×</w:t>
            </w:r>
            <w:r>
              <w:rPr>
                <w:sz w:val="21"/>
                <w:szCs w:val="16"/>
                <w:u w:val="single"/>
              </w:rPr>
              <w:t>90</w:t>
            </w:r>
            <w:r>
              <w:rPr>
                <w:rFonts w:hint="eastAsia"/>
                <w:sz w:val="21"/>
                <w:szCs w:val="16"/>
                <w:u w:val="single"/>
              </w:rPr>
              <w:t>m</w:t>
            </w:r>
          </w:p>
        </w:tc>
        <w:tc>
          <w:tcPr>
            <w:tcW w:w="584" w:type="pct"/>
            <w:vAlign w:val="center"/>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.59</w:t>
            </w:r>
          </w:p>
        </w:tc>
        <w:tc>
          <w:tcPr>
            <w:tcW w:w="1023"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rFonts w:hint="eastAsia"/>
                <w:sz w:val="21"/>
                <w:szCs w:val="16"/>
                <w:u w:val="single"/>
              </w:rPr>
              <w:t>包装材料生产车间</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多边形（梯形）</w:t>
            </w:r>
          </w:p>
        </w:tc>
        <w:tc>
          <w:tcPr>
            <w:tcW w:w="584" w:type="pct"/>
            <w:vAlign w:val="center"/>
          </w:tcPr>
          <w:p>
            <w:pPr>
              <w:spacing w:line="240" w:lineRule="auto"/>
              <w:ind w:firstLine="0" w:firstLineChars="0"/>
              <w:jc w:val="center"/>
              <w:rPr>
                <w:sz w:val="21"/>
                <w:szCs w:val="16"/>
                <w:u w:val="single"/>
              </w:rPr>
            </w:pPr>
            <w:r>
              <w:rPr>
                <w:rFonts w:hint="eastAsia"/>
                <w:sz w:val="21"/>
                <w:szCs w:val="16"/>
                <w:u w:val="single"/>
              </w:rPr>
              <w:t>NMHC</w:t>
            </w:r>
          </w:p>
        </w:tc>
        <w:tc>
          <w:tcPr>
            <w:tcW w:w="76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.57</w:t>
            </w:r>
          </w:p>
        </w:tc>
        <w:tc>
          <w:tcPr>
            <w:tcW w:w="1023"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rFonts w:hint="eastAsia"/>
                <w:sz w:val="21"/>
                <w:szCs w:val="16"/>
                <w:u w:val="single"/>
              </w:rPr>
              <w:t>1#成型车间</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矩形：</w:t>
            </w:r>
            <w:r>
              <w:rPr>
                <w:sz w:val="21"/>
                <w:szCs w:val="16"/>
                <w:u w:val="single"/>
              </w:rPr>
              <w:t>27</w:t>
            </w:r>
            <w:r>
              <w:rPr>
                <w:rFonts w:hint="eastAsia"/>
                <w:sz w:val="21"/>
                <w:szCs w:val="16"/>
                <w:u w:val="single"/>
              </w:rPr>
              <w:t>×</w:t>
            </w:r>
            <w:r>
              <w:rPr>
                <w:sz w:val="21"/>
                <w:szCs w:val="16"/>
                <w:u w:val="single"/>
              </w:rPr>
              <w:t>63</w:t>
            </w:r>
            <w:r>
              <w:rPr>
                <w:rFonts w:hint="eastAsia"/>
                <w:sz w:val="21"/>
                <w:szCs w:val="16"/>
                <w:u w:val="single"/>
              </w:rPr>
              <w:t>m</w:t>
            </w:r>
          </w:p>
        </w:tc>
        <w:tc>
          <w:tcPr>
            <w:tcW w:w="584" w:type="pct"/>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.09</w:t>
            </w:r>
          </w:p>
        </w:tc>
        <w:tc>
          <w:tcPr>
            <w:tcW w:w="1023"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rFonts w:hint="eastAsia"/>
                <w:sz w:val="21"/>
                <w:szCs w:val="16"/>
                <w:u w:val="single"/>
              </w:rPr>
              <w:t>2#成型车间</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矩形：</w:t>
            </w:r>
            <w:r>
              <w:rPr>
                <w:sz w:val="21"/>
                <w:szCs w:val="16"/>
                <w:u w:val="single"/>
              </w:rPr>
              <w:t>55</w:t>
            </w:r>
            <w:r>
              <w:rPr>
                <w:rFonts w:hint="eastAsia"/>
                <w:sz w:val="21"/>
                <w:szCs w:val="16"/>
                <w:u w:val="single"/>
              </w:rPr>
              <w:t>×</w:t>
            </w:r>
            <w:r>
              <w:rPr>
                <w:sz w:val="21"/>
                <w:szCs w:val="16"/>
                <w:u w:val="single"/>
              </w:rPr>
              <w:t>72</w:t>
            </w:r>
            <w:r>
              <w:rPr>
                <w:rFonts w:hint="eastAsia"/>
                <w:sz w:val="21"/>
                <w:szCs w:val="16"/>
                <w:u w:val="single"/>
              </w:rPr>
              <w:t>m</w:t>
            </w:r>
          </w:p>
        </w:tc>
        <w:tc>
          <w:tcPr>
            <w:tcW w:w="584" w:type="pct"/>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.12</w:t>
            </w:r>
          </w:p>
        </w:tc>
        <w:tc>
          <w:tcPr>
            <w:tcW w:w="1023"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tcPr>
          <w:p>
            <w:pPr>
              <w:spacing w:line="240" w:lineRule="auto"/>
              <w:ind w:firstLine="0" w:firstLineChars="0"/>
              <w:jc w:val="center"/>
              <w:rPr>
                <w:sz w:val="21"/>
                <w:szCs w:val="16"/>
                <w:u w:val="single"/>
              </w:rPr>
            </w:pPr>
            <w:r>
              <w:rPr>
                <w:sz w:val="21"/>
                <w:szCs w:val="16"/>
                <w:u w:val="single"/>
              </w:rPr>
              <w:t>3</w:t>
            </w:r>
            <w:r>
              <w:rPr>
                <w:rFonts w:hint="eastAsia"/>
                <w:sz w:val="21"/>
                <w:szCs w:val="16"/>
                <w:u w:val="single"/>
              </w:rPr>
              <w:t>#成型车间</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矩形：</w:t>
            </w:r>
            <w:r>
              <w:rPr>
                <w:sz w:val="21"/>
                <w:szCs w:val="16"/>
                <w:u w:val="single"/>
              </w:rPr>
              <w:t>90</w:t>
            </w:r>
            <w:r>
              <w:rPr>
                <w:rFonts w:hint="eastAsia"/>
                <w:sz w:val="21"/>
                <w:szCs w:val="16"/>
                <w:u w:val="single"/>
              </w:rPr>
              <w:t>×</w:t>
            </w:r>
            <w:r>
              <w:rPr>
                <w:sz w:val="21"/>
                <w:szCs w:val="16"/>
                <w:u w:val="single"/>
              </w:rPr>
              <w:t>63</w:t>
            </w:r>
            <w:r>
              <w:rPr>
                <w:rFonts w:hint="eastAsia"/>
                <w:sz w:val="21"/>
                <w:szCs w:val="16"/>
                <w:u w:val="single"/>
              </w:rPr>
              <w:t>m</w:t>
            </w:r>
          </w:p>
        </w:tc>
        <w:tc>
          <w:tcPr>
            <w:tcW w:w="584" w:type="pct"/>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.09</w:t>
            </w:r>
          </w:p>
        </w:tc>
        <w:tc>
          <w:tcPr>
            <w:tcW w:w="1023"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tcPr>
          <w:p>
            <w:pPr>
              <w:spacing w:line="240" w:lineRule="auto"/>
              <w:ind w:firstLine="0" w:firstLineChars="0"/>
              <w:jc w:val="center"/>
              <w:rPr>
                <w:sz w:val="21"/>
                <w:szCs w:val="16"/>
                <w:u w:val="single"/>
              </w:rPr>
            </w:pPr>
            <w:r>
              <w:rPr>
                <w:sz w:val="21"/>
                <w:szCs w:val="16"/>
                <w:u w:val="single"/>
              </w:rPr>
              <w:t>4</w:t>
            </w:r>
            <w:r>
              <w:rPr>
                <w:rFonts w:hint="eastAsia"/>
                <w:sz w:val="21"/>
                <w:szCs w:val="16"/>
                <w:u w:val="single"/>
              </w:rPr>
              <w:t>#成型车间</w:t>
            </w:r>
          </w:p>
        </w:tc>
        <w:tc>
          <w:tcPr>
            <w:tcW w:w="1608" w:type="pct"/>
            <w:vAlign w:val="center"/>
          </w:tcPr>
          <w:p>
            <w:pPr>
              <w:spacing w:line="240" w:lineRule="auto"/>
              <w:ind w:firstLine="0" w:firstLineChars="0"/>
              <w:jc w:val="center"/>
              <w:rPr>
                <w:sz w:val="21"/>
                <w:szCs w:val="16"/>
                <w:u w:val="single"/>
              </w:rPr>
            </w:pPr>
            <w:r>
              <w:rPr>
                <w:rFonts w:hint="eastAsia"/>
                <w:sz w:val="21"/>
                <w:szCs w:val="16"/>
                <w:u w:val="single"/>
              </w:rPr>
              <w:t>矩形：</w:t>
            </w:r>
            <w:r>
              <w:rPr>
                <w:sz w:val="21"/>
                <w:szCs w:val="16"/>
                <w:u w:val="single"/>
              </w:rPr>
              <w:t>21</w:t>
            </w:r>
            <w:r>
              <w:rPr>
                <w:rFonts w:hint="eastAsia"/>
                <w:sz w:val="21"/>
                <w:szCs w:val="16"/>
                <w:u w:val="single"/>
              </w:rPr>
              <w:t>×</w:t>
            </w:r>
            <w:r>
              <w:rPr>
                <w:sz w:val="21"/>
                <w:szCs w:val="16"/>
                <w:u w:val="single"/>
              </w:rPr>
              <w:t>76</w:t>
            </w:r>
            <w:r>
              <w:rPr>
                <w:rFonts w:hint="eastAsia"/>
                <w:sz w:val="21"/>
                <w:szCs w:val="16"/>
                <w:u w:val="single"/>
              </w:rPr>
              <w:t>m</w:t>
            </w:r>
          </w:p>
        </w:tc>
        <w:tc>
          <w:tcPr>
            <w:tcW w:w="584" w:type="pct"/>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.06</w:t>
            </w:r>
          </w:p>
        </w:tc>
        <w:tc>
          <w:tcPr>
            <w:tcW w:w="1023"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 w:type="pct"/>
            <w:vAlign w:val="center"/>
          </w:tcPr>
          <w:p>
            <w:pPr>
              <w:spacing w:line="240" w:lineRule="auto"/>
              <w:ind w:firstLine="0" w:firstLineChars="0"/>
              <w:jc w:val="center"/>
              <w:rPr>
                <w:sz w:val="21"/>
                <w:szCs w:val="16"/>
                <w:u w:val="single"/>
              </w:rPr>
            </w:pPr>
            <w:r>
              <w:rPr>
                <w:sz w:val="21"/>
                <w:szCs w:val="16"/>
                <w:u w:val="single"/>
              </w:rPr>
              <w:t>合计</w:t>
            </w:r>
          </w:p>
        </w:tc>
        <w:tc>
          <w:tcPr>
            <w:tcW w:w="1608" w:type="pct"/>
            <w:vAlign w:val="center"/>
          </w:tcPr>
          <w:p>
            <w:pPr>
              <w:spacing w:line="240" w:lineRule="auto"/>
              <w:ind w:firstLine="0" w:firstLineChars="0"/>
              <w:jc w:val="center"/>
              <w:rPr>
                <w:sz w:val="21"/>
                <w:szCs w:val="16"/>
                <w:u w:val="single"/>
              </w:rPr>
            </w:pPr>
            <w:r>
              <w:rPr>
                <w:sz w:val="21"/>
                <w:szCs w:val="16"/>
                <w:u w:val="single"/>
              </w:rPr>
              <w:t>/</w:t>
            </w:r>
          </w:p>
        </w:tc>
        <w:tc>
          <w:tcPr>
            <w:tcW w:w="584" w:type="pct"/>
            <w:vAlign w:val="center"/>
          </w:tcPr>
          <w:p>
            <w:pPr>
              <w:spacing w:line="240" w:lineRule="auto"/>
              <w:ind w:firstLine="0" w:firstLineChars="0"/>
              <w:jc w:val="center"/>
              <w:rPr>
                <w:sz w:val="21"/>
                <w:szCs w:val="16"/>
                <w:u w:val="single"/>
              </w:rPr>
            </w:pPr>
            <w:r>
              <w:rPr>
                <w:sz w:val="21"/>
                <w:szCs w:val="16"/>
                <w:u w:val="single"/>
              </w:rPr>
              <w:t>颗粒物</w:t>
            </w:r>
          </w:p>
        </w:tc>
        <w:tc>
          <w:tcPr>
            <w:tcW w:w="766"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8.98</w:t>
            </w:r>
          </w:p>
        </w:tc>
        <w:tc>
          <w:tcPr>
            <w:tcW w:w="1023"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.02</w:t>
            </w:r>
          </w:p>
        </w:tc>
      </w:tr>
    </w:tbl>
    <w:p>
      <w:pPr>
        <w:pStyle w:val="5"/>
      </w:pPr>
      <w:r>
        <w:t>3.3.2.2废水污染源强核算</w:t>
      </w:r>
    </w:p>
    <w:p>
      <w:pPr>
        <w:ind w:firstLine="480"/>
        <w:rPr>
          <w:rFonts w:cs="Times New Roman"/>
          <w:u w:val="single"/>
        </w:rPr>
      </w:pPr>
      <w:r>
        <w:rPr>
          <w:rFonts w:cs="Times New Roman"/>
          <w:u w:val="single"/>
        </w:rPr>
        <w:t>1、球磨水W1、W4、W8</w:t>
      </w:r>
    </w:p>
    <w:p>
      <w:pPr>
        <w:ind w:firstLine="480"/>
        <w:rPr>
          <w:rFonts w:cs="Times New Roman"/>
          <w:u w:val="single"/>
        </w:rPr>
      </w:pPr>
      <w:r>
        <w:rPr>
          <w:rFonts w:cs="Times New Roman"/>
          <w:u w:val="single"/>
        </w:rPr>
        <w:t>配料、球磨工序均会产生少量废水，主要是球磨机滴漏和清洗废水，总用水量约为1350.11t/d，废水经排水渠流入污水池直接回用原料制浆，或进行混凝沉淀处理后，上清液（70%）流入清水池用泵回流作循环利用，循环水量为945.08t/d，回收利用不外排。根据生产需要，每天补充水量约405.03t。</w:t>
      </w:r>
    </w:p>
    <w:p>
      <w:pPr>
        <w:ind w:firstLine="480"/>
        <w:rPr>
          <w:rFonts w:cs="Times New Roman"/>
          <w:u w:val="single"/>
        </w:rPr>
      </w:pPr>
      <w:r>
        <w:rPr>
          <w:rFonts w:cs="Times New Roman"/>
          <w:u w:val="single"/>
        </w:rPr>
        <w:t>2、施釉废水W2、W5、W9</w:t>
      </w:r>
    </w:p>
    <w:p>
      <w:pPr>
        <w:ind w:firstLine="480"/>
        <w:rPr>
          <w:rFonts w:cs="Times New Roman"/>
          <w:u w:val="single"/>
        </w:rPr>
      </w:pPr>
      <w:r>
        <w:rPr>
          <w:rFonts w:cs="Times New Roman"/>
          <w:u w:val="single"/>
        </w:rPr>
        <w:t>工程釉料用量108904.19t/a，制釉配料球磨需加入一定量的水，使釉料含水46%左右，则制釉过程用水量约为298.19m</w:t>
      </w:r>
      <w:r>
        <w:rPr>
          <w:rFonts w:cs="Times New Roman"/>
          <w:u w:val="single"/>
          <w:vertAlign w:val="superscript"/>
        </w:rPr>
        <w:t>3</w:t>
      </w:r>
      <w:r>
        <w:rPr>
          <w:rFonts w:cs="Times New Roman"/>
          <w:u w:val="single"/>
        </w:rPr>
        <w:t>/d，全部消耗于釉料中，无废水产生。</w:t>
      </w:r>
    </w:p>
    <w:p>
      <w:pPr>
        <w:ind w:firstLine="480"/>
        <w:rPr>
          <w:rFonts w:cs="Times New Roman"/>
          <w:u w:val="single"/>
        </w:rPr>
      </w:pPr>
      <w:r>
        <w:rPr>
          <w:rFonts w:cs="Times New Roman"/>
          <w:u w:val="single"/>
        </w:rPr>
        <w:t>3、磨边、抛光废水W3、W6、W7</w:t>
      </w:r>
    </w:p>
    <w:p>
      <w:pPr>
        <w:ind w:firstLine="480"/>
        <w:rPr>
          <w:rFonts w:cs="Times New Roman"/>
          <w:u w:val="single"/>
        </w:rPr>
      </w:pPr>
      <w:r>
        <w:rPr>
          <w:rFonts w:cs="Times New Roman"/>
          <w:u w:val="single"/>
        </w:rPr>
        <w:t>本项目生产线磨、抛光采用湿式磨边、抛光废水产生量为1565.72t/d。磨边、抛光废水经处理后循环利用，循环水量为1565.72t/d。废水中主要污染物是SS，根据同类厂家的类比结果，SS浓度为5000~15000mg/L。废水经排水渠流入沉淀池进行混凝沉淀处理后，不外排，污泥再经浓缩压滤处理。每天补充水量约804.28t。</w:t>
      </w:r>
    </w:p>
    <w:p>
      <w:pPr>
        <w:ind w:firstLine="480"/>
        <w:rPr>
          <w:rFonts w:cs="Times New Roman"/>
          <w:u w:val="single"/>
        </w:rPr>
      </w:pPr>
      <w:r>
        <w:rPr>
          <w:rFonts w:cs="Times New Roman"/>
          <w:u w:val="single"/>
        </w:rPr>
        <w:t>5、地面及设备冲洗用水W12</w:t>
      </w:r>
    </w:p>
    <w:p>
      <w:pPr>
        <w:ind w:firstLine="480"/>
        <w:rPr>
          <w:rFonts w:cs="Times New Roman"/>
          <w:u w:val="single"/>
        </w:rPr>
      </w:pPr>
      <w:r>
        <w:rPr>
          <w:rFonts w:cs="Times New Roman"/>
          <w:u w:val="single"/>
        </w:rPr>
        <w:t>项目设备和车间地面冲洗水需水量约为500m</w:t>
      </w:r>
      <w:r>
        <w:rPr>
          <w:rFonts w:cs="Times New Roman"/>
          <w:u w:val="single"/>
          <w:vertAlign w:val="superscript"/>
        </w:rPr>
        <w:t>3</w:t>
      </w:r>
      <w:r>
        <w:rPr>
          <w:rFonts w:cs="Times New Roman"/>
          <w:u w:val="single"/>
        </w:rPr>
        <w:t>/d，根据同类厂家的类比结果，废水中SS浓度约1500mg/L，废水经处理达标后全部回用，回用水量为400t/d，每天补充水量约100t。</w:t>
      </w:r>
    </w:p>
    <w:p>
      <w:pPr>
        <w:ind w:firstLine="480"/>
        <w:rPr>
          <w:rFonts w:cs="Times New Roman"/>
          <w:u w:val="single"/>
        </w:rPr>
      </w:pPr>
      <w:r>
        <w:rPr>
          <w:rFonts w:cs="Times New Roman"/>
          <w:u w:val="single"/>
        </w:rPr>
        <w:t>6、间接冷却用、排水W13</w:t>
      </w:r>
    </w:p>
    <w:p>
      <w:pPr>
        <w:ind w:firstLine="480"/>
        <w:rPr>
          <w:rFonts w:cs="Times New Roman"/>
          <w:u w:val="single"/>
        </w:rPr>
      </w:pPr>
      <w:r>
        <w:rPr>
          <w:rFonts w:cs="Times New Roman"/>
          <w:u w:val="single"/>
        </w:rPr>
        <w:t>陶瓷生产间接冷却用水主要包括辊道窑风机冷却水、球磨机冷却水、空压机冷却用水、压砖机冷却水。该部分冷却需水量约为100m</w:t>
      </w:r>
      <w:r>
        <w:rPr>
          <w:rFonts w:cs="Times New Roman"/>
          <w:u w:val="single"/>
          <w:vertAlign w:val="superscript"/>
        </w:rPr>
        <w:t>3</w:t>
      </w:r>
      <w:r>
        <w:rPr>
          <w:rFonts w:cs="Times New Roman"/>
          <w:u w:val="single"/>
        </w:rPr>
        <w:t>/d。间接循环总用水量为84m</w:t>
      </w:r>
      <w:r>
        <w:rPr>
          <w:rFonts w:cs="Times New Roman"/>
          <w:u w:val="single"/>
          <w:vertAlign w:val="superscript"/>
        </w:rPr>
        <w:t>3</w:t>
      </w:r>
      <w:r>
        <w:rPr>
          <w:rFonts w:cs="Times New Roman"/>
          <w:u w:val="single"/>
        </w:rPr>
        <w:t>/d，循环回水量84m</w:t>
      </w:r>
      <w:r>
        <w:rPr>
          <w:rFonts w:cs="Times New Roman"/>
          <w:u w:val="single"/>
          <w:vertAlign w:val="superscript"/>
        </w:rPr>
        <w:t>3</w:t>
      </w:r>
      <w:r>
        <w:rPr>
          <w:rFonts w:cs="Times New Roman"/>
          <w:u w:val="single"/>
        </w:rPr>
        <w:t>/d，循环冷却水补充新水16m</w:t>
      </w:r>
      <w:r>
        <w:rPr>
          <w:rFonts w:cs="Times New Roman"/>
          <w:u w:val="single"/>
          <w:vertAlign w:val="superscript"/>
        </w:rPr>
        <w:t>3</w:t>
      </w:r>
      <w:r>
        <w:rPr>
          <w:rFonts w:cs="Times New Roman"/>
          <w:u w:val="single"/>
        </w:rPr>
        <w:t>/d。冷却废水经处理后全部循环使用。</w:t>
      </w:r>
    </w:p>
    <w:p>
      <w:pPr>
        <w:ind w:firstLine="480"/>
        <w:rPr>
          <w:rFonts w:cs="Times New Roman"/>
          <w:u w:val="single"/>
        </w:rPr>
      </w:pPr>
      <w:r>
        <w:rPr>
          <w:rFonts w:cs="Times New Roman"/>
          <w:u w:val="single"/>
        </w:rPr>
        <w:t>7、脱硫废水W14</w:t>
      </w:r>
    </w:p>
    <w:p>
      <w:pPr>
        <w:ind w:firstLine="480"/>
        <w:rPr>
          <w:rFonts w:cs="Times New Roman"/>
          <w:u w:val="single"/>
        </w:rPr>
      </w:pPr>
      <w:r>
        <w:rPr>
          <w:rFonts w:cs="Times New Roman"/>
          <w:u w:val="single"/>
        </w:rPr>
        <w:t>废气环保处理设施（石灰碱水喷淋装置）运行过程中会产生的除尘废水，总用水量约为1500t/d，废水主要污染物为SS，浓度约为5000~10000mg/L。废水经沉淀处理后，上清液流入清水池用泵回流作循环再用，不外排，回用利用水量为1500t/d，沉淀污泥经浓缩压滤后集中处理。根据生产需要，每天补充水量约300t。</w:t>
      </w:r>
    </w:p>
    <w:p>
      <w:pPr>
        <w:ind w:firstLine="480"/>
        <w:rPr>
          <w:rFonts w:cs="Times New Roman"/>
          <w:u w:val="single"/>
        </w:rPr>
      </w:pPr>
      <w:r>
        <w:rPr>
          <w:rFonts w:cs="Times New Roman"/>
          <w:u w:val="single"/>
        </w:rPr>
        <w:t>8、生活污水W15</w:t>
      </w:r>
    </w:p>
    <w:p>
      <w:pPr>
        <w:ind w:firstLine="480"/>
        <w:rPr>
          <w:rFonts w:cs="Times New Roman"/>
          <w:u w:val="single"/>
        </w:rPr>
      </w:pPr>
      <w:r>
        <w:rPr>
          <w:rFonts w:cs="Times New Roman"/>
          <w:u w:val="single"/>
        </w:rPr>
        <w:t>拟建项目全厂职工为1600人，全在厂区内食宿，职工食宿员工生活用水按150L/d·人，则职工生活用水约为240m</w:t>
      </w:r>
      <w:r>
        <w:rPr>
          <w:rFonts w:cs="Times New Roman"/>
          <w:u w:val="single"/>
          <w:vertAlign w:val="superscript"/>
        </w:rPr>
        <w:t>3</w:t>
      </w:r>
      <w:r>
        <w:rPr>
          <w:rFonts w:cs="Times New Roman"/>
          <w:u w:val="single"/>
        </w:rPr>
        <w:t>/d，废水产生量按用水总量的80%计，则产生量为192m</w:t>
      </w:r>
      <w:r>
        <w:rPr>
          <w:rFonts w:cs="Times New Roman"/>
          <w:u w:val="single"/>
          <w:vertAlign w:val="superscript"/>
        </w:rPr>
        <w:t>3</w:t>
      </w:r>
      <w:r>
        <w:rPr>
          <w:rFonts w:cs="Times New Roman"/>
          <w:u w:val="single"/>
        </w:rPr>
        <w:t>/d，采用一体化污水处理设施（AO工艺）</w:t>
      </w:r>
      <w:r>
        <w:rPr>
          <w:rFonts w:hint="eastAsia" w:cs="Times New Roman"/>
          <w:u w:val="single"/>
        </w:rPr>
        <w:t>+人工湿地</w:t>
      </w:r>
      <w:r>
        <w:rPr>
          <w:rFonts w:cs="Times New Roman"/>
          <w:u w:val="single"/>
        </w:rPr>
        <w:t>处理后</w:t>
      </w:r>
      <w:r>
        <w:rPr>
          <w:rFonts w:hint="eastAsia" w:cs="Times New Roman"/>
          <w:u w:val="single"/>
        </w:rPr>
        <w:t>排入白象河，待工业园污水处理厂建成运营后，生活污水排入园区污水管网，经园区污水处理厂处理后外排</w:t>
      </w:r>
      <w:r>
        <w:rPr>
          <w:rFonts w:cs="Times New Roman"/>
          <w:u w:val="single"/>
        </w:rPr>
        <w:t>。废水中主要污染因子及其产生浓度分别为SS：200mg/L、BOD</w:t>
      </w:r>
      <w:r>
        <w:rPr>
          <w:rFonts w:cs="Times New Roman"/>
          <w:u w:val="single"/>
          <w:vertAlign w:val="subscript"/>
        </w:rPr>
        <w:t>5</w:t>
      </w:r>
      <w:r>
        <w:rPr>
          <w:rFonts w:cs="Times New Roman"/>
          <w:u w:val="single"/>
        </w:rPr>
        <w:t>：150mg/L、CODcr：250mg/L、NH</w:t>
      </w:r>
      <w:r>
        <w:rPr>
          <w:rFonts w:cs="Times New Roman"/>
          <w:u w:val="single"/>
          <w:vertAlign w:val="subscript"/>
        </w:rPr>
        <w:t>3</w:t>
      </w:r>
      <w:r>
        <w:rPr>
          <w:rFonts w:cs="Times New Roman"/>
          <w:u w:val="single"/>
        </w:rPr>
        <w:t>-N：25mg/L、动植物油：25 mg/L。</w:t>
      </w:r>
    </w:p>
    <w:p>
      <w:pPr>
        <w:spacing w:before="163" w:beforeLines="50"/>
        <w:ind w:firstLine="482"/>
        <w:jc w:val="center"/>
        <w:rPr>
          <w:rFonts w:cs="Times New Roman"/>
          <w:b/>
          <w:u w:val="single"/>
        </w:rPr>
      </w:pPr>
      <w:r>
        <w:rPr>
          <w:rFonts w:cs="Times New Roman"/>
          <w:b/>
          <w:u w:val="single"/>
        </w:rPr>
        <w:t>表3.3-15  生活污水污染物产生和排放情况</w:t>
      </w:r>
    </w:p>
    <w:tbl>
      <w:tblPr>
        <w:tblStyle w:val="45"/>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74"/>
        <w:gridCol w:w="874"/>
        <w:gridCol w:w="874"/>
        <w:gridCol w:w="876"/>
        <w:gridCol w:w="876"/>
        <w:gridCol w:w="877"/>
        <w:gridCol w:w="877"/>
        <w:gridCol w:w="877"/>
        <w:gridCol w:w="152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Merge w:val="restart"/>
            <w:vAlign w:val="center"/>
          </w:tcPr>
          <w:p>
            <w:pPr>
              <w:spacing w:line="240" w:lineRule="auto"/>
              <w:ind w:firstLine="0" w:firstLineChars="0"/>
              <w:jc w:val="center"/>
              <w:rPr>
                <w:b/>
                <w:sz w:val="21"/>
                <w:szCs w:val="21"/>
                <w:u w:val="single"/>
              </w:rPr>
            </w:pPr>
            <w:r>
              <w:rPr>
                <w:b/>
                <w:sz w:val="21"/>
                <w:szCs w:val="21"/>
                <w:u w:val="single"/>
              </w:rPr>
              <w:t>废水量t/a</w:t>
            </w:r>
          </w:p>
        </w:tc>
        <w:tc>
          <w:tcPr>
            <w:tcW w:w="874" w:type="dxa"/>
            <w:vMerge w:val="restart"/>
            <w:vAlign w:val="center"/>
          </w:tcPr>
          <w:p>
            <w:pPr>
              <w:spacing w:line="240" w:lineRule="auto"/>
              <w:ind w:firstLine="0" w:firstLineChars="0"/>
              <w:jc w:val="center"/>
              <w:rPr>
                <w:b/>
                <w:sz w:val="21"/>
                <w:szCs w:val="21"/>
                <w:u w:val="single"/>
              </w:rPr>
            </w:pPr>
            <w:r>
              <w:rPr>
                <w:b/>
                <w:sz w:val="21"/>
                <w:szCs w:val="21"/>
                <w:u w:val="single"/>
              </w:rPr>
              <w:t>污染物名称</w:t>
            </w:r>
          </w:p>
        </w:tc>
        <w:tc>
          <w:tcPr>
            <w:tcW w:w="1750" w:type="dxa"/>
            <w:gridSpan w:val="2"/>
            <w:vAlign w:val="center"/>
          </w:tcPr>
          <w:p>
            <w:pPr>
              <w:spacing w:line="240" w:lineRule="auto"/>
              <w:ind w:firstLine="0" w:firstLineChars="0"/>
              <w:jc w:val="center"/>
              <w:rPr>
                <w:b/>
                <w:sz w:val="21"/>
                <w:szCs w:val="21"/>
                <w:u w:val="single"/>
              </w:rPr>
            </w:pPr>
            <w:r>
              <w:rPr>
                <w:b/>
                <w:sz w:val="21"/>
                <w:szCs w:val="21"/>
                <w:u w:val="single"/>
              </w:rPr>
              <w:t>污染物产生情况</w:t>
            </w:r>
          </w:p>
        </w:tc>
        <w:tc>
          <w:tcPr>
            <w:tcW w:w="876" w:type="dxa"/>
            <w:vMerge w:val="restart"/>
            <w:vAlign w:val="center"/>
          </w:tcPr>
          <w:p>
            <w:pPr>
              <w:spacing w:line="240" w:lineRule="auto"/>
              <w:ind w:firstLine="0" w:firstLineChars="0"/>
              <w:jc w:val="center"/>
              <w:rPr>
                <w:b/>
                <w:sz w:val="21"/>
                <w:szCs w:val="21"/>
                <w:u w:val="single"/>
              </w:rPr>
            </w:pPr>
            <w:r>
              <w:rPr>
                <w:b/>
                <w:sz w:val="21"/>
                <w:szCs w:val="21"/>
                <w:u w:val="single"/>
              </w:rPr>
              <w:t>治理措施</w:t>
            </w:r>
          </w:p>
        </w:tc>
        <w:tc>
          <w:tcPr>
            <w:tcW w:w="1754" w:type="dxa"/>
            <w:gridSpan w:val="2"/>
            <w:vAlign w:val="center"/>
          </w:tcPr>
          <w:p>
            <w:pPr>
              <w:spacing w:line="240" w:lineRule="auto"/>
              <w:ind w:firstLine="0" w:firstLineChars="0"/>
              <w:jc w:val="center"/>
              <w:rPr>
                <w:b/>
                <w:sz w:val="21"/>
                <w:szCs w:val="21"/>
                <w:u w:val="single"/>
              </w:rPr>
            </w:pPr>
            <w:r>
              <w:rPr>
                <w:b/>
                <w:sz w:val="21"/>
                <w:szCs w:val="21"/>
                <w:u w:val="single"/>
              </w:rPr>
              <w:t>污染物排放情况</w:t>
            </w:r>
          </w:p>
        </w:tc>
        <w:tc>
          <w:tcPr>
            <w:tcW w:w="877" w:type="dxa"/>
            <w:vMerge w:val="restart"/>
            <w:vAlign w:val="center"/>
          </w:tcPr>
          <w:p>
            <w:pPr>
              <w:spacing w:line="240" w:lineRule="auto"/>
              <w:ind w:firstLine="0" w:firstLineChars="0"/>
              <w:jc w:val="center"/>
              <w:rPr>
                <w:b/>
                <w:sz w:val="21"/>
                <w:szCs w:val="21"/>
                <w:u w:val="single"/>
              </w:rPr>
            </w:pPr>
            <w:r>
              <w:rPr>
                <w:b/>
                <w:sz w:val="21"/>
                <w:szCs w:val="21"/>
                <w:u w:val="single"/>
              </w:rPr>
              <w:t>标准浓度值mg/L</w:t>
            </w:r>
          </w:p>
        </w:tc>
        <w:tc>
          <w:tcPr>
            <w:tcW w:w="1523" w:type="dxa"/>
            <w:vMerge w:val="restart"/>
            <w:vAlign w:val="center"/>
          </w:tcPr>
          <w:p>
            <w:pPr>
              <w:spacing w:line="240" w:lineRule="auto"/>
              <w:ind w:firstLine="0" w:firstLineChars="0"/>
              <w:jc w:val="center"/>
              <w:rPr>
                <w:b/>
                <w:sz w:val="21"/>
                <w:szCs w:val="21"/>
                <w:u w:val="single"/>
              </w:rPr>
            </w:pPr>
            <w:r>
              <w:rPr>
                <w:b/>
                <w:sz w:val="21"/>
                <w:szCs w:val="21"/>
                <w:u w:val="single"/>
              </w:rPr>
              <w:t>排放执行标准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Merge w:val="continue"/>
            <w:vAlign w:val="center"/>
          </w:tcPr>
          <w:p>
            <w:pPr>
              <w:spacing w:line="240" w:lineRule="auto"/>
              <w:ind w:firstLine="0" w:firstLineChars="0"/>
              <w:jc w:val="center"/>
              <w:rPr>
                <w:b/>
                <w:sz w:val="21"/>
                <w:szCs w:val="21"/>
                <w:u w:val="single"/>
              </w:rPr>
            </w:pPr>
          </w:p>
        </w:tc>
        <w:tc>
          <w:tcPr>
            <w:tcW w:w="874" w:type="dxa"/>
            <w:vMerge w:val="continue"/>
            <w:vAlign w:val="center"/>
          </w:tcPr>
          <w:p>
            <w:pPr>
              <w:spacing w:line="240" w:lineRule="auto"/>
              <w:ind w:firstLine="0" w:firstLineChars="0"/>
              <w:jc w:val="center"/>
              <w:rPr>
                <w:b/>
                <w:sz w:val="21"/>
                <w:szCs w:val="21"/>
                <w:u w:val="single"/>
              </w:rPr>
            </w:pPr>
          </w:p>
        </w:tc>
        <w:tc>
          <w:tcPr>
            <w:tcW w:w="874" w:type="dxa"/>
            <w:vAlign w:val="center"/>
          </w:tcPr>
          <w:p>
            <w:pPr>
              <w:spacing w:line="240" w:lineRule="auto"/>
              <w:ind w:firstLine="0" w:firstLineChars="0"/>
              <w:jc w:val="center"/>
              <w:rPr>
                <w:b/>
                <w:sz w:val="21"/>
                <w:szCs w:val="21"/>
                <w:u w:val="single"/>
              </w:rPr>
            </w:pPr>
            <w:r>
              <w:rPr>
                <w:b/>
                <w:sz w:val="21"/>
                <w:szCs w:val="21"/>
                <w:u w:val="single"/>
              </w:rPr>
              <w:t>浓度mg/L</w:t>
            </w:r>
          </w:p>
        </w:tc>
        <w:tc>
          <w:tcPr>
            <w:tcW w:w="876" w:type="dxa"/>
            <w:vAlign w:val="center"/>
          </w:tcPr>
          <w:p>
            <w:pPr>
              <w:spacing w:line="240" w:lineRule="auto"/>
              <w:ind w:firstLine="0" w:firstLineChars="0"/>
              <w:jc w:val="center"/>
              <w:rPr>
                <w:b/>
                <w:sz w:val="21"/>
                <w:szCs w:val="21"/>
                <w:u w:val="single"/>
              </w:rPr>
            </w:pPr>
            <w:r>
              <w:rPr>
                <w:b/>
                <w:sz w:val="21"/>
                <w:szCs w:val="21"/>
                <w:u w:val="single"/>
              </w:rPr>
              <w:t>产生量t/a</w:t>
            </w:r>
          </w:p>
        </w:tc>
        <w:tc>
          <w:tcPr>
            <w:tcW w:w="876" w:type="dxa"/>
            <w:vMerge w:val="continue"/>
            <w:vAlign w:val="center"/>
          </w:tcPr>
          <w:p>
            <w:pPr>
              <w:spacing w:line="240" w:lineRule="auto"/>
              <w:ind w:firstLine="0" w:firstLineChars="0"/>
              <w:jc w:val="center"/>
              <w:rPr>
                <w:b/>
                <w:sz w:val="21"/>
                <w:szCs w:val="21"/>
                <w:u w:val="single"/>
              </w:rPr>
            </w:pPr>
          </w:p>
        </w:tc>
        <w:tc>
          <w:tcPr>
            <w:tcW w:w="877" w:type="dxa"/>
            <w:vAlign w:val="center"/>
          </w:tcPr>
          <w:p>
            <w:pPr>
              <w:spacing w:line="240" w:lineRule="auto"/>
              <w:ind w:firstLine="0" w:firstLineChars="0"/>
              <w:jc w:val="center"/>
              <w:rPr>
                <w:b/>
                <w:sz w:val="21"/>
                <w:szCs w:val="21"/>
                <w:u w:val="single"/>
              </w:rPr>
            </w:pPr>
            <w:r>
              <w:rPr>
                <w:b/>
                <w:sz w:val="21"/>
                <w:szCs w:val="21"/>
                <w:u w:val="single"/>
              </w:rPr>
              <w:t>浓度mg/L</w:t>
            </w:r>
          </w:p>
        </w:tc>
        <w:tc>
          <w:tcPr>
            <w:tcW w:w="877" w:type="dxa"/>
            <w:vAlign w:val="center"/>
          </w:tcPr>
          <w:p>
            <w:pPr>
              <w:spacing w:line="240" w:lineRule="auto"/>
              <w:ind w:firstLine="0" w:firstLineChars="0"/>
              <w:jc w:val="center"/>
              <w:rPr>
                <w:b/>
                <w:sz w:val="21"/>
                <w:szCs w:val="21"/>
                <w:u w:val="single"/>
              </w:rPr>
            </w:pPr>
            <w:r>
              <w:rPr>
                <w:b/>
                <w:sz w:val="21"/>
                <w:szCs w:val="21"/>
                <w:u w:val="single"/>
              </w:rPr>
              <w:t>排放量t/a</w:t>
            </w:r>
          </w:p>
        </w:tc>
        <w:tc>
          <w:tcPr>
            <w:tcW w:w="877" w:type="dxa"/>
            <w:vMerge w:val="continue"/>
            <w:vAlign w:val="center"/>
          </w:tcPr>
          <w:p>
            <w:pPr>
              <w:spacing w:line="240" w:lineRule="auto"/>
              <w:ind w:firstLine="0" w:firstLineChars="0"/>
              <w:jc w:val="center"/>
              <w:rPr>
                <w:b/>
                <w:sz w:val="21"/>
                <w:szCs w:val="21"/>
                <w:u w:val="single"/>
              </w:rPr>
            </w:pPr>
          </w:p>
        </w:tc>
        <w:tc>
          <w:tcPr>
            <w:tcW w:w="1523" w:type="dxa"/>
            <w:vMerge w:val="continue"/>
            <w:vAlign w:val="center"/>
          </w:tcPr>
          <w:p>
            <w:pPr>
              <w:spacing w:line="240" w:lineRule="auto"/>
              <w:ind w:firstLine="0" w:firstLineChars="0"/>
              <w:jc w:val="center"/>
              <w:rPr>
                <w:b/>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Merge w:val="restart"/>
            <w:vAlign w:val="center"/>
          </w:tcPr>
          <w:p>
            <w:pPr>
              <w:spacing w:line="240" w:lineRule="auto"/>
              <w:ind w:firstLine="0" w:firstLineChars="0"/>
              <w:jc w:val="center"/>
              <w:rPr>
                <w:sz w:val="21"/>
                <w:szCs w:val="21"/>
                <w:u w:val="single"/>
              </w:rPr>
            </w:pPr>
            <w:r>
              <w:rPr>
                <w:sz w:val="21"/>
                <w:szCs w:val="21"/>
                <w:u w:val="single"/>
              </w:rPr>
              <w:t>57600</w:t>
            </w:r>
          </w:p>
        </w:tc>
        <w:tc>
          <w:tcPr>
            <w:tcW w:w="874" w:type="dxa"/>
            <w:vAlign w:val="center"/>
          </w:tcPr>
          <w:p>
            <w:pPr>
              <w:spacing w:line="240" w:lineRule="auto"/>
              <w:ind w:firstLine="0" w:firstLineChars="0"/>
              <w:jc w:val="center"/>
              <w:rPr>
                <w:sz w:val="21"/>
                <w:szCs w:val="21"/>
                <w:u w:val="single"/>
              </w:rPr>
            </w:pPr>
            <w:r>
              <w:rPr>
                <w:sz w:val="21"/>
                <w:szCs w:val="21"/>
                <w:u w:val="single"/>
              </w:rPr>
              <w:t>COD</w:t>
            </w:r>
          </w:p>
        </w:tc>
        <w:tc>
          <w:tcPr>
            <w:tcW w:w="874" w:type="dxa"/>
            <w:vAlign w:val="center"/>
          </w:tcPr>
          <w:p>
            <w:pPr>
              <w:spacing w:line="240" w:lineRule="auto"/>
              <w:ind w:firstLine="0" w:firstLineChars="0"/>
              <w:jc w:val="center"/>
              <w:rPr>
                <w:sz w:val="21"/>
                <w:szCs w:val="21"/>
                <w:u w:val="single"/>
              </w:rPr>
            </w:pPr>
            <w:r>
              <w:rPr>
                <w:sz w:val="21"/>
                <w:szCs w:val="21"/>
                <w:u w:val="single"/>
              </w:rPr>
              <w:t>250</w:t>
            </w:r>
          </w:p>
        </w:tc>
        <w:tc>
          <w:tcPr>
            <w:tcW w:w="876" w:type="dxa"/>
            <w:vAlign w:val="center"/>
          </w:tcPr>
          <w:p>
            <w:pPr>
              <w:spacing w:line="240" w:lineRule="auto"/>
              <w:ind w:firstLine="0" w:firstLineChars="0"/>
              <w:jc w:val="center"/>
              <w:rPr>
                <w:sz w:val="21"/>
                <w:szCs w:val="21"/>
                <w:u w:val="single"/>
              </w:rPr>
            </w:pPr>
            <w:r>
              <w:rPr>
                <w:sz w:val="21"/>
                <w:szCs w:val="21"/>
                <w:u w:val="single"/>
              </w:rPr>
              <w:t>14.40</w:t>
            </w:r>
          </w:p>
        </w:tc>
        <w:tc>
          <w:tcPr>
            <w:tcW w:w="876" w:type="dxa"/>
            <w:vMerge w:val="restart"/>
            <w:vAlign w:val="center"/>
          </w:tcPr>
          <w:p>
            <w:pPr>
              <w:spacing w:line="240" w:lineRule="auto"/>
              <w:ind w:firstLine="0" w:firstLineChars="0"/>
              <w:jc w:val="center"/>
              <w:rPr>
                <w:sz w:val="21"/>
                <w:szCs w:val="21"/>
                <w:u w:val="single"/>
              </w:rPr>
            </w:pPr>
            <w:r>
              <w:rPr>
                <w:sz w:val="21"/>
                <w:szCs w:val="21"/>
                <w:u w:val="single"/>
              </w:rPr>
              <w:t>一体化污水处理设施</w:t>
            </w:r>
          </w:p>
          <w:p>
            <w:pPr>
              <w:spacing w:line="240" w:lineRule="auto"/>
              <w:ind w:firstLine="0" w:firstLineChars="0"/>
              <w:jc w:val="center"/>
              <w:rPr>
                <w:sz w:val="21"/>
                <w:szCs w:val="21"/>
                <w:u w:val="single"/>
              </w:rPr>
            </w:pPr>
            <w:r>
              <w:rPr>
                <w:rFonts w:hint="eastAsia"/>
                <w:sz w:val="21"/>
                <w:szCs w:val="21"/>
                <w:u w:val="single"/>
              </w:rPr>
              <w:t>+人工湿地</w:t>
            </w:r>
          </w:p>
        </w:tc>
        <w:tc>
          <w:tcPr>
            <w:tcW w:w="877" w:type="dxa"/>
            <w:vAlign w:val="center"/>
          </w:tcPr>
          <w:p>
            <w:pPr>
              <w:spacing w:line="240" w:lineRule="auto"/>
              <w:ind w:firstLine="0" w:firstLineChars="0"/>
              <w:jc w:val="center"/>
              <w:rPr>
                <w:sz w:val="21"/>
                <w:szCs w:val="21"/>
                <w:u w:val="single"/>
              </w:rPr>
            </w:pPr>
            <w:r>
              <w:rPr>
                <w:sz w:val="21"/>
                <w:szCs w:val="21"/>
                <w:u w:val="single"/>
              </w:rPr>
              <w:t>20</w:t>
            </w:r>
          </w:p>
        </w:tc>
        <w:tc>
          <w:tcPr>
            <w:tcW w:w="877" w:type="dxa"/>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.15</w:t>
            </w:r>
          </w:p>
        </w:tc>
        <w:tc>
          <w:tcPr>
            <w:tcW w:w="877" w:type="dxa"/>
            <w:vAlign w:val="center"/>
          </w:tcPr>
          <w:p>
            <w:pPr>
              <w:spacing w:line="240" w:lineRule="auto"/>
              <w:ind w:firstLine="0" w:firstLineChars="0"/>
              <w:jc w:val="center"/>
              <w:rPr>
                <w:sz w:val="21"/>
                <w:szCs w:val="21"/>
                <w:u w:val="single"/>
              </w:rPr>
            </w:pPr>
            <w:r>
              <w:rPr>
                <w:sz w:val="21"/>
                <w:szCs w:val="21"/>
                <w:u w:val="single"/>
              </w:rPr>
              <w:t>50</w:t>
            </w:r>
          </w:p>
        </w:tc>
        <w:tc>
          <w:tcPr>
            <w:tcW w:w="1523" w:type="dxa"/>
            <w:vMerge w:val="restart"/>
            <w:vAlign w:val="center"/>
          </w:tcPr>
          <w:p>
            <w:pPr>
              <w:spacing w:line="240" w:lineRule="auto"/>
              <w:ind w:firstLine="0" w:firstLineChars="0"/>
              <w:jc w:val="center"/>
              <w:rPr>
                <w:sz w:val="21"/>
                <w:szCs w:val="21"/>
                <w:u w:val="single"/>
              </w:rPr>
            </w:pPr>
            <w:r>
              <w:rPr>
                <w:rFonts w:hint="eastAsia"/>
                <w:sz w:val="21"/>
                <w:szCs w:val="21"/>
                <w:u w:val="single"/>
              </w:rPr>
              <w:t>GB</w:t>
            </w:r>
            <w:r>
              <w:rPr>
                <w:sz w:val="21"/>
                <w:szCs w:val="21"/>
                <w:u w:val="single"/>
              </w:rPr>
              <w:t>3838</w:t>
            </w:r>
            <w:r>
              <w:rPr>
                <w:rFonts w:hint="eastAsia"/>
                <w:sz w:val="21"/>
                <w:szCs w:val="21"/>
                <w:u w:val="single"/>
              </w:rPr>
              <w:t>-</w:t>
            </w:r>
            <w:r>
              <w:rPr>
                <w:sz w:val="21"/>
                <w:szCs w:val="21"/>
                <w:u w:val="single"/>
              </w:rPr>
              <w:t>2002</w:t>
            </w:r>
          </w:p>
          <w:p>
            <w:pPr>
              <w:spacing w:line="240" w:lineRule="auto"/>
              <w:ind w:firstLine="0" w:firstLineChars="0"/>
              <w:jc w:val="center"/>
              <w:rPr>
                <w:sz w:val="21"/>
                <w:szCs w:val="21"/>
                <w:u w:val="single"/>
              </w:rPr>
            </w:pPr>
            <w:r>
              <w:rPr>
                <w:rFonts w:hint="eastAsia"/>
                <w:sz w:val="21"/>
                <w:szCs w:val="21"/>
                <w:u w:val="single"/>
              </w:rPr>
              <w:t>Ⅲ类水质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Merge w:val="continue"/>
            <w:vAlign w:val="center"/>
          </w:tcPr>
          <w:p>
            <w:pPr>
              <w:spacing w:line="240" w:lineRule="auto"/>
              <w:ind w:firstLine="0" w:firstLineChars="0"/>
              <w:jc w:val="center"/>
              <w:rPr>
                <w:sz w:val="21"/>
                <w:szCs w:val="21"/>
                <w:u w:val="single"/>
              </w:rPr>
            </w:pPr>
          </w:p>
        </w:tc>
        <w:tc>
          <w:tcPr>
            <w:tcW w:w="874" w:type="dxa"/>
            <w:vAlign w:val="center"/>
          </w:tcPr>
          <w:p>
            <w:pPr>
              <w:spacing w:line="240" w:lineRule="auto"/>
              <w:ind w:firstLine="0" w:firstLineChars="0"/>
              <w:jc w:val="center"/>
              <w:rPr>
                <w:sz w:val="21"/>
                <w:szCs w:val="21"/>
                <w:u w:val="single"/>
              </w:rPr>
            </w:pPr>
            <w:r>
              <w:rPr>
                <w:sz w:val="21"/>
                <w:szCs w:val="21"/>
                <w:u w:val="single"/>
              </w:rPr>
              <w:t>BOD</w:t>
            </w:r>
            <w:r>
              <w:rPr>
                <w:sz w:val="21"/>
                <w:szCs w:val="21"/>
                <w:u w:val="single"/>
                <w:vertAlign w:val="subscript"/>
              </w:rPr>
              <w:t>5</w:t>
            </w:r>
          </w:p>
        </w:tc>
        <w:tc>
          <w:tcPr>
            <w:tcW w:w="874" w:type="dxa"/>
            <w:vAlign w:val="center"/>
          </w:tcPr>
          <w:p>
            <w:pPr>
              <w:spacing w:line="240" w:lineRule="auto"/>
              <w:ind w:firstLine="0" w:firstLineChars="0"/>
              <w:jc w:val="center"/>
              <w:rPr>
                <w:sz w:val="21"/>
                <w:szCs w:val="21"/>
                <w:u w:val="single"/>
              </w:rPr>
            </w:pPr>
            <w:r>
              <w:rPr>
                <w:sz w:val="21"/>
                <w:szCs w:val="21"/>
                <w:u w:val="single"/>
              </w:rPr>
              <w:t>150</w:t>
            </w:r>
          </w:p>
        </w:tc>
        <w:tc>
          <w:tcPr>
            <w:tcW w:w="876" w:type="dxa"/>
            <w:vAlign w:val="center"/>
          </w:tcPr>
          <w:p>
            <w:pPr>
              <w:spacing w:line="240" w:lineRule="auto"/>
              <w:ind w:firstLine="0" w:firstLineChars="0"/>
              <w:jc w:val="center"/>
              <w:rPr>
                <w:sz w:val="21"/>
                <w:szCs w:val="21"/>
                <w:u w:val="single"/>
              </w:rPr>
            </w:pPr>
            <w:r>
              <w:rPr>
                <w:sz w:val="21"/>
                <w:szCs w:val="21"/>
                <w:u w:val="single"/>
              </w:rPr>
              <w:t>8.64</w:t>
            </w:r>
          </w:p>
        </w:tc>
        <w:tc>
          <w:tcPr>
            <w:tcW w:w="876" w:type="dxa"/>
            <w:vMerge w:val="continue"/>
            <w:vAlign w:val="center"/>
          </w:tcPr>
          <w:p>
            <w:pPr>
              <w:spacing w:line="240" w:lineRule="auto"/>
              <w:ind w:firstLine="0" w:firstLineChars="0"/>
              <w:jc w:val="center"/>
              <w:rPr>
                <w:sz w:val="21"/>
                <w:szCs w:val="21"/>
                <w:u w:val="single"/>
              </w:rPr>
            </w:pPr>
          </w:p>
        </w:tc>
        <w:tc>
          <w:tcPr>
            <w:tcW w:w="877" w:type="dxa"/>
            <w:vAlign w:val="center"/>
          </w:tcPr>
          <w:p>
            <w:pPr>
              <w:spacing w:line="240" w:lineRule="auto"/>
              <w:ind w:firstLine="0" w:firstLineChars="0"/>
              <w:jc w:val="center"/>
              <w:rPr>
                <w:sz w:val="21"/>
                <w:szCs w:val="21"/>
                <w:u w:val="single"/>
              </w:rPr>
            </w:pPr>
            <w:r>
              <w:rPr>
                <w:sz w:val="21"/>
                <w:szCs w:val="21"/>
                <w:u w:val="single"/>
              </w:rPr>
              <w:t>4</w:t>
            </w:r>
          </w:p>
        </w:tc>
        <w:tc>
          <w:tcPr>
            <w:tcW w:w="877" w:type="dxa"/>
            <w:vAlign w:val="center"/>
          </w:tcPr>
          <w:p>
            <w:pPr>
              <w:spacing w:line="240" w:lineRule="auto"/>
              <w:ind w:firstLine="0" w:firstLineChars="0"/>
              <w:jc w:val="center"/>
              <w:rPr>
                <w:sz w:val="21"/>
                <w:szCs w:val="21"/>
                <w:u w:val="single"/>
              </w:rPr>
            </w:pPr>
            <w:r>
              <w:rPr>
                <w:rFonts w:hint="eastAsia"/>
                <w:sz w:val="21"/>
                <w:szCs w:val="21"/>
                <w:u w:val="single"/>
              </w:rPr>
              <w:t>0</w:t>
            </w:r>
            <w:r>
              <w:rPr>
                <w:sz w:val="21"/>
                <w:szCs w:val="21"/>
                <w:u w:val="single"/>
              </w:rPr>
              <w:t>.23</w:t>
            </w:r>
          </w:p>
        </w:tc>
        <w:tc>
          <w:tcPr>
            <w:tcW w:w="877" w:type="dxa"/>
            <w:vAlign w:val="center"/>
          </w:tcPr>
          <w:p>
            <w:pPr>
              <w:spacing w:line="240" w:lineRule="auto"/>
              <w:ind w:firstLine="0" w:firstLineChars="0"/>
              <w:jc w:val="center"/>
              <w:rPr>
                <w:sz w:val="21"/>
                <w:szCs w:val="21"/>
                <w:u w:val="single"/>
              </w:rPr>
            </w:pPr>
            <w:r>
              <w:rPr>
                <w:sz w:val="21"/>
                <w:szCs w:val="21"/>
                <w:u w:val="single"/>
              </w:rPr>
              <w:t>10</w:t>
            </w:r>
          </w:p>
        </w:tc>
        <w:tc>
          <w:tcPr>
            <w:tcW w:w="1523" w:type="dxa"/>
            <w:vMerge w:val="continue"/>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Merge w:val="continue"/>
            <w:vAlign w:val="center"/>
          </w:tcPr>
          <w:p>
            <w:pPr>
              <w:spacing w:line="240" w:lineRule="auto"/>
              <w:ind w:firstLine="0" w:firstLineChars="0"/>
              <w:jc w:val="center"/>
              <w:rPr>
                <w:sz w:val="21"/>
                <w:szCs w:val="21"/>
                <w:u w:val="single"/>
              </w:rPr>
            </w:pPr>
          </w:p>
        </w:tc>
        <w:tc>
          <w:tcPr>
            <w:tcW w:w="874" w:type="dxa"/>
            <w:vAlign w:val="center"/>
          </w:tcPr>
          <w:p>
            <w:pPr>
              <w:spacing w:line="240" w:lineRule="auto"/>
              <w:ind w:firstLine="0" w:firstLineChars="0"/>
              <w:jc w:val="center"/>
              <w:rPr>
                <w:sz w:val="21"/>
                <w:szCs w:val="21"/>
                <w:u w:val="single"/>
              </w:rPr>
            </w:pPr>
            <w:r>
              <w:rPr>
                <w:sz w:val="21"/>
                <w:szCs w:val="21"/>
                <w:u w:val="single"/>
              </w:rPr>
              <w:t>SS</w:t>
            </w:r>
          </w:p>
        </w:tc>
        <w:tc>
          <w:tcPr>
            <w:tcW w:w="874" w:type="dxa"/>
            <w:vAlign w:val="center"/>
          </w:tcPr>
          <w:p>
            <w:pPr>
              <w:spacing w:line="240" w:lineRule="auto"/>
              <w:ind w:firstLine="0" w:firstLineChars="0"/>
              <w:jc w:val="center"/>
              <w:rPr>
                <w:sz w:val="21"/>
                <w:szCs w:val="21"/>
                <w:u w:val="single"/>
              </w:rPr>
            </w:pPr>
            <w:r>
              <w:rPr>
                <w:sz w:val="21"/>
                <w:szCs w:val="21"/>
                <w:u w:val="single"/>
              </w:rPr>
              <w:t>200</w:t>
            </w:r>
          </w:p>
        </w:tc>
        <w:tc>
          <w:tcPr>
            <w:tcW w:w="876" w:type="dxa"/>
            <w:vAlign w:val="center"/>
          </w:tcPr>
          <w:p>
            <w:pPr>
              <w:spacing w:line="240" w:lineRule="auto"/>
              <w:ind w:firstLine="0" w:firstLineChars="0"/>
              <w:jc w:val="center"/>
              <w:rPr>
                <w:sz w:val="21"/>
                <w:szCs w:val="21"/>
                <w:u w:val="single"/>
              </w:rPr>
            </w:pPr>
            <w:r>
              <w:rPr>
                <w:sz w:val="21"/>
                <w:szCs w:val="21"/>
                <w:u w:val="single"/>
              </w:rPr>
              <w:t>11.52</w:t>
            </w:r>
          </w:p>
        </w:tc>
        <w:tc>
          <w:tcPr>
            <w:tcW w:w="876" w:type="dxa"/>
            <w:vMerge w:val="continue"/>
            <w:vAlign w:val="center"/>
          </w:tcPr>
          <w:p>
            <w:pPr>
              <w:spacing w:line="240" w:lineRule="auto"/>
              <w:ind w:firstLine="0" w:firstLineChars="0"/>
              <w:jc w:val="center"/>
              <w:rPr>
                <w:sz w:val="21"/>
                <w:szCs w:val="21"/>
                <w:u w:val="single"/>
              </w:rPr>
            </w:pPr>
          </w:p>
        </w:tc>
        <w:tc>
          <w:tcPr>
            <w:tcW w:w="877" w:type="dxa"/>
            <w:vAlign w:val="center"/>
          </w:tcPr>
          <w:p>
            <w:pPr>
              <w:spacing w:line="240" w:lineRule="auto"/>
              <w:ind w:firstLine="0" w:firstLineChars="0"/>
              <w:jc w:val="center"/>
              <w:rPr>
                <w:sz w:val="21"/>
                <w:szCs w:val="21"/>
                <w:u w:val="single"/>
              </w:rPr>
            </w:pPr>
            <w:r>
              <w:rPr>
                <w:sz w:val="21"/>
                <w:szCs w:val="21"/>
                <w:u w:val="single"/>
              </w:rPr>
              <w:t>20</w:t>
            </w:r>
          </w:p>
        </w:tc>
        <w:tc>
          <w:tcPr>
            <w:tcW w:w="877" w:type="dxa"/>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.15</w:t>
            </w:r>
          </w:p>
        </w:tc>
        <w:tc>
          <w:tcPr>
            <w:tcW w:w="877" w:type="dxa"/>
            <w:vAlign w:val="center"/>
          </w:tcPr>
          <w:p>
            <w:pPr>
              <w:spacing w:line="240" w:lineRule="auto"/>
              <w:ind w:firstLine="0" w:firstLineChars="0"/>
              <w:jc w:val="center"/>
              <w:rPr>
                <w:sz w:val="21"/>
                <w:szCs w:val="21"/>
                <w:u w:val="single"/>
              </w:rPr>
            </w:pPr>
            <w:r>
              <w:rPr>
                <w:sz w:val="21"/>
                <w:szCs w:val="21"/>
                <w:u w:val="single"/>
              </w:rPr>
              <w:t>50</w:t>
            </w:r>
          </w:p>
        </w:tc>
        <w:tc>
          <w:tcPr>
            <w:tcW w:w="1523" w:type="dxa"/>
            <w:vMerge w:val="continue"/>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Merge w:val="continue"/>
            <w:vAlign w:val="center"/>
          </w:tcPr>
          <w:p>
            <w:pPr>
              <w:spacing w:line="240" w:lineRule="auto"/>
              <w:ind w:firstLine="0" w:firstLineChars="0"/>
              <w:jc w:val="center"/>
              <w:rPr>
                <w:sz w:val="21"/>
                <w:szCs w:val="21"/>
                <w:u w:val="single"/>
              </w:rPr>
            </w:pPr>
          </w:p>
        </w:tc>
        <w:tc>
          <w:tcPr>
            <w:tcW w:w="874" w:type="dxa"/>
            <w:vAlign w:val="center"/>
          </w:tcPr>
          <w:p>
            <w:pPr>
              <w:spacing w:line="240" w:lineRule="auto"/>
              <w:ind w:firstLine="0" w:firstLineChars="0"/>
              <w:jc w:val="center"/>
              <w:rPr>
                <w:sz w:val="21"/>
                <w:szCs w:val="21"/>
                <w:u w:val="single"/>
              </w:rPr>
            </w:pPr>
            <w:r>
              <w:rPr>
                <w:sz w:val="21"/>
                <w:szCs w:val="21"/>
                <w:u w:val="single"/>
              </w:rPr>
              <w:t>NH</w:t>
            </w:r>
            <w:r>
              <w:rPr>
                <w:sz w:val="21"/>
                <w:szCs w:val="21"/>
                <w:u w:val="single"/>
                <w:vertAlign w:val="subscript"/>
              </w:rPr>
              <w:t>3</w:t>
            </w:r>
            <w:r>
              <w:rPr>
                <w:sz w:val="21"/>
                <w:szCs w:val="21"/>
                <w:u w:val="single"/>
              </w:rPr>
              <w:t>-N</w:t>
            </w:r>
          </w:p>
        </w:tc>
        <w:tc>
          <w:tcPr>
            <w:tcW w:w="874" w:type="dxa"/>
            <w:vAlign w:val="center"/>
          </w:tcPr>
          <w:p>
            <w:pPr>
              <w:spacing w:line="240" w:lineRule="auto"/>
              <w:ind w:firstLine="0" w:firstLineChars="0"/>
              <w:jc w:val="center"/>
              <w:rPr>
                <w:sz w:val="21"/>
                <w:szCs w:val="21"/>
                <w:u w:val="single"/>
              </w:rPr>
            </w:pPr>
            <w:r>
              <w:rPr>
                <w:sz w:val="21"/>
                <w:szCs w:val="21"/>
                <w:u w:val="single"/>
              </w:rPr>
              <w:t>25</w:t>
            </w:r>
          </w:p>
        </w:tc>
        <w:tc>
          <w:tcPr>
            <w:tcW w:w="876" w:type="dxa"/>
            <w:vAlign w:val="center"/>
          </w:tcPr>
          <w:p>
            <w:pPr>
              <w:spacing w:line="240" w:lineRule="auto"/>
              <w:ind w:firstLine="0" w:firstLineChars="0"/>
              <w:jc w:val="center"/>
              <w:rPr>
                <w:sz w:val="21"/>
                <w:szCs w:val="21"/>
                <w:u w:val="single"/>
              </w:rPr>
            </w:pPr>
            <w:r>
              <w:rPr>
                <w:sz w:val="21"/>
                <w:szCs w:val="21"/>
                <w:u w:val="single"/>
              </w:rPr>
              <w:t>1.44</w:t>
            </w:r>
          </w:p>
        </w:tc>
        <w:tc>
          <w:tcPr>
            <w:tcW w:w="876" w:type="dxa"/>
            <w:vMerge w:val="continue"/>
            <w:vAlign w:val="center"/>
          </w:tcPr>
          <w:p>
            <w:pPr>
              <w:spacing w:line="240" w:lineRule="auto"/>
              <w:ind w:firstLine="0" w:firstLineChars="0"/>
              <w:jc w:val="center"/>
              <w:rPr>
                <w:sz w:val="21"/>
                <w:szCs w:val="21"/>
                <w:u w:val="single"/>
              </w:rPr>
            </w:pPr>
          </w:p>
        </w:tc>
        <w:tc>
          <w:tcPr>
            <w:tcW w:w="877" w:type="dxa"/>
            <w:vAlign w:val="center"/>
          </w:tcPr>
          <w:p>
            <w:pPr>
              <w:spacing w:line="240" w:lineRule="auto"/>
              <w:ind w:firstLine="0" w:firstLineChars="0"/>
              <w:jc w:val="center"/>
              <w:rPr>
                <w:sz w:val="21"/>
                <w:szCs w:val="21"/>
                <w:u w:val="single"/>
              </w:rPr>
            </w:pPr>
            <w:r>
              <w:rPr>
                <w:sz w:val="21"/>
                <w:szCs w:val="21"/>
                <w:u w:val="single"/>
              </w:rPr>
              <w:t>1</w:t>
            </w:r>
          </w:p>
        </w:tc>
        <w:tc>
          <w:tcPr>
            <w:tcW w:w="877" w:type="dxa"/>
            <w:vAlign w:val="center"/>
          </w:tcPr>
          <w:p>
            <w:pPr>
              <w:spacing w:line="240" w:lineRule="auto"/>
              <w:ind w:firstLine="0" w:firstLineChars="0"/>
              <w:jc w:val="center"/>
              <w:rPr>
                <w:sz w:val="21"/>
                <w:szCs w:val="21"/>
                <w:u w:val="single"/>
              </w:rPr>
            </w:pPr>
            <w:r>
              <w:rPr>
                <w:rFonts w:hint="eastAsia"/>
                <w:sz w:val="21"/>
                <w:szCs w:val="21"/>
                <w:u w:val="single"/>
              </w:rPr>
              <w:t>0</w:t>
            </w:r>
            <w:r>
              <w:rPr>
                <w:sz w:val="21"/>
                <w:szCs w:val="21"/>
                <w:u w:val="single"/>
              </w:rPr>
              <w:t>.06</w:t>
            </w:r>
          </w:p>
        </w:tc>
        <w:tc>
          <w:tcPr>
            <w:tcW w:w="877" w:type="dxa"/>
            <w:vAlign w:val="center"/>
          </w:tcPr>
          <w:p>
            <w:pPr>
              <w:spacing w:line="240" w:lineRule="auto"/>
              <w:ind w:firstLine="0" w:firstLineChars="0"/>
              <w:jc w:val="center"/>
              <w:rPr>
                <w:sz w:val="21"/>
                <w:szCs w:val="21"/>
                <w:u w:val="single"/>
              </w:rPr>
            </w:pPr>
            <w:r>
              <w:rPr>
                <w:sz w:val="21"/>
                <w:szCs w:val="21"/>
                <w:u w:val="single"/>
              </w:rPr>
              <w:t>3</w:t>
            </w:r>
          </w:p>
        </w:tc>
        <w:tc>
          <w:tcPr>
            <w:tcW w:w="1523" w:type="dxa"/>
            <w:vMerge w:val="continue"/>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Merge w:val="continue"/>
            <w:vAlign w:val="center"/>
          </w:tcPr>
          <w:p>
            <w:pPr>
              <w:spacing w:line="240" w:lineRule="auto"/>
              <w:ind w:firstLine="0" w:firstLineChars="0"/>
              <w:jc w:val="center"/>
              <w:rPr>
                <w:sz w:val="21"/>
                <w:szCs w:val="21"/>
                <w:u w:val="single"/>
              </w:rPr>
            </w:pPr>
          </w:p>
        </w:tc>
        <w:tc>
          <w:tcPr>
            <w:tcW w:w="874" w:type="dxa"/>
            <w:vAlign w:val="center"/>
          </w:tcPr>
          <w:p>
            <w:pPr>
              <w:spacing w:line="240" w:lineRule="auto"/>
              <w:ind w:firstLine="0" w:firstLineChars="0"/>
              <w:jc w:val="center"/>
              <w:rPr>
                <w:sz w:val="21"/>
                <w:szCs w:val="21"/>
                <w:u w:val="single"/>
              </w:rPr>
            </w:pPr>
            <w:r>
              <w:rPr>
                <w:sz w:val="21"/>
                <w:szCs w:val="21"/>
                <w:u w:val="single"/>
              </w:rPr>
              <w:t>动植物油</w:t>
            </w:r>
          </w:p>
        </w:tc>
        <w:tc>
          <w:tcPr>
            <w:tcW w:w="874" w:type="dxa"/>
            <w:vAlign w:val="center"/>
          </w:tcPr>
          <w:p>
            <w:pPr>
              <w:spacing w:line="240" w:lineRule="auto"/>
              <w:ind w:firstLine="0" w:firstLineChars="0"/>
              <w:jc w:val="center"/>
              <w:rPr>
                <w:sz w:val="21"/>
                <w:szCs w:val="21"/>
                <w:u w:val="single"/>
              </w:rPr>
            </w:pPr>
            <w:r>
              <w:rPr>
                <w:sz w:val="21"/>
                <w:szCs w:val="21"/>
                <w:u w:val="single"/>
              </w:rPr>
              <w:t>25</w:t>
            </w:r>
          </w:p>
        </w:tc>
        <w:tc>
          <w:tcPr>
            <w:tcW w:w="876" w:type="dxa"/>
            <w:vAlign w:val="center"/>
          </w:tcPr>
          <w:p>
            <w:pPr>
              <w:spacing w:line="240" w:lineRule="auto"/>
              <w:ind w:firstLine="0" w:firstLineChars="0"/>
              <w:jc w:val="center"/>
              <w:rPr>
                <w:sz w:val="21"/>
                <w:szCs w:val="21"/>
                <w:u w:val="single"/>
              </w:rPr>
            </w:pPr>
            <w:r>
              <w:rPr>
                <w:sz w:val="21"/>
                <w:szCs w:val="21"/>
                <w:u w:val="single"/>
              </w:rPr>
              <w:t>1.44</w:t>
            </w:r>
          </w:p>
        </w:tc>
        <w:tc>
          <w:tcPr>
            <w:tcW w:w="876" w:type="dxa"/>
            <w:vMerge w:val="continue"/>
            <w:vAlign w:val="center"/>
          </w:tcPr>
          <w:p>
            <w:pPr>
              <w:spacing w:line="240" w:lineRule="auto"/>
              <w:ind w:firstLine="0" w:firstLineChars="0"/>
              <w:jc w:val="center"/>
              <w:rPr>
                <w:sz w:val="21"/>
                <w:szCs w:val="21"/>
                <w:u w:val="single"/>
              </w:rPr>
            </w:pPr>
          </w:p>
        </w:tc>
        <w:tc>
          <w:tcPr>
            <w:tcW w:w="877" w:type="dxa"/>
            <w:vAlign w:val="center"/>
          </w:tcPr>
          <w:p>
            <w:pPr>
              <w:spacing w:line="240" w:lineRule="auto"/>
              <w:ind w:firstLine="0" w:firstLineChars="0"/>
              <w:jc w:val="center"/>
              <w:rPr>
                <w:sz w:val="21"/>
                <w:szCs w:val="21"/>
                <w:u w:val="single"/>
              </w:rPr>
            </w:pPr>
            <w:r>
              <w:rPr>
                <w:sz w:val="21"/>
                <w:szCs w:val="21"/>
                <w:u w:val="single"/>
              </w:rPr>
              <w:t>5</w:t>
            </w:r>
          </w:p>
        </w:tc>
        <w:tc>
          <w:tcPr>
            <w:tcW w:w="877" w:type="dxa"/>
            <w:vAlign w:val="center"/>
          </w:tcPr>
          <w:p>
            <w:pPr>
              <w:spacing w:line="240" w:lineRule="auto"/>
              <w:ind w:firstLine="0" w:firstLineChars="0"/>
              <w:jc w:val="center"/>
              <w:rPr>
                <w:sz w:val="21"/>
                <w:szCs w:val="21"/>
                <w:u w:val="single"/>
              </w:rPr>
            </w:pPr>
            <w:r>
              <w:rPr>
                <w:rFonts w:hint="eastAsia"/>
                <w:sz w:val="21"/>
                <w:szCs w:val="21"/>
                <w:u w:val="single"/>
              </w:rPr>
              <w:t>0</w:t>
            </w:r>
            <w:r>
              <w:rPr>
                <w:sz w:val="21"/>
                <w:szCs w:val="21"/>
                <w:u w:val="single"/>
              </w:rPr>
              <w:t>.28</w:t>
            </w:r>
          </w:p>
        </w:tc>
        <w:tc>
          <w:tcPr>
            <w:tcW w:w="877" w:type="dxa"/>
            <w:vAlign w:val="center"/>
          </w:tcPr>
          <w:p>
            <w:pPr>
              <w:spacing w:line="240" w:lineRule="auto"/>
              <w:ind w:firstLine="0" w:firstLineChars="0"/>
              <w:jc w:val="center"/>
              <w:rPr>
                <w:sz w:val="21"/>
                <w:szCs w:val="21"/>
                <w:u w:val="single"/>
              </w:rPr>
            </w:pPr>
            <w:r>
              <w:rPr>
                <w:sz w:val="21"/>
                <w:szCs w:val="21"/>
                <w:u w:val="single"/>
              </w:rPr>
              <w:t>10</w:t>
            </w:r>
          </w:p>
        </w:tc>
        <w:tc>
          <w:tcPr>
            <w:tcW w:w="1523" w:type="dxa"/>
            <w:vMerge w:val="continue"/>
            <w:vAlign w:val="center"/>
          </w:tcPr>
          <w:p>
            <w:pPr>
              <w:spacing w:line="240" w:lineRule="auto"/>
              <w:ind w:firstLine="0" w:firstLineChars="0"/>
              <w:jc w:val="center"/>
              <w:rPr>
                <w:sz w:val="21"/>
                <w:szCs w:val="21"/>
                <w:u w:val="single"/>
              </w:rPr>
            </w:pPr>
          </w:p>
        </w:tc>
      </w:tr>
    </w:tbl>
    <w:p>
      <w:pPr>
        <w:ind w:firstLine="480"/>
        <w:rPr>
          <w:rFonts w:cs="Times New Roman"/>
          <w:u w:val="single"/>
        </w:rPr>
      </w:pPr>
      <w:r>
        <w:rPr>
          <w:rFonts w:cs="Times New Roman"/>
          <w:u w:val="single"/>
        </w:rPr>
        <w:t>项目生活用水量为240t/d（72000t/a）。生活废水排放量约192t/d（57600 t/a）。 本项目生活污水经A/O型污水处理装置</w:t>
      </w:r>
      <w:r>
        <w:rPr>
          <w:rFonts w:hint="eastAsia" w:cs="Times New Roman"/>
          <w:u w:val="single"/>
        </w:rPr>
        <w:t>+人工湿地</w:t>
      </w:r>
      <w:r>
        <w:rPr>
          <w:rFonts w:cs="Times New Roman"/>
          <w:u w:val="single"/>
        </w:rPr>
        <w:t>处理后，COD、BOD</w:t>
      </w:r>
      <w:r>
        <w:rPr>
          <w:rFonts w:cs="Times New Roman"/>
          <w:u w:val="single"/>
          <w:vertAlign w:val="subscript"/>
        </w:rPr>
        <w:t>5</w:t>
      </w:r>
      <w:r>
        <w:rPr>
          <w:rFonts w:cs="Times New Roman"/>
          <w:u w:val="single"/>
        </w:rPr>
        <w:t>、氨氮出水可满足《</w:t>
      </w:r>
      <w:r>
        <w:rPr>
          <w:rFonts w:hint="eastAsia" w:cs="Times New Roman"/>
          <w:u w:val="single"/>
        </w:rPr>
        <w:t>地表水环境质量标准》（GB</w:t>
      </w:r>
      <w:r>
        <w:rPr>
          <w:rFonts w:cs="Times New Roman"/>
          <w:u w:val="single"/>
        </w:rPr>
        <w:t>3838</w:t>
      </w:r>
      <w:r>
        <w:rPr>
          <w:rFonts w:hint="eastAsia" w:cs="Times New Roman"/>
          <w:u w:val="single"/>
        </w:rPr>
        <w:t>-</w:t>
      </w:r>
      <w:r>
        <w:rPr>
          <w:rFonts w:cs="Times New Roman"/>
          <w:u w:val="single"/>
        </w:rPr>
        <w:t>2002</w:t>
      </w:r>
      <w:r>
        <w:rPr>
          <w:rFonts w:hint="eastAsia" w:cs="Times New Roman"/>
          <w:u w:val="single"/>
        </w:rPr>
        <w:t>）Ⅲ类水质要求</w:t>
      </w:r>
      <w:r>
        <w:rPr>
          <w:rFonts w:cs="Times New Roman"/>
          <w:u w:val="single"/>
        </w:rPr>
        <w:t>，近期</w:t>
      </w:r>
      <w:r>
        <w:rPr>
          <w:rFonts w:hint="eastAsia" w:cs="Times New Roman"/>
          <w:u w:val="single"/>
        </w:rPr>
        <w:t>直接排入白象河</w:t>
      </w:r>
      <w:r>
        <w:rPr>
          <w:rFonts w:cs="Times New Roman"/>
          <w:u w:val="single"/>
        </w:rPr>
        <w:t>，远期待污水厂建成投入使用后由市政污水管网排入工业园的污水处理厂处理，最终排入白象河。</w:t>
      </w:r>
    </w:p>
    <w:p>
      <w:pPr>
        <w:ind w:firstLine="480"/>
        <w:rPr>
          <w:rFonts w:cs="Times New Roman"/>
          <w:u w:val="single"/>
        </w:rPr>
      </w:pPr>
      <w:r>
        <w:rPr>
          <w:rFonts w:cs="Times New Roman"/>
          <w:u w:val="single"/>
        </w:rPr>
        <w:t>9、初期雨水</w:t>
      </w:r>
    </w:p>
    <w:p>
      <w:pPr>
        <w:ind w:firstLine="480"/>
        <w:rPr>
          <w:u w:val="single"/>
        </w:rPr>
      </w:pPr>
      <w:r>
        <w:rPr>
          <w:u w:val="single"/>
        </w:rPr>
        <w:t>在暴雨情况下，本项目厂区内会产生含污染物的雨污水，雨污水主要是雨水冲擦厂区内地面、设施而产生的初期雨水，一般为降雨过程的前15~20分钟。初期雨水产生量按以下公式计算：。</w:t>
      </w:r>
    </w:p>
    <w:p>
      <w:pPr>
        <w:ind w:firstLine="480"/>
        <w:rPr>
          <w:u w:val="single"/>
        </w:rPr>
      </w:pPr>
      <w:r>
        <w:rPr>
          <w:u w:val="single"/>
        </w:rPr>
        <w:t>初期雨水量计算公式：Q=Ψ·q·F</w:t>
      </w:r>
    </w:p>
    <w:p>
      <w:pPr>
        <w:ind w:firstLine="480"/>
        <w:rPr>
          <w:u w:val="single"/>
        </w:rPr>
      </w:pPr>
      <w:r>
        <w:rPr>
          <w:u w:val="single"/>
        </w:rPr>
        <w:t>式中：Q——雨水流量，L；</w:t>
      </w:r>
    </w:p>
    <w:p>
      <w:pPr>
        <w:ind w:firstLine="480"/>
        <w:rPr>
          <w:u w:val="single"/>
        </w:rPr>
      </w:pPr>
      <w:r>
        <w:rPr>
          <w:u w:val="single"/>
        </w:rPr>
        <w:t>Ψ——径流系数，取0.9；</w:t>
      </w:r>
    </w:p>
    <w:p>
      <w:pPr>
        <w:ind w:firstLine="480"/>
        <w:rPr>
          <w:u w:val="single"/>
        </w:rPr>
      </w:pPr>
      <w:r>
        <w:rPr>
          <w:u w:val="single"/>
        </w:rPr>
        <w:t>F——汇流面积，厂区汇流面积约1165333.2m</w:t>
      </w:r>
      <w:r>
        <w:rPr>
          <w:u w:val="single"/>
          <w:vertAlign w:val="superscript"/>
        </w:rPr>
        <w:t>2</w:t>
      </w:r>
      <w:r>
        <w:rPr>
          <w:u w:val="single"/>
        </w:rPr>
        <w:t>；</w:t>
      </w:r>
    </w:p>
    <w:p>
      <w:pPr>
        <w:ind w:firstLine="480"/>
        <w:rPr>
          <w:u w:val="single"/>
        </w:rPr>
      </w:pPr>
      <w:r>
        <w:rPr>
          <w:u w:val="single"/>
        </w:rPr>
        <w:t>q——暴雨量，L/s·ha，参考衡阳暴雨强度公式计算；</w:t>
      </w:r>
    </w:p>
    <w:p>
      <w:pPr>
        <w:ind w:firstLine="480"/>
        <w:rPr>
          <w:u w:val="single"/>
          <w:vertAlign w:val="superscript"/>
        </w:rPr>
      </w:pPr>
      <w:r>
        <w:rPr>
          <w:u w:val="single"/>
        </w:rPr>
        <w:t>q=892（1+0.67lgP）/t</w:t>
      </w:r>
      <w:r>
        <w:rPr>
          <w:u w:val="single"/>
          <w:vertAlign w:val="superscript"/>
        </w:rPr>
        <w:t>0.57</w:t>
      </w:r>
    </w:p>
    <w:p>
      <w:pPr>
        <w:ind w:firstLine="480"/>
        <w:rPr>
          <w:u w:val="single"/>
        </w:rPr>
      </w:pPr>
      <w:r>
        <w:rPr>
          <w:u w:val="single"/>
        </w:rPr>
        <w:t>式中：P---设计降雨重现期（a），取2a；</w:t>
      </w:r>
    </w:p>
    <w:p>
      <w:pPr>
        <w:ind w:firstLine="480"/>
        <w:rPr>
          <w:u w:val="single"/>
        </w:rPr>
      </w:pPr>
      <w:r>
        <w:rPr>
          <w:position w:val="-6"/>
          <w:u w:val="single"/>
        </w:rPr>
        <w:object>
          <v:shape id="_x0000_i1036" o:spt="75" type="#_x0000_t75" style="height:11.65pt;width:7.2pt;" o:ole="t" filled="f" o:preferrelative="t" stroked="f" coordsize="21600,21600">
            <v:path/>
            <v:fill on="f" focussize="0,0"/>
            <v:stroke on="f" joinstyle="miter"/>
            <v:imagedata r:id="rId49" o:title=""/>
            <o:lock v:ext="edit" aspectratio="t"/>
            <w10:wrap type="none"/>
            <w10:anchorlock/>
          </v:shape>
          <o:OLEObject Type="Embed" ProgID="Visio.Drawing.11" ShapeID="_x0000_i1036" DrawAspect="Content" ObjectID="_1468075736" r:id="rId48">
            <o:LockedField>false</o:LockedField>
          </o:OLEObject>
        </w:object>
      </w:r>
      <w:r>
        <w:rPr>
          <w:u w:val="single"/>
        </w:rPr>
        <w:t>---初期雨水时间，取15min。</w:t>
      </w:r>
    </w:p>
    <w:p>
      <w:pPr>
        <w:ind w:firstLine="480"/>
        <w:rPr>
          <w:u w:val="single"/>
        </w:rPr>
      </w:pPr>
      <w:r>
        <w:rPr>
          <w:u w:val="single"/>
        </w:rPr>
        <w:t>计算得暴雨量为228.97L/s·ha，年暴雨次数取20，则雨水流量为240143.71m</w:t>
      </w:r>
      <w:r>
        <w:rPr>
          <w:u w:val="single"/>
          <w:vertAlign w:val="superscript"/>
        </w:rPr>
        <w:t>3</w:t>
      </w:r>
      <w:r>
        <w:rPr>
          <w:u w:val="single"/>
        </w:rPr>
        <w:t>/a，初期雨水量为12007.19m</w:t>
      </w:r>
      <w:r>
        <w:rPr>
          <w:u w:val="single"/>
          <w:vertAlign w:val="superscript"/>
        </w:rPr>
        <w:t>3</w:t>
      </w:r>
      <w:r>
        <w:rPr>
          <w:u w:val="single"/>
        </w:rPr>
        <w:t>/次，初期雨水的污染因子主要为SS，浓度为500mg/L，收集沉淀后用于厂区绿化。</w:t>
      </w:r>
    </w:p>
    <w:p>
      <w:pPr>
        <w:ind w:firstLine="480"/>
        <w:rPr>
          <w:u w:val="single"/>
        </w:rPr>
      </w:pPr>
      <w:r>
        <w:rPr>
          <w:u w:val="single"/>
        </w:rPr>
        <w:t>为防止降雨时厂区内产生的含污染物初期雨水对水环境产生不利影响，环评要求本项目在厂区内建设初期雨水截流系统及初期雨水收集池，对厂区初期雨水进行收集，</w:t>
      </w:r>
      <w:r>
        <w:rPr>
          <w:rFonts w:hint="eastAsia"/>
          <w:u w:val="single"/>
        </w:rPr>
        <w:t>项目厂区较大，建议分区设置雨水收集池，根据项目场地高程情况及项目总平面布置，本次环评建议雨水收集池设置如下：</w:t>
      </w:r>
    </w:p>
    <w:p>
      <w:pPr>
        <w:ind w:firstLine="480"/>
        <w:rPr>
          <w:u w:val="single"/>
        </w:rPr>
      </w:pPr>
    </w:p>
    <w:p>
      <w:pPr>
        <w:ind w:firstLine="0" w:firstLineChars="0"/>
        <w:jc w:val="center"/>
        <w:rPr>
          <w:u w:val="single"/>
        </w:rPr>
      </w:pPr>
      <w:r>
        <w:rPr>
          <w:rFonts w:hint="eastAsia"/>
          <w:u w:val="single"/>
        </w:rPr>
        <w:t>表3</w:t>
      </w:r>
      <w:r>
        <w:rPr>
          <w:u w:val="single"/>
        </w:rPr>
        <w:t>.3</w:t>
      </w:r>
      <w:r>
        <w:rPr>
          <w:rFonts w:hint="eastAsia"/>
          <w:u w:val="single"/>
        </w:rPr>
        <w:t>-</w:t>
      </w:r>
      <w:r>
        <w:rPr>
          <w:u w:val="single"/>
        </w:rPr>
        <w:t xml:space="preserve">  </w:t>
      </w:r>
      <w:r>
        <w:rPr>
          <w:rFonts w:hint="eastAsia"/>
          <w:u w:val="single"/>
        </w:rPr>
        <w:t>雨水收集池设置一览表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2692"/>
        <w:gridCol w:w="1238"/>
        <w:gridCol w:w="1558"/>
        <w:gridCol w:w="1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pct"/>
          </w:tcPr>
          <w:p>
            <w:pPr>
              <w:pStyle w:val="14"/>
              <w:rPr>
                <w:u w:val="single"/>
              </w:rPr>
            </w:pPr>
            <w:r>
              <w:rPr>
                <w:rFonts w:hint="eastAsia"/>
                <w:u w:val="single"/>
              </w:rPr>
              <w:t>区块编号</w:t>
            </w:r>
          </w:p>
        </w:tc>
        <w:tc>
          <w:tcPr>
            <w:tcW w:w="1579" w:type="pct"/>
          </w:tcPr>
          <w:p>
            <w:pPr>
              <w:pStyle w:val="14"/>
              <w:rPr>
                <w:u w:val="single"/>
              </w:rPr>
            </w:pPr>
            <w:r>
              <w:rPr>
                <w:rFonts w:hint="eastAsia"/>
                <w:u w:val="single"/>
              </w:rPr>
              <w:t>区块位置</w:t>
            </w:r>
          </w:p>
        </w:tc>
        <w:tc>
          <w:tcPr>
            <w:tcW w:w="726" w:type="pct"/>
          </w:tcPr>
          <w:p>
            <w:pPr>
              <w:pStyle w:val="14"/>
              <w:rPr>
                <w:u w:val="single"/>
              </w:rPr>
            </w:pPr>
            <w:r>
              <w:rPr>
                <w:rFonts w:hint="eastAsia"/>
                <w:u w:val="single"/>
              </w:rPr>
              <w:t>区块面积m</w:t>
            </w:r>
            <w:r>
              <w:rPr>
                <w:u w:val="single"/>
                <w:vertAlign w:val="superscript"/>
              </w:rPr>
              <w:t>2</w:t>
            </w:r>
          </w:p>
        </w:tc>
        <w:tc>
          <w:tcPr>
            <w:tcW w:w="914" w:type="pct"/>
          </w:tcPr>
          <w:p>
            <w:pPr>
              <w:pStyle w:val="14"/>
              <w:rPr>
                <w:u w:val="single"/>
              </w:rPr>
            </w:pPr>
            <w:r>
              <w:rPr>
                <w:rFonts w:hint="eastAsia"/>
                <w:u w:val="single"/>
              </w:rPr>
              <w:t>初期雨水量</w:t>
            </w:r>
          </w:p>
          <w:p>
            <w:pPr>
              <w:pStyle w:val="14"/>
              <w:rPr>
                <w:u w:val="single"/>
              </w:rPr>
            </w:pPr>
            <w:r>
              <w:rPr>
                <w:rFonts w:hint="eastAsia"/>
                <w:u w:val="single"/>
              </w:rPr>
              <w:t>m</w:t>
            </w:r>
            <w:r>
              <w:rPr>
                <w:u w:val="single"/>
                <w:vertAlign w:val="superscript"/>
              </w:rPr>
              <w:t>3</w:t>
            </w:r>
            <w:r>
              <w:rPr>
                <w:u w:val="single"/>
              </w:rPr>
              <w:t>/</w:t>
            </w:r>
            <w:r>
              <w:rPr>
                <w:rFonts w:hint="eastAsia"/>
                <w:u w:val="single"/>
              </w:rPr>
              <w:t>次</w:t>
            </w:r>
          </w:p>
        </w:tc>
        <w:tc>
          <w:tcPr>
            <w:tcW w:w="1098" w:type="pct"/>
          </w:tcPr>
          <w:p>
            <w:pPr>
              <w:pStyle w:val="14"/>
              <w:rPr>
                <w:u w:val="single"/>
              </w:rPr>
            </w:pPr>
            <w:r>
              <w:rPr>
                <w:rFonts w:hint="eastAsia"/>
                <w:u w:val="single"/>
              </w:rPr>
              <w:t>雨水收集池容积</w:t>
            </w:r>
          </w:p>
          <w:p>
            <w:pPr>
              <w:pStyle w:val="14"/>
              <w:rPr>
                <w:u w:val="single"/>
              </w:rPr>
            </w:pPr>
            <w:r>
              <w:rPr>
                <w:rFonts w:hint="eastAsia"/>
                <w:u w:val="single"/>
              </w:rPr>
              <w:t>m</w:t>
            </w:r>
            <w:r>
              <w:rPr>
                <w:u w:val="singl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pct"/>
          </w:tcPr>
          <w:p>
            <w:pPr>
              <w:pStyle w:val="14"/>
              <w:rPr>
                <w:u w:val="single"/>
              </w:rPr>
            </w:pPr>
            <w:r>
              <w:rPr>
                <w:rFonts w:hint="eastAsia"/>
                <w:u w:val="single"/>
              </w:rPr>
              <w:t>1#</w:t>
            </w:r>
          </w:p>
        </w:tc>
        <w:tc>
          <w:tcPr>
            <w:tcW w:w="1579" w:type="pct"/>
          </w:tcPr>
          <w:p>
            <w:pPr>
              <w:pStyle w:val="14"/>
              <w:rPr>
                <w:u w:val="single"/>
              </w:rPr>
            </w:pPr>
            <w:r>
              <w:rPr>
                <w:rFonts w:hint="eastAsia"/>
                <w:u w:val="single"/>
              </w:rPr>
              <w:t>将军大道以南，朝阳2路以东</w:t>
            </w:r>
          </w:p>
        </w:tc>
        <w:tc>
          <w:tcPr>
            <w:tcW w:w="726" w:type="pct"/>
            <w:vAlign w:val="center"/>
          </w:tcPr>
          <w:p>
            <w:pPr>
              <w:pStyle w:val="14"/>
              <w:rPr>
                <w:u w:val="single"/>
              </w:rPr>
            </w:pPr>
            <w:r>
              <w:rPr>
                <w:rFonts w:hint="eastAsia"/>
                <w:u w:val="single"/>
              </w:rPr>
              <w:t>342080.69</w:t>
            </w:r>
          </w:p>
        </w:tc>
        <w:tc>
          <w:tcPr>
            <w:tcW w:w="914" w:type="pct"/>
            <w:vAlign w:val="center"/>
          </w:tcPr>
          <w:p>
            <w:pPr>
              <w:pStyle w:val="14"/>
              <w:rPr>
                <w:u w:val="single"/>
              </w:rPr>
            </w:pPr>
            <w:r>
              <w:rPr>
                <w:rFonts w:hint="eastAsia"/>
                <w:u w:val="single"/>
              </w:rPr>
              <w:t>3524.68</w:t>
            </w:r>
          </w:p>
        </w:tc>
        <w:tc>
          <w:tcPr>
            <w:tcW w:w="1098" w:type="pct"/>
            <w:vAlign w:val="center"/>
          </w:tcPr>
          <w:p>
            <w:pPr>
              <w:pStyle w:val="14"/>
              <w:rPr>
                <w:u w:val="single"/>
              </w:rPr>
            </w:pPr>
            <w:r>
              <w:rPr>
                <w:rFonts w:hint="eastAsia"/>
                <w:u w:val="single"/>
              </w:rPr>
              <w:t>4</w:t>
            </w:r>
            <w:r>
              <w:rPr>
                <w:u w:val="single"/>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pct"/>
          </w:tcPr>
          <w:p>
            <w:pPr>
              <w:pStyle w:val="14"/>
              <w:rPr>
                <w:u w:val="single"/>
              </w:rPr>
            </w:pPr>
            <w:r>
              <w:rPr>
                <w:rFonts w:hint="eastAsia"/>
                <w:u w:val="single"/>
              </w:rPr>
              <w:t>2#</w:t>
            </w:r>
          </w:p>
        </w:tc>
        <w:tc>
          <w:tcPr>
            <w:tcW w:w="1579" w:type="pct"/>
          </w:tcPr>
          <w:p>
            <w:pPr>
              <w:pStyle w:val="14"/>
              <w:rPr>
                <w:u w:val="single"/>
              </w:rPr>
            </w:pPr>
            <w:r>
              <w:rPr>
                <w:rFonts w:hint="eastAsia"/>
                <w:u w:val="single"/>
              </w:rPr>
              <w:t>将军大道以北，神韵大道以南，朝阳2路以东</w:t>
            </w:r>
          </w:p>
        </w:tc>
        <w:tc>
          <w:tcPr>
            <w:tcW w:w="726" w:type="pct"/>
            <w:vAlign w:val="center"/>
          </w:tcPr>
          <w:p>
            <w:pPr>
              <w:pStyle w:val="14"/>
              <w:rPr>
                <w:u w:val="single"/>
              </w:rPr>
            </w:pPr>
            <w:r>
              <w:rPr>
                <w:rFonts w:hint="eastAsia"/>
                <w:u w:val="single"/>
              </w:rPr>
              <w:t>344198.04</w:t>
            </w:r>
          </w:p>
        </w:tc>
        <w:tc>
          <w:tcPr>
            <w:tcW w:w="914" w:type="pct"/>
            <w:vAlign w:val="center"/>
          </w:tcPr>
          <w:p>
            <w:pPr>
              <w:pStyle w:val="14"/>
              <w:rPr>
                <w:u w:val="single"/>
              </w:rPr>
            </w:pPr>
            <w:r>
              <w:rPr>
                <w:rFonts w:hint="eastAsia"/>
                <w:u w:val="single"/>
              </w:rPr>
              <w:t>3546.50</w:t>
            </w:r>
          </w:p>
        </w:tc>
        <w:tc>
          <w:tcPr>
            <w:tcW w:w="1098" w:type="pct"/>
            <w:vAlign w:val="center"/>
          </w:tcPr>
          <w:p>
            <w:pPr>
              <w:pStyle w:val="14"/>
              <w:rPr>
                <w:u w:val="single"/>
              </w:rPr>
            </w:pPr>
            <w:r>
              <w:rPr>
                <w:rFonts w:hint="eastAsia"/>
                <w:u w:val="single"/>
              </w:rPr>
              <w:t>4</w:t>
            </w:r>
            <w:r>
              <w:rPr>
                <w:u w:val="single"/>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pct"/>
          </w:tcPr>
          <w:p>
            <w:pPr>
              <w:pStyle w:val="14"/>
              <w:rPr>
                <w:u w:val="single"/>
              </w:rPr>
            </w:pPr>
            <w:r>
              <w:rPr>
                <w:rFonts w:hint="eastAsia"/>
                <w:u w:val="single"/>
              </w:rPr>
              <w:t>3#</w:t>
            </w:r>
          </w:p>
        </w:tc>
        <w:tc>
          <w:tcPr>
            <w:tcW w:w="1579" w:type="pct"/>
          </w:tcPr>
          <w:p>
            <w:pPr>
              <w:pStyle w:val="14"/>
              <w:rPr>
                <w:u w:val="single"/>
              </w:rPr>
            </w:pPr>
            <w:r>
              <w:rPr>
                <w:rFonts w:hint="eastAsia"/>
                <w:u w:val="single"/>
              </w:rPr>
              <w:t>神韵大道以北，朝阳2路以东</w:t>
            </w:r>
          </w:p>
        </w:tc>
        <w:tc>
          <w:tcPr>
            <w:tcW w:w="726" w:type="pct"/>
            <w:vAlign w:val="center"/>
          </w:tcPr>
          <w:p>
            <w:pPr>
              <w:pStyle w:val="14"/>
              <w:rPr>
                <w:u w:val="single"/>
              </w:rPr>
            </w:pPr>
            <w:r>
              <w:rPr>
                <w:rFonts w:hint="eastAsia"/>
                <w:u w:val="single"/>
              </w:rPr>
              <w:t>202198.0</w:t>
            </w:r>
            <w:r>
              <w:rPr>
                <w:u w:val="single"/>
              </w:rPr>
              <w:t>2</w:t>
            </w:r>
          </w:p>
        </w:tc>
        <w:tc>
          <w:tcPr>
            <w:tcW w:w="914" w:type="pct"/>
            <w:vAlign w:val="center"/>
          </w:tcPr>
          <w:p>
            <w:pPr>
              <w:pStyle w:val="14"/>
              <w:rPr>
                <w:u w:val="single"/>
              </w:rPr>
            </w:pPr>
            <w:r>
              <w:rPr>
                <w:rFonts w:hint="eastAsia"/>
                <w:u w:val="single"/>
              </w:rPr>
              <w:t>2083.38</w:t>
            </w:r>
          </w:p>
        </w:tc>
        <w:tc>
          <w:tcPr>
            <w:tcW w:w="1098" w:type="pct"/>
            <w:vAlign w:val="center"/>
          </w:tcPr>
          <w:p>
            <w:pPr>
              <w:pStyle w:val="14"/>
              <w:rPr>
                <w:u w:val="single"/>
              </w:rPr>
            </w:pPr>
            <w:r>
              <w:rPr>
                <w:rFonts w:hint="eastAsia"/>
                <w:u w:val="single"/>
              </w:rPr>
              <w:t>2</w:t>
            </w:r>
            <w:r>
              <w:rPr>
                <w:u w:val="single"/>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pct"/>
          </w:tcPr>
          <w:p>
            <w:pPr>
              <w:pStyle w:val="14"/>
              <w:rPr>
                <w:u w:val="single"/>
              </w:rPr>
            </w:pPr>
            <w:r>
              <w:rPr>
                <w:rFonts w:hint="eastAsia"/>
                <w:u w:val="single"/>
              </w:rPr>
              <w:t>4#</w:t>
            </w:r>
          </w:p>
        </w:tc>
        <w:tc>
          <w:tcPr>
            <w:tcW w:w="1579" w:type="pct"/>
          </w:tcPr>
          <w:p>
            <w:pPr>
              <w:pStyle w:val="14"/>
              <w:rPr>
                <w:u w:val="single"/>
              </w:rPr>
            </w:pPr>
            <w:r>
              <w:rPr>
                <w:rFonts w:hint="eastAsia"/>
                <w:u w:val="single"/>
              </w:rPr>
              <w:t>朝阳2路以西</w:t>
            </w:r>
          </w:p>
        </w:tc>
        <w:tc>
          <w:tcPr>
            <w:tcW w:w="726" w:type="pct"/>
            <w:vAlign w:val="center"/>
          </w:tcPr>
          <w:p>
            <w:pPr>
              <w:pStyle w:val="14"/>
              <w:rPr>
                <w:u w:val="single"/>
              </w:rPr>
            </w:pPr>
            <w:r>
              <w:rPr>
                <w:rFonts w:hint="eastAsia"/>
                <w:u w:val="single"/>
              </w:rPr>
              <w:t>276856.45</w:t>
            </w:r>
          </w:p>
        </w:tc>
        <w:tc>
          <w:tcPr>
            <w:tcW w:w="914" w:type="pct"/>
            <w:vAlign w:val="center"/>
          </w:tcPr>
          <w:p>
            <w:pPr>
              <w:pStyle w:val="14"/>
              <w:rPr>
                <w:u w:val="single"/>
              </w:rPr>
            </w:pPr>
            <w:r>
              <w:rPr>
                <w:rFonts w:hint="eastAsia"/>
                <w:u w:val="single"/>
              </w:rPr>
              <w:t>2852.63</w:t>
            </w:r>
          </w:p>
        </w:tc>
        <w:tc>
          <w:tcPr>
            <w:tcW w:w="1098" w:type="pct"/>
            <w:vAlign w:val="center"/>
          </w:tcPr>
          <w:p>
            <w:pPr>
              <w:pStyle w:val="14"/>
              <w:rPr>
                <w:u w:val="single"/>
              </w:rPr>
            </w:pPr>
            <w:r>
              <w:rPr>
                <w:rFonts w:hint="eastAsia"/>
                <w:u w:val="single"/>
              </w:rPr>
              <w:t>3</w:t>
            </w:r>
            <w:r>
              <w:rPr>
                <w:u w:val="single"/>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1" w:type="pct"/>
            <w:gridSpan w:val="2"/>
          </w:tcPr>
          <w:p>
            <w:pPr>
              <w:pStyle w:val="14"/>
              <w:rPr>
                <w:u w:val="single"/>
              </w:rPr>
            </w:pPr>
            <w:r>
              <w:rPr>
                <w:rFonts w:hint="eastAsia"/>
                <w:u w:val="single"/>
              </w:rPr>
              <w:t>合计</w:t>
            </w:r>
          </w:p>
        </w:tc>
        <w:tc>
          <w:tcPr>
            <w:tcW w:w="726" w:type="pct"/>
            <w:vAlign w:val="center"/>
          </w:tcPr>
          <w:p>
            <w:pPr>
              <w:pStyle w:val="14"/>
              <w:rPr>
                <w:u w:val="single"/>
              </w:rPr>
            </w:pPr>
            <w:r>
              <w:rPr>
                <w:u w:val="single"/>
              </w:rPr>
              <w:t>1165333.2</w:t>
            </w:r>
          </w:p>
        </w:tc>
        <w:tc>
          <w:tcPr>
            <w:tcW w:w="914" w:type="pct"/>
            <w:vAlign w:val="center"/>
          </w:tcPr>
          <w:p>
            <w:pPr>
              <w:pStyle w:val="14"/>
              <w:rPr>
                <w:u w:val="single"/>
              </w:rPr>
            </w:pPr>
            <w:r>
              <w:rPr>
                <w:rFonts w:hint="eastAsia"/>
                <w:u w:val="single"/>
              </w:rPr>
              <w:t>1</w:t>
            </w:r>
            <w:r>
              <w:rPr>
                <w:u w:val="single"/>
              </w:rPr>
              <w:t>2007.19</w:t>
            </w:r>
          </w:p>
        </w:tc>
        <w:tc>
          <w:tcPr>
            <w:tcW w:w="1098" w:type="pct"/>
            <w:vAlign w:val="center"/>
          </w:tcPr>
          <w:p>
            <w:pPr>
              <w:pStyle w:val="14"/>
              <w:rPr>
                <w:u w:val="single"/>
              </w:rPr>
            </w:pPr>
            <w:r>
              <w:rPr>
                <w:rFonts w:hint="eastAsia"/>
                <w:u w:val="single"/>
              </w:rPr>
              <w:t>1</w:t>
            </w:r>
            <w:r>
              <w:rPr>
                <w:u w:val="single"/>
              </w:rPr>
              <w:t>3500</w:t>
            </w:r>
          </w:p>
        </w:tc>
      </w:tr>
    </w:tbl>
    <w:p>
      <w:pPr>
        <w:pStyle w:val="5"/>
      </w:pPr>
      <w:r>
        <w:t>3.3.2.3噪声污染源强核算</w:t>
      </w:r>
    </w:p>
    <w:p>
      <w:pPr>
        <w:ind w:firstLine="480"/>
        <w:rPr>
          <w:rFonts w:cs="Times New Roman"/>
        </w:rPr>
      </w:pPr>
      <w:r>
        <w:rPr>
          <w:rFonts w:cs="Times New Roman"/>
        </w:rPr>
        <w:t>本项目噪声主要来源于陶瓷生产过程中的原料破碎机、水煤浆球磨机、风机、空压机等。项目主要噪声源情况见表3.3-16。</w:t>
      </w:r>
    </w:p>
    <w:p>
      <w:pPr>
        <w:spacing w:before="163" w:beforeLines="50"/>
        <w:ind w:firstLine="482"/>
        <w:jc w:val="center"/>
        <w:rPr>
          <w:rFonts w:cs="Times New Roman"/>
          <w:b/>
        </w:rPr>
      </w:pPr>
      <w:r>
        <w:rPr>
          <w:rFonts w:cs="Times New Roman"/>
          <w:b/>
        </w:rPr>
        <w:t>表3.3-16  项目主要噪声污染源设备及等效声级一览表  单位：dB（A）</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55"/>
        <w:gridCol w:w="756"/>
        <w:gridCol w:w="1748"/>
        <w:gridCol w:w="756"/>
        <w:gridCol w:w="756"/>
        <w:gridCol w:w="756"/>
        <w:gridCol w:w="1748"/>
        <w:gridCol w:w="10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
                <w:sz w:val="21"/>
                <w:szCs w:val="21"/>
              </w:rPr>
            </w:pPr>
            <w:r>
              <w:rPr>
                <w:rFonts w:cs="Times New Roman"/>
                <w:b/>
                <w:sz w:val="21"/>
                <w:szCs w:val="21"/>
              </w:rPr>
              <w:t>序号</w:t>
            </w:r>
          </w:p>
        </w:tc>
        <w:tc>
          <w:tcPr>
            <w:tcW w:w="452" w:type="pct"/>
            <w:vAlign w:val="center"/>
          </w:tcPr>
          <w:p>
            <w:pPr>
              <w:spacing w:line="240" w:lineRule="auto"/>
              <w:ind w:firstLine="0" w:firstLineChars="0"/>
              <w:jc w:val="center"/>
              <w:rPr>
                <w:rFonts w:cs="Times New Roman"/>
                <w:b/>
                <w:sz w:val="21"/>
                <w:szCs w:val="21"/>
              </w:rPr>
            </w:pPr>
            <w:r>
              <w:rPr>
                <w:rFonts w:cs="Times New Roman"/>
                <w:b/>
                <w:sz w:val="21"/>
                <w:szCs w:val="21"/>
              </w:rPr>
              <w:t>位置</w:t>
            </w:r>
          </w:p>
        </w:tc>
        <w:tc>
          <w:tcPr>
            <w:tcW w:w="1045" w:type="pct"/>
            <w:vAlign w:val="center"/>
          </w:tcPr>
          <w:p>
            <w:pPr>
              <w:spacing w:line="240" w:lineRule="auto"/>
              <w:ind w:firstLine="0" w:firstLineChars="0"/>
              <w:jc w:val="center"/>
              <w:rPr>
                <w:rFonts w:cs="Times New Roman"/>
                <w:b/>
                <w:sz w:val="21"/>
                <w:szCs w:val="21"/>
              </w:rPr>
            </w:pPr>
            <w:r>
              <w:rPr>
                <w:rFonts w:cs="Times New Roman"/>
                <w:b/>
                <w:sz w:val="21"/>
                <w:szCs w:val="21"/>
              </w:rPr>
              <w:t>主机名称</w:t>
            </w:r>
          </w:p>
        </w:tc>
        <w:tc>
          <w:tcPr>
            <w:tcW w:w="452" w:type="pct"/>
            <w:vAlign w:val="center"/>
          </w:tcPr>
          <w:p>
            <w:pPr>
              <w:spacing w:line="240" w:lineRule="auto"/>
              <w:ind w:firstLine="0" w:firstLineChars="0"/>
              <w:jc w:val="center"/>
              <w:rPr>
                <w:rFonts w:cs="Times New Roman"/>
                <w:b/>
                <w:sz w:val="21"/>
                <w:szCs w:val="21"/>
              </w:rPr>
            </w:pPr>
            <w:r>
              <w:rPr>
                <w:rFonts w:cs="Times New Roman"/>
                <w:b/>
                <w:sz w:val="21"/>
                <w:szCs w:val="21"/>
              </w:rPr>
              <w:t>单位</w:t>
            </w:r>
          </w:p>
        </w:tc>
        <w:tc>
          <w:tcPr>
            <w:tcW w:w="452" w:type="pct"/>
            <w:vAlign w:val="center"/>
          </w:tcPr>
          <w:p>
            <w:pPr>
              <w:spacing w:line="240" w:lineRule="auto"/>
              <w:ind w:firstLine="0" w:firstLineChars="0"/>
              <w:jc w:val="center"/>
              <w:rPr>
                <w:rFonts w:cs="Times New Roman"/>
                <w:b/>
                <w:sz w:val="21"/>
                <w:szCs w:val="21"/>
              </w:rPr>
            </w:pPr>
            <w:r>
              <w:rPr>
                <w:rFonts w:cs="Times New Roman"/>
                <w:b/>
                <w:sz w:val="21"/>
                <w:szCs w:val="21"/>
              </w:rPr>
              <w:t>数量</w:t>
            </w:r>
          </w:p>
        </w:tc>
        <w:tc>
          <w:tcPr>
            <w:tcW w:w="452" w:type="pct"/>
            <w:vAlign w:val="center"/>
          </w:tcPr>
          <w:p>
            <w:pPr>
              <w:spacing w:line="240" w:lineRule="auto"/>
              <w:ind w:firstLine="0" w:firstLineChars="0"/>
              <w:jc w:val="center"/>
              <w:rPr>
                <w:rFonts w:cs="Times New Roman"/>
                <w:b/>
                <w:sz w:val="21"/>
                <w:szCs w:val="21"/>
              </w:rPr>
            </w:pPr>
            <w:r>
              <w:rPr>
                <w:rFonts w:cs="Times New Roman"/>
                <w:b/>
                <w:sz w:val="21"/>
                <w:szCs w:val="21"/>
              </w:rPr>
              <w:t>源强</w:t>
            </w:r>
          </w:p>
        </w:tc>
        <w:tc>
          <w:tcPr>
            <w:tcW w:w="1045" w:type="pct"/>
            <w:vAlign w:val="center"/>
          </w:tcPr>
          <w:p>
            <w:pPr>
              <w:spacing w:line="240" w:lineRule="auto"/>
              <w:ind w:firstLine="0" w:firstLineChars="0"/>
              <w:jc w:val="center"/>
              <w:rPr>
                <w:rFonts w:cs="Times New Roman"/>
                <w:b/>
                <w:sz w:val="21"/>
                <w:szCs w:val="21"/>
              </w:rPr>
            </w:pPr>
            <w:r>
              <w:rPr>
                <w:rFonts w:cs="Times New Roman"/>
                <w:b/>
                <w:sz w:val="21"/>
                <w:szCs w:val="21"/>
              </w:rPr>
              <w:t>治理措施</w:t>
            </w:r>
          </w:p>
        </w:tc>
        <w:tc>
          <w:tcPr>
            <w:tcW w:w="650" w:type="pct"/>
            <w:vAlign w:val="center"/>
          </w:tcPr>
          <w:p>
            <w:pPr>
              <w:spacing w:line="240" w:lineRule="auto"/>
              <w:ind w:firstLine="0" w:firstLineChars="0"/>
              <w:jc w:val="center"/>
              <w:rPr>
                <w:rFonts w:cs="Times New Roman"/>
                <w:b/>
                <w:sz w:val="21"/>
                <w:szCs w:val="21"/>
              </w:rPr>
            </w:pPr>
            <w:r>
              <w:rPr>
                <w:rFonts w:cs="Times New Roman"/>
                <w:b/>
                <w:sz w:val="21"/>
                <w:szCs w:val="21"/>
              </w:rPr>
              <w:t>降噪量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1</w:t>
            </w:r>
          </w:p>
        </w:tc>
        <w:tc>
          <w:tcPr>
            <w:tcW w:w="452"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预处</w:t>
            </w:r>
          </w:p>
          <w:p>
            <w:pPr>
              <w:spacing w:line="240" w:lineRule="auto"/>
              <w:ind w:firstLine="0" w:firstLineChars="0"/>
              <w:jc w:val="center"/>
              <w:rPr>
                <w:rFonts w:cs="Times New Roman"/>
                <w:bCs/>
                <w:sz w:val="21"/>
                <w:szCs w:val="21"/>
              </w:rPr>
            </w:pPr>
            <w:r>
              <w:rPr>
                <w:rFonts w:cs="Times New Roman"/>
                <w:bCs/>
                <w:sz w:val="21"/>
                <w:szCs w:val="21"/>
              </w:rPr>
              <w:t>理车</w:t>
            </w:r>
          </w:p>
          <w:p>
            <w:pPr>
              <w:spacing w:line="240" w:lineRule="auto"/>
              <w:ind w:firstLine="0" w:firstLineChars="0"/>
              <w:jc w:val="center"/>
              <w:rPr>
                <w:rFonts w:cs="Times New Roman"/>
                <w:bCs/>
                <w:sz w:val="21"/>
                <w:szCs w:val="21"/>
              </w:rPr>
            </w:pPr>
            <w:r>
              <w:rPr>
                <w:rFonts w:cs="Times New Roman"/>
                <w:bCs/>
                <w:sz w:val="21"/>
                <w:szCs w:val="21"/>
              </w:rPr>
              <w:t>间</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颚式破碎机</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2</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85</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2</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圆锥破</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4</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85</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3</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振动筛</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6</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4</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柱塞泵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5</w:t>
            </w:r>
          </w:p>
        </w:tc>
        <w:tc>
          <w:tcPr>
            <w:tcW w:w="452"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制浆</w:t>
            </w:r>
          </w:p>
          <w:p>
            <w:pPr>
              <w:spacing w:line="240" w:lineRule="auto"/>
              <w:ind w:firstLine="0" w:firstLineChars="0"/>
              <w:jc w:val="center"/>
              <w:rPr>
                <w:rFonts w:cs="Times New Roman"/>
                <w:bCs/>
                <w:sz w:val="21"/>
                <w:szCs w:val="21"/>
              </w:rPr>
            </w:pPr>
            <w:r>
              <w:rPr>
                <w:rFonts w:cs="Times New Roman"/>
                <w:bCs/>
                <w:sz w:val="21"/>
                <w:szCs w:val="21"/>
              </w:rPr>
              <w:t>车间</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球磨机</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80</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6</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柱塞泵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64</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7</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泥浆泵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20</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8</w:t>
            </w:r>
          </w:p>
        </w:tc>
        <w:tc>
          <w:tcPr>
            <w:tcW w:w="452"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制粉</w:t>
            </w:r>
          </w:p>
          <w:p>
            <w:pPr>
              <w:spacing w:line="240" w:lineRule="auto"/>
              <w:ind w:firstLine="0" w:firstLineChars="0"/>
              <w:jc w:val="center"/>
              <w:rPr>
                <w:rFonts w:cs="Times New Roman"/>
                <w:bCs/>
                <w:sz w:val="21"/>
                <w:szCs w:val="21"/>
              </w:rPr>
            </w:pPr>
            <w:r>
              <w:rPr>
                <w:rFonts w:cs="Times New Roman"/>
                <w:bCs/>
                <w:sz w:val="21"/>
                <w:szCs w:val="21"/>
              </w:rPr>
              <w:t>车间</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风机</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12</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95</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9</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螺杆泵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24</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1</w:t>
            </w:r>
            <w:r>
              <w:rPr>
                <w:rFonts w:cs="Times New Roman"/>
                <w:bCs/>
                <w:sz w:val="21"/>
                <w:szCs w:val="21"/>
              </w:rPr>
              <w:t>0</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泥浆泵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34</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1</w:t>
            </w:r>
            <w:r>
              <w:rPr>
                <w:rFonts w:cs="Times New Roman"/>
                <w:bCs/>
                <w:sz w:val="21"/>
                <w:szCs w:val="21"/>
              </w:rPr>
              <w:t>1</w:t>
            </w:r>
          </w:p>
        </w:tc>
        <w:tc>
          <w:tcPr>
            <w:tcW w:w="452"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原料</w:t>
            </w:r>
          </w:p>
          <w:p>
            <w:pPr>
              <w:spacing w:line="240" w:lineRule="auto"/>
              <w:ind w:firstLine="0" w:firstLineChars="0"/>
              <w:jc w:val="center"/>
              <w:rPr>
                <w:rFonts w:cs="Times New Roman"/>
                <w:bCs/>
                <w:sz w:val="21"/>
                <w:szCs w:val="21"/>
              </w:rPr>
            </w:pPr>
            <w:r>
              <w:rPr>
                <w:rFonts w:cs="Times New Roman"/>
                <w:bCs/>
                <w:sz w:val="21"/>
                <w:szCs w:val="21"/>
              </w:rPr>
              <w:t>车间</w:t>
            </w:r>
          </w:p>
          <w:p>
            <w:pPr>
              <w:spacing w:line="240" w:lineRule="auto"/>
              <w:ind w:firstLine="0" w:firstLineChars="0"/>
              <w:jc w:val="center"/>
              <w:rPr>
                <w:rFonts w:cs="Times New Roman"/>
                <w:bCs/>
                <w:sz w:val="21"/>
                <w:szCs w:val="21"/>
              </w:rPr>
            </w:pPr>
            <w:r>
              <w:rPr>
                <w:rFonts w:cs="Times New Roman"/>
                <w:bCs/>
                <w:sz w:val="21"/>
                <w:szCs w:val="21"/>
              </w:rPr>
              <w:t>环保</w:t>
            </w:r>
          </w:p>
          <w:p>
            <w:pPr>
              <w:spacing w:line="240" w:lineRule="auto"/>
              <w:ind w:firstLine="0" w:firstLineChars="0"/>
              <w:jc w:val="center"/>
              <w:rPr>
                <w:rFonts w:cs="Times New Roman"/>
                <w:bCs/>
                <w:sz w:val="21"/>
                <w:szCs w:val="21"/>
              </w:rPr>
            </w:pPr>
            <w:r>
              <w:rPr>
                <w:rFonts w:cs="Times New Roman"/>
                <w:bCs/>
                <w:sz w:val="21"/>
                <w:szCs w:val="21"/>
              </w:rPr>
              <w:t>系统</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罗茨风机</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12</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95</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1</w:t>
            </w:r>
            <w:r>
              <w:rPr>
                <w:rFonts w:cs="Times New Roman"/>
                <w:bCs/>
                <w:sz w:val="21"/>
                <w:szCs w:val="21"/>
              </w:rPr>
              <w:t>2</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水泵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6</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1</w:t>
            </w:r>
            <w:r>
              <w:rPr>
                <w:rFonts w:cs="Times New Roman"/>
                <w:bCs/>
                <w:sz w:val="21"/>
                <w:szCs w:val="21"/>
              </w:rPr>
              <w:t>3</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柱塞泵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6</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1</w:t>
            </w:r>
            <w:r>
              <w:rPr>
                <w:rFonts w:cs="Times New Roman"/>
                <w:bCs/>
                <w:sz w:val="21"/>
                <w:szCs w:val="21"/>
              </w:rPr>
              <w:t>4</w:t>
            </w:r>
          </w:p>
        </w:tc>
        <w:tc>
          <w:tcPr>
            <w:tcW w:w="452"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窑炉</w:t>
            </w:r>
          </w:p>
          <w:p>
            <w:pPr>
              <w:spacing w:line="240" w:lineRule="auto"/>
              <w:ind w:firstLine="0" w:firstLineChars="0"/>
              <w:jc w:val="center"/>
              <w:rPr>
                <w:rFonts w:cs="Times New Roman"/>
                <w:bCs/>
                <w:sz w:val="21"/>
                <w:szCs w:val="21"/>
              </w:rPr>
            </w:pPr>
            <w:r>
              <w:rPr>
                <w:rFonts w:cs="Times New Roman"/>
                <w:bCs/>
                <w:sz w:val="21"/>
                <w:szCs w:val="21"/>
              </w:rPr>
              <w:t>烟气</w:t>
            </w:r>
          </w:p>
          <w:p>
            <w:pPr>
              <w:spacing w:line="240" w:lineRule="auto"/>
              <w:ind w:firstLine="0" w:firstLineChars="0"/>
              <w:jc w:val="center"/>
              <w:rPr>
                <w:rFonts w:cs="Times New Roman"/>
                <w:bCs/>
                <w:sz w:val="21"/>
                <w:szCs w:val="21"/>
              </w:rPr>
            </w:pPr>
            <w:r>
              <w:rPr>
                <w:rFonts w:cs="Times New Roman"/>
                <w:bCs/>
                <w:sz w:val="21"/>
                <w:szCs w:val="21"/>
              </w:rPr>
              <w:t>处理</w:t>
            </w:r>
          </w:p>
          <w:p>
            <w:pPr>
              <w:spacing w:line="240" w:lineRule="auto"/>
              <w:ind w:firstLine="0" w:firstLineChars="0"/>
              <w:jc w:val="center"/>
              <w:rPr>
                <w:rFonts w:cs="Times New Roman"/>
                <w:bCs/>
                <w:sz w:val="21"/>
                <w:szCs w:val="21"/>
              </w:rPr>
            </w:pPr>
            <w:r>
              <w:rPr>
                <w:rFonts w:cs="Times New Roman"/>
                <w:bCs/>
                <w:sz w:val="21"/>
                <w:szCs w:val="21"/>
              </w:rPr>
              <w:t>系统</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水泵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16</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1</w:t>
            </w:r>
            <w:r>
              <w:rPr>
                <w:rFonts w:cs="Times New Roman"/>
                <w:bCs/>
                <w:sz w:val="21"/>
                <w:szCs w:val="21"/>
              </w:rPr>
              <w:t>5</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罗茨风机</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95</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1</w:t>
            </w:r>
            <w:r>
              <w:rPr>
                <w:rFonts w:cs="Times New Roman"/>
                <w:bCs/>
                <w:sz w:val="21"/>
                <w:szCs w:val="21"/>
              </w:rPr>
              <w:t>6</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柱塞泵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5</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1</w:t>
            </w:r>
            <w:r>
              <w:rPr>
                <w:rFonts w:cs="Times New Roman"/>
                <w:bCs/>
                <w:sz w:val="21"/>
                <w:szCs w:val="21"/>
              </w:rPr>
              <w:t>7</w:t>
            </w:r>
          </w:p>
        </w:tc>
        <w:tc>
          <w:tcPr>
            <w:tcW w:w="452"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制造</w:t>
            </w:r>
          </w:p>
          <w:p>
            <w:pPr>
              <w:spacing w:line="240" w:lineRule="auto"/>
              <w:ind w:firstLine="0" w:firstLineChars="0"/>
              <w:jc w:val="center"/>
              <w:rPr>
                <w:rFonts w:cs="Times New Roman"/>
                <w:bCs/>
                <w:sz w:val="21"/>
                <w:szCs w:val="21"/>
              </w:rPr>
            </w:pPr>
            <w:r>
              <w:rPr>
                <w:rFonts w:cs="Times New Roman"/>
                <w:bCs/>
                <w:sz w:val="21"/>
                <w:szCs w:val="21"/>
              </w:rPr>
              <w:t>车间</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风机</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500</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95</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1</w:t>
            </w:r>
            <w:r>
              <w:rPr>
                <w:rFonts w:cs="Times New Roman"/>
                <w:bCs/>
                <w:sz w:val="21"/>
                <w:szCs w:val="21"/>
              </w:rPr>
              <w:t>8</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抽釉泵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66</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1</w:t>
            </w:r>
            <w:r>
              <w:rPr>
                <w:rFonts w:cs="Times New Roman"/>
                <w:bCs/>
                <w:sz w:val="21"/>
                <w:szCs w:val="21"/>
              </w:rPr>
              <w:t>9</w:t>
            </w:r>
          </w:p>
        </w:tc>
        <w:tc>
          <w:tcPr>
            <w:tcW w:w="452"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抛光</w:t>
            </w:r>
          </w:p>
          <w:p>
            <w:pPr>
              <w:spacing w:line="240" w:lineRule="auto"/>
              <w:ind w:firstLine="0" w:firstLineChars="0"/>
              <w:jc w:val="center"/>
              <w:rPr>
                <w:rFonts w:cs="Times New Roman"/>
                <w:bCs/>
                <w:sz w:val="21"/>
                <w:szCs w:val="21"/>
              </w:rPr>
            </w:pPr>
            <w:r>
              <w:rPr>
                <w:rFonts w:cs="Times New Roman"/>
                <w:bCs/>
                <w:sz w:val="21"/>
                <w:szCs w:val="21"/>
              </w:rPr>
              <w:t>车间</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抛光机</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64</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2</w:t>
            </w:r>
            <w:r>
              <w:rPr>
                <w:rFonts w:cs="Times New Roman"/>
                <w:bCs/>
                <w:sz w:val="21"/>
                <w:szCs w:val="21"/>
              </w:rPr>
              <w:t>0</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瓷片切割机</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1</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85</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2</w:t>
            </w:r>
            <w:r>
              <w:rPr>
                <w:rFonts w:cs="Times New Roman"/>
                <w:bCs/>
                <w:sz w:val="21"/>
                <w:szCs w:val="21"/>
              </w:rPr>
              <w:t>1</w:t>
            </w:r>
          </w:p>
        </w:tc>
        <w:tc>
          <w:tcPr>
            <w:tcW w:w="452"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烟气</w:t>
            </w:r>
          </w:p>
          <w:p>
            <w:pPr>
              <w:spacing w:line="240" w:lineRule="auto"/>
              <w:ind w:firstLine="0" w:firstLineChars="0"/>
              <w:jc w:val="center"/>
              <w:rPr>
                <w:rFonts w:cs="Times New Roman"/>
                <w:bCs/>
                <w:sz w:val="21"/>
                <w:szCs w:val="21"/>
              </w:rPr>
            </w:pPr>
            <w:r>
              <w:rPr>
                <w:rFonts w:cs="Times New Roman"/>
                <w:bCs/>
                <w:sz w:val="21"/>
                <w:szCs w:val="21"/>
              </w:rPr>
              <w:t>处理</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罗茨风机</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95</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2</w:t>
            </w:r>
            <w:r>
              <w:rPr>
                <w:rFonts w:cs="Times New Roman"/>
                <w:bCs/>
                <w:sz w:val="21"/>
                <w:szCs w:val="21"/>
              </w:rPr>
              <w:t>2</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柱塞泵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2</w:t>
            </w:r>
            <w:r>
              <w:rPr>
                <w:rFonts w:cs="Times New Roman"/>
                <w:bCs/>
                <w:sz w:val="21"/>
                <w:szCs w:val="21"/>
              </w:rPr>
              <w:t>3</w:t>
            </w:r>
          </w:p>
        </w:tc>
        <w:tc>
          <w:tcPr>
            <w:tcW w:w="452"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循环</w:t>
            </w:r>
          </w:p>
          <w:p>
            <w:pPr>
              <w:spacing w:line="240" w:lineRule="auto"/>
              <w:ind w:firstLine="0" w:firstLineChars="0"/>
              <w:jc w:val="center"/>
              <w:rPr>
                <w:rFonts w:cs="Times New Roman"/>
                <w:bCs/>
                <w:sz w:val="21"/>
                <w:szCs w:val="21"/>
              </w:rPr>
            </w:pPr>
            <w:r>
              <w:rPr>
                <w:rFonts w:cs="Times New Roman"/>
                <w:bCs/>
                <w:sz w:val="21"/>
                <w:szCs w:val="21"/>
              </w:rPr>
              <w:t>水处</w:t>
            </w:r>
          </w:p>
          <w:p>
            <w:pPr>
              <w:spacing w:line="240" w:lineRule="auto"/>
              <w:ind w:firstLine="0" w:firstLineChars="0"/>
              <w:jc w:val="center"/>
              <w:rPr>
                <w:rFonts w:cs="Times New Roman"/>
                <w:bCs/>
                <w:sz w:val="21"/>
                <w:szCs w:val="21"/>
              </w:rPr>
            </w:pPr>
            <w:r>
              <w:rPr>
                <w:rFonts w:cs="Times New Roman"/>
                <w:bCs/>
                <w:sz w:val="21"/>
                <w:szCs w:val="21"/>
              </w:rPr>
              <w:t>理</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污水泵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16</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2</w:t>
            </w:r>
            <w:r>
              <w:rPr>
                <w:rFonts w:cs="Times New Roman"/>
                <w:bCs/>
                <w:sz w:val="21"/>
                <w:szCs w:val="21"/>
              </w:rPr>
              <w:t>4</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抽沙泵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8</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52" w:type="pct"/>
            <w:vAlign w:val="center"/>
          </w:tcPr>
          <w:p>
            <w:pPr>
              <w:spacing w:line="240" w:lineRule="auto"/>
              <w:ind w:firstLine="0" w:firstLineChars="0"/>
              <w:jc w:val="center"/>
              <w:rPr>
                <w:rFonts w:cs="Times New Roman"/>
                <w:bCs/>
                <w:sz w:val="21"/>
                <w:szCs w:val="21"/>
              </w:rPr>
            </w:pPr>
            <w:r>
              <w:rPr>
                <w:rFonts w:hint="eastAsia" w:cs="Times New Roman"/>
                <w:bCs/>
                <w:sz w:val="21"/>
                <w:szCs w:val="21"/>
              </w:rPr>
              <w:t>2</w:t>
            </w:r>
            <w:r>
              <w:rPr>
                <w:rFonts w:cs="Times New Roman"/>
                <w:bCs/>
                <w:sz w:val="21"/>
                <w:szCs w:val="21"/>
              </w:rPr>
              <w:t>5</w:t>
            </w:r>
          </w:p>
        </w:tc>
        <w:tc>
          <w:tcPr>
            <w:tcW w:w="452" w:type="pct"/>
            <w:vMerge w:val="continue"/>
            <w:vAlign w:val="center"/>
          </w:tcPr>
          <w:p>
            <w:pPr>
              <w:spacing w:line="240" w:lineRule="auto"/>
              <w:ind w:firstLine="0" w:firstLineChars="0"/>
              <w:jc w:val="center"/>
              <w:rPr>
                <w:rFonts w:cs="Times New Roman"/>
                <w:bCs/>
                <w:sz w:val="21"/>
                <w:szCs w:val="21"/>
              </w:rPr>
            </w:pP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抽水泵</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台</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16</w:t>
            </w:r>
          </w:p>
        </w:tc>
        <w:tc>
          <w:tcPr>
            <w:tcW w:w="452" w:type="pct"/>
            <w:vAlign w:val="center"/>
          </w:tcPr>
          <w:p>
            <w:pPr>
              <w:spacing w:line="240" w:lineRule="auto"/>
              <w:ind w:firstLine="0" w:firstLineChars="0"/>
              <w:jc w:val="center"/>
              <w:rPr>
                <w:rFonts w:cs="Times New Roman"/>
                <w:bCs/>
                <w:sz w:val="21"/>
                <w:szCs w:val="21"/>
              </w:rPr>
            </w:pPr>
            <w:r>
              <w:rPr>
                <w:rFonts w:cs="Times New Roman"/>
                <w:bCs/>
                <w:sz w:val="21"/>
                <w:szCs w:val="21"/>
              </w:rPr>
              <w:t>90</w:t>
            </w:r>
          </w:p>
        </w:tc>
        <w:tc>
          <w:tcPr>
            <w:tcW w:w="1045" w:type="pct"/>
            <w:vAlign w:val="center"/>
          </w:tcPr>
          <w:p>
            <w:pPr>
              <w:spacing w:line="240" w:lineRule="auto"/>
              <w:ind w:firstLine="0" w:firstLineChars="0"/>
              <w:jc w:val="center"/>
              <w:rPr>
                <w:rFonts w:cs="Times New Roman"/>
                <w:bCs/>
                <w:sz w:val="21"/>
                <w:szCs w:val="21"/>
              </w:rPr>
            </w:pPr>
            <w:r>
              <w:rPr>
                <w:rFonts w:cs="Times New Roman"/>
                <w:bCs/>
                <w:sz w:val="21"/>
                <w:szCs w:val="21"/>
              </w:rPr>
              <w:t>减振、隔声</w:t>
            </w:r>
          </w:p>
        </w:tc>
        <w:tc>
          <w:tcPr>
            <w:tcW w:w="650" w:type="pct"/>
            <w:vAlign w:val="center"/>
          </w:tcPr>
          <w:p>
            <w:pPr>
              <w:spacing w:line="240" w:lineRule="auto"/>
              <w:ind w:firstLine="0" w:firstLineChars="0"/>
              <w:jc w:val="center"/>
              <w:rPr>
                <w:rFonts w:cs="Times New Roman"/>
                <w:bCs/>
                <w:sz w:val="21"/>
                <w:szCs w:val="21"/>
              </w:rPr>
            </w:pPr>
            <w:r>
              <w:rPr>
                <w:rFonts w:cs="Times New Roman"/>
                <w:bCs/>
                <w:sz w:val="21"/>
                <w:szCs w:val="21"/>
              </w:rPr>
              <w:t>15</w:t>
            </w:r>
          </w:p>
        </w:tc>
      </w:tr>
    </w:tbl>
    <w:p>
      <w:pPr>
        <w:pStyle w:val="5"/>
      </w:pPr>
      <w:r>
        <w:t>3.2.2.4固废污染源强核算</w:t>
      </w:r>
    </w:p>
    <w:p>
      <w:pPr>
        <w:ind w:firstLine="480"/>
        <w:rPr>
          <w:rFonts w:cs="Times New Roman"/>
        </w:rPr>
      </w:pPr>
      <w:r>
        <w:rPr>
          <w:rFonts w:cs="Times New Roman"/>
        </w:rPr>
        <w:t>1、筛分粗料</w:t>
      </w:r>
    </w:p>
    <w:p>
      <w:pPr>
        <w:ind w:firstLine="480"/>
        <w:rPr>
          <w:rFonts w:cs="Times New Roman"/>
        </w:rPr>
      </w:pPr>
      <w:r>
        <w:rPr>
          <w:rFonts w:cs="Times New Roman"/>
        </w:rPr>
        <w:t>本项目在原料预处理加工过程中，需对原材料进行破碎、筛分，产生的粗筛分粗料量约占总破碎物料的0.5%，需要破碎的物料包括瓷砂（823609.02t/a）、石粒（1702153.82t/a）、瓷片熔块（68664.22t/a），合计2594427.06t/a，则粗料产生量约为12972.14t/a，该部分粗料集中收集后外售制砖厂制砖。</w:t>
      </w:r>
    </w:p>
    <w:p>
      <w:pPr>
        <w:ind w:firstLine="480"/>
        <w:rPr>
          <w:rFonts w:cs="Times New Roman"/>
        </w:rPr>
      </w:pPr>
      <w:r>
        <w:rPr>
          <w:rFonts w:cs="Times New Roman"/>
        </w:rPr>
        <w:t>2、废坯、废瓷</w:t>
      </w:r>
    </w:p>
    <w:p>
      <w:pPr>
        <w:ind w:firstLine="480"/>
        <w:rPr>
          <w:rFonts w:cs="Times New Roman"/>
        </w:rPr>
      </w:pPr>
      <w:r>
        <w:rPr>
          <w:rFonts w:cs="Times New Roman"/>
        </w:rPr>
        <w:t>陶瓷生产过程中的废坯主要来自于成型修坯、烧成检修等过程中；废瓷来自于辊道釉烧窑炉烧成后经检验不合格的产品。项目产生废坯、废瓷率约为原料量的2%，项目原料主要包括瓷砂（823609.02t/a）、石粒（1702153.82t/a）、釉用化工料（108904.19t/a）、坭（924090.6t/a）、瓷片熔块（68664.22t/a），总原料量为3623740.85，产生的固体废坯量约72474.82t/a，可全部返回原料车间在球磨工序回用。</w:t>
      </w:r>
    </w:p>
    <w:p>
      <w:pPr>
        <w:ind w:firstLine="480"/>
        <w:rPr>
          <w:rFonts w:cs="Times New Roman"/>
        </w:rPr>
      </w:pPr>
      <w:r>
        <w:rPr>
          <w:rFonts w:cs="Times New Roman"/>
        </w:rPr>
        <w:t>由于建筑陶瓷对原料要求不高，因此本项目陶瓷生产产生的废坯可重新粉碎后，返回原料制备工段利用，处置率可达100%；废瓷可按比例掺入到原料中进行生产，处置率可达100%。</w:t>
      </w:r>
    </w:p>
    <w:p>
      <w:pPr>
        <w:ind w:firstLine="480"/>
        <w:rPr>
          <w:rFonts w:cs="Times New Roman"/>
        </w:rPr>
      </w:pPr>
      <w:r>
        <w:rPr>
          <w:rFonts w:cs="Times New Roman"/>
        </w:rPr>
        <w:t>3、纸箱边角料</w:t>
      </w:r>
    </w:p>
    <w:p>
      <w:pPr>
        <w:ind w:firstLine="480"/>
        <w:rPr>
          <w:rFonts w:cs="Times New Roman"/>
        </w:rPr>
      </w:pPr>
      <w:r>
        <w:rPr>
          <w:rFonts w:cs="Times New Roman"/>
        </w:rPr>
        <w:t>项目采用瓦楞通过裁边、印刷等工艺制作纸箱，瓦楞质量约为3.4kg/m</w:t>
      </w:r>
      <w:r>
        <w:rPr>
          <w:rFonts w:cs="Times New Roman"/>
          <w:vertAlign w:val="superscript"/>
        </w:rPr>
        <w:t>2</w:t>
      </w:r>
      <w:r>
        <w:rPr>
          <w:rFonts w:cs="Times New Roman"/>
        </w:rPr>
        <w:t>，项目总瓦楞使用量为346800t/a，年产纸箱10000万m</w:t>
      </w:r>
      <w:r>
        <w:rPr>
          <w:rFonts w:cs="Times New Roman"/>
          <w:vertAlign w:val="superscript"/>
        </w:rPr>
        <w:t>2</w:t>
      </w:r>
      <w:r>
        <w:rPr>
          <w:rFonts w:cs="Times New Roman"/>
        </w:rPr>
        <w:t>/a，则计算出年产纸箱340000t/a，剩余部分为边角料，则边角料产生量约为6800t/a（200万m</w:t>
      </w:r>
      <w:r>
        <w:rPr>
          <w:rFonts w:cs="Times New Roman"/>
          <w:vertAlign w:val="superscript"/>
        </w:rPr>
        <w:t>2</w:t>
      </w:r>
      <w:r>
        <w:rPr>
          <w:rFonts w:cs="Times New Roman"/>
        </w:rPr>
        <w:t>/a）。瓦楞边角料外售其他单位综合利用</w:t>
      </w:r>
    </w:p>
    <w:p>
      <w:pPr>
        <w:ind w:firstLine="480"/>
        <w:rPr>
          <w:rFonts w:cs="Times New Roman"/>
          <w:u w:val="single"/>
        </w:rPr>
      </w:pPr>
      <w:r>
        <w:rPr>
          <w:rFonts w:cs="Times New Roman"/>
          <w:u w:val="single"/>
        </w:rPr>
        <w:t>4、炉渣</w:t>
      </w:r>
    </w:p>
    <w:p>
      <w:pPr>
        <w:adjustRightInd w:val="0"/>
        <w:snapToGrid w:val="0"/>
        <w:ind w:firstLine="480"/>
        <w:rPr>
          <w:rFonts w:cs="Times New Roman"/>
          <w:u w:val="single"/>
        </w:rPr>
      </w:pPr>
      <w:r>
        <w:rPr>
          <w:rFonts w:cs="Times New Roman"/>
          <w:u w:val="single"/>
        </w:rPr>
        <w:t>燃煤所产生的炉渣量跟耗煤量、煤的灰分量等有关，根据炉炉渣产生公式可计算得到炉渣量，公式：</w:t>
      </w:r>
    </w:p>
    <w:p>
      <w:pPr>
        <w:adjustRightInd w:val="0"/>
        <w:snapToGrid w:val="0"/>
        <w:ind w:firstLine="480"/>
        <w:jc w:val="center"/>
        <w:rPr>
          <w:rFonts w:cs="Times New Roman"/>
          <w:u w:val="single"/>
        </w:rPr>
      </w:pPr>
      <w:r>
        <w:rPr>
          <w:rFonts w:cs="Times New Roman"/>
          <w:u w:val="single"/>
        </w:rPr>
        <w:drawing>
          <wp:inline distT="0" distB="0" distL="0" distR="0">
            <wp:extent cx="1666875" cy="228600"/>
            <wp:effectExtent l="19050" t="0" r="9525" b="0"/>
            <wp:docPr id="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8"/>
                    <pic:cNvPicPr>
                      <a:picLocks noChangeAspect="1" noChangeArrowheads="1"/>
                    </pic:cNvPicPr>
                  </pic:nvPicPr>
                  <pic:blipFill>
                    <a:blip r:embed="rId50"/>
                    <a:srcRect/>
                    <a:stretch>
                      <a:fillRect/>
                    </a:stretch>
                  </pic:blipFill>
                  <pic:spPr>
                    <a:xfrm>
                      <a:off x="0" y="0"/>
                      <a:ext cx="1666875" cy="228600"/>
                    </a:xfrm>
                    <a:prstGeom prst="rect">
                      <a:avLst/>
                    </a:prstGeom>
                    <a:noFill/>
                    <a:ln w="9525">
                      <a:noFill/>
                      <a:miter lim="800000"/>
                      <a:headEnd/>
                      <a:tailEnd/>
                    </a:ln>
                  </pic:spPr>
                </pic:pic>
              </a:graphicData>
            </a:graphic>
          </wp:inline>
        </w:drawing>
      </w:r>
    </w:p>
    <w:p>
      <w:pPr>
        <w:adjustRightInd w:val="0"/>
        <w:snapToGrid w:val="0"/>
        <w:ind w:firstLine="480"/>
        <w:rPr>
          <w:rFonts w:cs="Times New Roman"/>
          <w:u w:val="single"/>
        </w:rPr>
      </w:pPr>
      <w:r>
        <w:rPr>
          <w:rFonts w:cs="Times New Roman"/>
          <w:u w:val="single"/>
        </w:rPr>
        <w:t>式中：G — 炉渣产生量，t/a；</w:t>
      </w:r>
    </w:p>
    <w:p>
      <w:pPr>
        <w:adjustRightInd w:val="0"/>
        <w:snapToGrid w:val="0"/>
        <w:ind w:firstLine="480"/>
        <w:rPr>
          <w:rFonts w:cs="Times New Roman"/>
          <w:u w:val="single"/>
        </w:rPr>
      </w:pPr>
      <w:r>
        <w:rPr>
          <w:rFonts w:cs="Times New Roman"/>
          <w:u w:val="single"/>
        </w:rPr>
        <w:t>B — 耗煤量，t/a；</w:t>
      </w:r>
    </w:p>
    <w:p>
      <w:pPr>
        <w:adjustRightInd w:val="0"/>
        <w:snapToGrid w:val="0"/>
        <w:ind w:firstLine="480"/>
        <w:rPr>
          <w:rFonts w:cs="Times New Roman"/>
          <w:u w:val="single"/>
        </w:rPr>
      </w:pPr>
      <w:r>
        <w:rPr>
          <w:rFonts w:cs="Times New Roman"/>
          <w:u w:val="single"/>
        </w:rPr>
        <w:t>A — 煤的灰份，%；取23.40%；</w:t>
      </w:r>
    </w:p>
    <w:p>
      <w:pPr>
        <w:adjustRightInd w:val="0"/>
        <w:snapToGrid w:val="0"/>
        <w:ind w:firstLine="480"/>
        <w:rPr>
          <w:rFonts w:cs="Times New Roman"/>
          <w:u w:val="single"/>
        </w:rPr>
      </w:pPr>
      <w:r>
        <w:rPr>
          <w:rFonts w:cs="Times New Roman"/>
          <w:u w:val="single"/>
        </w:rPr>
        <w:t>d — 炉渣的灰分占燃煤总灰分的百分数，取35%；</w:t>
      </w:r>
    </w:p>
    <w:p>
      <w:pPr>
        <w:adjustRightInd w:val="0"/>
        <w:snapToGrid w:val="0"/>
        <w:ind w:firstLine="480"/>
        <w:rPr>
          <w:rFonts w:cs="Times New Roman"/>
          <w:u w:val="single"/>
        </w:rPr>
      </w:pPr>
      <w:r>
        <w:rPr>
          <w:rFonts w:cs="Times New Roman"/>
          <w:u w:val="single"/>
        </w:rPr>
        <w:t>C — 炉渣可燃物含量，取20%。</w:t>
      </w:r>
    </w:p>
    <w:p>
      <w:pPr>
        <w:ind w:firstLine="480"/>
        <w:rPr>
          <w:rFonts w:cs="Times New Roman"/>
          <w:u w:val="single"/>
        </w:rPr>
      </w:pPr>
      <w:r>
        <w:rPr>
          <w:rFonts w:cs="Times New Roman"/>
          <w:u w:val="single"/>
        </w:rPr>
        <w:t>项目热风炉煤的使用量共为190000t/a。根据上述公式计算得热风炉炉渣产生量约为19451.25t/a，含水率约为10%，即产生炉渣量约为19451.25t/a。全部暂时堆于厂内炉渣堆棚，定期外销给制砖厂制砖。</w:t>
      </w:r>
    </w:p>
    <w:p>
      <w:pPr>
        <w:ind w:firstLine="480"/>
        <w:rPr>
          <w:rFonts w:cs="Times New Roman"/>
        </w:rPr>
      </w:pPr>
      <w:r>
        <w:rPr>
          <w:rFonts w:cs="Times New Roman"/>
        </w:rPr>
        <w:t>5、除尘灰S12</w:t>
      </w:r>
    </w:p>
    <w:p>
      <w:pPr>
        <w:ind w:firstLine="480"/>
        <w:rPr>
          <w:rFonts w:cs="Times New Roman"/>
        </w:rPr>
      </w:pPr>
      <w:r>
        <w:rPr>
          <w:rFonts w:cs="Times New Roman"/>
        </w:rPr>
        <w:t>本项目生产过程中布袋除尘器收集的粉尘产生量约为43677.12t/a，堆至煤渣棚，定期外售。</w:t>
      </w:r>
    </w:p>
    <w:p>
      <w:pPr>
        <w:ind w:firstLine="480"/>
        <w:rPr>
          <w:rFonts w:cs="Times New Roman"/>
        </w:rPr>
      </w:pPr>
      <w:r>
        <w:rPr>
          <w:rFonts w:cs="Times New Roman"/>
        </w:rPr>
        <w:t>6、生产废水沉淀池污泥</w:t>
      </w:r>
    </w:p>
    <w:p>
      <w:pPr>
        <w:ind w:firstLine="480"/>
        <w:rPr>
          <w:rFonts w:cs="Times New Roman"/>
        </w:rPr>
      </w:pPr>
      <w:r>
        <w:rPr>
          <w:rFonts w:cs="Times New Roman"/>
        </w:rPr>
        <w:t>生产车间沉淀池污水中SS含量按1200mg/L计，处理率为83.3%，沉淀池污泥产生量约为2909.6kg/d，9601.80t/a；沉淀池污水也可返回原料制备工段利用。由于建筑陶瓷对原料要求不高，因此本项目产生的污泥可全部返回原料制备工段利用，处置率可达100%。</w:t>
      </w:r>
    </w:p>
    <w:p>
      <w:pPr>
        <w:ind w:firstLine="480"/>
        <w:rPr>
          <w:rFonts w:cs="Times New Roman"/>
        </w:rPr>
      </w:pPr>
      <w:r>
        <w:rPr>
          <w:rFonts w:cs="Times New Roman"/>
        </w:rPr>
        <w:t>7、生活废水处理设施污泥</w:t>
      </w:r>
    </w:p>
    <w:p>
      <w:pPr>
        <w:ind w:firstLine="480"/>
        <w:rPr>
          <w:rFonts w:cs="Times New Roman"/>
        </w:rPr>
      </w:pPr>
      <w:r>
        <w:rPr>
          <w:rFonts w:cs="Times New Roman"/>
        </w:rPr>
        <w:t>根据一体化AO设备处理生活污水的经验，污泥产生量约为污水量的0.1%，则污泥产生量约为57.6t/a，定期清掏后，委托当地环卫部门处置。</w:t>
      </w:r>
    </w:p>
    <w:p>
      <w:pPr>
        <w:ind w:firstLine="480"/>
        <w:rPr>
          <w:rFonts w:cs="Times New Roman"/>
        </w:rPr>
      </w:pPr>
      <w:r>
        <w:rPr>
          <w:rFonts w:cs="Times New Roman"/>
        </w:rPr>
        <w:t>8、脱硫石膏</w:t>
      </w:r>
    </w:p>
    <w:p>
      <w:pPr>
        <w:ind w:firstLine="480"/>
        <w:rPr>
          <w:rFonts w:cs="Times New Roman"/>
        </w:rPr>
      </w:pPr>
      <w:r>
        <w:rPr>
          <w:rFonts w:cs="Times New Roman"/>
        </w:rPr>
        <w:t>本项目脱硫塔脱硫过程会产生脱硫石膏，脱硫石膏主要为脱硫剂与废气中的SO</w:t>
      </w:r>
      <w:r>
        <w:rPr>
          <w:rFonts w:cs="Times New Roman"/>
          <w:vertAlign w:val="subscript"/>
        </w:rPr>
        <w:t>2</w:t>
      </w:r>
      <w:r>
        <w:rPr>
          <w:rFonts w:cs="Times New Roman"/>
        </w:rPr>
        <w:t>反应后的产污，</w:t>
      </w:r>
      <w:r>
        <w:rPr>
          <w:rFonts w:hint="eastAsia" w:cs="Times New Roman"/>
        </w:rPr>
        <w:t>根据经验，每去除1kg二氧化硫会产生石膏量约为5</w:t>
      </w:r>
      <w:r>
        <w:rPr>
          <w:rFonts w:cs="Times New Roman"/>
        </w:rPr>
        <w:t>.8</w:t>
      </w:r>
      <w:r>
        <w:rPr>
          <w:rFonts w:hint="eastAsia" w:cs="Times New Roman"/>
        </w:rPr>
        <w:t>kg</w:t>
      </w:r>
      <w:r>
        <w:rPr>
          <w:rFonts w:cs="Times New Roman"/>
        </w:rPr>
        <w:t>，</w:t>
      </w:r>
      <w:r>
        <w:rPr>
          <w:rFonts w:hint="eastAsia" w:cs="Times New Roman"/>
        </w:rPr>
        <w:t>则可计算出脱硫石膏产生量</w:t>
      </w:r>
      <w:r>
        <w:rPr>
          <w:rFonts w:cs="Times New Roman"/>
        </w:rPr>
        <w:t>约5099.59t/a，脱硫石膏外售水泥厂或建材厂用作原料。</w:t>
      </w:r>
    </w:p>
    <w:p>
      <w:pPr>
        <w:ind w:firstLine="480"/>
        <w:rPr>
          <w:rFonts w:cs="Times New Roman"/>
        </w:rPr>
      </w:pPr>
      <w:r>
        <w:rPr>
          <w:rFonts w:cs="Times New Roman"/>
        </w:rPr>
        <w:t>9、废陶瓷辊棒</w:t>
      </w:r>
    </w:p>
    <w:p>
      <w:pPr>
        <w:ind w:firstLine="480"/>
        <w:rPr>
          <w:rFonts w:cs="Times New Roman"/>
        </w:rPr>
      </w:pPr>
      <w:r>
        <w:rPr>
          <w:rFonts w:cs="Times New Roman"/>
          <w:kern w:val="0"/>
        </w:rPr>
        <w:t>本项目生产过程需要使用陶瓷辊棒，每年耗损量约为360根，约7.2t/a，经破碎后回用于生产。</w:t>
      </w:r>
    </w:p>
    <w:p>
      <w:pPr>
        <w:ind w:firstLine="480"/>
        <w:rPr>
          <w:rFonts w:cs="Times New Roman"/>
        </w:rPr>
      </w:pPr>
      <w:r>
        <w:rPr>
          <w:rFonts w:cs="Times New Roman"/>
        </w:rPr>
        <w:t>10、废油墨盒</w:t>
      </w:r>
    </w:p>
    <w:p>
      <w:pPr>
        <w:ind w:firstLine="480"/>
        <w:rPr>
          <w:rFonts w:cs="Times New Roman"/>
        </w:rPr>
      </w:pPr>
      <w:r>
        <w:rPr>
          <w:rFonts w:cs="Times New Roman"/>
          <w:kern w:val="0"/>
        </w:rPr>
        <w:t>本项目油墨使用会产生废油墨盒，根据建设单位提供的资料，本项目使用油墨不属于危险化学品且不含油等任何危险物质，因此属于一般固废，每年的产生量为0.75t/a，全部由厂家回收。</w:t>
      </w:r>
    </w:p>
    <w:p>
      <w:pPr>
        <w:ind w:firstLine="480"/>
        <w:rPr>
          <w:rFonts w:cs="Times New Roman"/>
        </w:rPr>
      </w:pPr>
      <w:r>
        <w:rPr>
          <w:rFonts w:cs="Times New Roman"/>
        </w:rPr>
        <w:t>11、废机油</w:t>
      </w:r>
    </w:p>
    <w:p>
      <w:pPr>
        <w:ind w:firstLine="480"/>
        <w:rPr>
          <w:rFonts w:cs="Times New Roman"/>
        </w:rPr>
      </w:pPr>
      <w:r>
        <w:rPr>
          <w:rFonts w:cs="Times New Roman"/>
        </w:rPr>
        <w:t>项目生产过程中设备维修会产生少量废机油，产生量约1.0t/a，属于危险废物（HW08 900-249-08），采用专用桶收集后，放在危废暂存间暂存，委托有危废处置资质单位处置，不外排。</w:t>
      </w:r>
    </w:p>
    <w:p>
      <w:pPr>
        <w:ind w:firstLine="480"/>
        <w:rPr>
          <w:rFonts w:cs="Times New Roman"/>
        </w:rPr>
      </w:pPr>
      <w:r>
        <w:rPr>
          <w:rFonts w:cs="Times New Roman"/>
        </w:rPr>
        <w:t>11、废岩棉</w:t>
      </w:r>
    </w:p>
    <w:p>
      <w:pPr>
        <w:ind w:firstLine="480"/>
        <w:rPr>
          <w:rFonts w:cs="Times New Roman"/>
        </w:rPr>
      </w:pPr>
      <w:r>
        <w:rPr>
          <w:rFonts w:cs="Times New Roman"/>
        </w:rPr>
        <w:t>本项目设备检修会产生废岩棉岩棉，产生量约0.50t/a，属于岩棉岩棉一般固废。</w:t>
      </w:r>
    </w:p>
    <w:p>
      <w:pPr>
        <w:ind w:firstLine="480"/>
        <w:rPr>
          <w:rFonts w:cs="Times New Roman"/>
        </w:rPr>
      </w:pPr>
      <w:r>
        <w:rPr>
          <w:rFonts w:cs="Times New Roman"/>
        </w:rPr>
        <w:t>13、生活垃圾</w:t>
      </w:r>
    </w:p>
    <w:p>
      <w:pPr>
        <w:ind w:firstLine="480"/>
        <w:rPr>
          <w:rFonts w:cs="Times New Roman"/>
        </w:rPr>
      </w:pPr>
      <w:r>
        <w:rPr>
          <w:rFonts w:cs="Times New Roman"/>
        </w:rPr>
        <w:t>本项目职工人数共为900人，均在厂区内食宿，依照我国生活垃圾排放系数，每人每天生活垃圾产生量为1.0kg，生活垃圾产生量为900kg/d，2970t/a。厂区内设置垃圾桶进行统一收集，建设单位委托当地环卫部门处置。</w:t>
      </w:r>
    </w:p>
    <w:p>
      <w:pPr>
        <w:adjustRightInd w:val="0"/>
        <w:snapToGrid w:val="0"/>
        <w:spacing w:before="163" w:beforeLines="50"/>
        <w:ind w:firstLine="482"/>
        <w:jc w:val="center"/>
        <w:rPr>
          <w:rFonts w:cs="Times New Roman"/>
          <w:b/>
          <w:kern w:val="0"/>
          <w:szCs w:val="21"/>
          <w:u w:val="single"/>
        </w:rPr>
      </w:pPr>
      <w:r>
        <w:rPr>
          <w:rFonts w:cs="Times New Roman"/>
          <w:b/>
          <w:kern w:val="0"/>
          <w:szCs w:val="21"/>
          <w:u w:val="single"/>
        </w:rPr>
        <w:t>表3.3-17  运营期固体废物产生情况</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03"/>
        <w:gridCol w:w="1289"/>
        <w:gridCol w:w="1493"/>
        <w:gridCol w:w="1253"/>
        <w:gridCol w:w="2887"/>
        <w:gridCol w:w="9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序号</w:t>
            </w:r>
          </w:p>
        </w:tc>
        <w:tc>
          <w:tcPr>
            <w:tcW w:w="771"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固废来源</w:t>
            </w:r>
          </w:p>
        </w:tc>
        <w:tc>
          <w:tcPr>
            <w:tcW w:w="893"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固废性质</w:t>
            </w:r>
          </w:p>
        </w:tc>
        <w:tc>
          <w:tcPr>
            <w:tcW w:w="749"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产生量（t/a）</w:t>
            </w:r>
          </w:p>
        </w:tc>
        <w:tc>
          <w:tcPr>
            <w:tcW w:w="1726"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处置方法</w:t>
            </w:r>
          </w:p>
        </w:tc>
        <w:tc>
          <w:tcPr>
            <w:tcW w:w="560" w:type="pct"/>
            <w:vAlign w:val="center"/>
          </w:tcPr>
          <w:p>
            <w:pPr>
              <w:spacing w:line="240" w:lineRule="auto"/>
              <w:ind w:firstLine="0" w:firstLineChars="0"/>
              <w:jc w:val="center"/>
              <w:rPr>
                <w:rFonts w:cs="Times New Roman"/>
                <w:b/>
                <w:sz w:val="21"/>
                <w:szCs w:val="21"/>
                <w:u w:val="single"/>
              </w:rPr>
            </w:pPr>
            <w:r>
              <w:rPr>
                <w:rFonts w:cs="Times New Roman"/>
                <w:b/>
                <w:sz w:val="21"/>
                <w:szCs w:val="21"/>
                <w:u w:val="single"/>
              </w:rPr>
              <w:t>排放量</w:t>
            </w:r>
          </w:p>
          <w:p>
            <w:pPr>
              <w:spacing w:line="240" w:lineRule="auto"/>
              <w:ind w:firstLine="0" w:firstLineChars="0"/>
              <w:jc w:val="center"/>
              <w:rPr>
                <w:rFonts w:cs="Times New Roman"/>
                <w:b/>
                <w:sz w:val="21"/>
                <w:szCs w:val="21"/>
                <w:u w:val="single"/>
              </w:rPr>
            </w:pPr>
            <w:r>
              <w:rPr>
                <w:rFonts w:cs="Times New Roman"/>
                <w:b/>
                <w:sz w:val="21"/>
                <w:szCs w:val="21"/>
                <w:u w:val="singl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1</w:t>
            </w:r>
          </w:p>
        </w:tc>
        <w:tc>
          <w:tcPr>
            <w:tcW w:w="77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筛分粗料</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2594427.06</w:t>
            </w: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外售制砖厂制砖</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2</w:t>
            </w:r>
          </w:p>
        </w:tc>
        <w:tc>
          <w:tcPr>
            <w:tcW w:w="77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废坯、废瓷</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72474.82</w:t>
            </w: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返回原料制备工段利用</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3</w:t>
            </w:r>
          </w:p>
        </w:tc>
        <w:tc>
          <w:tcPr>
            <w:tcW w:w="77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炉渣</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19451.25</w:t>
            </w: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定期外销给制砖厂制砖</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4</w:t>
            </w:r>
          </w:p>
        </w:tc>
        <w:tc>
          <w:tcPr>
            <w:tcW w:w="77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纸箱边角料</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6800</w:t>
            </w: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外售其他单位综合利用</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5</w:t>
            </w:r>
          </w:p>
        </w:tc>
        <w:tc>
          <w:tcPr>
            <w:tcW w:w="771" w:type="pct"/>
            <w:vAlign w:val="center"/>
          </w:tcPr>
          <w:p>
            <w:pPr>
              <w:spacing w:line="240" w:lineRule="auto"/>
              <w:ind w:firstLine="0" w:firstLineChars="0"/>
              <w:jc w:val="center"/>
              <w:rPr>
                <w:rFonts w:cs="Times New Roman"/>
                <w:sz w:val="21"/>
                <w:szCs w:val="21"/>
                <w:u w:val="single"/>
              </w:rPr>
            </w:pPr>
            <w:r>
              <w:rPr>
                <w:rFonts w:cs="Times New Roman"/>
                <w:u w:val="single"/>
              </w:rPr>
              <w:t>除尘灰</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43677.12</w:t>
            </w:r>
          </w:p>
        </w:tc>
        <w:tc>
          <w:tcPr>
            <w:tcW w:w="1726"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外售制砖厂制砖</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6</w:t>
            </w:r>
          </w:p>
        </w:tc>
        <w:tc>
          <w:tcPr>
            <w:tcW w:w="77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生产废水沉淀池污泥</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9601.80</w:t>
            </w: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全部返回原料制备工段利用</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7</w:t>
            </w:r>
          </w:p>
        </w:tc>
        <w:tc>
          <w:tcPr>
            <w:tcW w:w="771"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生活污水处理设施污泥</w:t>
            </w:r>
          </w:p>
        </w:tc>
        <w:tc>
          <w:tcPr>
            <w:tcW w:w="893"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一般固废</w:t>
            </w:r>
          </w:p>
        </w:tc>
        <w:tc>
          <w:tcPr>
            <w:tcW w:w="749"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5</w:t>
            </w:r>
            <w:r>
              <w:rPr>
                <w:rFonts w:cs="Times New Roman"/>
                <w:sz w:val="21"/>
                <w:szCs w:val="21"/>
                <w:u w:val="single"/>
              </w:rPr>
              <w:t>7.6</w:t>
            </w:r>
          </w:p>
        </w:tc>
        <w:tc>
          <w:tcPr>
            <w:tcW w:w="1726"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外售水泥厂综合利用</w:t>
            </w:r>
          </w:p>
        </w:tc>
        <w:tc>
          <w:tcPr>
            <w:tcW w:w="560"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7</w:t>
            </w:r>
          </w:p>
        </w:tc>
        <w:tc>
          <w:tcPr>
            <w:tcW w:w="77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脱硫石膏</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5099.59</w:t>
            </w: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0"/>
                <w:u w:val="single"/>
              </w:rPr>
              <w:t>外售水泥厂或建材厂用作原料</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8</w:t>
            </w:r>
          </w:p>
        </w:tc>
        <w:tc>
          <w:tcPr>
            <w:tcW w:w="77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废陶瓷辊棒</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7.2</w:t>
            </w: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经破碎后回用于生产</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9</w:t>
            </w:r>
          </w:p>
        </w:tc>
        <w:tc>
          <w:tcPr>
            <w:tcW w:w="77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废油墨盒</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0.75</w:t>
            </w: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全部由厂家回收</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1</w:t>
            </w:r>
            <w:r>
              <w:rPr>
                <w:rFonts w:cs="Times New Roman"/>
                <w:sz w:val="21"/>
                <w:szCs w:val="21"/>
                <w:u w:val="single"/>
              </w:rPr>
              <w:t>0</w:t>
            </w:r>
          </w:p>
        </w:tc>
        <w:tc>
          <w:tcPr>
            <w:tcW w:w="77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废机油</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危险废物（HW08）</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1.0</w:t>
            </w: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委托有危废处置资质单位处置</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1</w:t>
            </w:r>
            <w:r>
              <w:rPr>
                <w:rFonts w:cs="Times New Roman"/>
                <w:sz w:val="21"/>
                <w:szCs w:val="21"/>
                <w:u w:val="single"/>
              </w:rPr>
              <w:t>1</w:t>
            </w:r>
          </w:p>
        </w:tc>
        <w:tc>
          <w:tcPr>
            <w:tcW w:w="77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废岩棉</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0.5</w:t>
            </w: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按一般固废处置</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01" w:type="pct"/>
            <w:vAlign w:val="center"/>
          </w:tcPr>
          <w:p>
            <w:pPr>
              <w:spacing w:line="240" w:lineRule="auto"/>
              <w:ind w:firstLine="0" w:firstLineChars="0"/>
              <w:jc w:val="center"/>
              <w:rPr>
                <w:rFonts w:cs="Times New Roman"/>
                <w:sz w:val="21"/>
                <w:szCs w:val="21"/>
                <w:u w:val="single"/>
              </w:rPr>
            </w:pPr>
            <w:r>
              <w:rPr>
                <w:rFonts w:hint="eastAsia" w:cs="Times New Roman"/>
                <w:sz w:val="21"/>
                <w:szCs w:val="21"/>
                <w:u w:val="single"/>
              </w:rPr>
              <w:t>1</w:t>
            </w:r>
            <w:r>
              <w:rPr>
                <w:rFonts w:cs="Times New Roman"/>
                <w:sz w:val="21"/>
                <w:szCs w:val="21"/>
                <w:u w:val="single"/>
              </w:rPr>
              <w:t>2</w:t>
            </w:r>
          </w:p>
        </w:tc>
        <w:tc>
          <w:tcPr>
            <w:tcW w:w="771"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生活垃圾</w:t>
            </w:r>
          </w:p>
        </w:tc>
        <w:tc>
          <w:tcPr>
            <w:tcW w:w="893"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生活垃圾</w:t>
            </w:r>
          </w:p>
        </w:tc>
        <w:tc>
          <w:tcPr>
            <w:tcW w:w="749"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2970</w:t>
            </w: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委托环卫部门清运处理</w:t>
            </w:r>
          </w:p>
        </w:tc>
        <w:tc>
          <w:tcPr>
            <w:tcW w:w="560" w:type="pct"/>
            <w:vAlign w:val="center"/>
          </w:tcPr>
          <w:p>
            <w:pPr>
              <w:spacing w:line="240" w:lineRule="auto"/>
              <w:ind w:firstLine="0" w:firstLineChars="0"/>
              <w:jc w:val="center"/>
              <w:rPr>
                <w:rFonts w:cs="Times New Roman"/>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965" w:type="pct"/>
            <w:gridSpan w:val="3"/>
            <w:vAlign w:val="center"/>
          </w:tcPr>
          <w:p>
            <w:pPr>
              <w:spacing w:line="240" w:lineRule="auto"/>
              <w:ind w:firstLine="0" w:firstLineChars="0"/>
              <w:jc w:val="center"/>
              <w:rPr>
                <w:rFonts w:cs="Times New Roman"/>
                <w:sz w:val="21"/>
                <w:szCs w:val="21"/>
                <w:u w:val="single"/>
              </w:rPr>
            </w:pPr>
            <w:r>
              <w:rPr>
                <w:rFonts w:cs="Times New Roman"/>
                <w:sz w:val="21"/>
                <w:szCs w:val="21"/>
                <w:u w:val="single"/>
              </w:rPr>
              <w:t>合计</w:t>
            </w:r>
          </w:p>
        </w:tc>
        <w:tc>
          <w:tcPr>
            <w:tcW w:w="749" w:type="pct"/>
            <w:vAlign w:val="center"/>
          </w:tcPr>
          <w:p>
            <w:pPr>
              <w:widowControl/>
              <w:spacing w:line="240" w:lineRule="auto"/>
              <w:ind w:firstLine="0" w:firstLineChars="0"/>
              <w:jc w:val="center"/>
              <w:textAlignment w:val="center"/>
              <w:rPr>
                <w:rFonts w:cs="Times New Roman"/>
                <w:sz w:val="21"/>
                <w:szCs w:val="21"/>
                <w:u w:val="single"/>
              </w:rPr>
            </w:pPr>
          </w:p>
        </w:tc>
        <w:tc>
          <w:tcPr>
            <w:tcW w:w="1726"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w:t>
            </w:r>
          </w:p>
        </w:tc>
        <w:tc>
          <w:tcPr>
            <w:tcW w:w="560" w:type="pct"/>
            <w:vAlign w:val="center"/>
          </w:tcPr>
          <w:p>
            <w:pPr>
              <w:spacing w:line="240" w:lineRule="auto"/>
              <w:ind w:firstLine="0" w:firstLineChars="0"/>
              <w:jc w:val="center"/>
              <w:rPr>
                <w:rFonts w:cs="Times New Roman"/>
                <w:sz w:val="21"/>
                <w:szCs w:val="21"/>
                <w:u w:val="single"/>
              </w:rPr>
            </w:pPr>
            <w:r>
              <w:rPr>
                <w:rFonts w:cs="Times New Roman"/>
                <w:sz w:val="21"/>
                <w:szCs w:val="21"/>
                <w:u w:val="single"/>
              </w:rPr>
              <w:t>0</w:t>
            </w:r>
          </w:p>
        </w:tc>
      </w:tr>
    </w:tbl>
    <w:p>
      <w:pPr>
        <w:ind w:firstLine="480"/>
        <w:rPr>
          <w:rFonts w:cs="Times New Roman"/>
        </w:rPr>
      </w:pPr>
      <w:r>
        <w:rPr>
          <w:rFonts w:cs="Times New Roman"/>
        </w:rPr>
        <w:t>本项目产生的固体废物废机油属于国家环境保护部、国家发展和改革委员会颁发的第1 号令《国家危险废物名录》中的危险废物，其贮存设施的选址与设计、运行与管理、安全防护、环境监测、应急措施及关闭等须遵循《危险废物贮存污染控制标准》的规定，并设立危险废物标志。其余废坯、废瓷、废水沉淀池和湿式除尘器产生的污泥、除尘器收集的粉尘以及炉渣、脱硫石膏等固废属于一般工业固体废弃物，不属于危险废物。</w:t>
      </w:r>
    </w:p>
    <w:p>
      <w:pPr>
        <w:ind w:firstLine="480"/>
        <w:rPr>
          <w:rFonts w:cs="Times New Roman"/>
        </w:rPr>
      </w:pPr>
    </w:p>
    <w:p>
      <w:pPr>
        <w:ind w:firstLine="480"/>
        <w:rPr>
          <w:rFonts w:cs="Times New Roman"/>
        </w:rPr>
        <w:sectPr>
          <w:pgSz w:w="11906" w:h="16838"/>
          <w:pgMar w:top="1440" w:right="1800" w:bottom="1440" w:left="1800" w:header="851" w:footer="992" w:gutter="0"/>
          <w:cols w:space="425" w:num="1"/>
          <w:docGrid w:type="lines" w:linePitch="326" w:charSpace="0"/>
        </w:sectPr>
      </w:pPr>
    </w:p>
    <w:p>
      <w:pPr>
        <w:pStyle w:val="2"/>
        <w:rPr>
          <w:rFonts w:cs="Times New Roman"/>
        </w:rPr>
      </w:pPr>
      <w:bookmarkStart w:id="93" w:name="_Toc86611266"/>
      <w:r>
        <w:rPr>
          <w:rFonts w:cs="Times New Roman"/>
        </w:rPr>
        <w:t>4环境现状调查与评价</w:t>
      </w:r>
      <w:bookmarkEnd w:id="93"/>
    </w:p>
    <w:p>
      <w:pPr>
        <w:pStyle w:val="3"/>
        <w:rPr>
          <w:rFonts w:cs="Times New Roman"/>
        </w:rPr>
      </w:pPr>
      <w:bookmarkStart w:id="94" w:name="_Toc86611267"/>
      <w:r>
        <w:rPr>
          <w:rFonts w:cs="Times New Roman"/>
        </w:rPr>
        <w:t>4.1地理位置</w:t>
      </w:r>
      <w:bookmarkEnd w:id="94"/>
    </w:p>
    <w:p>
      <w:pPr>
        <w:ind w:firstLine="480"/>
        <w:rPr>
          <w:rFonts w:cs="Times New Roman"/>
        </w:rPr>
      </w:pPr>
      <w:r>
        <w:rPr>
          <w:rFonts w:cs="Times New Roman"/>
        </w:rPr>
        <w:t>衡阳位于湖南省中南部，湘江中游，衡山之南。地处东经110°32′16″~113°16′32″之间，北纬26°07′05″~27°28′24″之间。东邻株洲</w:t>
      </w:r>
      <w:r>
        <w:fldChar w:fldCharType="begin"/>
      </w:r>
      <w:r>
        <w:instrText xml:space="preserve"> HYPERLINK "http://baike.baidu.com/view/124072.htm" \t "_blank" </w:instrText>
      </w:r>
      <w:r>
        <w:fldChar w:fldCharType="separate"/>
      </w:r>
      <w:r>
        <w:rPr>
          <w:rFonts w:cs="Times New Roman"/>
        </w:rPr>
        <w:t>攸县</w:t>
      </w:r>
      <w:r>
        <w:rPr>
          <w:rFonts w:cs="Times New Roman"/>
        </w:rPr>
        <w:fldChar w:fldCharType="end"/>
      </w:r>
      <w:r>
        <w:rPr>
          <w:rFonts w:cs="Times New Roman"/>
        </w:rPr>
        <w:t>，南接郴州</w:t>
      </w:r>
      <w:r>
        <w:fldChar w:fldCharType="begin"/>
      </w:r>
      <w:r>
        <w:instrText xml:space="preserve"> HYPERLINK "http://baike.baidu.com/view/470482.htm" \t "_blank" </w:instrText>
      </w:r>
      <w:r>
        <w:fldChar w:fldCharType="separate"/>
      </w:r>
      <w:r>
        <w:rPr>
          <w:rFonts w:cs="Times New Roman"/>
        </w:rPr>
        <w:t>安仁县</w:t>
      </w:r>
      <w:r>
        <w:rPr>
          <w:rFonts w:cs="Times New Roman"/>
        </w:rPr>
        <w:fldChar w:fldCharType="end"/>
      </w:r>
      <w:r>
        <w:rPr>
          <w:rFonts w:cs="Times New Roman"/>
        </w:rPr>
        <w:t>、</w:t>
      </w:r>
      <w:r>
        <w:fldChar w:fldCharType="begin"/>
      </w:r>
      <w:r>
        <w:instrText xml:space="preserve"> HYPERLINK "http://baike.baidu.com/view/623784.htm" \t "_blank" </w:instrText>
      </w:r>
      <w:r>
        <w:fldChar w:fldCharType="separate"/>
      </w:r>
      <w:r>
        <w:rPr>
          <w:rFonts w:cs="Times New Roman"/>
        </w:rPr>
        <w:t>永兴县</w:t>
      </w:r>
      <w:r>
        <w:rPr>
          <w:rFonts w:cs="Times New Roman"/>
        </w:rPr>
        <w:fldChar w:fldCharType="end"/>
      </w:r>
      <w:r>
        <w:rPr>
          <w:rFonts w:cs="Times New Roman"/>
        </w:rPr>
        <w:t>、</w:t>
      </w:r>
      <w:r>
        <w:fldChar w:fldCharType="begin"/>
      </w:r>
      <w:r>
        <w:instrText xml:space="preserve"> HYPERLINK "http://baike.baidu.com/view/993468.htm" \t "_blank" </w:instrText>
      </w:r>
      <w:r>
        <w:fldChar w:fldCharType="separate"/>
      </w:r>
      <w:r>
        <w:rPr>
          <w:rFonts w:cs="Times New Roman"/>
        </w:rPr>
        <w:t>桂阳县</w:t>
      </w:r>
      <w:r>
        <w:rPr>
          <w:rFonts w:cs="Times New Roman"/>
        </w:rPr>
        <w:fldChar w:fldCharType="end"/>
      </w:r>
      <w:r>
        <w:rPr>
          <w:rFonts w:cs="Times New Roman"/>
        </w:rPr>
        <w:t>，西毗</w:t>
      </w:r>
      <w:r>
        <w:fldChar w:fldCharType="begin"/>
      </w:r>
      <w:r>
        <w:instrText xml:space="preserve"> HYPERLINK "http://baike.baidu.com/view/39062.htm" \t "_blank" </w:instrText>
      </w:r>
      <w:r>
        <w:fldChar w:fldCharType="separate"/>
      </w:r>
      <w:r>
        <w:rPr>
          <w:rFonts w:cs="Times New Roman"/>
        </w:rPr>
        <w:t>永州</w:t>
      </w:r>
      <w:r>
        <w:rPr>
          <w:rFonts w:cs="Times New Roman"/>
        </w:rPr>
        <w:fldChar w:fldCharType="end"/>
      </w:r>
      <w:r>
        <w:fldChar w:fldCharType="begin"/>
      </w:r>
      <w:r>
        <w:instrText xml:space="preserve"> HYPERLINK "http://baike.baidu.com/view/589312.htm" \t "_blank" </w:instrText>
      </w:r>
      <w:r>
        <w:fldChar w:fldCharType="separate"/>
      </w:r>
      <w:r>
        <w:rPr>
          <w:rFonts w:cs="Times New Roman"/>
        </w:rPr>
        <w:t>冷水滩区</w:t>
      </w:r>
      <w:r>
        <w:rPr>
          <w:rFonts w:cs="Times New Roman"/>
        </w:rPr>
        <w:fldChar w:fldCharType="end"/>
      </w:r>
      <w:r>
        <w:rPr>
          <w:rFonts w:cs="Times New Roman"/>
        </w:rPr>
        <w:t>、</w:t>
      </w:r>
      <w:r>
        <w:fldChar w:fldCharType="begin"/>
      </w:r>
      <w:r>
        <w:instrText xml:space="preserve"> HYPERLINK "http://baike.baidu.com/view/589313.htm" \t "_blank" </w:instrText>
      </w:r>
      <w:r>
        <w:fldChar w:fldCharType="separate"/>
      </w:r>
      <w:r>
        <w:rPr>
          <w:rFonts w:cs="Times New Roman"/>
        </w:rPr>
        <w:t>祁阳县</w:t>
      </w:r>
      <w:r>
        <w:rPr>
          <w:rFonts w:cs="Times New Roman"/>
        </w:rPr>
        <w:fldChar w:fldCharType="end"/>
      </w:r>
      <w:r>
        <w:rPr>
          <w:rFonts w:cs="Times New Roman"/>
        </w:rPr>
        <w:t>以及</w:t>
      </w:r>
      <w:r>
        <w:fldChar w:fldCharType="begin"/>
      </w:r>
      <w:r>
        <w:instrText xml:space="preserve"> HYPERLINK "http://baike.baidu.com/subview/24304/12448089.htm" \t "_blank" </w:instrText>
      </w:r>
      <w:r>
        <w:fldChar w:fldCharType="separate"/>
      </w:r>
      <w:r>
        <w:rPr>
          <w:rFonts w:cs="Times New Roman"/>
        </w:rPr>
        <w:t>邵阳</w:t>
      </w:r>
      <w:r>
        <w:rPr>
          <w:rFonts w:cs="Times New Roman"/>
        </w:rPr>
        <w:fldChar w:fldCharType="end"/>
      </w:r>
      <w:r>
        <w:fldChar w:fldCharType="begin"/>
      </w:r>
      <w:r>
        <w:instrText xml:space="preserve"> HYPERLINK "http://baike.baidu.com/view/993343.htm" \t "_blank" </w:instrText>
      </w:r>
      <w:r>
        <w:fldChar w:fldCharType="separate"/>
      </w:r>
      <w:r>
        <w:rPr>
          <w:rFonts w:cs="Times New Roman"/>
        </w:rPr>
        <w:t>邵东县</w:t>
      </w:r>
      <w:r>
        <w:rPr>
          <w:rFonts w:cs="Times New Roman"/>
        </w:rPr>
        <w:fldChar w:fldCharType="end"/>
      </w:r>
      <w:r>
        <w:rPr>
          <w:rFonts w:cs="Times New Roman"/>
        </w:rPr>
        <w:t>，北靠</w:t>
      </w:r>
      <w:r>
        <w:fldChar w:fldCharType="begin"/>
      </w:r>
      <w:r>
        <w:instrText xml:space="preserve"> HYPERLINK "http://baike.baidu.com/view/23129.htm" \t "_blank" </w:instrText>
      </w:r>
      <w:r>
        <w:fldChar w:fldCharType="separate"/>
      </w:r>
      <w:r>
        <w:rPr>
          <w:rFonts w:cs="Times New Roman"/>
        </w:rPr>
        <w:t>娄底</w:t>
      </w:r>
      <w:r>
        <w:rPr>
          <w:rFonts w:cs="Times New Roman"/>
        </w:rPr>
        <w:fldChar w:fldCharType="end"/>
      </w:r>
      <w:r>
        <w:fldChar w:fldCharType="begin"/>
      </w:r>
      <w:r>
        <w:instrText xml:space="preserve"> HYPERLINK "http://baike.baidu.com/view/1277075.htm" \t "_blank" </w:instrText>
      </w:r>
      <w:r>
        <w:fldChar w:fldCharType="separate"/>
      </w:r>
      <w:r>
        <w:rPr>
          <w:rFonts w:cs="Times New Roman"/>
        </w:rPr>
        <w:t>双峰县</w:t>
      </w:r>
      <w:r>
        <w:rPr>
          <w:rFonts w:cs="Times New Roman"/>
        </w:rPr>
        <w:fldChar w:fldCharType="end"/>
      </w:r>
      <w:r>
        <w:rPr>
          <w:rFonts w:cs="Times New Roman"/>
        </w:rPr>
        <w:t>和</w:t>
      </w:r>
      <w:r>
        <w:fldChar w:fldCharType="begin"/>
      </w:r>
      <w:r>
        <w:instrText xml:space="preserve"> HYPERLINK "http://baike.baidu.com/subview/21265/11318689.htm" \t "_blank" </w:instrText>
      </w:r>
      <w:r>
        <w:fldChar w:fldCharType="separate"/>
      </w:r>
      <w:r>
        <w:rPr>
          <w:rFonts w:cs="Times New Roman"/>
        </w:rPr>
        <w:t>湘潭</w:t>
      </w:r>
      <w:r>
        <w:rPr>
          <w:rFonts w:cs="Times New Roman"/>
        </w:rPr>
        <w:fldChar w:fldCharType="end"/>
      </w:r>
      <w:r>
        <w:fldChar w:fldCharType="begin"/>
      </w:r>
      <w:r>
        <w:instrText xml:space="preserve"> HYPERLINK "http://baike.baidu.com/view/97753.htm" \t "_blank" </w:instrText>
      </w:r>
      <w:r>
        <w:fldChar w:fldCharType="separate"/>
      </w:r>
      <w:r>
        <w:rPr>
          <w:rFonts w:cs="Times New Roman"/>
        </w:rPr>
        <w:t>湘潭县</w:t>
      </w:r>
      <w:r>
        <w:rPr>
          <w:rFonts w:cs="Times New Roman"/>
        </w:rPr>
        <w:fldChar w:fldCharType="end"/>
      </w:r>
      <w:r>
        <w:rPr>
          <w:rFonts w:cs="Times New Roman"/>
        </w:rPr>
        <w:t>。南北长150公里、东西宽173公里。衡阳总面积15310平方公里。衡阳是全国45个公路交通主枢纽城之一，衡阳境内有G4</w:t>
      </w:r>
      <w:r>
        <w:fldChar w:fldCharType="begin"/>
      </w:r>
      <w:r>
        <w:instrText xml:space="preserve"> HYPERLINK "http://baike.baidu.com/view/1676341.htm" \t "_blank" </w:instrText>
      </w:r>
      <w:r>
        <w:fldChar w:fldCharType="separate"/>
      </w:r>
      <w:r>
        <w:rPr>
          <w:rFonts w:cs="Times New Roman"/>
        </w:rPr>
        <w:t>京港澳高速</w:t>
      </w:r>
      <w:r>
        <w:rPr>
          <w:rFonts w:cs="Times New Roman"/>
        </w:rPr>
        <w:fldChar w:fldCharType="end"/>
      </w:r>
      <w:r>
        <w:rPr>
          <w:rFonts w:cs="Times New Roman"/>
        </w:rPr>
        <w:t>、G72泉南高速、</w:t>
      </w:r>
      <w:r>
        <w:fldChar w:fldCharType="begin"/>
      </w:r>
      <w:r>
        <w:instrText xml:space="preserve"> HYPERLINK "http://baike.baidu.com/view/4534994.htm" \t "_blank" </w:instrText>
      </w:r>
      <w:r>
        <w:fldChar w:fldCharType="separate"/>
      </w:r>
      <w:r>
        <w:rPr>
          <w:rFonts w:cs="Times New Roman"/>
        </w:rPr>
        <w:t>衡邵高速公路</w:t>
      </w:r>
      <w:r>
        <w:rPr>
          <w:rFonts w:cs="Times New Roman"/>
        </w:rPr>
        <w:fldChar w:fldCharType="end"/>
      </w:r>
      <w:r>
        <w:rPr>
          <w:rFonts w:cs="Times New Roman"/>
        </w:rPr>
        <w:t>、京港澳复线、</w:t>
      </w:r>
      <w:r>
        <w:fldChar w:fldCharType="begin"/>
      </w:r>
      <w:r>
        <w:instrText xml:space="preserve"> HYPERLINK "http://baike.baidu.com/view/4506463.htm" \t "_blank" </w:instrText>
      </w:r>
      <w:r>
        <w:fldChar w:fldCharType="separate"/>
      </w:r>
      <w:r>
        <w:rPr>
          <w:rFonts w:cs="Times New Roman"/>
        </w:rPr>
        <w:t>南岳高速</w:t>
      </w:r>
      <w:r>
        <w:rPr>
          <w:rFonts w:cs="Times New Roman"/>
        </w:rPr>
        <w:fldChar w:fldCharType="end"/>
      </w:r>
      <w:r>
        <w:rPr>
          <w:rFonts w:cs="Times New Roman"/>
        </w:rPr>
        <w:t>、衡炎高速公路；国道有</w:t>
      </w:r>
      <w:r>
        <w:fldChar w:fldCharType="begin"/>
      </w:r>
      <w:r>
        <w:instrText xml:space="preserve"> HYPERLINK "http://baike.baidu.com/view/157662.htm" \t "_blank" </w:instrText>
      </w:r>
      <w:r>
        <w:fldChar w:fldCharType="separate"/>
      </w:r>
      <w:r>
        <w:rPr>
          <w:rFonts w:cs="Times New Roman"/>
        </w:rPr>
        <w:t>107国道</w:t>
      </w:r>
      <w:r>
        <w:rPr>
          <w:rFonts w:cs="Times New Roman"/>
        </w:rPr>
        <w:fldChar w:fldCharType="end"/>
      </w:r>
      <w:r>
        <w:rPr>
          <w:rFonts w:cs="Times New Roman"/>
        </w:rPr>
        <w:t>、</w:t>
      </w:r>
      <w:r>
        <w:fldChar w:fldCharType="begin"/>
      </w:r>
      <w:r>
        <w:instrText xml:space="preserve"> HYPERLINK "http://baike.baidu.com/view/157817.htm" \t "_blank" </w:instrText>
      </w:r>
      <w:r>
        <w:fldChar w:fldCharType="separate"/>
      </w:r>
      <w:r>
        <w:rPr>
          <w:rFonts w:cs="Times New Roman"/>
        </w:rPr>
        <w:t>322国道</w:t>
      </w:r>
      <w:r>
        <w:rPr>
          <w:rFonts w:cs="Times New Roman"/>
        </w:rPr>
        <w:fldChar w:fldCharType="end"/>
      </w:r>
      <w:r>
        <w:rPr>
          <w:rFonts w:cs="Times New Roman"/>
        </w:rPr>
        <w:t>。娄衡高速正在建设、茶（陵）祁（阳）高速进入规划。</w:t>
      </w:r>
    </w:p>
    <w:p>
      <w:pPr>
        <w:ind w:firstLine="480"/>
        <w:rPr>
          <w:rFonts w:cs="Times New Roman"/>
        </w:rPr>
      </w:pPr>
      <w:r>
        <w:rPr>
          <w:rFonts w:cs="Times New Roman"/>
        </w:rPr>
        <w:t>衡阳县位于</w:t>
      </w:r>
      <w:r>
        <w:rPr>
          <w:rFonts w:cs="Times New Roman"/>
          <w:kern w:val="0"/>
        </w:rPr>
        <w:t>衡阳西北部，湘江中游，</w:t>
      </w:r>
      <w:r>
        <w:rPr>
          <w:rFonts w:cs="Times New Roman"/>
        </w:rPr>
        <w:t>长株潭城市群南部，北通长沙，南连珠三角经济区，地理位置良好，其发展空间广阔。距衡阳市区18公里，衡邵高速、岳临高速在境内相交，315省道、210省道穿境而过，交通便利。</w:t>
      </w:r>
    </w:p>
    <w:p>
      <w:pPr>
        <w:pStyle w:val="69"/>
      </w:pPr>
      <w:r>
        <w:t>界牌镇扼守衡阳县北大门，与横山县为邻，盛产瓷器，被誉为湘南瓷都。衡阳界牌镇陶瓷循环经济特色工业园位于衡阳县城的东北方，位于界牌镇城区的西南方，毗邻临岳高速公路，规划范围北至县X034，南至野泥冲，东至县道X034，西至松丫塘，规划面积7.03平方公里。</w:t>
      </w:r>
    </w:p>
    <w:p>
      <w:pPr>
        <w:ind w:firstLine="480"/>
        <w:rPr>
          <w:rFonts w:cs="Times New Roman"/>
        </w:rPr>
      </w:pPr>
      <w:r>
        <w:rPr>
          <w:rFonts w:cs="Times New Roman"/>
        </w:rPr>
        <w:t>本项目位于</w:t>
      </w:r>
      <w:r>
        <w:rPr>
          <w:rFonts w:cs="Times New Roman"/>
          <w:bCs/>
        </w:rPr>
        <w:t>衡阳界牌陶瓷循环经济特色工业园区建筑陶瓷生产组团区</w:t>
      </w:r>
      <w:r>
        <w:rPr>
          <w:rFonts w:cs="Times New Roman"/>
        </w:rPr>
        <w:t>，中心地理坐标为：</w:t>
      </w:r>
      <w:r>
        <w:rPr>
          <w:rFonts w:cs="Times New Roman"/>
          <w:kern w:val="0"/>
        </w:rPr>
        <w:t>东经112°29′55.37″，北纬27°11′08.82″</w:t>
      </w:r>
      <w:r>
        <w:rPr>
          <w:rFonts w:cs="Times New Roman"/>
        </w:rPr>
        <w:t>，项目地理位置详见附图1。</w:t>
      </w:r>
    </w:p>
    <w:p>
      <w:pPr>
        <w:pStyle w:val="3"/>
        <w:rPr>
          <w:rFonts w:cs="Times New Roman"/>
        </w:rPr>
      </w:pPr>
      <w:bookmarkStart w:id="95" w:name="_Toc86611268"/>
      <w:r>
        <w:rPr>
          <w:rFonts w:cs="Times New Roman"/>
        </w:rPr>
        <w:t>4.2自然环境概况</w:t>
      </w:r>
      <w:bookmarkEnd w:id="95"/>
    </w:p>
    <w:p>
      <w:pPr>
        <w:pStyle w:val="4"/>
        <w:rPr>
          <w:rFonts w:cs="Times New Roman"/>
        </w:rPr>
      </w:pPr>
      <w:bookmarkStart w:id="96" w:name="_Toc86611269"/>
      <w:r>
        <w:rPr>
          <w:rFonts w:cs="Times New Roman"/>
        </w:rPr>
        <w:t>4.2.1地形、地貌</w:t>
      </w:r>
      <w:bookmarkEnd w:id="96"/>
    </w:p>
    <w:p>
      <w:pPr>
        <w:ind w:firstLine="480"/>
        <w:rPr>
          <w:rFonts w:cs="Times New Roman"/>
        </w:rPr>
      </w:pPr>
      <w:r>
        <w:rPr>
          <w:rFonts w:cs="Times New Roman"/>
        </w:rPr>
        <w:t>衡阳县地处五岭上升和洞庭湖下陷的过渡地带，即“衡阳盆地”北沿。在盆地中心部位沉积着第三系红岩层，厚约3000米。东、北、西三面一系列穹窿带均以中南部红色盆地为轴心，吴环绕排列，构造体态各异。天光山属罗霄山余脉，海拔814米，是衡南第一高峰。天光山山脚下的大宜冲，总面积5000多亩，平在面积在1000亩以上。冲周围有大小山峰10多座，山山相连、峰峰秀丽，山谷幽深、怪石嶙峋，四处鸟语花香、泉水潺潺，被人们称为“世外桃源”。衡阳县中部丘陵起伏，小块平原星罗棋布，西南部有一块封闭性盆地。地貌大体可以分为山地、陵、平原、盆地四种类型。东北西三面峰密环绕，中部丘陵起伏，小块平原遍布.西南部有一块封闭盆地，面积1071.3km</w:t>
      </w:r>
      <w:r>
        <w:rPr>
          <w:rFonts w:cs="Times New Roman"/>
          <w:vertAlign w:val="superscript"/>
        </w:rPr>
        <w:t>2</w:t>
      </w:r>
      <w:r>
        <w:rPr>
          <w:rFonts w:cs="Times New Roman"/>
        </w:rPr>
        <w:t>，占总面积4.8%，平原面积51.97m</w:t>
      </w:r>
      <w:r>
        <w:rPr>
          <w:rFonts w:cs="Times New Roman"/>
          <w:vertAlign w:val="superscript"/>
        </w:rPr>
        <w:t>2</w:t>
      </w:r>
      <w:r>
        <w:rPr>
          <w:rFonts w:cs="Times New Roman"/>
        </w:rPr>
        <w:t>，占总面积20.2%，山地面积790.4 km</w:t>
      </w:r>
      <w:r>
        <w:rPr>
          <w:rFonts w:cs="Times New Roman"/>
          <w:vertAlign w:val="superscript"/>
        </w:rPr>
        <w:t>2</w:t>
      </w:r>
      <w:r>
        <w:rPr>
          <w:rFonts w:cs="Times New Roman"/>
        </w:rPr>
        <w:t>，占总面积3l.2%。</w:t>
      </w:r>
    </w:p>
    <w:p>
      <w:pPr>
        <w:ind w:firstLine="480"/>
        <w:rPr>
          <w:rFonts w:cs="Times New Roman"/>
        </w:rPr>
      </w:pPr>
      <w:r>
        <w:rPr>
          <w:rFonts w:cs="Times New Roman"/>
        </w:rPr>
        <w:t>衡阳县整个地势由西北向陈南倾斜，呈一敞口马蹄形，整个地形由西南向东北复合倾斜而盆地由四周向中部降低，呈现1000m，800~700m，400~300m，150m四级平面。</w:t>
      </w:r>
    </w:p>
    <w:p>
      <w:pPr>
        <w:pStyle w:val="69"/>
        <w:rPr>
          <w:snapToGrid w:val="0"/>
        </w:rPr>
      </w:pPr>
      <w:r>
        <w:rPr>
          <w:snapToGrid w:val="0"/>
        </w:rPr>
        <w:t>衡阳县界牌镇境内大部分为山地，地势东高西低、大致成阶梯形状，东北的白石峰，海拔1101米，为衡阳县最高峰。</w:t>
      </w:r>
    </w:p>
    <w:p>
      <w:pPr>
        <w:pStyle w:val="69"/>
        <w:rPr>
          <w:snapToGrid w:val="0"/>
        </w:rPr>
      </w:pPr>
      <w:r>
        <w:rPr>
          <w:snapToGrid w:val="0"/>
        </w:rPr>
        <w:t>本项目所在区域位于南岳衡山山脉西缘山脚，属剥蚀丘陵地貌，地形起伏不大，东部为山丘，西部为冲沟。最高处为界牌镇政府后山丘，最高为162.10m，最低为无名溪水标高109.9m，最大比差52.2m。山坡地形坡度30°，地形简单。</w:t>
      </w:r>
    </w:p>
    <w:p>
      <w:pPr>
        <w:ind w:firstLine="480"/>
        <w:rPr>
          <w:rFonts w:cs="Times New Roman"/>
        </w:rPr>
      </w:pPr>
      <w:r>
        <w:rPr>
          <w:rFonts w:cs="Times New Roman"/>
          <w:snapToGrid w:val="0"/>
        </w:rPr>
        <w:t>根</w:t>
      </w:r>
      <w:r>
        <w:rPr>
          <w:rFonts w:cs="Times New Roman"/>
        </w:rPr>
        <w:t>据《中国地震动参数区划图》（GB18306-2015）及《中国地震动反应谱特征周期区划图》，衡阳县地震基本烈度为Ⅵ度以下地震区，属于少震或无震区。</w:t>
      </w:r>
    </w:p>
    <w:p>
      <w:pPr>
        <w:pStyle w:val="4"/>
        <w:rPr>
          <w:rFonts w:cs="Times New Roman"/>
        </w:rPr>
      </w:pPr>
      <w:bookmarkStart w:id="97" w:name="_Toc86611270"/>
      <w:r>
        <w:rPr>
          <w:rFonts w:cs="Times New Roman"/>
        </w:rPr>
        <w:t>4.2.2气候气象</w:t>
      </w:r>
      <w:bookmarkEnd w:id="97"/>
    </w:p>
    <w:p>
      <w:pPr>
        <w:adjustRightInd w:val="0"/>
        <w:snapToGrid w:val="0"/>
        <w:ind w:firstLine="480"/>
        <w:rPr>
          <w:rFonts w:cs="Times New Roman"/>
        </w:rPr>
      </w:pPr>
      <w:r>
        <w:rPr>
          <w:rFonts w:cs="Times New Roman"/>
        </w:rPr>
        <w:t>衡阳县地处大陆性中亚热带季风湿润气候区，四季分明。春季气温一般在10℃以上，时间为3为月12日至5月19日，共69天。期间，冷暖气流交替频繁，骤冷骤热，气温多变，多阴雨。夏季多东南风，历年小暑前后雨季结束，常出现高温低湿“火南风”天气，热量充足，年平均气温17.8℃。月平均气温：一月最冷，日均气温5.6℃；七月最热，日平均气温29.8℃。年平均光照时间1361.7小时，年平均无霜期289天，年平均降水量1329.4mm，多年平均相对湿度79%。</w:t>
      </w:r>
    </w:p>
    <w:p>
      <w:pPr>
        <w:adjustRightInd w:val="0"/>
        <w:snapToGrid w:val="0"/>
        <w:ind w:firstLine="480"/>
        <w:rPr>
          <w:rFonts w:cs="Times New Roman"/>
        </w:rPr>
      </w:pPr>
      <w:r>
        <w:rPr>
          <w:rFonts w:cs="Times New Roman"/>
        </w:rPr>
        <w:t>根据近三十年来衡阳县气象站地面观测资料统计得知，项目所在地多年平均风速为2.0m/s。一年中2~3、7~9月平均风速最大，最大平均风速为1.8m/s；六月平均风速最小，最小平均风速为1.4m/s。该地主导风向明显，均以NNE风为主，年频率为18%。</w:t>
      </w:r>
    </w:p>
    <w:p>
      <w:pPr>
        <w:pStyle w:val="14"/>
        <w:spacing w:before="163" w:beforeLines="50"/>
        <w:ind w:firstLine="420"/>
        <w:rPr>
          <w:color w:val="auto"/>
          <w:szCs w:val="24"/>
        </w:rPr>
      </w:pPr>
      <w:r>
        <w:rPr>
          <w:color w:val="auto"/>
          <w:szCs w:val="24"/>
        </w:rPr>
        <w:t>表4.2-1   评价区域年平均风向频率分布</w:t>
      </w:r>
    </w:p>
    <w:tbl>
      <w:tblPr>
        <w:tblStyle w:val="4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837"/>
        <w:gridCol w:w="836"/>
        <w:gridCol w:w="836"/>
        <w:gridCol w:w="837"/>
        <w:gridCol w:w="836"/>
        <w:gridCol w:w="836"/>
        <w:gridCol w:w="836"/>
        <w:gridCol w:w="836"/>
        <w:gridCol w:w="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4" w:type="dxa"/>
            <w:vAlign w:val="center"/>
          </w:tcPr>
          <w:p>
            <w:pPr>
              <w:spacing w:line="240" w:lineRule="auto"/>
              <w:ind w:firstLine="0" w:firstLineChars="0"/>
              <w:rPr>
                <w:rFonts w:cs="Times New Roman"/>
                <w:sz w:val="21"/>
                <w:szCs w:val="21"/>
              </w:rPr>
            </w:pPr>
            <w:r>
              <w:rPr>
                <w:rFonts w:cs="Times New Roman"/>
                <w:sz w:val="21"/>
                <w:szCs w:val="21"/>
              </w:rPr>
              <w:t>风向</w:t>
            </w:r>
          </w:p>
        </w:tc>
        <w:tc>
          <w:tcPr>
            <w:tcW w:w="837" w:type="dxa"/>
            <w:vAlign w:val="center"/>
          </w:tcPr>
          <w:p>
            <w:pPr>
              <w:spacing w:line="240" w:lineRule="auto"/>
              <w:ind w:firstLine="0" w:firstLineChars="0"/>
              <w:rPr>
                <w:rFonts w:cs="Times New Roman"/>
                <w:sz w:val="21"/>
                <w:szCs w:val="21"/>
              </w:rPr>
            </w:pPr>
            <w:r>
              <w:rPr>
                <w:rFonts w:cs="Times New Roman"/>
                <w:sz w:val="21"/>
                <w:szCs w:val="21"/>
              </w:rPr>
              <w:t>N</w:t>
            </w:r>
          </w:p>
        </w:tc>
        <w:tc>
          <w:tcPr>
            <w:tcW w:w="836" w:type="dxa"/>
            <w:vAlign w:val="center"/>
          </w:tcPr>
          <w:p>
            <w:pPr>
              <w:spacing w:line="240" w:lineRule="auto"/>
              <w:ind w:firstLine="0" w:firstLineChars="0"/>
              <w:rPr>
                <w:rFonts w:cs="Times New Roman"/>
                <w:sz w:val="21"/>
                <w:szCs w:val="21"/>
              </w:rPr>
            </w:pPr>
            <w:r>
              <w:rPr>
                <w:rFonts w:cs="Times New Roman"/>
                <w:sz w:val="21"/>
                <w:szCs w:val="21"/>
              </w:rPr>
              <w:t>NN</w:t>
            </w:r>
          </w:p>
        </w:tc>
        <w:tc>
          <w:tcPr>
            <w:tcW w:w="836" w:type="dxa"/>
            <w:vAlign w:val="center"/>
          </w:tcPr>
          <w:p>
            <w:pPr>
              <w:spacing w:line="240" w:lineRule="auto"/>
              <w:ind w:firstLine="0" w:firstLineChars="0"/>
              <w:rPr>
                <w:rFonts w:cs="Times New Roman"/>
                <w:sz w:val="21"/>
                <w:szCs w:val="21"/>
              </w:rPr>
            </w:pPr>
            <w:r>
              <w:rPr>
                <w:rFonts w:cs="Times New Roman"/>
                <w:sz w:val="21"/>
                <w:szCs w:val="21"/>
              </w:rPr>
              <w:t>NE</w:t>
            </w:r>
          </w:p>
        </w:tc>
        <w:tc>
          <w:tcPr>
            <w:tcW w:w="837" w:type="dxa"/>
            <w:vAlign w:val="center"/>
          </w:tcPr>
          <w:p>
            <w:pPr>
              <w:spacing w:line="240" w:lineRule="auto"/>
              <w:ind w:firstLine="0" w:firstLineChars="0"/>
              <w:rPr>
                <w:rFonts w:cs="Times New Roman"/>
                <w:sz w:val="21"/>
                <w:szCs w:val="21"/>
              </w:rPr>
            </w:pPr>
            <w:r>
              <w:rPr>
                <w:rFonts w:cs="Times New Roman"/>
                <w:sz w:val="21"/>
                <w:szCs w:val="21"/>
              </w:rPr>
              <w:t>ENE</w:t>
            </w:r>
          </w:p>
        </w:tc>
        <w:tc>
          <w:tcPr>
            <w:tcW w:w="836" w:type="dxa"/>
            <w:vAlign w:val="center"/>
          </w:tcPr>
          <w:p>
            <w:pPr>
              <w:spacing w:line="240" w:lineRule="auto"/>
              <w:ind w:firstLine="0" w:firstLineChars="0"/>
              <w:rPr>
                <w:rFonts w:cs="Times New Roman"/>
                <w:sz w:val="21"/>
                <w:szCs w:val="21"/>
              </w:rPr>
            </w:pPr>
            <w:r>
              <w:rPr>
                <w:rFonts w:cs="Times New Roman"/>
                <w:sz w:val="21"/>
                <w:szCs w:val="21"/>
              </w:rPr>
              <w:t>E</w:t>
            </w:r>
          </w:p>
        </w:tc>
        <w:tc>
          <w:tcPr>
            <w:tcW w:w="836" w:type="dxa"/>
            <w:vAlign w:val="center"/>
          </w:tcPr>
          <w:p>
            <w:pPr>
              <w:spacing w:line="240" w:lineRule="auto"/>
              <w:ind w:firstLine="0" w:firstLineChars="0"/>
              <w:rPr>
                <w:rFonts w:cs="Times New Roman"/>
                <w:sz w:val="21"/>
                <w:szCs w:val="21"/>
              </w:rPr>
            </w:pPr>
            <w:r>
              <w:rPr>
                <w:rFonts w:cs="Times New Roman"/>
                <w:sz w:val="21"/>
                <w:szCs w:val="21"/>
              </w:rPr>
              <w:t>ES</w:t>
            </w:r>
          </w:p>
        </w:tc>
        <w:tc>
          <w:tcPr>
            <w:tcW w:w="836" w:type="dxa"/>
            <w:vAlign w:val="center"/>
          </w:tcPr>
          <w:p>
            <w:pPr>
              <w:spacing w:line="240" w:lineRule="auto"/>
              <w:ind w:firstLine="0" w:firstLineChars="0"/>
              <w:rPr>
                <w:rFonts w:cs="Times New Roman"/>
                <w:sz w:val="21"/>
                <w:szCs w:val="21"/>
              </w:rPr>
            </w:pPr>
            <w:r>
              <w:rPr>
                <w:rFonts w:cs="Times New Roman"/>
                <w:sz w:val="21"/>
                <w:szCs w:val="21"/>
              </w:rPr>
              <w:cr/>
            </w:r>
            <w:r>
              <w:rPr>
                <w:rFonts w:cs="Times New Roman"/>
                <w:sz w:val="21"/>
                <w:szCs w:val="21"/>
              </w:rPr>
              <w:t>E</w:t>
            </w:r>
          </w:p>
        </w:tc>
        <w:tc>
          <w:tcPr>
            <w:tcW w:w="836" w:type="dxa"/>
            <w:vAlign w:val="center"/>
          </w:tcPr>
          <w:p>
            <w:pPr>
              <w:spacing w:line="240" w:lineRule="auto"/>
              <w:ind w:firstLine="0" w:firstLineChars="0"/>
              <w:rPr>
                <w:rFonts w:cs="Times New Roman"/>
                <w:sz w:val="21"/>
                <w:szCs w:val="21"/>
              </w:rPr>
            </w:pPr>
            <w:r>
              <w:rPr>
                <w:rFonts w:cs="Times New Roman"/>
                <w:sz w:val="21"/>
                <w:szCs w:val="21"/>
              </w:rPr>
              <w:t>S</w:t>
            </w:r>
            <w:r>
              <w:rPr>
                <w:rFonts w:cs="Times New Roman"/>
                <w:sz w:val="21"/>
                <w:szCs w:val="21"/>
              </w:rPr>
              <w:cr/>
            </w:r>
            <w:r>
              <w:rPr>
                <w:rFonts w:cs="Times New Roman"/>
                <w:sz w:val="21"/>
                <w:szCs w:val="21"/>
              </w:rPr>
              <w:t>E</w:t>
            </w:r>
          </w:p>
        </w:tc>
        <w:tc>
          <w:tcPr>
            <w:tcW w:w="834" w:type="dxa"/>
            <w:vAlign w:val="center"/>
          </w:tcPr>
          <w:p>
            <w:pPr>
              <w:spacing w:line="240" w:lineRule="auto"/>
              <w:ind w:firstLine="0" w:firstLineChars="0"/>
              <w:rPr>
                <w:rFonts w:cs="Times New Roman"/>
                <w:sz w:val="21"/>
                <w:szCs w:val="21"/>
              </w:rPr>
            </w:pPr>
            <w:r>
              <w:rPr>
                <w:rFonts w:cs="Times New Roman"/>
                <w:sz w:val="21"/>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4" w:type="dxa"/>
            <w:vAlign w:val="center"/>
          </w:tcPr>
          <w:p>
            <w:pPr>
              <w:spacing w:line="240" w:lineRule="auto"/>
              <w:ind w:firstLine="0" w:firstLineChars="0"/>
              <w:rPr>
                <w:rFonts w:cs="Times New Roman"/>
                <w:sz w:val="21"/>
                <w:szCs w:val="21"/>
              </w:rPr>
            </w:pPr>
            <w:r>
              <w:rPr>
                <w:rFonts w:cs="Times New Roman"/>
                <w:sz w:val="21"/>
                <w:szCs w:val="21"/>
              </w:rPr>
              <w:t>风频</w:t>
            </w:r>
          </w:p>
        </w:tc>
        <w:tc>
          <w:tcPr>
            <w:tcW w:w="837" w:type="dxa"/>
            <w:vAlign w:val="center"/>
          </w:tcPr>
          <w:p>
            <w:pPr>
              <w:spacing w:line="240" w:lineRule="auto"/>
              <w:ind w:firstLine="0" w:firstLineChars="0"/>
              <w:rPr>
                <w:rFonts w:cs="Times New Roman"/>
                <w:sz w:val="21"/>
                <w:szCs w:val="21"/>
              </w:rPr>
            </w:pPr>
            <w:r>
              <w:rPr>
                <w:rFonts w:cs="Times New Roman"/>
                <w:sz w:val="21"/>
                <w:szCs w:val="21"/>
              </w:rPr>
              <w:t>7</w:t>
            </w:r>
          </w:p>
        </w:tc>
        <w:tc>
          <w:tcPr>
            <w:tcW w:w="836" w:type="dxa"/>
            <w:vAlign w:val="center"/>
          </w:tcPr>
          <w:p>
            <w:pPr>
              <w:spacing w:line="240" w:lineRule="auto"/>
              <w:ind w:firstLine="0" w:firstLineChars="0"/>
              <w:rPr>
                <w:rFonts w:cs="Times New Roman"/>
                <w:sz w:val="21"/>
                <w:szCs w:val="21"/>
              </w:rPr>
            </w:pPr>
            <w:r>
              <w:rPr>
                <w:rFonts w:cs="Times New Roman"/>
                <w:sz w:val="21"/>
                <w:szCs w:val="21"/>
              </w:rPr>
              <w:t>10</w:t>
            </w:r>
          </w:p>
        </w:tc>
        <w:tc>
          <w:tcPr>
            <w:tcW w:w="836" w:type="dxa"/>
            <w:vAlign w:val="center"/>
          </w:tcPr>
          <w:p>
            <w:pPr>
              <w:spacing w:line="240" w:lineRule="auto"/>
              <w:ind w:firstLine="0" w:firstLineChars="0"/>
              <w:rPr>
                <w:rFonts w:cs="Times New Roman"/>
                <w:sz w:val="21"/>
                <w:szCs w:val="21"/>
              </w:rPr>
            </w:pPr>
            <w:r>
              <w:rPr>
                <w:rFonts w:cs="Times New Roman"/>
                <w:sz w:val="21"/>
                <w:szCs w:val="21"/>
              </w:rPr>
              <w:t>15</w:t>
            </w:r>
          </w:p>
        </w:tc>
        <w:tc>
          <w:tcPr>
            <w:tcW w:w="837" w:type="dxa"/>
            <w:vAlign w:val="center"/>
          </w:tcPr>
          <w:p>
            <w:pPr>
              <w:spacing w:line="240" w:lineRule="auto"/>
              <w:ind w:firstLine="0" w:firstLineChars="0"/>
              <w:rPr>
                <w:rFonts w:cs="Times New Roman"/>
                <w:sz w:val="21"/>
                <w:szCs w:val="21"/>
              </w:rPr>
            </w:pPr>
            <w:r>
              <w:rPr>
                <w:rFonts w:cs="Times New Roman"/>
                <w:sz w:val="21"/>
                <w:szCs w:val="21"/>
              </w:rPr>
              <w:t>4</w:t>
            </w:r>
          </w:p>
        </w:tc>
        <w:tc>
          <w:tcPr>
            <w:tcW w:w="836" w:type="dxa"/>
            <w:vAlign w:val="center"/>
          </w:tcPr>
          <w:p>
            <w:pPr>
              <w:spacing w:line="240" w:lineRule="auto"/>
              <w:ind w:firstLine="0" w:firstLineChars="0"/>
              <w:rPr>
                <w:rFonts w:cs="Times New Roman"/>
                <w:sz w:val="21"/>
                <w:szCs w:val="21"/>
              </w:rPr>
            </w:pPr>
            <w:r>
              <w:rPr>
                <w:rFonts w:cs="Times New Roman"/>
                <w:sz w:val="21"/>
                <w:szCs w:val="21"/>
              </w:rPr>
              <w:t>2</w:t>
            </w:r>
          </w:p>
        </w:tc>
        <w:tc>
          <w:tcPr>
            <w:tcW w:w="836" w:type="dxa"/>
            <w:vAlign w:val="center"/>
          </w:tcPr>
          <w:p>
            <w:pPr>
              <w:spacing w:line="240" w:lineRule="auto"/>
              <w:ind w:firstLine="0" w:firstLineChars="0"/>
              <w:rPr>
                <w:rFonts w:cs="Times New Roman"/>
                <w:sz w:val="21"/>
                <w:szCs w:val="21"/>
              </w:rPr>
            </w:pPr>
            <w:r>
              <w:rPr>
                <w:rFonts w:cs="Times New Roman"/>
                <w:sz w:val="21"/>
                <w:szCs w:val="21"/>
              </w:rPr>
              <w:t>2</w:t>
            </w:r>
          </w:p>
        </w:tc>
        <w:tc>
          <w:tcPr>
            <w:tcW w:w="836" w:type="dxa"/>
            <w:vAlign w:val="center"/>
          </w:tcPr>
          <w:p>
            <w:pPr>
              <w:spacing w:line="240" w:lineRule="auto"/>
              <w:ind w:firstLine="0" w:firstLineChars="0"/>
              <w:rPr>
                <w:rFonts w:cs="Times New Roman"/>
                <w:sz w:val="21"/>
                <w:szCs w:val="21"/>
              </w:rPr>
            </w:pPr>
            <w:r>
              <w:rPr>
                <w:rFonts w:cs="Times New Roman"/>
                <w:sz w:val="21"/>
                <w:szCs w:val="21"/>
              </w:rPr>
              <w:t>4</w:t>
            </w:r>
          </w:p>
        </w:tc>
        <w:tc>
          <w:tcPr>
            <w:tcW w:w="836" w:type="dxa"/>
            <w:vAlign w:val="center"/>
          </w:tcPr>
          <w:p>
            <w:pPr>
              <w:spacing w:line="240" w:lineRule="auto"/>
              <w:ind w:firstLine="0" w:firstLineChars="0"/>
              <w:rPr>
                <w:rFonts w:cs="Times New Roman"/>
                <w:sz w:val="21"/>
                <w:szCs w:val="21"/>
              </w:rPr>
            </w:pPr>
            <w:r>
              <w:rPr>
                <w:rFonts w:cs="Times New Roman"/>
                <w:sz w:val="21"/>
                <w:szCs w:val="21"/>
              </w:rPr>
              <w:t>5</w:t>
            </w:r>
          </w:p>
        </w:tc>
        <w:tc>
          <w:tcPr>
            <w:tcW w:w="834" w:type="dxa"/>
            <w:vAlign w:val="center"/>
          </w:tcPr>
          <w:p>
            <w:pPr>
              <w:spacing w:line="240" w:lineRule="auto"/>
              <w:ind w:firstLine="0" w:firstLineChars="0"/>
              <w:rPr>
                <w:rFonts w:cs="Times New Roman"/>
                <w:sz w:val="21"/>
                <w:szCs w:val="21"/>
              </w:rPr>
            </w:pPr>
            <w:r>
              <w:rPr>
                <w:rFonts w:cs="Times New Roman"/>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4" w:type="dxa"/>
            <w:vAlign w:val="center"/>
          </w:tcPr>
          <w:p>
            <w:pPr>
              <w:spacing w:line="240" w:lineRule="auto"/>
              <w:ind w:firstLine="0" w:firstLineChars="0"/>
              <w:rPr>
                <w:rFonts w:cs="Times New Roman"/>
                <w:sz w:val="21"/>
                <w:szCs w:val="21"/>
              </w:rPr>
            </w:pPr>
            <w:r>
              <w:rPr>
                <w:rFonts w:cs="Times New Roman"/>
                <w:sz w:val="21"/>
                <w:szCs w:val="21"/>
              </w:rPr>
              <w:t>风向</w:t>
            </w:r>
          </w:p>
        </w:tc>
        <w:tc>
          <w:tcPr>
            <w:tcW w:w="837" w:type="dxa"/>
            <w:vAlign w:val="center"/>
          </w:tcPr>
          <w:p>
            <w:pPr>
              <w:spacing w:line="240" w:lineRule="auto"/>
              <w:ind w:firstLine="0" w:firstLineChars="0"/>
              <w:rPr>
                <w:rFonts w:cs="Times New Roman"/>
                <w:sz w:val="21"/>
                <w:szCs w:val="21"/>
              </w:rPr>
            </w:pPr>
            <w:r>
              <w:rPr>
                <w:rFonts w:cs="Times New Roman"/>
                <w:sz w:val="21"/>
                <w:szCs w:val="21"/>
              </w:rPr>
              <w:cr/>
            </w:r>
            <w:r>
              <w:rPr>
                <w:rFonts w:cs="Times New Roman"/>
                <w:sz w:val="21"/>
                <w:szCs w:val="21"/>
              </w:rPr>
              <w:t>SW</w:t>
            </w:r>
          </w:p>
        </w:tc>
        <w:tc>
          <w:tcPr>
            <w:tcW w:w="836" w:type="dxa"/>
            <w:vAlign w:val="center"/>
          </w:tcPr>
          <w:p>
            <w:pPr>
              <w:spacing w:line="240" w:lineRule="auto"/>
              <w:ind w:firstLine="0" w:firstLineChars="0"/>
              <w:rPr>
                <w:rFonts w:cs="Times New Roman"/>
                <w:sz w:val="21"/>
                <w:szCs w:val="21"/>
              </w:rPr>
            </w:pPr>
            <w:r>
              <w:rPr>
                <w:rFonts w:cs="Times New Roman"/>
                <w:sz w:val="21"/>
                <w:szCs w:val="21"/>
              </w:rPr>
              <w:t>SW</w:t>
            </w:r>
          </w:p>
        </w:tc>
        <w:tc>
          <w:tcPr>
            <w:tcW w:w="836" w:type="dxa"/>
            <w:vAlign w:val="center"/>
          </w:tcPr>
          <w:p>
            <w:pPr>
              <w:spacing w:line="240" w:lineRule="auto"/>
              <w:ind w:firstLine="0" w:firstLineChars="0"/>
              <w:rPr>
                <w:rFonts w:cs="Times New Roman"/>
                <w:sz w:val="21"/>
                <w:szCs w:val="21"/>
              </w:rPr>
            </w:pPr>
            <w:r>
              <w:rPr>
                <w:rFonts w:cs="Times New Roman"/>
                <w:sz w:val="21"/>
                <w:szCs w:val="21"/>
              </w:rPr>
              <w:t>WSW</w:t>
            </w:r>
          </w:p>
        </w:tc>
        <w:tc>
          <w:tcPr>
            <w:tcW w:w="837" w:type="dxa"/>
            <w:vAlign w:val="center"/>
          </w:tcPr>
          <w:p>
            <w:pPr>
              <w:spacing w:line="240" w:lineRule="auto"/>
              <w:ind w:firstLine="0" w:firstLineChars="0"/>
              <w:rPr>
                <w:rFonts w:cs="Times New Roman"/>
                <w:sz w:val="21"/>
                <w:szCs w:val="21"/>
              </w:rPr>
            </w:pPr>
            <w:r>
              <w:rPr>
                <w:rFonts w:cs="Times New Roman"/>
                <w:sz w:val="21"/>
                <w:szCs w:val="21"/>
              </w:rPr>
              <w:t>W</w:t>
            </w:r>
          </w:p>
        </w:tc>
        <w:tc>
          <w:tcPr>
            <w:tcW w:w="836" w:type="dxa"/>
            <w:vAlign w:val="center"/>
          </w:tcPr>
          <w:p>
            <w:pPr>
              <w:spacing w:line="240" w:lineRule="auto"/>
              <w:ind w:firstLine="0" w:firstLineChars="0"/>
              <w:rPr>
                <w:rFonts w:cs="Times New Roman"/>
                <w:sz w:val="21"/>
                <w:szCs w:val="21"/>
              </w:rPr>
            </w:pPr>
            <w:r>
              <w:rPr>
                <w:rFonts w:cs="Times New Roman"/>
                <w:sz w:val="21"/>
                <w:szCs w:val="21"/>
              </w:rPr>
              <w:t>W</w:t>
            </w:r>
          </w:p>
        </w:tc>
        <w:tc>
          <w:tcPr>
            <w:tcW w:w="836" w:type="dxa"/>
            <w:vAlign w:val="center"/>
          </w:tcPr>
          <w:p>
            <w:pPr>
              <w:spacing w:line="240" w:lineRule="auto"/>
              <w:ind w:firstLine="0" w:firstLineChars="0"/>
              <w:rPr>
                <w:rFonts w:cs="Times New Roman"/>
                <w:sz w:val="21"/>
                <w:szCs w:val="21"/>
              </w:rPr>
            </w:pPr>
            <w:r>
              <w:rPr>
                <w:rFonts w:cs="Times New Roman"/>
                <w:sz w:val="21"/>
                <w:szCs w:val="21"/>
              </w:rPr>
              <w:t>NW</w:t>
            </w:r>
          </w:p>
        </w:tc>
        <w:tc>
          <w:tcPr>
            <w:tcW w:w="836" w:type="dxa"/>
            <w:vAlign w:val="center"/>
          </w:tcPr>
          <w:p>
            <w:pPr>
              <w:spacing w:line="240" w:lineRule="auto"/>
              <w:ind w:firstLine="0" w:firstLineChars="0"/>
              <w:rPr>
                <w:rFonts w:cs="Times New Roman"/>
                <w:sz w:val="21"/>
                <w:szCs w:val="21"/>
              </w:rPr>
            </w:pPr>
            <w:r>
              <w:rPr>
                <w:rFonts w:cs="Times New Roman"/>
                <w:sz w:val="21"/>
                <w:szCs w:val="21"/>
              </w:rPr>
              <w:t>NN</w:t>
            </w:r>
          </w:p>
        </w:tc>
        <w:tc>
          <w:tcPr>
            <w:tcW w:w="836" w:type="dxa"/>
            <w:vAlign w:val="center"/>
          </w:tcPr>
          <w:p>
            <w:pPr>
              <w:spacing w:line="240" w:lineRule="auto"/>
              <w:ind w:firstLine="0" w:firstLineChars="0"/>
              <w:rPr>
                <w:rFonts w:cs="Times New Roman"/>
                <w:sz w:val="21"/>
                <w:szCs w:val="21"/>
              </w:rPr>
            </w:pPr>
            <w:r>
              <w:rPr>
                <w:rFonts w:cs="Times New Roman"/>
                <w:sz w:val="21"/>
                <w:szCs w:val="21"/>
              </w:rPr>
              <w:t>C</w:t>
            </w:r>
          </w:p>
        </w:tc>
        <w:tc>
          <w:tcPr>
            <w:tcW w:w="834" w:type="dxa"/>
            <w:vAlign w:val="center"/>
          </w:tcPr>
          <w:p>
            <w:pPr>
              <w:spacing w:line="240" w:lineRule="auto"/>
              <w:ind w:firstLine="0" w:firstLineChars="0"/>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4" w:type="dxa"/>
            <w:vAlign w:val="center"/>
          </w:tcPr>
          <w:p>
            <w:pPr>
              <w:spacing w:line="240" w:lineRule="auto"/>
              <w:ind w:firstLine="0" w:firstLineChars="0"/>
              <w:rPr>
                <w:rFonts w:cs="Times New Roman"/>
                <w:sz w:val="21"/>
                <w:szCs w:val="21"/>
              </w:rPr>
            </w:pPr>
            <w:r>
              <w:rPr>
                <w:rFonts w:cs="Times New Roman"/>
                <w:sz w:val="21"/>
                <w:szCs w:val="21"/>
              </w:rPr>
              <w:t>风频</w:t>
            </w:r>
          </w:p>
        </w:tc>
        <w:tc>
          <w:tcPr>
            <w:tcW w:w="837" w:type="dxa"/>
            <w:vAlign w:val="center"/>
          </w:tcPr>
          <w:p>
            <w:pPr>
              <w:spacing w:line="240" w:lineRule="auto"/>
              <w:ind w:firstLine="0" w:firstLineChars="0"/>
              <w:rPr>
                <w:rFonts w:cs="Times New Roman"/>
                <w:sz w:val="21"/>
                <w:szCs w:val="21"/>
              </w:rPr>
            </w:pPr>
          </w:p>
        </w:tc>
        <w:tc>
          <w:tcPr>
            <w:tcW w:w="836" w:type="dxa"/>
            <w:vAlign w:val="center"/>
          </w:tcPr>
          <w:p>
            <w:pPr>
              <w:spacing w:line="240" w:lineRule="auto"/>
              <w:ind w:firstLine="0" w:firstLineChars="0"/>
              <w:rPr>
                <w:rFonts w:cs="Times New Roman"/>
                <w:sz w:val="21"/>
                <w:szCs w:val="21"/>
              </w:rPr>
            </w:pPr>
            <w:r>
              <w:rPr>
                <w:rFonts w:cs="Times New Roman"/>
                <w:sz w:val="21"/>
                <w:szCs w:val="21"/>
              </w:rPr>
              <w:t>2</w:t>
            </w:r>
          </w:p>
        </w:tc>
        <w:tc>
          <w:tcPr>
            <w:tcW w:w="836" w:type="dxa"/>
            <w:vAlign w:val="center"/>
          </w:tcPr>
          <w:p>
            <w:pPr>
              <w:spacing w:line="240" w:lineRule="auto"/>
              <w:ind w:firstLine="0" w:firstLineChars="0"/>
              <w:rPr>
                <w:rFonts w:cs="Times New Roman"/>
                <w:sz w:val="21"/>
                <w:szCs w:val="21"/>
              </w:rPr>
            </w:pPr>
            <w:r>
              <w:rPr>
                <w:rFonts w:cs="Times New Roman"/>
                <w:sz w:val="21"/>
                <w:szCs w:val="21"/>
              </w:rPr>
              <w:t>1</w:t>
            </w:r>
          </w:p>
        </w:tc>
        <w:tc>
          <w:tcPr>
            <w:tcW w:w="837" w:type="dxa"/>
            <w:vAlign w:val="center"/>
          </w:tcPr>
          <w:p>
            <w:pPr>
              <w:spacing w:line="240" w:lineRule="auto"/>
              <w:ind w:firstLine="0" w:firstLineChars="0"/>
              <w:rPr>
                <w:rFonts w:cs="Times New Roman"/>
                <w:sz w:val="21"/>
                <w:szCs w:val="21"/>
              </w:rPr>
            </w:pPr>
            <w:r>
              <w:rPr>
                <w:rFonts w:cs="Times New Roman"/>
                <w:sz w:val="21"/>
                <w:szCs w:val="21"/>
              </w:rPr>
              <w:t>4</w:t>
            </w:r>
          </w:p>
        </w:tc>
        <w:tc>
          <w:tcPr>
            <w:tcW w:w="836" w:type="dxa"/>
            <w:vAlign w:val="center"/>
          </w:tcPr>
          <w:p>
            <w:pPr>
              <w:spacing w:line="240" w:lineRule="auto"/>
              <w:ind w:firstLine="0" w:firstLineChars="0"/>
              <w:rPr>
                <w:rFonts w:cs="Times New Roman"/>
                <w:sz w:val="21"/>
                <w:szCs w:val="21"/>
              </w:rPr>
            </w:pPr>
          </w:p>
        </w:tc>
        <w:tc>
          <w:tcPr>
            <w:tcW w:w="836" w:type="dxa"/>
            <w:vAlign w:val="center"/>
          </w:tcPr>
          <w:p>
            <w:pPr>
              <w:spacing w:line="240" w:lineRule="auto"/>
              <w:ind w:firstLine="0" w:firstLineChars="0"/>
              <w:rPr>
                <w:rFonts w:cs="Times New Roman"/>
                <w:sz w:val="21"/>
                <w:szCs w:val="21"/>
              </w:rPr>
            </w:pPr>
            <w:r>
              <w:rPr>
                <w:rFonts w:cs="Times New Roman"/>
                <w:sz w:val="21"/>
                <w:szCs w:val="21"/>
              </w:rPr>
              <w:t>4</w:t>
            </w:r>
          </w:p>
        </w:tc>
        <w:tc>
          <w:tcPr>
            <w:tcW w:w="836" w:type="dxa"/>
            <w:vAlign w:val="center"/>
          </w:tcPr>
          <w:p>
            <w:pPr>
              <w:spacing w:line="240" w:lineRule="auto"/>
              <w:ind w:firstLine="0" w:firstLineChars="0"/>
              <w:rPr>
                <w:rFonts w:cs="Times New Roman"/>
                <w:sz w:val="21"/>
                <w:szCs w:val="21"/>
              </w:rPr>
            </w:pPr>
            <w:r>
              <w:rPr>
                <w:rFonts w:cs="Times New Roman"/>
                <w:sz w:val="21"/>
                <w:szCs w:val="21"/>
              </w:rPr>
              <w:t>5</w:t>
            </w:r>
          </w:p>
        </w:tc>
        <w:tc>
          <w:tcPr>
            <w:tcW w:w="836" w:type="dxa"/>
            <w:vAlign w:val="center"/>
          </w:tcPr>
          <w:p>
            <w:pPr>
              <w:spacing w:line="240" w:lineRule="auto"/>
              <w:ind w:firstLine="0" w:firstLineChars="0"/>
              <w:rPr>
                <w:rFonts w:cs="Times New Roman"/>
                <w:sz w:val="21"/>
                <w:szCs w:val="21"/>
              </w:rPr>
            </w:pPr>
            <w:r>
              <w:rPr>
                <w:rFonts w:cs="Times New Roman"/>
                <w:sz w:val="21"/>
                <w:szCs w:val="21"/>
              </w:rPr>
              <w:t>26</w:t>
            </w:r>
          </w:p>
        </w:tc>
        <w:tc>
          <w:tcPr>
            <w:tcW w:w="834" w:type="dxa"/>
            <w:vAlign w:val="center"/>
          </w:tcPr>
          <w:p>
            <w:pPr>
              <w:spacing w:line="240" w:lineRule="auto"/>
              <w:ind w:firstLine="0" w:firstLineChars="0"/>
              <w:rPr>
                <w:rFonts w:cs="Times New Roman"/>
                <w:sz w:val="21"/>
                <w:szCs w:val="21"/>
              </w:rPr>
            </w:pPr>
          </w:p>
        </w:tc>
      </w:tr>
    </w:tbl>
    <w:p>
      <w:pPr>
        <w:adjustRightInd w:val="0"/>
        <w:snapToGrid w:val="0"/>
        <w:ind w:firstLine="480"/>
        <w:rPr>
          <w:rFonts w:cs="Times New Roman"/>
        </w:rPr>
      </w:pPr>
      <w:r>
        <w:rPr>
          <w:rFonts w:cs="Times New Roman"/>
        </w:rPr>
        <w:t>衡阳县风向玫瑰图见图4.2-1。</w:t>
      </w:r>
    </w:p>
    <w:p>
      <w:pPr>
        <w:widowControl/>
        <w:shd w:val="clear" w:color="auto" w:fill="FFFFFF"/>
        <w:ind w:firstLine="482"/>
        <w:jc w:val="center"/>
        <w:rPr>
          <w:rFonts w:cs="Times New Roman"/>
          <w:b/>
          <w:bCs/>
        </w:rPr>
      </w:pPr>
      <w:r>
        <w:rPr>
          <w:rFonts w:cs="Times New Roman"/>
          <w:b/>
        </w:rPr>
        <w:drawing>
          <wp:inline distT="0" distB="0" distL="0" distR="0">
            <wp:extent cx="2505075" cy="3724275"/>
            <wp:effectExtent l="19050" t="0" r="9525" b="0"/>
            <wp:docPr id="19" name="图片 1" descr="C:\Users\min\AppData\Local\Temp\ksohtml\wps3E1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C:\Users\min\AppData\Local\Temp\ksohtml\wps3E1D.tmp.png"/>
                    <pic:cNvPicPr>
                      <a:picLocks noChangeAspect="1" noChangeArrowheads="1"/>
                    </pic:cNvPicPr>
                  </pic:nvPicPr>
                  <pic:blipFill>
                    <a:blip r:embed="rId51"/>
                    <a:srcRect/>
                    <a:stretch>
                      <a:fillRect/>
                    </a:stretch>
                  </pic:blipFill>
                  <pic:spPr>
                    <a:xfrm>
                      <a:off x="0" y="0"/>
                      <a:ext cx="2505075" cy="3724275"/>
                    </a:xfrm>
                    <a:prstGeom prst="rect">
                      <a:avLst/>
                    </a:prstGeom>
                    <a:noFill/>
                    <a:ln w="9525">
                      <a:noFill/>
                      <a:miter lim="800000"/>
                      <a:headEnd/>
                      <a:tailEnd/>
                    </a:ln>
                  </pic:spPr>
                </pic:pic>
              </a:graphicData>
            </a:graphic>
          </wp:inline>
        </w:drawing>
      </w:r>
    </w:p>
    <w:p>
      <w:pPr>
        <w:pStyle w:val="89"/>
        <w:spacing w:after="163" w:afterLines="50"/>
        <w:ind w:firstLine="422"/>
        <w:jc w:val="center"/>
        <w:rPr>
          <w:rFonts w:ascii="Times New Roman" w:eastAsia="宋体" w:cs="Times New Roman"/>
          <w:b/>
          <w:sz w:val="21"/>
          <w:szCs w:val="21"/>
        </w:rPr>
      </w:pPr>
      <w:r>
        <w:rPr>
          <w:rFonts w:ascii="Times New Roman" w:eastAsia="宋体" w:cs="Times New Roman"/>
          <w:b/>
          <w:sz w:val="21"/>
          <w:szCs w:val="21"/>
        </w:rPr>
        <w:t>图4.2-1  衡阳县风玫瑰图</w:t>
      </w:r>
    </w:p>
    <w:p>
      <w:pPr>
        <w:pStyle w:val="4"/>
        <w:rPr>
          <w:rFonts w:cs="Times New Roman"/>
        </w:rPr>
      </w:pPr>
      <w:bookmarkStart w:id="98" w:name="_Toc86611271"/>
      <w:r>
        <w:rPr>
          <w:rFonts w:cs="Times New Roman"/>
        </w:rPr>
        <w:t>4.2.3水文</w:t>
      </w:r>
      <w:bookmarkEnd w:id="98"/>
    </w:p>
    <w:p>
      <w:pPr>
        <w:pStyle w:val="43"/>
        <w:adjustRightInd w:val="0"/>
        <w:snapToGrid w:val="0"/>
        <w:spacing w:after="0" w:line="360" w:lineRule="auto"/>
        <w:ind w:firstLine="482" w:firstLineChars="200"/>
        <w:rPr>
          <w:rFonts w:ascii="Times New Roman" w:hAnsi="Times New Roman"/>
          <w:b/>
          <w:sz w:val="24"/>
          <w:szCs w:val="20"/>
        </w:rPr>
      </w:pPr>
      <w:r>
        <w:rPr>
          <w:rFonts w:ascii="Times New Roman" w:hAnsi="Times New Roman"/>
          <w:b/>
          <w:sz w:val="24"/>
          <w:szCs w:val="20"/>
        </w:rPr>
        <w:t>1、湘江</w:t>
      </w:r>
    </w:p>
    <w:p>
      <w:pPr>
        <w:pStyle w:val="43"/>
        <w:adjustRightInd w:val="0"/>
        <w:snapToGrid w:val="0"/>
        <w:spacing w:after="0" w:line="360" w:lineRule="auto"/>
        <w:ind w:firstLine="480" w:firstLineChars="200"/>
        <w:rPr>
          <w:rFonts w:ascii="Times New Roman" w:hAnsi="Times New Roman"/>
          <w:sz w:val="24"/>
          <w:szCs w:val="20"/>
        </w:rPr>
      </w:pPr>
      <w:r>
        <w:rPr>
          <w:rFonts w:ascii="Times New Roman" w:hAnsi="Times New Roman"/>
          <w:sz w:val="24"/>
          <w:szCs w:val="20"/>
        </w:rPr>
        <w:t>衡阳县境内有湘江及其支流蒸水等。湘江，长江中游南岸重要支流，又称湘水。主源海洋河，源出广西临桂县海洋坪的龙门界，于全州附近，汇灌江和罗江，北流入湖南省，经17县市，在湘阴濠河口分为东西两支，至芦林潭又汇合注入洞庭湖。干流全长856千米，流城面积9.46万平方米，沿途接纳大小支流1300多条，主要支流有潇水、舂陵水、耒水、洣水、蒸水、涟水等。本次评价段平水期流量为1300m</w:t>
      </w:r>
      <w:r>
        <w:rPr>
          <w:rFonts w:ascii="Times New Roman" w:hAnsi="Times New Roman"/>
          <w:sz w:val="24"/>
          <w:szCs w:val="20"/>
          <w:vertAlign w:val="superscript"/>
        </w:rPr>
        <w:t>3</w:t>
      </w:r>
      <w:r>
        <w:rPr>
          <w:rFonts w:ascii="Times New Roman" w:hAnsi="Times New Roman"/>
          <w:sz w:val="24"/>
          <w:szCs w:val="20"/>
        </w:rPr>
        <w:t>/s，90%保证率枯水期流显为155m</w:t>
      </w:r>
      <w:r>
        <w:rPr>
          <w:rFonts w:ascii="Times New Roman" w:hAnsi="Times New Roman"/>
          <w:sz w:val="24"/>
          <w:szCs w:val="20"/>
          <w:vertAlign w:val="superscript"/>
        </w:rPr>
        <w:t>3</w:t>
      </w:r>
      <w:r>
        <w:rPr>
          <w:rFonts w:ascii="Times New Roman" w:hAnsi="Times New Roman"/>
          <w:sz w:val="24"/>
          <w:szCs w:val="20"/>
        </w:rPr>
        <w:t>/s，枯水期平均水深3.5m，流速0.15m/s。</w:t>
      </w:r>
    </w:p>
    <w:p>
      <w:pPr>
        <w:pStyle w:val="43"/>
        <w:adjustRightInd w:val="0"/>
        <w:snapToGrid w:val="0"/>
        <w:spacing w:after="0" w:line="360" w:lineRule="auto"/>
        <w:ind w:firstLine="482" w:firstLineChars="200"/>
        <w:rPr>
          <w:rFonts w:ascii="Times New Roman" w:hAnsi="Times New Roman"/>
          <w:b/>
          <w:sz w:val="24"/>
          <w:szCs w:val="20"/>
        </w:rPr>
      </w:pPr>
      <w:r>
        <w:rPr>
          <w:rFonts w:ascii="Times New Roman" w:hAnsi="Times New Roman"/>
          <w:b/>
          <w:sz w:val="24"/>
          <w:szCs w:val="20"/>
        </w:rPr>
        <w:t>2、蒸水</w:t>
      </w:r>
    </w:p>
    <w:p>
      <w:pPr>
        <w:pStyle w:val="43"/>
        <w:adjustRightInd w:val="0"/>
        <w:snapToGrid w:val="0"/>
        <w:spacing w:after="0" w:line="360" w:lineRule="auto"/>
        <w:ind w:firstLine="480" w:firstLineChars="200"/>
        <w:rPr>
          <w:rFonts w:ascii="Times New Roman" w:hAnsi="Times New Roman"/>
          <w:sz w:val="24"/>
          <w:szCs w:val="20"/>
        </w:rPr>
      </w:pPr>
      <w:r>
        <w:rPr>
          <w:rFonts w:ascii="Times New Roman" w:hAnsi="Times New Roman"/>
          <w:sz w:val="24"/>
          <w:szCs w:val="20"/>
        </w:rPr>
        <w:t>蒸水是湘江的一级支流，俗称草河。它发源于邵东县，于衡阳县金兰镇入境，星“乙”字型，流经该县洪市镇、三湖镇、渣江镇、台源镇、西渡镇，衡南县三塘，蒸湘区呆鹰岭等地，于衡阳市石鼓区注入湘江。蒸水干流长约200公里，集水面积2857km</w:t>
      </w:r>
      <w:r>
        <w:rPr>
          <w:rFonts w:ascii="Times New Roman" w:hAnsi="Times New Roman"/>
          <w:sz w:val="24"/>
          <w:szCs w:val="20"/>
          <w:vertAlign w:val="superscript"/>
        </w:rPr>
        <w:t>2</w:t>
      </w:r>
      <w:r>
        <w:rPr>
          <w:rFonts w:ascii="Times New Roman" w:hAnsi="Times New Roman"/>
          <w:sz w:val="24"/>
          <w:szCs w:val="20"/>
        </w:rPr>
        <w:t>，径流深563.8m，多年平均年径流量16.11亿m</w:t>
      </w:r>
      <w:r>
        <w:rPr>
          <w:rFonts w:ascii="Times New Roman" w:hAnsi="Times New Roman"/>
          <w:sz w:val="24"/>
          <w:szCs w:val="20"/>
          <w:vertAlign w:val="superscript"/>
        </w:rPr>
        <w:t>3</w:t>
      </w:r>
      <w:r>
        <w:rPr>
          <w:rFonts w:ascii="Times New Roman" w:hAnsi="Times New Roman"/>
          <w:sz w:val="24"/>
          <w:szCs w:val="20"/>
        </w:rPr>
        <w:t>/年，根据《衡阳县饮用水水源保护管理办法》（蒸政[2011]8号），确定蒸水为区域发展预留饮用水源地。</w:t>
      </w:r>
    </w:p>
    <w:p>
      <w:pPr>
        <w:pStyle w:val="43"/>
        <w:adjustRightInd w:val="0"/>
        <w:snapToGrid w:val="0"/>
        <w:spacing w:after="0" w:line="360" w:lineRule="auto"/>
        <w:ind w:firstLine="482" w:firstLineChars="200"/>
        <w:rPr>
          <w:rFonts w:ascii="Times New Roman" w:hAnsi="Times New Roman"/>
          <w:b/>
          <w:sz w:val="24"/>
          <w:szCs w:val="20"/>
        </w:rPr>
      </w:pPr>
      <w:r>
        <w:rPr>
          <w:rFonts w:ascii="Times New Roman" w:hAnsi="Times New Roman"/>
          <w:b/>
          <w:sz w:val="24"/>
          <w:szCs w:val="20"/>
        </w:rPr>
        <w:t>3、斜陂堰水库</w:t>
      </w:r>
    </w:p>
    <w:p>
      <w:pPr>
        <w:pStyle w:val="43"/>
        <w:spacing w:after="0" w:line="360" w:lineRule="auto"/>
        <w:ind w:firstLine="480" w:firstLineChars="200"/>
        <w:rPr>
          <w:rFonts w:ascii="Times New Roman" w:hAnsi="Times New Roman"/>
          <w:sz w:val="24"/>
          <w:szCs w:val="20"/>
        </w:rPr>
      </w:pPr>
      <w:r>
        <w:rPr>
          <w:rFonts w:ascii="Times New Roman" w:hAnsi="Times New Roman"/>
          <w:sz w:val="24"/>
          <w:szCs w:val="20"/>
        </w:rPr>
        <w:t>界牌镇境内水源充沛，有银溪河（又称“龙头河”）、车子河、水碓河、界牌河、界江河、王冲河、三十六湾河等6条河流，源近流短，总流量达6700万立方米，最后均流入衡阳县最大的水库——斜陂堰水库。境内有将军、造基、蟠龙、两冬等4 个小一型水库，上塔、樟树桥等2 个小二型水库，以上6个水库总库容1293.47万立方。</w:t>
      </w:r>
    </w:p>
    <w:p>
      <w:pPr>
        <w:pStyle w:val="43"/>
        <w:spacing w:after="0" w:line="360" w:lineRule="auto"/>
        <w:ind w:firstLine="480" w:firstLineChars="200"/>
        <w:rPr>
          <w:rFonts w:ascii="Times New Roman" w:hAnsi="Times New Roman"/>
          <w:sz w:val="24"/>
          <w:szCs w:val="20"/>
        </w:rPr>
      </w:pPr>
      <w:r>
        <w:rPr>
          <w:rFonts w:ascii="Times New Roman" w:hAnsi="Times New Roman"/>
          <w:sz w:val="24"/>
          <w:szCs w:val="20"/>
        </w:rPr>
        <w:t>界牌镇东、西两侧山坡各有一条溪流，东侧为银溪河，西侧为二斗皂小溪，均分布于山坡冲沟中。两条小溪流经界牌镇城区，汇合后最终流入衡阳县斜陂堰水库。两条小溪水体功能主要为农田灌溉。</w:t>
      </w:r>
    </w:p>
    <w:p>
      <w:pPr>
        <w:pStyle w:val="43"/>
        <w:spacing w:after="0" w:line="360" w:lineRule="auto"/>
        <w:ind w:firstLine="480" w:firstLineChars="200"/>
        <w:rPr>
          <w:rFonts w:ascii="Times New Roman" w:hAnsi="Times New Roman"/>
          <w:sz w:val="24"/>
          <w:szCs w:val="20"/>
        </w:rPr>
      </w:pPr>
      <w:r>
        <w:rPr>
          <w:rFonts w:ascii="Times New Roman" w:hAnsi="Times New Roman"/>
          <w:sz w:val="24"/>
          <w:szCs w:val="20"/>
        </w:rPr>
        <w:t>斜陂堰水库是一座以灌溉为主，结合防洪、发电、养殖等综合利用的中型水库工程。水库枢纽部分由主坝、副坝、常用溢洪道、备用溢洪道、高涵、低涵、电站所组成。主坝为匀质土坝，坝高23.65米，坝顶宽4.5米，坝顶长148米，坝顶高程110.4米。水库控制流域面积92.5平方公里，干流发展于南岳衡山山脉的雷钵岭，全长19.56公里，水库最大淹没面积6488亩，正常水位106.5米，正常蓄水4260 万立方米，是衡阳县蓄水量最大的一处中型水库。</w:t>
      </w:r>
    </w:p>
    <w:p>
      <w:pPr>
        <w:adjustRightInd w:val="0"/>
        <w:snapToGrid w:val="0"/>
        <w:ind w:firstLine="480"/>
        <w:rPr>
          <w:rFonts w:cs="Times New Roman"/>
          <w:kern w:val="0"/>
          <w:szCs w:val="20"/>
        </w:rPr>
      </w:pPr>
      <w:r>
        <w:rPr>
          <w:rFonts w:cs="Times New Roman"/>
          <w:kern w:val="0"/>
          <w:szCs w:val="20"/>
        </w:rPr>
        <w:t>水库枢纽部分由主坝、副坝、常用溢洪道、备用溢洪道、高涵、低涵、电站所组成。主坝为匀质土坝，坝高23.65米，坝顶宽4.5米，坝顶长148米，坝顶高程110.4米；副坝三处，分甲满1号、2号和蔡老层副坝；溢洪道分常用和备用两处，常用溢洪道宽34米，最大下泄流量为322立方米/秒，备用溢洪道宽56米，最大下泄流量为900立方米/秒；高涵（灌溉涵）为钢筋砼园形压力涵，最大放水流量为31.65立方米/秒，低涵（发电输水涵）为钢筋圆形压力管，最大出水流量为16.3立方米/秒；电站装机2台，现装机总容量为250千瓦。</w:t>
      </w:r>
    </w:p>
    <w:p>
      <w:pPr>
        <w:pStyle w:val="89"/>
        <w:snapToGrid w:val="0"/>
        <w:spacing w:line="360" w:lineRule="auto"/>
        <w:ind w:firstLineChars="200"/>
        <w:jc w:val="both"/>
        <w:rPr>
          <w:rFonts w:ascii="Times New Roman" w:eastAsia="宋体" w:cs="Times New Roman"/>
          <w:sz w:val="24"/>
          <w:szCs w:val="24"/>
        </w:rPr>
      </w:pPr>
      <w:r>
        <w:rPr>
          <w:rFonts w:ascii="Times New Roman" w:eastAsia="宋体" w:cs="Times New Roman"/>
          <w:sz w:val="24"/>
          <w:szCs w:val="24"/>
        </w:rPr>
        <w:t>根据《湖南省环境保护厅对衡阳市乡镇集中式饮用水水源保护区划分方案的批复》:衡阳县石市镇斜陂堰水库饮用水水源保护区一级陆域保护区：水库取水口侧正常水位线以上200米范围陆域，不超过第一重山脊线、水库大坝迎水侧坝顶；二级陆域保护区：水库周边山脊线以内，西侧、东侧不超过公路背水侧路肩（一级保护区以外），及入库溪流上溯3000米的汇水区域。</w:t>
      </w:r>
    </w:p>
    <w:p>
      <w:pPr>
        <w:pStyle w:val="43"/>
        <w:spacing w:after="0" w:line="360" w:lineRule="auto"/>
        <w:ind w:firstLine="480" w:firstLineChars="200"/>
        <w:rPr>
          <w:rFonts w:ascii="Times New Roman" w:hAnsi="Times New Roman"/>
          <w:sz w:val="24"/>
          <w:szCs w:val="20"/>
        </w:rPr>
      </w:pPr>
      <w:r>
        <w:rPr>
          <w:rFonts w:ascii="Times New Roman" w:hAnsi="Times New Roman"/>
          <w:sz w:val="24"/>
          <w:szCs w:val="20"/>
        </w:rPr>
        <w:t>根据现场勘察及地图资料核查，本项目建设位置位于水库周边山脊线以外，位于流域分水岭另一侧，不涉及斜陂堰水库陆域保护区，本项目与斜陂堰水库的位置关系图，详见附图14。</w:t>
      </w:r>
    </w:p>
    <w:p>
      <w:pPr>
        <w:pStyle w:val="43"/>
        <w:spacing w:after="0" w:line="360" w:lineRule="auto"/>
        <w:ind w:firstLine="482" w:firstLineChars="200"/>
        <w:rPr>
          <w:rFonts w:ascii="Times New Roman" w:hAnsi="Times New Roman"/>
          <w:b/>
          <w:sz w:val="24"/>
          <w:szCs w:val="20"/>
        </w:rPr>
      </w:pPr>
      <w:r>
        <w:rPr>
          <w:rFonts w:ascii="Times New Roman" w:hAnsi="Times New Roman"/>
          <w:b/>
          <w:sz w:val="24"/>
          <w:szCs w:val="20"/>
        </w:rPr>
        <w:t>4、白象河</w:t>
      </w:r>
    </w:p>
    <w:p>
      <w:pPr>
        <w:pStyle w:val="43"/>
        <w:adjustRightInd w:val="0"/>
        <w:snapToGrid w:val="0"/>
        <w:spacing w:after="0" w:line="360" w:lineRule="auto"/>
        <w:ind w:firstLine="480" w:firstLineChars="200"/>
        <w:rPr>
          <w:rFonts w:ascii="Times New Roman" w:hAnsi="Times New Roman"/>
          <w:sz w:val="24"/>
          <w:szCs w:val="20"/>
        </w:rPr>
      </w:pPr>
      <w:r>
        <w:rPr>
          <w:rFonts w:ascii="Times New Roman" w:hAnsi="Times New Roman"/>
          <w:bCs/>
          <w:sz w:val="24"/>
        </w:rPr>
        <w:t>界牌陶瓷循环经济特色工业园</w:t>
      </w:r>
      <w:r>
        <w:rPr>
          <w:rFonts w:ascii="Times New Roman" w:hAnsi="Times New Roman"/>
          <w:sz w:val="24"/>
          <w:szCs w:val="20"/>
        </w:rPr>
        <w:t>区中分布有一条小溪沟白象河，主要水体功能为农灌用水，水量大小为0.385m</w:t>
      </w:r>
      <w:r>
        <w:rPr>
          <w:rFonts w:ascii="Times New Roman" w:hAnsi="Times New Roman"/>
          <w:sz w:val="24"/>
          <w:szCs w:val="20"/>
          <w:vertAlign w:val="superscript"/>
        </w:rPr>
        <w:t>3</w:t>
      </w:r>
      <w:r>
        <w:rPr>
          <w:rFonts w:ascii="Times New Roman" w:hAnsi="Times New Roman"/>
          <w:sz w:val="24"/>
          <w:szCs w:val="20"/>
        </w:rPr>
        <w:t>/s。小溪经约3km于曾老屋村南面汇入岳沙河。</w:t>
      </w:r>
    </w:p>
    <w:p>
      <w:pPr>
        <w:pStyle w:val="43"/>
        <w:adjustRightInd w:val="0"/>
        <w:snapToGrid w:val="0"/>
        <w:spacing w:after="0" w:line="360" w:lineRule="auto"/>
        <w:ind w:firstLine="482" w:firstLineChars="200"/>
        <w:rPr>
          <w:rFonts w:ascii="Times New Roman" w:hAnsi="Times New Roman"/>
          <w:sz w:val="24"/>
          <w:szCs w:val="20"/>
        </w:rPr>
      </w:pPr>
      <w:r>
        <w:rPr>
          <w:rFonts w:ascii="Times New Roman" w:hAnsi="Times New Roman"/>
          <w:b/>
          <w:sz w:val="24"/>
          <w:szCs w:val="20"/>
        </w:rPr>
        <w:t>5、岳沙河</w:t>
      </w:r>
    </w:p>
    <w:p>
      <w:pPr>
        <w:pStyle w:val="43"/>
        <w:adjustRightInd w:val="0"/>
        <w:snapToGrid w:val="0"/>
        <w:spacing w:after="0" w:line="360" w:lineRule="auto"/>
        <w:ind w:firstLine="480" w:firstLineChars="200"/>
        <w:rPr>
          <w:rFonts w:ascii="Times New Roman" w:hAnsi="Times New Roman"/>
          <w:sz w:val="24"/>
          <w:szCs w:val="20"/>
        </w:rPr>
      </w:pPr>
      <w:r>
        <w:rPr>
          <w:rFonts w:ascii="Times New Roman" w:hAnsi="Times New Roman"/>
          <w:sz w:val="24"/>
          <w:szCs w:val="20"/>
        </w:rPr>
        <w:t>岳沙河为蒸水的一级支流，位于蒸水左岸，发源于衡阳县九峰山，流经衡阳县彭家冲、排前、石市，狮子桥、满江堰，唐福，于衡阳县贯山大屋汇入蒸水，水量大小为0.58</w:t>
      </w:r>
      <w:r>
        <w:rPr>
          <w:rFonts w:ascii="Times New Roman" w:hAnsi="Times New Roman"/>
          <w:sz w:val="24"/>
          <w:szCs w:val="20"/>
          <w:vertAlign w:val="superscript"/>
        </w:rPr>
        <w:t>3</w:t>
      </w:r>
      <w:r>
        <w:rPr>
          <w:rFonts w:ascii="Times New Roman" w:hAnsi="Times New Roman"/>
          <w:sz w:val="24"/>
          <w:szCs w:val="20"/>
        </w:rPr>
        <w:t>m/s，干流全长48km，流域面积391km</w:t>
      </w:r>
      <w:r>
        <w:rPr>
          <w:rFonts w:ascii="Times New Roman" w:hAnsi="Times New Roman"/>
          <w:sz w:val="24"/>
          <w:szCs w:val="20"/>
          <w:vertAlign w:val="superscript"/>
        </w:rPr>
        <w:t>2</w:t>
      </w:r>
      <w:r>
        <w:rPr>
          <w:rFonts w:ascii="Times New Roman" w:hAnsi="Times New Roman"/>
          <w:sz w:val="24"/>
          <w:szCs w:val="20"/>
        </w:rPr>
        <w:t>。</w:t>
      </w:r>
      <w:r>
        <w:rPr>
          <w:rFonts w:ascii="Times New Roman" w:hAnsi="Times New Roman"/>
          <w:bCs/>
          <w:sz w:val="24"/>
        </w:rPr>
        <w:t>界牌陶瓷循环经济特色工业园</w:t>
      </w:r>
      <w:r>
        <w:rPr>
          <w:rFonts w:ascii="Times New Roman" w:hAnsi="Times New Roman"/>
          <w:sz w:val="24"/>
          <w:szCs w:val="20"/>
        </w:rPr>
        <w:t>地属岳沙河流域，地表水、地下水均向岳沙河排，岳沙河自北向南流经园区西部，河流距园区1200m，河宽约10m，水位标高78m，于衡阳县渣江镇汇入蒸水。岳沙河水体功能主要为农灌用水，根据《衡阳县饮用水水源保护管理办法》（蒸政[2011]8号），确定岳沙河为区域发展预留饮用水源地。根据</w:t>
      </w:r>
      <w:r>
        <w:rPr>
          <w:rFonts w:ascii="Times New Roman" w:hAnsi="Times New Roman"/>
          <w:bCs/>
          <w:sz w:val="24"/>
        </w:rPr>
        <w:t>界牌陶瓷循环经济特色工业园</w:t>
      </w:r>
      <w:r>
        <w:rPr>
          <w:rFonts w:ascii="Times New Roman" w:hAnsi="Times New Roman"/>
          <w:sz w:val="24"/>
          <w:szCs w:val="20"/>
        </w:rPr>
        <w:t>发展需要及实际情况，衡阳县政府已取消岳沙河作为预留饮用水源的功能（蒸政[2016]48号）。</w:t>
      </w:r>
    </w:p>
    <w:p>
      <w:pPr>
        <w:pStyle w:val="43"/>
        <w:adjustRightInd w:val="0"/>
        <w:snapToGrid w:val="0"/>
        <w:spacing w:after="0" w:line="360" w:lineRule="auto"/>
        <w:ind w:firstLine="480" w:firstLineChars="200"/>
        <w:rPr>
          <w:rFonts w:ascii="Times New Roman" w:hAnsi="Times New Roman"/>
          <w:sz w:val="24"/>
          <w:szCs w:val="20"/>
          <w:u w:val="single"/>
        </w:rPr>
      </w:pPr>
      <w:r>
        <w:rPr>
          <w:rFonts w:hint="eastAsia" w:ascii="Times New Roman" w:hAnsi="Times New Roman"/>
          <w:sz w:val="24"/>
          <w:szCs w:val="20"/>
          <w:u w:val="single"/>
        </w:rPr>
        <w:t>6、水系流通说明</w:t>
      </w:r>
    </w:p>
    <w:p>
      <w:pPr>
        <w:pStyle w:val="43"/>
        <w:adjustRightInd w:val="0"/>
        <w:snapToGrid w:val="0"/>
        <w:spacing w:after="0" w:line="360" w:lineRule="auto"/>
        <w:ind w:firstLine="480" w:firstLineChars="200"/>
        <w:rPr>
          <w:rFonts w:ascii="Times New Roman" w:hAnsi="Times New Roman"/>
          <w:sz w:val="24"/>
          <w:szCs w:val="20"/>
          <w:u w:val="single"/>
        </w:rPr>
      </w:pPr>
      <w:r>
        <w:rPr>
          <w:rFonts w:hint="eastAsia" w:ascii="Times New Roman" w:hAnsi="Times New Roman"/>
          <w:sz w:val="24"/>
          <w:szCs w:val="20"/>
          <w:u w:val="single"/>
        </w:rPr>
        <w:t>本项目生活污水及雨水排入白象河，白象河上游为斜堰坡水库，废水不会流入斜堰坡水库，废水进入白象河3km后进入岳沙河，岳沙河为蒸水一级支流。</w:t>
      </w:r>
    </w:p>
    <w:p>
      <w:pPr>
        <w:pStyle w:val="43"/>
        <w:adjustRightInd w:val="0"/>
        <w:snapToGrid w:val="0"/>
        <w:spacing w:after="0" w:line="360" w:lineRule="auto"/>
        <w:ind w:firstLine="482" w:firstLineChars="200"/>
        <w:rPr>
          <w:rFonts w:ascii="Times New Roman" w:hAnsi="Times New Roman"/>
          <w:b/>
          <w:bCs/>
          <w:sz w:val="24"/>
          <w:szCs w:val="20"/>
        </w:rPr>
      </w:pPr>
      <w:r>
        <w:rPr>
          <w:rFonts w:ascii="Times New Roman" w:hAnsi="Times New Roman"/>
          <w:b/>
          <w:bCs/>
          <w:sz w:val="24"/>
          <w:szCs w:val="20"/>
        </w:rPr>
        <w:t>7、地下水</w:t>
      </w:r>
    </w:p>
    <w:p>
      <w:pPr>
        <w:pStyle w:val="43"/>
        <w:snapToGrid w:val="0"/>
        <w:spacing w:after="0" w:line="360" w:lineRule="auto"/>
        <w:ind w:firstLine="480" w:firstLineChars="200"/>
        <w:rPr>
          <w:rFonts w:ascii="Times New Roman" w:hAnsi="Times New Roman"/>
          <w:sz w:val="24"/>
          <w:szCs w:val="20"/>
        </w:rPr>
      </w:pPr>
      <w:r>
        <w:rPr>
          <w:rFonts w:ascii="Times New Roman" w:hAnsi="Times New Roman"/>
          <w:sz w:val="24"/>
          <w:szCs w:val="20"/>
        </w:rPr>
        <w:t>界牌镇区域地下水自上而下可划分为三个含水层，即风化裂隙潜水含水层，易于接受降雨的渗漏补给，径流条件好，常在丘陵谷地形成下降泉出露地表，流量随季节变化，枯水季显著减少或干涸；裂隙承压水带，一般在地表以下40~120m 之间，含水层延伸不稳定，呈透镜状，地下水具承压；盐层上部盐水带，厚度5~20m不等，呈透镜状，溶蚀明显。</w:t>
      </w:r>
    </w:p>
    <w:p>
      <w:pPr>
        <w:ind w:firstLine="480"/>
        <w:rPr>
          <w:rFonts w:cs="Times New Roman"/>
        </w:rPr>
      </w:pPr>
      <w:r>
        <w:rPr>
          <w:rFonts w:cs="Times New Roman"/>
        </w:rPr>
        <w:t>工业园附近地下水不发育，在沿湖、低洼地区及部分天然河道旁，因土层裂隙较发达，或覆盖着河流冲积的松散物质，有一定数量的地下水，埋深一般在1-2m之间。</w:t>
      </w:r>
    </w:p>
    <w:p>
      <w:pPr>
        <w:pStyle w:val="4"/>
        <w:rPr>
          <w:rFonts w:cs="Times New Roman"/>
        </w:rPr>
      </w:pPr>
      <w:bookmarkStart w:id="99" w:name="_Toc86611272"/>
      <w:r>
        <w:rPr>
          <w:rFonts w:cs="Times New Roman"/>
        </w:rPr>
        <w:t>4.2.4土壤、地质</w:t>
      </w:r>
      <w:bookmarkEnd w:id="99"/>
    </w:p>
    <w:p>
      <w:pPr>
        <w:pStyle w:val="43"/>
        <w:snapToGrid w:val="0"/>
        <w:spacing w:after="0" w:line="360" w:lineRule="auto"/>
        <w:ind w:firstLine="480" w:firstLineChars="200"/>
        <w:rPr>
          <w:rFonts w:ascii="Times New Roman" w:hAnsi="Times New Roman"/>
          <w:sz w:val="24"/>
          <w:szCs w:val="20"/>
        </w:rPr>
      </w:pPr>
      <w:r>
        <w:rPr>
          <w:rFonts w:ascii="Times New Roman" w:hAnsi="Times New Roman"/>
          <w:sz w:val="24"/>
          <w:szCs w:val="20"/>
        </w:rPr>
        <w:t>衡阳县土壤分为地带性土壤和非地带性土壤，共9个土类，20个亚类，85个土属261个土种，111个变种，地带性土壤主要有山地草甸土、黄棕壤、红壤，非地带性土壤主要有紫色土、黑色石灰土、红色石灰土、水稻土、河潮土。</w:t>
      </w:r>
    </w:p>
    <w:p>
      <w:pPr>
        <w:ind w:firstLine="480"/>
        <w:rPr>
          <w:rFonts w:cs="Times New Roman"/>
          <w:szCs w:val="20"/>
        </w:rPr>
      </w:pPr>
      <w:r>
        <w:rPr>
          <w:rFonts w:cs="Times New Roman"/>
          <w:szCs w:val="20"/>
        </w:rPr>
        <w:t>区域内土壤类型有：</w:t>
      </w:r>
      <w:r>
        <w:rPr>
          <w:rFonts w:hint="eastAsia" w:ascii="宋体" w:hAnsi="宋体" w:cs="宋体"/>
          <w:szCs w:val="20"/>
        </w:rPr>
        <w:t>①</w:t>
      </w:r>
      <w:r>
        <w:rPr>
          <w:rFonts w:cs="Times New Roman"/>
          <w:szCs w:val="20"/>
        </w:rPr>
        <w:t>水稻土-除山区有一部分淹育水稻土外，多为潲育性水稻土，分布于溪谷平原。</w:t>
      </w:r>
      <w:r>
        <w:rPr>
          <w:rFonts w:hint="eastAsia" w:ascii="宋体" w:hAnsi="宋体" w:cs="宋体"/>
          <w:szCs w:val="20"/>
        </w:rPr>
        <w:t>②</w:t>
      </w:r>
      <w:r>
        <w:rPr>
          <w:rFonts w:cs="Times New Roman"/>
          <w:szCs w:val="20"/>
        </w:rPr>
        <w:t>红壤-分布于海拔50~150m 的丘岗地。成土母质为花岗岩，土质为红色，呈酸性反应。</w:t>
      </w:r>
      <w:r>
        <w:rPr>
          <w:rFonts w:hint="eastAsia" w:ascii="宋体" w:hAnsi="宋体" w:cs="宋体"/>
          <w:szCs w:val="20"/>
        </w:rPr>
        <w:t>③</w:t>
      </w:r>
      <w:r>
        <w:rPr>
          <w:rFonts w:cs="Times New Roman"/>
          <w:szCs w:val="20"/>
        </w:rPr>
        <w:t>红黄壤-分布于海拔500~700m 的低山区。成土母质亦为花岗岩，土层较深厚，土质呈红黄色。</w:t>
      </w:r>
      <w:r>
        <w:rPr>
          <w:rFonts w:hint="eastAsia" w:ascii="宋体" w:hAnsi="宋体" w:cs="宋体"/>
          <w:szCs w:val="20"/>
        </w:rPr>
        <w:t>④</w:t>
      </w:r>
      <w:r>
        <w:rPr>
          <w:rFonts w:cs="Times New Roman"/>
          <w:szCs w:val="20"/>
        </w:rPr>
        <w:t>山地黄壤-分布于海拔700~800m 的中低山。成土母质为花岗岩，土壤疏松肥沃，呈酸性反应。</w:t>
      </w:r>
      <w:r>
        <w:rPr>
          <w:rFonts w:hint="eastAsia" w:ascii="宋体" w:hAnsi="宋体" w:cs="宋体"/>
          <w:szCs w:val="20"/>
        </w:rPr>
        <w:t>⑤</w:t>
      </w:r>
      <w:r>
        <w:rPr>
          <w:rFonts w:cs="Times New Roman"/>
          <w:szCs w:val="20"/>
        </w:rPr>
        <w:t>黄棕壤-分布于海拔800m 以上的中山区。成土母质为花岗岩，腐殖质层厚。</w:t>
      </w:r>
      <w:r>
        <w:rPr>
          <w:rFonts w:hint="eastAsia" w:ascii="宋体" w:hAnsi="宋体" w:cs="宋体"/>
          <w:szCs w:val="20"/>
        </w:rPr>
        <w:t>⑥</w:t>
      </w:r>
      <w:r>
        <w:rPr>
          <w:rFonts w:cs="Times New Roman"/>
          <w:szCs w:val="20"/>
        </w:rPr>
        <w:t>草甸土-分布于海拔1000m 以上。成土母质为花岗岩，土壤肥沃，层次不明显。</w:t>
      </w:r>
    </w:p>
    <w:p>
      <w:pPr>
        <w:pStyle w:val="4"/>
        <w:rPr>
          <w:rFonts w:cs="Times New Roman"/>
        </w:rPr>
      </w:pPr>
      <w:bookmarkStart w:id="100" w:name="_Toc86611273"/>
      <w:r>
        <w:rPr>
          <w:rFonts w:cs="Times New Roman"/>
        </w:rPr>
        <w:t>4.2.5自然资源</w:t>
      </w:r>
      <w:bookmarkEnd w:id="100"/>
    </w:p>
    <w:p>
      <w:pPr>
        <w:ind w:firstLine="480"/>
        <w:rPr>
          <w:rFonts w:cs="Times New Roman"/>
        </w:rPr>
      </w:pPr>
      <w:r>
        <w:rPr>
          <w:rFonts w:cs="Times New Roman"/>
        </w:rPr>
        <w:t>1、矿产资源</w:t>
      </w:r>
    </w:p>
    <w:p>
      <w:pPr>
        <w:ind w:firstLine="480"/>
        <w:rPr>
          <w:rFonts w:cs="Times New Roman"/>
          <w:bCs/>
        </w:rPr>
      </w:pPr>
      <w:r>
        <w:rPr>
          <w:rFonts w:cs="Times New Roman"/>
          <w:bCs/>
        </w:rPr>
        <w:t>界牌镇矿产资源丰富，境内蕴藏丰富的高岭土（瓷泥）、钠长石、钾长石、石英石等非金属矿产资源，伴生矿藏主要有铀矿，各种矿藏分布点多、面大，开发前景十分广阔。界牌瓷泥（高岭土），又被称为“衡阳土”，与江苏苏州、四川叙家、广东飞天堰合称为全国四大瓷泥基地。就总体质量而言，界牌瓷泥最为优秀，其储量、品种、品位居亚洲地区之首，据地质勘探部门探明瓷泥储量在2 亿吨以上。界牌瓷泥具有白度高、含铝量高、含铁量极低、粘接性强等特点，低温砂、低温钠长石具有高白度、低温度、辐射性极低、化学成分稳定等特性，广泛用于全国高档日用陶瓷、建筑陶瓷、卫浴陶瓷以及特种玻璃、造纸、建材等生产企业。</w:t>
      </w:r>
    </w:p>
    <w:p>
      <w:pPr>
        <w:ind w:firstLine="480"/>
        <w:rPr>
          <w:rFonts w:cs="Times New Roman"/>
          <w:bCs/>
        </w:rPr>
      </w:pPr>
      <w:r>
        <w:rPr>
          <w:rFonts w:cs="Times New Roman"/>
          <w:bCs/>
        </w:rPr>
        <w:t>2、动、植物资源</w:t>
      </w:r>
    </w:p>
    <w:p>
      <w:pPr>
        <w:ind w:firstLine="480"/>
        <w:rPr>
          <w:rFonts w:cs="Times New Roman"/>
          <w:bCs/>
        </w:rPr>
      </w:pPr>
      <w:r>
        <w:rPr>
          <w:rFonts w:cs="Times New Roman"/>
          <w:bCs/>
        </w:rPr>
        <w:t>衡阳县资源丰富，物华天宝。生物资源有粮食作物10多种，经济作物1000多种，树木250多种，畜牧10多种，鱼类80多种；活立木蓄积量100万立方米，楠竹2100万根。粮食作物有水稻、小麦、薯类、大豆等，动物资源品种繁多，珍稀动物有云豹、白鹳、河鹿等。</w:t>
      </w:r>
    </w:p>
    <w:p>
      <w:pPr>
        <w:ind w:firstLine="480"/>
        <w:rPr>
          <w:rFonts w:cs="Times New Roman"/>
          <w:bCs/>
        </w:rPr>
      </w:pPr>
      <w:r>
        <w:rPr>
          <w:rFonts w:cs="Times New Roman"/>
          <w:bCs/>
        </w:rPr>
        <w:t>区域地带性植被属中亚热带常绿阔叶林北部地带类型，受人类活动影响，原生植被大都已不存在，现主要为天然次生林和人工植被。天然次生林主要有马尾松林、杉木林、楠竹林、天然针阔叶混交林。人工植被以林地和农作物植被为主，灌草丛植夹杂于其中；林地常见树种有松树、樟树、石楠、槐树、泡桐、苦楝树、油茶、杉树、柑桔、梨、桃、李、板栗等；草本植物主要有狗尾草、车前草、野菊花、狗牙根、芒、蒲公英等，另有多种蕨类。农作物以水稻为主，一年两熟，旱土作物有小麦、红薯、棉花、花生、油菜等。</w:t>
      </w:r>
    </w:p>
    <w:p>
      <w:pPr>
        <w:ind w:firstLine="480"/>
        <w:rPr>
          <w:rFonts w:cs="Times New Roman"/>
          <w:bCs/>
        </w:rPr>
      </w:pPr>
      <w:r>
        <w:rPr>
          <w:rFonts w:cs="Times New Roman"/>
          <w:bCs/>
        </w:rPr>
        <w:t>区内林栖野生兽类稀少，陆栖脊椎动物多为黄鼬、野兔、獾、野鸡、喜鹊、山雀、啄木鸟、八哥、鸟鸫、白头翁、白鹭、麻雀等以及鼠类，蛙类（水陆两栖）、蛇类、壁虎等中、小型野生动物。在耕作区，动物一般多为适应农耕地和居民点栖息的种类，种属单调，主要以鼠型啮齿类和食谷、食虫的篱园雀形鸟类组成优势；人工饲养动物为一些常见的家畜家禽，主要有猪、牛、羊、鸡、鸭、兔等，区内山塘、水库中水生鱼类资源主要有草鱼、鲢鱼、鲫鱼、鲤鱼等。区内未发现野生珍稀濒危动植物物种。</w:t>
      </w:r>
    </w:p>
    <w:p>
      <w:pPr>
        <w:ind w:firstLine="480"/>
        <w:rPr>
          <w:rFonts w:cs="Times New Roman"/>
          <w:bCs/>
        </w:rPr>
      </w:pPr>
      <w:r>
        <w:rPr>
          <w:rFonts w:cs="Times New Roman"/>
          <w:bCs/>
        </w:rPr>
        <w:t>根据现场调查，评价区自然生物群落与物种敏感程度低，无珍稀濒危生物物种。区域野生动物以青蛙、麻雀等小型常见动物为主。经衡阳县林业局实地现场勘查，评价区域内没有100年以上的古树古木和国家重点保护的珍稀动植物；经衡阳县旅游局查询核实评价区域内不存在风景名胜区。</w:t>
      </w:r>
    </w:p>
    <w:p>
      <w:pPr>
        <w:pStyle w:val="3"/>
        <w:rPr>
          <w:rFonts w:cs="Times New Roman"/>
        </w:rPr>
      </w:pPr>
      <w:bookmarkStart w:id="101" w:name="_Toc86611274"/>
      <w:r>
        <w:rPr>
          <w:rFonts w:cs="Times New Roman"/>
        </w:rPr>
        <w:t>4.3衡阳界牌镇陶瓷循环经济特色工业园</w:t>
      </w:r>
      <w:bookmarkEnd w:id="101"/>
    </w:p>
    <w:p>
      <w:pPr>
        <w:pStyle w:val="4"/>
        <w:adjustRightInd w:val="0"/>
        <w:snapToGrid w:val="0"/>
        <w:jc w:val="left"/>
        <w:rPr>
          <w:rFonts w:cs="Times New Roman"/>
          <w:szCs w:val="24"/>
        </w:rPr>
      </w:pPr>
      <w:bookmarkStart w:id="102" w:name="_Toc86611275"/>
      <w:r>
        <w:rPr>
          <w:rFonts w:cs="Times New Roman"/>
          <w:szCs w:val="24"/>
        </w:rPr>
        <w:t>4.2.1 园区基本情况</w:t>
      </w:r>
      <w:bookmarkEnd w:id="102"/>
    </w:p>
    <w:p>
      <w:pPr>
        <w:ind w:firstLine="480"/>
        <w:rPr>
          <w:rFonts w:cs="Times New Roman"/>
          <w:bCs/>
        </w:rPr>
      </w:pPr>
      <w:r>
        <w:rPr>
          <w:rFonts w:cs="Times New Roman"/>
          <w:bCs/>
        </w:rPr>
        <w:t>衡阳界牌镇陶瓷循环经济特色工业园位于衡阳县城的东北方，界牌镇的西南方，距离衡阳县城远景规划区约22km，距界牌镇城区约2.5km，毗邻岳临高速公路。</w:t>
      </w:r>
    </w:p>
    <w:p>
      <w:pPr>
        <w:pStyle w:val="254"/>
        <w:spacing w:before="97"/>
      </w:pPr>
      <w:r>
        <w:t>园区成立于2015年，经省政府同意，省发改委批准设立的陶瓷专业园区，作为县政府管理的正科级园区，湖南省环境保护厅2016年6月24日对其报告书提出审查意见（关于衡阳县界牌陶瓷工业园环境影响评价报告书审查意见）批复号为湘环评函[2016]34号。</w:t>
      </w:r>
    </w:p>
    <w:p>
      <w:pPr>
        <w:pStyle w:val="4"/>
        <w:adjustRightInd w:val="0"/>
        <w:snapToGrid w:val="0"/>
        <w:jc w:val="left"/>
        <w:rPr>
          <w:rFonts w:cs="Times New Roman"/>
          <w:szCs w:val="24"/>
        </w:rPr>
      </w:pPr>
      <w:bookmarkStart w:id="103" w:name="_Toc86611276"/>
      <w:r>
        <w:rPr>
          <w:rFonts w:cs="Times New Roman"/>
          <w:szCs w:val="24"/>
        </w:rPr>
        <w:t>4.2.2 规划范围及规划期限</w:t>
      </w:r>
      <w:bookmarkEnd w:id="103"/>
    </w:p>
    <w:p>
      <w:pPr>
        <w:ind w:firstLine="482"/>
        <w:rPr>
          <w:rFonts w:cs="Times New Roman"/>
          <w:szCs w:val="24"/>
        </w:rPr>
      </w:pPr>
      <w:r>
        <w:rPr>
          <w:rFonts w:cs="Times New Roman"/>
          <w:b/>
          <w:szCs w:val="24"/>
        </w:rPr>
        <w:t>1、规划期限</w:t>
      </w:r>
    </w:p>
    <w:p>
      <w:pPr>
        <w:pStyle w:val="19"/>
        <w:spacing w:after="0"/>
        <w:ind w:firstLine="480"/>
        <w:rPr>
          <w:rFonts w:cs="Times New Roman"/>
        </w:rPr>
      </w:pPr>
      <w:r>
        <w:rPr>
          <w:rFonts w:cs="Times New Roman"/>
        </w:rPr>
        <w:t>规划期限为2015~2025年。</w:t>
      </w:r>
    </w:p>
    <w:p>
      <w:pPr>
        <w:ind w:firstLine="482"/>
        <w:rPr>
          <w:rFonts w:cs="Times New Roman"/>
          <w:szCs w:val="24"/>
        </w:rPr>
      </w:pPr>
      <w:r>
        <w:rPr>
          <w:rFonts w:cs="Times New Roman"/>
          <w:b/>
          <w:szCs w:val="24"/>
        </w:rPr>
        <w:t>2、规划范围</w:t>
      </w:r>
    </w:p>
    <w:p>
      <w:pPr>
        <w:ind w:firstLine="480"/>
        <w:rPr>
          <w:rFonts w:cs="Times New Roman"/>
        </w:rPr>
      </w:pPr>
      <w:r>
        <w:rPr>
          <w:rFonts w:cs="Times New Roman"/>
          <w:bCs/>
        </w:rPr>
        <w:t>北至宝玉堂，南至古塘冲，东至县道X034，西至下松丫塘，规划面积约7.03 km</w:t>
      </w:r>
      <w:r>
        <w:rPr>
          <w:rFonts w:cs="Times New Roman"/>
          <w:bCs/>
          <w:vertAlign w:val="superscript"/>
        </w:rPr>
        <w:t>2</w:t>
      </w:r>
      <w:r>
        <w:rPr>
          <w:rFonts w:cs="Times New Roman"/>
          <w:bCs/>
        </w:rPr>
        <w:t>，工业园区东西最长为4.9km，南北宽为1.9km，涉及范围包括白象、象山、众拱、石壁、唐福、太清、南阳共7个行政村，首期发展面积4.4 km</w:t>
      </w:r>
      <w:r>
        <w:rPr>
          <w:rFonts w:cs="Times New Roman"/>
          <w:bCs/>
          <w:vertAlign w:val="superscript"/>
        </w:rPr>
        <w:t>2</w:t>
      </w:r>
      <w:r>
        <w:rPr>
          <w:rFonts w:cs="Times New Roman"/>
        </w:rPr>
        <w:t>。</w:t>
      </w:r>
    </w:p>
    <w:p>
      <w:pPr>
        <w:pStyle w:val="4"/>
        <w:adjustRightInd w:val="0"/>
        <w:snapToGrid w:val="0"/>
        <w:jc w:val="left"/>
        <w:rPr>
          <w:rFonts w:cs="Times New Roman"/>
          <w:szCs w:val="24"/>
        </w:rPr>
      </w:pPr>
      <w:bookmarkStart w:id="104" w:name="_Toc86611277"/>
      <w:r>
        <w:rPr>
          <w:rFonts w:cs="Times New Roman"/>
          <w:szCs w:val="24"/>
        </w:rPr>
        <w:t>4.2.3 规划功能与产业定位</w:t>
      </w:r>
      <w:bookmarkEnd w:id="104"/>
    </w:p>
    <w:p>
      <w:pPr>
        <w:pStyle w:val="254"/>
        <w:spacing w:before="97"/>
      </w:pPr>
      <w:r>
        <w:t>规划功能：</w:t>
      </w:r>
      <w:r>
        <w:rPr>
          <w:bCs/>
          <w:szCs w:val="24"/>
        </w:rPr>
        <w:t>衡阳界牌镇陶瓷循环经济特色工业园</w:t>
      </w:r>
      <w:r>
        <w:t>功能定位近期为全面启动衡界牌陶瓷循环经济特色产业园核心区（瓷泥加工组団）建设，建成衡阳瓷泥标准化研发中心：中、远期定位为进步完善瓷泥标准化研发中心，新建特色瓷泥配方研发中心，在此基础上建成日用陶瓷生产组团、特种工业陶瓷生产组团等。</w:t>
      </w:r>
    </w:p>
    <w:p>
      <w:pPr>
        <w:pStyle w:val="254"/>
        <w:spacing w:before="97"/>
      </w:pPr>
      <w:r>
        <w:t>界牌陶瓷工业园园区涉及的重点产业有瓷泥加工和集散、日用陶瓷、建筑卫生陶瓷和特种工业瓷生产产业。</w:t>
      </w:r>
    </w:p>
    <w:p>
      <w:pPr>
        <w:pStyle w:val="254"/>
        <w:spacing w:before="97"/>
      </w:pPr>
      <w:r>
        <w:t>瓷泥加工组团：专门研发、生产各种标准精泥，包括建筑陶瓷精泥、日用美术陶瓷精泥及特种陶瓷瓷泥。</w:t>
      </w:r>
    </w:p>
    <w:p>
      <w:pPr>
        <w:pStyle w:val="254"/>
        <w:spacing w:before="97"/>
      </w:pPr>
      <w:r>
        <w:t>日用陶瓷生产组：主要生产各类日用陶瓷、如各类陶瓷餐具、茶具、花瓶等。</w:t>
      </w:r>
    </w:p>
    <w:p>
      <w:pPr>
        <w:pStyle w:val="254"/>
        <w:spacing w:before="97"/>
      </w:pPr>
      <w:r>
        <w:t>特种工业陶瓷生产组团：主要生产各类特种工业陶瓷，如耐酸陶瓷、多孔陶瓷、耐磨陶瓷、节能蓄热陶瓷等。</w:t>
      </w:r>
    </w:p>
    <w:p>
      <w:pPr>
        <w:pStyle w:val="254"/>
        <w:spacing w:before="97"/>
      </w:pPr>
      <w:r>
        <w:t>建筑陶瓷生产组团：主要生产各类建筑陶瓷，如瓷墙地砖，璃制品、卫生洁具等。</w:t>
      </w:r>
    </w:p>
    <w:p>
      <w:pPr>
        <w:pStyle w:val="4"/>
        <w:adjustRightInd w:val="0"/>
        <w:snapToGrid w:val="0"/>
        <w:jc w:val="left"/>
        <w:rPr>
          <w:rFonts w:cs="Times New Roman"/>
          <w:szCs w:val="24"/>
        </w:rPr>
      </w:pPr>
      <w:bookmarkStart w:id="105" w:name="_Toc86611278"/>
      <w:r>
        <w:rPr>
          <w:rFonts w:cs="Times New Roman"/>
          <w:szCs w:val="24"/>
        </w:rPr>
        <w:t>4.2.4 规划目标</w:t>
      </w:r>
      <w:bookmarkEnd w:id="105"/>
    </w:p>
    <w:p>
      <w:pPr>
        <w:ind w:firstLine="480"/>
        <w:rPr>
          <w:rFonts w:cs="Times New Roman"/>
          <w:lang w:val="zh-CN"/>
        </w:rPr>
      </w:pPr>
      <w:r>
        <w:rPr>
          <w:rFonts w:cs="Times New Roman"/>
          <w:bCs/>
          <w:lang w:val="zh-CN"/>
        </w:rPr>
        <w:t>近期目标</w:t>
      </w:r>
      <w:r>
        <w:rPr>
          <w:rFonts w:cs="Times New Roman"/>
          <w:lang w:val="zh-CN"/>
        </w:rPr>
        <w:t>：利用本地资源优势，引进1~2家核心企业，专门研发、生产各种标准精泥，包括建筑陶瓷精泥、日用美术陶瓷精泥，标准化品种10个以上，瓷泥产业总值100亿元以上，产值超过50亿元企业一家。全面启动衡阳界牌陶瓷循环经济特色产业园核心区建设，建成衡阳瓷泥标准化研发中心，研发投入不低于销售额的25%；带动全县陶瓷产业转型升级，陶瓷产业自身及所带动的配套产业和专业市场对GDP增长的贡献率达到15%；直接和间接就业人口达到5万人。</w:t>
      </w:r>
    </w:p>
    <w:p>
      <w:pPr>
        <w:ind w:firstLine="480"/>
        <w:rPr>
          <w:rFonts w:cs="Times New Roman"/>
          <w:lang w:val="zh-CN"/>
        </w:rPr>
      </w:pPr>
      <w:r>
        <w:rPr>
          <w:rFonts w:cs="Times New Roman"/>
          <w:bCs/>
          <w:lang w:val="zh-CN"/>
        </w:rPr>
        <w:t>中、远期目标</w:t>
      </w:r>
      <w:r>
        <w:rPr>
          <w:rFonts w:cs="Times New Roman"/>
          <w:lang w:val="zh-CN"/>
        </w:rPr>
        <w:t>：到2025年，瓷泥标准化总量实现中部地区陶瓷产业龙头地位，瓷泥标准化产品30个以上，年产标准化精泥300万吨以上。在完善瓷泥标准化研发中心的基础上，新建特色瓷泥配方研发中心，利用本地资源优势，拟开发高铝瓷泥、氧化钻瓷泥、硅微粉泥、右英微粉泥等特种精泥配方，在此基础上建成高品质日用瓷、美术瓷、特种陶瓷、航空航天及粉末涂料材料生产基地。标准化精泥产值200亿元以上，特种陶瓷及材料产值200亿元以上，核心园区总产值500亿元以上。</w:t>
      </w:r>
    </w:p>
    <w:p>
      <w:pPr>
        <w:ind w:firstLine="480"/>
        <w:rPr>
          <w:rFonts w:cs="Times New Roman"/>
          <w:lang w:val="zh-CN"/>
        </w:rPr>
      </w:pPr>
      <w:r>
        <w:rPr>
          <w:rFonts w:cs="Times New Roman"/>
          <w:lang w:val="zh-CN"/>
        </w:rPr>
        <w:t>建成1~2个国家级陶瓷技术创新平台，建立权威的陶瓷瓷泥生产、物流信息发布平台，在陶瓷瓷泥研发、精深加工产业发展趋势方面起到引领作用；核心园区带动作用进一步增强，带动配套产业和专业市场对GDP增长的贡献率达到20%以上，带动就业达到8万人：在陶瓷产值总量、利润、研发投入比例、总部经济含量等指标方面都达到较高的水平，把衡阳县打造成中部“陶瓷之都”。</w:t>
      </w:r>
    </w:p>
    <w:p>
      <w:pPr>
        <w:pStyle w:val="4"/>
        <w:adjustRightInd w:val="0"/>
        <w:snapToGrid w:val="0"/>
        <w:jc w:val="left"/>
        <w:rPr>
          <w:rFonts w:cs="Times New Roman"/>
          <w:szCs w:val="24"/>
        </w:rPr>
      </w:pPr>
      <w:bookmarkStart w:id="106" w:name="_Toc86611279"/>
      <w:r>
        <w:rPr>
          <w:rFonts w:cs="Times New Roman"/>
          <w:szCs w:val="24"/>
        </w:rPr>
        <w:t>4.2.5 用地布局规划</w:t>
      </w:r>
      <w:bookmarkEnd w:id="106"/>
    </w:p>
    <w:p>
      <w:pPr>
        <w:pStyle w:val="69"/>
        <w:ind w:firstLine="0" w:firstLineChars="0"/>
        <w:outlineLvl w:val="3"/>
        <w:rPr>
          <w:b/>
          <w:bCs/>
        </w:rPr>
      </w:pPr>
      <w:r>
        <w:rPr>
          <w:b/>
          <w:bCs/>
        </w:rPr>
        <w:t>4.2.5.1 规划结构</w:t>
      </w:r>
    </w:p>
    <w:p>
      <w:pPr>
        <w:ind w:firstLine="480"/>
        <w:rPr>
          <w:rFonts w:cs="Times New Roman"/>
          <w:lang w:val="zh-CN"/>
        </w:rPr>
      </w:pPr>
      <w:r>
        <w:rPr>
          <w:rFonts w:cs="Times New Roman"/>
          <w:lang w:val="zh-CN"/>
        </w:rPr>
        <w:t>界牌陶瓷工业园区规划形成“一心、四轴、六组团”的布局结构。详见附图</w:t>
      </w:r>
      <w:r>
        <w:rPr>
          <w:rFonts w:cs="Times New Roman"/>
        </w:rPr>
        <w:t>8</w:t>
      </w:r>
      <w:r>
        <w:rPr>
          <w:rFonts w:cs="Times New Roman"/>
          <w:lang w:val="zh-CN"/>
        </w:rPr>
        <w:t>。</w:t>
      </w:r>
    </w:p>
    <w:p>
      <w:pPr>
        <w:ind w:firstLine="480"/>
        <w:rPr>
          <w:rFonts w:cs="Times New Roman"/>
          <w:lang w:val="zh-CN"/>
        </w:rPr>
      </w:pPr>
      <w:r>
        <w:rPr>
          <w:rFonts w:cs="Times New Roman"/>
          <w:lang w:val="zh-CN"/>
        </w:rPr>
        <w:t>“一心”——综合服务中心，位于创业大道和新园路的交汇处；“四轴”——即园区发展轴，沿创业大道贯穿园区东西的主要发展轴、沿乐园大道、富园大道、旺园大道，贯穿园区南北的次要发展轴；</w:t>
      </w:r>
    </w:p>
    <w:p>
      <w:pPr>
        <w:ind w:firstLine="480"/>
        <w:rPr>
          <w:rFonts w:cs="Times New Roman"/>
          <w:lang w:val="zh-CN"/>
        </w:rPr>
      </w:pPr>
      <w:r>
        <w:rPr>
          <w:rFonts w:cs="Times New Roman"/>
          <w:lang w:val="zh-CN"/>
        </w:rPr>
        <w:t>“六组团”——一个综合服务组团和五个产业组团，其中五个产业组团分别是瓷泥加工组团、瓷泥集散组团、日用陶瓷生产组团、特种工业陶瓷生产组团和建筑陶瓷生产组团。</w:t>
      </w:r>
    </w:p>
    <w:p>
      <w:pPr>
        <w:pStyle w:val="69"/>
        <w:ind w:firstLine="0" w:firstLineChars="0"/>
        <w:outlineLvl w:val="3"/>
        <w:rPr>
          <w:b/>
          <w:bCs/>
        </w:rPr>
      </w:pPr>
      <w:r>
        <w:rPr>
          <w:b/>
          <w:bCs/>
        </w:rPr>
        <w:t>4.2.5.2 用地布局</w:t>
      </w:r>
    </w:p>
    <w:p>
      <w:pPr>
        <w:ind w:firstLine="480"/>
        <w:rPr>
          <w:rFonts w:cs="Times New Roman"/>
          <w:lang w:val="zh-CN"/>
        </w:rPr>
      </w:pPr>
      <w:r>
        <w:rPr>
          <w:rFonts w:cs="Times New Roman"/>
          <w:lang w:val="zh-CN"/>
        </w:rPr>
        <w:t>规划园区建设用地面积为703.01公顷。其中，居住用地总用地面积为8.67公顷，占建设用地面积的1.23%：工业用地占地面积401.67公顷，占建设用地面积的57.14%；</w:t>
      </w:r>
    </w:p>
    <w:p>
      <w:pPr>
        <w:ind w:firstLine="480"/>
        <w:rPr>
          <w:rFonts w:cs="Times New Roman"/>
          <w:lang w:val="zh-CN"/>
        </w:rPr>
      </w:pPr>
      <w:r>
        <w:rPr>
          <w:rFonts w:cs="Times New Roman"/>
          <w:lang w:val="zh-CN"/>
        </w:rPr>
        <w:t>物流仓储用地总占地83.1公顷，占总用地面积的11.82%；公共管理与公共服务设施用地总面积为69.06公顷，占总用地面积的9.82%：商业服务业设施用地面积为6.27公顷，占建设用地0.89%；道路交通设施用地83.59公顷，占建设用地11.9%；市政公用设施用地面积约3.62公顷，占园区总用地面积的0.51%；绿地总面积46.22公顷，占建用地5.57%，以防护绿地为主。</w:t>
      </w:r>
    </w:p>
    <w:p>
      <w:pPr>
        <w:ind w:firstLine="480"/>
        <w:rPr>
          <w:rFonts w:cs="Times New Roman"/>
          <w:lang w:val="zh-CN"/>
        </w:rPr>
      </w:pPr>
      <w:r>
        <w:rPr>
          <w:rFonts w:cs="Times New Roman"/>
          <w:lang w:val="zh-CN"/>
        </w:rPr>
        <w:t>规划将工业用地与其他类型用地尽量不在同一地块中混合设置，由于其他原因不能独立设置时，工业用地与其他类型用地之间设置不小于20米的绿化隔离带。同时，在园区内沿主干道两侧设置不小于l2米宽道路防护绿化带，沿次干道设置不小于8米宽道路防护绿化带。另外，加强斜陂堰水库的保护，在绕园北路两侧设置防护绿化带，并在园区与水库区之间设置大于100米的防护绿地。</w:t>
      </w:r>
    </w:p>
    <w:p>
      <w:pPr>
        <w:pStyle w:val="4"/>
        <w:adjustRightInd w:val="0"/>
        <w:snapToGrid w:val="0"/>
        <w:jc w:val="left"/>
        <w:rPr>
          <w:rFonts w:cs="Times New Roman"/>
          <w:szCs w:val="24"/>
        </w:rPr>
      </w:pPr>
      <w:bookmarkStart w:id="107" w:name="_Toc86611280"/>
      <w:r>
        <w:rPr>
          <w:rFonts w:cs="Times New Roman"/>
          <w:szCs w:val="24"/>
        </w:rPr>
        <w:t>4.2.6 绿地系统与景观环境规划</w:t>
      </w:r>
      <w:bookmarkEnd w:id="107"/>
    </w:p>
    <w:p>
      <w:pPr>
        <w:pStyle w:val="69"/>
        <w:ind w:firstLine="0" w:firstLineChars="0"/>
        <w:outlineLvl w:val="3"/>
        <w:rPr>
          <w:b/>
          <w:bCs/>
        </w:rPr>
      </w:pPr>
      <w:r>
        <w:rPr>
          <w:b/>
          <w:bCs/>
        </w:rPr>
        <w:t>4.2.6.1 绿地系统规划</w:t>
      </w:r>
    </w:p>
    <w:p>
      <w:pPr>
        <w:pStyle w:val="254"/>
        <w:spacing w:before="97"/>
        <w:ind w:firstLine="482"/>
        <w:rPr>
          <w:b/>
        </w:rPr>
      </w:pPr>
      <w:r>
        <w:rPr>
          <w:b/>
        </w:rPr>
        <w:t>1、规划布局</w:t>
      </w:r>
    </w:p>
    <w:p>
      <w:pPr>
        <w:ind w:firstLine="480"/>
        <w:rPr>
          <w:rFonts w:cs="Times New Roman"/>
          <w:lang w:val="zh-CN"/>
        </w:rPr>
      </w:pPr>
      <w:r>
        <w:rPr>
          <w:rFonts w:cs="Times New Roman"/>
          <w:lang w:val="zh-CN"/>
        </w:rPr>
        <w:t>规划园区防护绿地46.22公顷，占建设用地面积6.57%。另外，保留位于园区西侧及中部的农林用地共43.14公顷，这部分面积不在总建设用地面积范围内。</w:t>
      </w:r>
    </w:p>
    <w:p>
      <w:pPr>
        <w:ind w:firstLine="482"/>
        <w:rPr>
          <w:rFonts w:cs="Times New Roman"/>
          <w:b/>
          <w:lang w:val="zh-CN"/>
        </w:rPr>
      </w:pPr>
      <w:r>
        <w:rPr>
          <w:rFonts w:cs="Times New Roman"/>
          <w:b/>
        </w:rPr>
        <w:t>2、</w:t>
      </w:r>
      <w:r>
        <w:rPr>
          <w:rFonts w:cs="Times New Roman"/>
          <w:b/>
          <w:lang w:val="zh-CN"/>
        </w:rPr>
        <w:t>绿地控制</w:t>
      </w:r>
    </w:p>
    <w:p>
      <w:pPr>
        <w:ind w:firstLine="480"/>
        <w:rPr>
          <w:rFonts w:cs="Times New Roman"/>
          <w:lang w:val="zh-CN"/>
        </w:rPr>
      </w:pPr>
      <w:r>
        <w:rPr>
          <w:rFonts w:cs="Times New Roman"/>
          <w:lang w:val="zh-CN"/>
        </w:rPr>
        <w:t>园区距离北侧的斜陂堰水库最近距离为770m，水库靠近园区一侧设置不小于100米的水源防护绿地，园区主次干路、高压走廊、变电站周边等生态敏感地段设置10-20米的防护绿地。</w:t>
      </w:r>
    </w:p>
    <w:p>
      <w:pPr>
        <w:ind w:firstLine="480"/>
        <w:rPr>
          <w:rFonts w:cs="Times New Roman"/>
          <w:lang w:val="zh-CN"/>
        </w:rPr>
      </w:pPr>
      <w:r>
        <w:rPr>
          <w:rFonts w:cs="Times New Roman"/>
          <w:lang w:val="zh-CN"/>
        </w:rPr>
        <w:t>除工业用地外，各地块在满足控制指标规定的绿地率指标的前提下，应尽可能增加绿化面积。场地的建设应与周边的自然地形地貌有机结合，切实做好山塘、水渠、植被的利用和保护工作，避免大填大挖现象的出现。让工业企业掩闭在绿化当中，避免粉尘污染扩散。</w:t>
      </w:r>
    </w:p>
    <w:p>
      <w:pPr>
        <w:pStyle w:val="69"/>
        <w:ind w:firstLine="0" w:firstLineChars="0"/>
        <w:outlineLvl w:val="3"/>
        <w:rPr>
          <w:b/>
          <w:bCs/>
        </w:rPr>
      </w:pPr>
      <w:r>
        <w:rPr>
          <w:b/>
          <w:bCs/>
        </w:rPr>
        <w:t>4.2.6.2 景观系统规划</w:t>
      </w:r>
    </w:p>
    <w:p>
      <w:pPr>
        <w:ind w:firstLine="482"/>
        <w:rPr>
          <w:rFonts w:cs="Times New Roman"/>
          <w:b/>
          <w:lang w:val="zh-CN"/>
        </w:rPr>
      </w:pPr>
      <w:r>
        <w:rPr>
          <w:rFonts w:cs="Times New Roman"/>
          <w:b/>
          <w:lang w:val="zh-CN"/>
        </w:rPr>
        <w:t>1、景观规划建设目标</w:t>
      </w:r>
    </w:p>
    <w:p>
      <w:pPr>
        <w:ind w:firstLine="480"/>
        <w:jc w:val="left"/>
        <w:rPr>
          <w:rFonts w:cs="Times New Roman"/>
          <w:lang w:val="zh-CN"/>
        </w:rPr>
      </w:pPr>
      <w:r>
        <w:rPr>
          <w:rFonts w:cs="Times New Roman"/>
          <w:lang w:val="zh-CN"/>
        </w:rPr>
        <w:t>到2025年，工业园形成功能完备的山体、绿化、河流水体、岸线绿化、工业区绿化三道绿色生态屏障，形成点、线、面相结合的绿化系统。</w:t>
      </w:r>
    </w:p>
    <w:p>
      <w:pPr>
        <w:ind w:firstLine="482"/>
        <w:rPr>
          <w:rFonts w:cs="Times New Roman"/>
          <w:b/>
          <w:lang w:val="zh-CN"/>
        </w:rPr>
      </w:pPr>
      <w:r>
        <w:rPr>
          <w:rFonts w:cs="Times New Roman"/>
          <w:b/>
          <w:lang w:val="zh-CN"/>
        </w:rPr>
        <w:t>2、景观系统规划布局</w:t>
      </w:r>
    </w:p>
    <w:p>
      <w:pPr>
        <w:ind w:firstLine="480"/>
        <w:rPr>
          <w:rFonts w:cs="Times New Roman"/>
          <w:lang w:val="zh-CN"/>
        </w:rPr>
      </w:pPr>
      <w:r>
        <w:rPr>
          <w:rFonts w:cs="Times New Roman"/>
          <w:lang w:val="zh-CN"/>
        </w:rPr>
        <w:t>衡阳界牌陶瓷工业同的景观系统规划结构为“心一带四轴四区”。</w:t>
      </w:r>
    </w:p>
    <w:p>
      <w:pPr>
        <w:ind w:firstLine="480"/>
        <w:rPr>
          <w:rFonts w:cs="Times New Roman"/>
          <w:lang w:val="zh-CN"/>
        </w:rPr>
      </w:pPr>
      <w:r>
        <w:rPr>
          <w:rFonts w:cs="Times New Roman"/>
          <w:lang w:val="zh-CN"/>
        </w:rPr>
        <w:t>“心”：指根据保留的水系，位于综合服务区，作为园区的核心景观中心。</w:t>
      </w:r>
    </w:p>
    <w:p>
      <w:pPr>
        <w:ind w:firstLine="480"/>
        <w:rPr>
          <w:rFonts w:cs="Times New Roman"/>
          <w:lang w:val="zh-CN"/>
        </w:rPr>
      </w:pPr>
      <w:r>
        <w:rPr>
          <w:rFonts w:cs="Times New Roman"/>
          <w:lang w:val="zh-CN"/>
        </w:rPr>
        <w:t>“带”：指保留的现状农田而形成的生态农田景观带，将风区景观系统与园区外围生态景观相联系，是主要的开微空问。</w:t>
      </w:r>
    </w:p>
    <w:p>
      <w:pPr>
        <w:ind w:firstLine="480"/>
        <w:rPr>
          <w:rFonts w:cs="Times New Roman"/>
          <w:lang w:val="zh-CN"/>
        </w:rPr>
      </w:pPr>
      <w:r>
        <w:rPr>
          <w:rFonts w:cs="Times New Roman"/>
          <w:lang w:val="zh-CN"/>
        </w:rPr>
        <w:t>“四轴”；指创业大道、乐园大道、富园大道及证园大道四条道路绿化溶道，形成四条景观轴线，构成整体空间结构的骨架，是各功能园区、城市节点的空问细带，主要的视线配道，既将各工业组团隔离开米，又将园区景观系统连通起米，是同区景观系统的线性空问。</w:t>
      </w:r>
    </w:p>
    <w:p>
      <w:pPr>
        <w:ind w:firstLine="480"/>
        <w:rPr>
          <w:rFonts w:cs="Times New Roman"/>
          <w:lang w:val="zh-CN"/>
        </w:rPr>
      </w:pPr>
      <w:r>
        <w:rPr>
          <w:rFonts w:cs="Times New Roman"/>
          <w:lang w:val="zh-CN"/>
        </w:rPr>
        <w:t>“四区”即根据各功能园区形成的不同建筑景观风貌。分别为仓储景观风貌区、陶瓷工业景观风貌区、陶瓷场发景观风貌区和综合服务景观风貌区。</w:t>
      </w:r>
    </w:p>
    <w:p>
      <w:pPr>
        <w:ind w:firstLine="480"/>
        <w:rPr>
          <w:rFonts w:cs="Times New Roman"/>
          <w:lang w:val="zh-CN"/>
        </w:rPr>
      </w:pPr>
      <w:r>
        <w:rPr>
          <w:rFonts w:cs="Times New Roman"/>
          <w:lang w:val="zh-CN"/>
        </w:rPr>
        <w:t>维护水系网络的贯通，将水系网络有机纳入工业园区的绿地系统之中此外，规划确定的公共绿地、防护绿地的规划设计和实施建设，应与周边地块和城市道路景观需求等有机结合，用地周边严禁设置封闭围墙建筑，应设置园林式栏杆、绿篱等。</w:t>
      </w:r>
    </w:p>
    <w:p>
      <w:pPr>
        <w:pStyle w:val="4"/>
        <w:adjustRightInd w:val="0"/>
        <w:snapToGrid w:val="0"/>
        <w:jc w:val="left"/>
        <w:rPr>
          <w:rFonts w:cs="Times New Roman"/>
          <w:szCs w:val="24"/>
        </w:rPr>
      </w:pPr>
      <w:bookmarkStart w:id="108" w:name="_Toc86611281"/>
      <w:r>
        <w:rPr>
          <w:rFonts w:cs="Times New Roman"/>
          <w:szCs w:val="24"/>
        </w:rPr>
        <w:t>4.2.7 市政工程设施规划</w:t>
      </w:r>
      <w:bookmarkEnd w:id="108"/>
    </w:p>
    <w:p>
      <w:pPr>
        <w:pStyle w:val="69"/>
        <w:ind w:firstLine="0" w:firstLineChars="0"/>
        <w:outlineLvl w:val="3"/>
        <w:rPr>
          <w:b/>
          <w:bCs/>
        </w:rPr>
      </w:pPr>
      <w:r>
        <w:rPr>
          <w:b/>
          <w:bCs/>
        </w:rPr>
        <w:t>4.2.7.1 道路交通规划</w:t>
      </w:r>
    </w:p>
    <w:p>
      <w:pPr>
        <w:ind w:firstLine="482"/>
        <w:rPr>
          <w:rFonts w:cs="Times New Roman"/>
          <w:b/>
          <w:lang w:val="zh-CN"/>
        </w:rPr>
      </w:pPr>
      <w:r>
        <w:rPr>
          <w:rFonts w:cs="Times New Roman"/>
          <w:b/>
          <w:lang w:val="zh-CN"/>
        </w:rPr>
        <w:t>1、对外交通规划</w:t>
      </w:r>
    </w:p>
    <w:p>
      <w:pPr>
        <w:ind w:firstLine="480"/>
        <w:rPr>
          <w:rFonts w:cs="Times New Roman"/>
          <w:lang w:val="zh-CN"/>
        </w:rPr>
      </w:pPr>
      <w:r>
        <w:rPr>
          <w:rFonts w:cs="Times New Roman"/>
          <w:lang w:val="zh-CN"/>
        </w:rPr>
        <w:t>对外交通依托岳临高速、225省道、389省道、107省道等，引导园区物流。园区通过岳输高速北接湘潭市，南接衡阳市：通过225省道北接双峰县。南接商阳市：通过339省道东接后临高速，西接右市：通过107省道南接衡阳市，东接衡山县。园区内部的创业大道、东园大道、旺同大道、富园大道作为交通性主干路，与园区周边的岳临高连、225省道、389省通、107省道相连接，使园区物流可以俊捷、迅速地集散，而不影响正常的生活性交通流。</w:t>
      </w:r>
    </w:p>
    <w:p>
      <w:pPr>
        <w:ind w:firstLine="480"/>
        <w:rPr>
          <w:rFonts w:cs="Times New Roman"/>
          <w:lang w:val="zh-CN"/>
        </w:rPr>
      </w:pPr>
      <w:r>
        <w:rPr>
          <w:rFonts w:cs="Times New Roman"/>
          <w:lang w:val="zh-CN"/>
        </w:rPr>
        <w:t>园区物流主要通过岳临高速集散，部分物流通过225省道、107省道与衡阳市连通，通过339省道、107省逆与衡山县连通。园区内瓷泥原材料主要通过声替路进行输送，园区生活性交通主要通过107省道与界牌镇连接。</w:t>
      </w:r>
    </w:p>
    <w:p>
      <w:pPr>
        <w:ind w:firstLine="482"/>
        <w:rPr>
          <w:rFonts w:cs="Times New Roman"/>
          <w:b/>
          <w:lang w:val="zh-CN"/>
        </w:rPr>
      </w:pPr>
      <w:r>
        <w:rPr>
          <w:rFonts w:cs="Times New Roman"/>
          <w:b/>
          <w:lang w:val="zh-CN"/>
        </w:rPr>
        <w:t>2、园区内交通规划</w:t>
      </w:r>
    </w:p>
    <w:p>
      <w:pPr>
        <w:ind w:firstLine="480"/>
        <w:rPr>
          <w:rFonts w:cs="Times New Roman"/>
          <w:lang w:val="zh-CN"/>
        </w:rPr>
      </w:pPr>
      <w:r>
        <w:rPr>
          <w:rFonts w:hint="eastAsia" w:ascii="宋体" w:hAnsi="宋体" w:cs="宋体"/>
          <w:lang w:val="zh-CN"/>
        </w:rPr>
        <w:t>①</w:t>
      </w:r>
      <w:r>
        <w:rPr>
          <w:rFonts w:cs="Times New Roman"/>
          <w:lang w:val="zh-CN"/>
        </w:rPr>
        <w:t>路网结构</w:t>
      </w:r>
    </w:p>
    <w:p>
      <w:pPr>
        <w:ind w:firstLine="480"/>
        <w:rPr>
          <w:rFonts w:cs="Times New Roman"/>
          <w:lang w:val="zh-CN"/>
        </w:rPr>
      </w:pPr>
      <w:r>
        <w:rPr>
          <w:rFonts w:cs="Times New Roman"/>
          <w:lang w:val="zh-CN"/>
        </w:rPr>
        <w:t>根据园区的地形地貌特征，规划园区道路系统以相对自由式布局为基础的主干路、次于路、支路三级路网结构。</w:t>
      </w:r>
    </w:p>
    <w:p>
      <w:pPr>
        <w:ind w:firstLine="480"/>
        <w:rPr>
          <w:rFonts w:cs="Times New Roman"/>
          <w:lang w:val="zh-CN"/>
        </w:rPr>
      </w:pPr>
      <w:r>
        <w:rPr>
          <w:rFonts w:cs="Times New Roman"/>
          <w:lang w:val="zh-CN"/>
        </w:rPr>
        <w:t>衡阳界辨陶瓷工业园路网结构为“两横三纵”。其中“两横”为创业大道、声密大道：“三纵”分别为乐园大道、富园大道、旺园大道。</w:t>
      </w:r>
    </w:p>
    <w:p>
      <w:pPr>
        <w:ind w:firstLine="480"/>
        <w:rPr>
          <w:rFonts w:cs="Times New Roman"/>
          <w:lang w:val="zh-CN"/>
        </w:rPr>
      </w:pPr>
      <w:r>
        <w:rPr>
          <w:rFonts w:cs="Times New Roman"/>
          <w:lang w:val="zh-CN"/>
        </w:rPr>
        <w:t>园区内道路的线型主要是结合地形地貌，相对自由式布置，多为流线型，两侧或以缓坡草地相，或以山岭相邻，依山就势。</w:t>
      </w:r>
    </w:p>
    <w:p>
      <w:pPr>
        <w:ind w:firstLine="480"/>
        <w:rPr>
          <w:rFonts w:cs="Times New Roman"/>
          <w:lang w:val="zh-CN"/>
        </w:rPr>
      </w:pPr>
      <w:r>
        <w:rPr>
          <w:rFonts w:hint="eastAsia" w:ascii="宋体" w:hAnsi="宋体" w:cs="宋体"/>
          <w:lang w:val="zh-CN"/>
        </w:rPr>
        <w:t>②</w:t>
      </w:r>
      <w:r>
        <w:rPr>
          <w:rFonts w:cs="Times New Roman"/>
          <w:lang w:val="zh-CN"/>
        </w:rPr>
        <w:t>道路断曲形式</w:t>
      </w:r>
    </w:p>
    <w:p>
      <w:pPr>
        <w:ind w:firstLine="480"/>
        <w:rPr>
          <w:rFonts w:cs="Times New Roman"/>
          <w:lang w:val="zh-CN"/>
        </w:rPr>
      </w:pPr>
      <w:r>
        <w:rPr>
          <w:rFonts w:cs="Times New Roman"/>
          <w:lang w:val="zh-CN"/>
        </w:rPr>
        <w:t>根据规划园区的物流运输需求以及对外联系的需要，规划同区主干路红线36m和30m，双向六至八车道，满足同区主要交通联系与对外运输；次干路规划红线为26m，双向四车道；支路规划红线为16m，双向4车道。</w:t>
      </w:r>
    </w:p>
    <w:p>
      <w:pPr>
        <w:ind w:firstLine="482"/>
        <w:rPr>
          <w:rFonts w:cs="Times New Roman"/>
          <w:b/>
          <w:lang w:val="zh-CN"/>
        </w:rPr>
      </w:pPr>
      <w:r>
        <w:rPr>
          <w:rFonts w:cs="Times New Roman"/>
          <w:b/>
          <w:lang w:val="zh-CN"/>
        </w:rPr>
        <w:t>3、交通设施规划</w:t>
      </w:r>
    </w:p>
    <w:p>
      <w:pPr>
        <w:pStyle w:val="254"/>
        <w:spacing w:before="97"/>
      </w:pPr>
      <w:r>
        <w:rPr>
          <w:lang w:val="zh-CN"/>
        </w:rPr>
        <w:t>道路交通设施主要包括：社会停车场、交</w:t>
      </w:r>
      <w:r>
        <w:t>叉</w:t>
      </w:r>
      <w:r>
        <w:rPr>
          <w:lang w:val="zh-CN"/>
        </w:rPr>
        <w:t>口、加油站等。为适应未来不断增加的机动车交通量的要求，在综合服务区规划一处集中的机动车社会停车场，位于创业大道与绕园3路北路的交义口，起到区域相对集中停车的作用。</w:t>
      </w:r>
    </w:p>
    <w:p>
      <w:pPr>
        <w:pStyle w:val="69"/>
        <w:ind w:firstLine="0" w:firstLineChars="0"/>
        <w:outlineLvl w:val="3"/>
        <w:rPr>
          <w:b/>
          <w:bCs/>
        </w:rPr>
      </w:pPr>
      <w:r>
        <w:rPr>
          <w:b/>
          <w:bCs/>
        </w:rPr>
        <w:t>4.2.7.2 给水工程规划</w:t>
      </w:r>
    </w:p>
    <w:p>
      <w:pPr>
        <w:ind w:firstLine="482"/>
        <w:rPr>
          <w:rFonts w:cs="Times New Roman"/>
          <w:b/>
          <w:lang w:val="zh-CN"/>
        </w:rPr>
      </w:pPr>
      <w:r>
        <w:rPr>
          <w:rFonts w:cs="Times New Roman"/>
          <w:b/>
          <w:lang w:val="zh-CN"/>
        </w:rPr>
        <w:t>1、规划用水量</w:t>
      </w:r>
    </w:p>
    <w:p>
      <w:pPr>
        <w:ind w:firstLine="480"/>
        <w:rPr>
          <w:rFonts w:cs="Times New Roman"/>
          <w:lang w:val="zh-CN"/>
        </w:rPr>
      </w:pPr>
      <w:r>
        <w:rPr>
          <w:rFonts w:cs="Times New Roman"/>
          <w:lang w:val="zh-CN"/>
        </w:rPr>
        <w:t>根据工业园区规划，采用建设用地用水指标法和企业分类法计算规划给水规模为3.1l万吨/日。</w:t>
      </w:r>
    </w:p>
    <w:p>
      <w:pPr>
        <w:ind w:firstLine="482"/>
        <w:rPr>
          <w:rFonts w:cs="Times New Roman"/>
          <w:b/>
          <w:bCs/>
          <w:lang w:val="zh-CN"/>
        </w:rPr>
      </w:pPr>
      <w:r>
        <w:rPr>
          <w:rFonts w:cs="Times New Roman"/>
          <w:b/>
          <w:lang w:val="zh-CN"/>
        </w:rPr>
        <w:t>2、</w:t>
      </w:r>
      <w:r>
        <w:rPr>
          <w:rFonts w:cs="Times New Roman"/>
          <w:b/>
          <w:bCs/>
          <w:lang w:val="zh-CN"/>
        </w:rPr>
        <w:t>供水水源</w:t>
      </w:r>
    </w:p>
    <w:p>
      <w:pPr>
        <w:ind w:firstLine="480"/>
        <w:rPr>
          <w:rFonts w:cs="Times New Roman"/>
          <w:lang w:val="zh-CN"/>
        </w:rPr>
      </w:pPr>
      <w:r>
        <w:rPr>
          <w:rFonts w:cs="Times New Roman"/>
          <w:lang w:val="zh-CN"/>
        </w:rPr>
        <w:t>斜陂堰水库和界牌电站所属两冬、蠕龙、将军、选基4座小型水库可作为园区主要供水水源，供水水质符合国家《生活饮用水卫生标准（GB5749一2006）》的l级标准。</w:t>
      </w:r>
    </w:p>
    <w:p>
      <w:pPr>
        <w:ind w:firstLine="480"/>
        <w:rPr>
          <w:rFonts w:cs="Times New Roman"/>
          <w:lang w:val="zh-CN"/>
        </w:rPr>
      </w:pPr>
      <w:r>
        <w:rPr>
          <w:rFonts w:cs="Times New Roman"/>
          <w:lang w:val="zh-CN"/>
        </w:rPr>
        <w:t>斜坯堰水库集</w:t>
      </w:r>
      <w:r>
        <w:rPr>
          <w:rFonts w:cs="Times New Roman"/>
        </w:rPr>
        <w:t>雨</w:t>
      </w:r>
      <w:r>
        <w:rPr>
          <w:rFonts w:cs="Times New Roman"/>
          <w:lang w:val="zh-CN"/>
        </w:rPr>
        <w:t>面积92.5平方公组，外引面</w:t>
      </w:r>
      <w:r>
        <w:rPr>
          <w:rFonts w:cs="Times New Roman"/>
        </w:rPr>
        <w:t>积</w:t>
      </w:r>
      <w:r>
        <w:rPr>
          <w:rFonts w:cs="Times New Roman"/>
          <w:lang w:val="zh-CN"/>
        </w:rPr>
        <w:t>18平方公里，工业园用地不在其集</w:t>
      </w:r>
      <w:r>
        <w:rPr>
          <w:rFonts w:cs="Times New Roman"/>
        </w:rPr>
        <w:t>雨</w:t>
      </w:r>
      <w:r>
        <w:rPr>
          <w:rFonts w:cs="Times New Roman"/>
          <w:lang w:val="zh-CN"/>
        </w:rPr>
        <w:t>范围内，水库正</w:t>
      </w:r>
      <w:r>
        <w:rPr>
          <w:rFonts w:cs="Times New Roman"/>
        </w:rPr>
        <w:t>常</w:t>
      </w:r>
      <w:r>
        <w:rPr>
          <w:rFonts w:cs="Times New Roman"/>
          <w:lang w:val="zh-CN"/>
        </w:rPr>
        <w:t>蓄水4260万</w:t>
      </w:r>
      <w:r>
        <w:rPr>
          <w:rFonts w:cs="Times New Roman"/>
        </w:rPr>
        <w:t>m</w:t>
      </w:r>
      <w:r>
        <w:rPr>
          <w:rFonts w:cs="Times New Roman"/>
          <w:vertAlign w:val="superscript"/>
        </w:rPr>
        <w:t>3</w:t>
      </w:r>
      <w:r>
        <w:rPr>
          <w:rFonts w:cs="Times New Roman"/>
          <w:lang w:val="zh-CN"/>
        </w:rPr>
        <w:t>，若对水库进行维修处理并实施蓄水调控管理，其可利用水源达到6500万</w:t>
      </w:r>
      <w:r>
        <w:rPr>
          <w:rFonts w:cs="Times New Roman"/>
        </w:rPr>
        <w:t>m</w:t>
      </w:r>
      <w:r>
        <w:rPr>
          <w:rFonts w:cs="Times New Roman"/>
          <w:vertAlign w:val="superscript"/>
        </w:rPr>
        <w:t>3</w:t>
      </w:r>
      <w:r>
        <w:rPr>
          <w:rFonts w:cs="Times New Roman"/>
          <w:lang w:val="zh-CN"/>
        </w:rPr>
        <w:t>/a左右，加上界牌</w:t>
      </w:r>
      <w:r>
        <w:rPr>
          <w:rFonts w:cs="Times New Roman"/>
        </w:rPr>
        <w:t>电</w:t>
      </w:r>
      <w:r>
        <w:rPr>
          <w:rFonts w:cs="Times New Roman"/>
          <w:lang w:val="zh-CN"/>
        </w:rPr>
        <w:t>站所</w:t>
      </w:r>
      <w:r>
        <w:rPr>
          <w:rFonts w:cs="Times New Roman"/>
        </w:rPr>
        <w:t>属</w:t>
      </w:r>
      <w:r>
        <w:rPr>
          <w:rFonts w:cs="Times New Roman"/>
          <w:lang w:val="zh-CN"/>
        </w:rPr>
        <w:t>多座小型水库年蓄水约1500万m</w:t>
      </w:r>
      <w:r>
        <w:rPr>
          <w:rFonts w:cs="Times New Roman"/>
          <w:vertAlign w:val="superscript"/>
          <w:lang w:val="zh-CN"/>
        </w:rPr>
        <w:t>3</w:t>
      </w:r>
      <w:r>
        <w:rPr>
          <w:rFonts w:cs="Times New Roman"/>
          <w:lang w:val="zh-CN"/>
        </w:rPr>
        <w:t>/a，年总供水量达8000万m</w:t>
      </w:r>
      <w:r>
        <w:rPr>
          <w:rFonts w:cs="Times New Roman"/>
          <w:vertAlign w:val="superscript"/>
          <w:lang w:val="zh-CN"/>
        </w:rPr>
        <w:t>3</w:t>
      </w:r>
      <w:r>
        <w:rPr>
          <w:rFonts w:cs="Times New Roman"/>
          <w:lang w:val="zh-CN"/>
        </w:rPr>
        <w:t>。在保证现在灌溉用水和生态用水3000-1000万m</w:t>
      </w:r>
      <w:r>
        <w:rPr>
          <w:rFonts w:cs="Times New Roman"/>
          <w:vertAlign w:val="superscript"/>
          <w:lang w:val="zh-CN"/>
        </w:rPr>
        <w:t>3</w:t>
      </w:r>
      <w:r>
        <w:rPr>
          <w:rFonts w:cs="Times New Roman"/>
          <w:lang w:val="zh-CN"/>
        </w:rPr>
        <w:t>/a的用量需求下，每年还可向园区提供3000-4000万m</w:t>
      </w:r>
      <w:r>
        <w:rPr>
          <w:rFonts w:cs="Times New Roman"/>
          <w:vertAlign w:val="superscript"/>
          <w:lang w:val="zh-CN"/>
        </w:rPr>
        <w:t>3</w:t>
      </w:r>
      <w:r>
        <w:rPr>
          <w:rFonts w:cs="Times New Roman"/>
          <w:lang w:val="zh-CN"/>
        </w:rPr>
        <w:t>。</w:t>
      </w:r>
    </w:p>
    <w:p>
      <w:pPr>
        <w:ind w:firstLine="482"/>
        <w:rPr>
          <w:rFonts w:cs="Times New Roman"/>
          <w:b/>
          <w:bCs/>
          <w:lang w:val="zh-CN"/>
        </w:rPr>
      </w:pPr>
      <w:r>
        <w:rPr>
          <w:rFonts w:cs="Times New Roman"/>
          <w:b/>
          <w:bCs/>
          <w:lang w:val="zh-CN"/>
        </w:rPr>
        <w:t>3、水厂布置</w:t>
      </w:r>
    </w:p>
    <w:p>
      <w:pPr>
        <w:ind w:firstLine="480"/>
        <w:rPr>
          <w:rFonts w:cs="Times New Roman"/>
          <w:lang w:val="zh-CN"/>
        </w:rPr>
      </w:pPr>
      <w:r>
        <w:rPr>
          <w:rFonts w:cs="Times New Roman"/>
          <w:lang w:val="zh-CN"/>
        </w:rPr>
        <w:t>在园区北靠近斜陂堰水库南部（太清村）规划建设水厂，规模4万m</w:t>
      </w:r>
      <w:r>
        <w:rPr>
          <w:rFonts w:cs="Times New Roman"/>
          <w:vertAlign w:val="superscript"/>
          <w:lang w:val="zh-CN"/>
        </w:rPr>
        <w:t>3</w:t>
      </w:r>
      <w:r>
        <w:rPr>
          <w:rFonts w:cs="Times New Roman"/>
          <w:lang w:val="zh-CN"/>
        </w:rPr>
        <w:t>/d，满足园区供水需求3.11万m</w:t>
      </w:r>
      <w:r>
        <w:rPr>
          <w:rFonts w:cs="Times New Roman"/>
          <w:vertAlign w:val="superscript"/>
          <w:lang w:val="zh-CN"/>
        </w:rPr>
        <w:t>3</w:t>
      </w:r>
      <w:r>
        <w:rPr>
          <w:rFonts w:cs="Times New Roman"/>
          <w:lang w:val="zh-CN"/>
        </w:rPr>
        <w:t>/d。</w:t>
      </w:r>
    </w:p>
    <w:p>
      <w:pPr>
        <w:ind w:firstLine="480"/>
        <w:rPr>
          <w:rFonts w:cs="Times New Roman"/>
          <w:lang w:val="zh-CN"/>
        </w:rPr>
      </w:pPr>
      <w:r>
        <w:rPr>
          <w:rFonts w:cs="Times New Roman"/>
          <w:lang w:val="zh-CN"/>
        </w:rPr>
        <w:t>本规划用水量为4万m</w:t>
      </w:r>
      <w:r>
        <w:rPr>
          <w:rFonts w:cs="Times New Roman"/>
          <w:vertAlign w:val="superscript"/>
          <w:lang w:val="zh-CN"/>
        </w:rPr>
        <w:t>3</w:t>
      </w:r>
      <w:r>
        <w:rPr>
          <w:rFonts w:cs="Times New Roman"/>
          <w:lang w:val="zh-CN"/>
        </w:rPr>
        <w:t>/d，合计1460万m</w:t>
      </w:r>
      <w:r>
        <w:rPr>
          <w:rFonts w:cs="Times New Roman"/>
          <w:vertAlign w:val="superscript"/>
          <w:lang w:val="zh-CN"/>
        </w:rPr>
        <w:t>3</w:t>
      </w:r>
      <w:r>
        <w:rPr>
          <w:rFonts w:cs="Times New Roman"/>
          <w:lang w:val="zh-CN"/>
        </w:rPr>
        <w:t>/a。斜陂堰水库在满足下游灌溉和生态补水外，多余容量可满足工业园及界牌镇用水需求。</w:t>
      </w:r>
    </w:p>
    <w:p>
      <w:pPr>
        <w:ind w:firstLine="482"/>
        <w:rPr>
          <w:rFonts w:cs="Times New Roman"/>
          <w:b/>
          <w:lang w:val="zh-CN"/>
        </w:rPr>
      </w:pPr>
      <w:r>
        <w:rPr>
          <w:rFonts w:cs="Times New Roman"/>
          <w:b/>
          <w:lang w:val="zh-CN"/>
        </w:rPr>
        <w:t>4、</w:t>
      </w:r>
      <w:r>
        <w:rPr>
          <w:rFonts w:cs="Times New Roman"/>
          <w:b/>
          <w:bCs/>
          <w:lang w:val="zh-CN"/>
        </w:rPr>
        <w:t>管网系统</w:t>
      </w:r>
    </w:p>
    <w:p>
      <w:pPr>
        <w:pStyle w:val="254"/>
        <w:spacing w:before="97"/>
        <w:rPr>
          <w:lang w:val="zh-CN"/>
        </w:rPr>
      </w:pPr>
      <w:r>
        <w:rPr>
          <w:lang w:val="zh-CN"/>
        </w:rPr>
        <w:t>工业园给水管网沿乐园大道、创业大道敷设给水主干管，干管管径分别为DQ1000、DN800：沿声罄大道、光明路、富园大道、旺园大道给水次干管，管径为DN600，在绕园1号北路、绕园2路、振园路、光园路铺设给管径为DN400给水水管，连接主次干管形成排水环状管网，以提高供水系统的安全性。道路沿线布置消火栓，消火栓间距不大于120米，并应尽量靠近路口布置。城市消防给水为低压消防体制。</w:t>
      </w:r>
    </w:p>
    <w:p>
      <w:pPr>
        <w:pStyle w:val="69"/>
        <w:ind w:firstLine="0" w:firstLineChars="0"/>
        <w:outlineLvl w:val="3"/>
        <w:rPr>
          <w:b/>
          <w:bCs/>
        </w:rPr>
      </w:pPr>
      <w:r>
        <w:rPr>
          <w:b/>
          <w:bCs/>
        </w:rPr>
        <w:t>4.2.7.3 排水工程规划</w:t>
      </w:r>
    </w:p>
    <w:p>
      <w:pPr>
        <w:ind w:firstLine="480"/>
        <w:rPr>
          <w:rFonts w:cs="Times New Roman"/>
          <w:lang w:val="zh-CN"/>
        </w:rPr>
      </w:pPr>
      <w:r>
        <w:rPr>
          <w:rFonts w:cs="Times New Roman"/>
          <w:lang w:val="zh-CN"/>
        </w:rPr>
        <w:t>排水系统采用雨污分流制排水体制。</w:t>
      </w:r>
    </w:p>
    <w:p>
      <w:pPr>
        <w:ind w:firstLine="482"/>
        <w:rPr>
          <w:rFonts w:cs="Times New Roman"/>
          <w:b/>
          <w:lang w:val="zh-CN"/>
        </w:rPr>
      </w:pPr>
      <w:r>
        <w:rPr>
          <w:rFonts w:cs="Times New Roman"/>
          <w:b/>
          <w:bCs/>
          <w:lang w:val="zh-CN"/>
        </w:rPr>
        <w:t>1、雨水排水系统</w:t>
      </w:r>
    </w:p>
    <w:p>
      <w:pPr>
        <w:ind w:firstLine="480"/>
        <w:rPr>
          <w:rFonts w:cs="Times New Roman"/>
          <w:lang w:val="zh-CN"/>
        </w:rPr>
      </w:pPr>
      <w:r>
        <w:rPr>
          <w:rFonts w:cs="Times New Roman"/>
          <w:lang w:val="zh-CN"/>
        </w:rPr>
        <w:t>界牌陶瓷工业园采用生态环保的规划理念，园区内保留了大量自然河流。</w:t>
      </w:r>
    </w:p>
    <w:p>
      <w:pPr>
        <w:ind w:firstLine="480"/>
        <w:rPr>
          <w:rFonts w:cs="Times New Roman"/>
          <w:lang w:val="zh-CN"/>
        </w:rPr>
      </w:pPr>
      <w:r>
        <w:rPr>
          <w:rFonts w:cs="Times New Roman"/>
          <w:lang w:val="zh-CN"/>
        </w:rPr>
        <w:t>雨水排放应充分利用地形，根据分散、直接的原则，按高水高排、低水低排、就近排放的原则划分排水分区，以最短的路线经雨水管道收集后就近排入附近溪流，雨水最终直接自流排入白象河流至岳沙河，各雨水出水口均应采用防淤措施。规划沿旺园太道部分段、声罄太道、兴业路部分段铺设D1000~1200雨水管，其他道路铺设D600~800雨水管。</w:t>
      </w:r>
    </w:p>
    <w:p>
      <w:pPr>
        <w:ind w:firstLine="482"/>
        <w:rPr>
          <w:rFonts w:cs="Times New Roman"/>
          <w:b/>
          <w:bCs/>
          <w:lang w:val="zh-CN"/>
        </w:rPr>
      </w:pPr>
      <w:r>
        <w:rPr>
          <w:rFonts w:cs="Times New Roman"/>
          <w:b/>
          <w:bCs/>
          <w:lang w:val="zh-CN"/>
        </w:rPr>
        <w:t>2、污水系统</w:t>
      </w:r>
    </w:p>
    <w:p>
      <w:pPr>
        <w:ind w:firstLine="480"/>
        <w:rPr>
          <w:rFonts w:cs="Times New Roman"/>
          <w:lang w:val="zh-CN"/>
        </w:rPr>
      </w:pPr>
      <w:r>
        <w:rPr>
          <w:rFonts w:cs="Times New Roman"/>
          <w:lang w:val="zh-CN"/>
        </w:rPr>
        <w:t>污水排水组织：沿声</w:t>
      </w:r>
      <w:r>
        <w:rPr>
          <w:rFonts w:cs="Times New Roman"/>
        </w:rPr>
        <w:t>罄</w:t>
      </w:r>
      <w:r>
        <w:rPr>
          <w:rFonts w:cs="Times New Roman"/>
          <w:lang w:val="zh-CN"/>
        </w:rPr>
        <w:t>大道、创业大道、兴业路、旺园大道铺设污水主干管，污水送至园区绕园1路北路与声</w:t>
      </w:r>
      <w:r>
        <w:rPr>
          <w:rFonts w:cs="Times New Roman"/>
        </w:rPr>
        <w:t>罄</w:t>
      </w:r>
      <w:r>
        <w:rPr>
          <w:rFonts w:cs="Times New Roman"/>
          <w:lang w:val="zh-CN"/>
        </w:rPr>
        <w:t>大道交叉点西部地段污水处理厂。</w:t>
      </w:r>
    </w:p>
    <w:p>
      <w:pPr>
        <w:ind w:firstLine="480"/>
        <w:rPr>
          <w:rFonts w:cs="Times New Roman"/>
          <w:lang w:val="zh-CN"/>
        </w:rPr>
      </w:pPr>
      <w:r>
        <w:rPr>
          <w:rFonts w:cs="Times New Roman"/>
          <w:lang w:val="zh-CN"/>
        </w:rPr>
        <w:t>污水管网：沿声</w:t>
      </w:r>
      <w:r>
        <w:rPr>
          <w:rFonts w:cs="Times New Roman"/>
        </w:rPr>
        <w:t>罄</w:t>
      </w:r>
      <w:r>
        <w:rPr>
          <w:rFonts w:cs="Times New Roman"/>
          <w:lang w:val="zh-CN"/>
        </w:rPr>
        <w:t>大道、创业大道、兴业路、旺园大道铺设污水主干管：其他道路铺设污水次干管。</w:t>
      </w:r>
    </w:p>
    <w:p>
      <w:pPr>
        <w:ind w:firstLine="480"/>
        <w:rPr>
          <w:rFonts w:cs="Times New Roman"/>
          <w:lang w:val="zh-CN"/>
        </w:rPr>
      </w:pPr>
      <w:r>
        <w:rPr>
          <w:rFonts w:cs="Times New Roman"/>
          <w:lang w:val="zh-CN"/>
        </w:rPr>
        <w:t>污水处理厂一座：在园区绕园1路北路与声馨大道交又点西部地段设置一座规模为5000吨/日污水处理厂，总占地0.95公顷。园区内各企业产生的工业废水自行处理后全部回用，生活污水达到《污水综合排放标准》（GB8978-1996）中三级标准后由污水收集管网输送至园区污水处理厂，污水处理厂出水水质达到《地表水环境质量标准》（GB3838-2002）III类标准后排入白象河。</w:t>
      </w:r>
    </w:p>
    <w:p>
      <w:pPr>
        <w:ind w:firstLine="480"/>
        <w:rPr>
          <w:rFonts w:cs="Times New Roman"/>
          <w:lang w:val="zh-CN"/>
        </w:rPr>
      </w:pPr>
      <w:r>
        <w:rPr>
          <w:rFonts w:cs="Times New Roman"/>
          <w:lang w:val="zh-CN"/>
        </w:rPr>
        <w:t>园区污水处理厂和排水管网必须在近期完成建设和运行，避免太量污水直接排入白象河。</w:t>
      </w:r>
    </w:p>
    <w:p>
      <w:pPr>
        <w:pStyle w:val="254"/>
        <w:spacing w:before="97"/>
      </w:pPr>
      <w:r>
        <w:rPr>
          <w:lang w:val="zh-CN"/>
        </w:rPr>
        <w:t>因为园区所在水系自象河和岳沙河的水环境容量过小，且岳沙河汇合蒸水后在台源镇处有一饮用水源地，且根据《衡</w:t>
      </w:r>
      <w:r>
        <w:t>阳</w:t>
      </w:r>
      <w:r>
        <w:rPr>
          <w:lang w:val="zh-CN"/>
        </w:rPr>
        <w:t>县饮用水水源地保护管理办法》（蒸政</w:t>
      </w:r>
      <w:r>
        <w:t>[</w:t>
      </w:r>
      <w:r>
        <w:rPr>
          <w:lang w:val="zh-CN"/>
        </w:rPr>
        <w:t>2011</w:t>
      </w:r>
      <w:r>
        <w:t>]</w:t>
      </w:r>
      <w:r>
        <w:rPr>
          <w:lang w:val="zh-CN"/>
        </w:rPr>
        <w:t>8号）岳沙河及下游蒸水为区域发展预留饮用水源地（因为园区发展需要及实际情况，衡</w:t>
      </w:r>
      <w:r>
        <w:t>阳</w:t>
      </w:r>
      <w:r>
        <w:rPr>
          <w:lang w:val="zh-CN"/>
        </w:rPr>
        <w:t>县政府已取消岳沙河作为预留饮用水源的功能，蒸政函</w:t>
      </w:r>
      <w:r>
        <w:t>[</w:t>
      </w:r>
      <w:r>
        <w:rPr>
          <w:lang w:val="zh-CN"/>
        </w:rPr>
        <w:t>2016</w:t>
      </w:r>
      <w:r>
        <w:t>]</w:t>
      </w:r>
      <w:r>
        <w:rPr>
          <w:lang w:val="zh-CN"/>
        </w:rPr>
        <w:t>48号），水环境比较敏感，所以园区生产废水由企业自行处理后回用于生产，不外排，生活污水由园区污水厂处理达到地表水III类标准后排入白象河，避免对白象河、岳沙泣及下游蒸水水质产生不利影响。</w:t>
      </w:r>
    </w:p>
    <w:p>
      <w:pPr>
        <w:pStyle w:val="69"/>
        <w:ind w:firstLine="0" w:firstLineChars="0"/>
        <w:outlineLvl w:val="3"/>
        <w:rPr>
          <w:b/>
          <w:bCs/>
        </w:rPr>
      </w:pPr>
      <w:r>
        <w:rPr>
          <w:b/>
          <w:bCs/>
        </w:rPr>
        <w:t xml:space="preserve">4.2.7.4 供电工程 </w:t>
      </w:r>
    </w:p>
    <w:p>
      <w:pPr>
        <w:ind w:firstLine="480"/>
        <w:rPr>
          <w:rFonts w:cs="Times New Roman"/>
          <w:lang w:val="zh-CN"/>
        </w:rPr>
      </w:pPr>
      <w:r>
        <w:rPr>
          <w:rFonts w:cs="Times New Roman"/>
          <w:lang w:val="zh-CN"/>
        </w:rPr>
        <w:t>工业园区的用电由生产、生活和公共市政用电三部分组成。合计用电负荷：近期7.9216万k</w:t>
      </w:r>
      <w:r>
        <w:rPr>
          <w:rFonts w:cs="Times New Roman"/>
        </w:rPr>
        <w:t>w</w:t>
      </w:r>
      <w:r>
        <w:rPr>
          <w:rFonts w:cs="Times New Roman"/>
          <w:lang w:val="zh-CN"/>
        </w:rPr>
        <w:t>，远期16.1024万kw，由供电公司负责供电，在园区西入口处及园区中部分别设置110kv变电站一处，占地0.3公顷。电源接东南部集兵镇220kv变电站。110kV高压线路规划高压走廊宽度为20m。园区内10KV中压配电线路原则上以架空敷设为主，380/220伏低压线路原则上在地下敷设。可满足园区基本建设生产用电需要。</w:t>
      </w:r>
    </w:p>
    <w:p>
      <w:pPr>
        <w:pStyle w:val="4"/>
        <w:adjustRightInd w:val="0"/>
        <w:snapToGrid w:val="0"/>
        <w:jc w:val="left"/>
        <w:rPr>
          <w:rFonts w:cs="Times New Roman"/>
          <w:szCs w:val="24"/>
        </w:rPr>
      </w:pPr>
      <w:bookmarkStart w:id="109" w:name="_Toc86611282"/>
      <w:r>
        <w:rPr>
          <w:rFonts w:cs="Times New Roman"/>
          <w:szCs w:val="24"/>
        </w:rPr>
        <w:t>4.2.8 居住安置规划</w:t>
      </w:r>
      <w:bookmarkEnd w:id="109"/>
    </w:p>
    <w:p>
      <w:pPr>
        <w:ind w:firstLine="482"/>
        <w:rPr>
          <w:rFonts w:cs="Times New Roman"/>
          <w:b/>
          <w:bCs/>
          <w:lang w:val="zh-CN"/>
        </w:rPr>
      </w:pPr>
      <w:r>
        <w:rPr>
          <w:rFonts w:cs="Times New Roman"/>
          <w:b/>
          <w:bCs/>
          <w:lang w:val="zh-CN"/>
        </w:rPr>
        <w:t>1、安置人口</w:t>
      </w:r>
    </w:p>
    <w:p>
      <w:pPr>
        <w:ind w:firstLine="480"/>
        <w:rPr>
          <w:rFonts w:cs="Times New Roman"/>
          <w:lang w:val="zh-CN"/>
        </w:rPr>
      </w:pPr>
      <w:r>
        <w:rPr>
          <w:rFonts w:cs="Times New Roman"/>
          <w:lang w:val="zh-CN"/>
        </w:rPr>
        <w:t>园区征地拆迁涉及白象、象山、众拱、石壁、唐福、太清共6个行政村，共计163户770人，南阳村不在拆迁范围内。园区内白象学校将搬迁至综合服务组团范围内，师生共约250人。</w:t>
      </w:r>
    </w:p>
    <w:p>
      <w:pPr>
        <w:ind w:firstLine="482"/>
        <w:rPr>
          <w:rFonts w:cs="Times New Roman"/>
          <w:b/>
          <w:bCs/>
          <w:lang w:val="zh-CN"/>
        </w:rPr>
      </w:pPr>
      <w:r>
        <w:rPr>
          <w:rFonts w:cs="Times New Roman"/>
          <w:b/>
          <w:bCs/>
          <w:lang w:val="zh-CN"/>
        </w:rPr>
        <w:t>2、安置规划</w:t>
      </w:r>
    </w:p>
    <w:p>
      <w:pPr>
        <w:ind w:firstLine="480"/>
        <w:rPr>
          <w:rFonts w:cs="Times New Roman"/>
          <w:lang w:val="zh-CN"/>
        </w:rPr>
      </w:pPr>
      <w:r>
        <w:rPr>
          <w:rFonts w:cs="Times New Roman"/>
          <w:lang w:val="zh-CN"/>
        </w:rPr>
        <w:t>园区拆迁安置遵循“基础先行、成片开发、提前拆迁、依托市场集中安置”的思路，对安置用地尽量做到只征不转，充分利用新农村建设的配套政策，与产业园区建设结合，在园区外围建设农民新村。农民新村主要位于石壁村、唐福村。规划中的二类居住用地仅作为综合类用地，不作为安置用地。规划的唐福村安置点处于工业园区侧下风向范围。</w:t>
      </w:r>
    </w:p>
    <w:p>
      <w:pPr>
        <w:ind w:firstLine="480"/>
        <w:rPr>
          <w:rFonts w:cs="Times New Roman"/>
          <w:lang w:val="zh-CN"/>
        </w:rPr>
      </w:pPr>
      <w:r>
        <w:rPr>
          <w:rFonts w:cs="Times New Roman"/>
          <w:lang w:val="zh-CN"/>
        </w:rPr>
        <w:t>不符合环境保护要求，建议进行调整，日需安置在规划企业大气环境防护距离之外，避免园区气型污染对其产生较大影响。</w:t>
      </w:r>
    </w:p>
    <w:p>
      <w:pPr>
        <w:ind w:firstLine="482"/>
        <w:rPr>
          <w:rFonts w:cs="Times New Roman"/>
          <w:b/>
          <w:bCs/>
          <w:lang w:val="zh-CN"/>
        </w:rPr>
      </w:pPr>
      <w:r>
        <w:rPr>
          <w:rFonts w:cs="Times New Roman"/>
          <w:b/>
          <w:bCs/>
          <w:lang w:val="zh-CN"/>
        </w:rPr>
        <w:t>3、安置方式</w:t>
      </w:r>
    </w:p>
    <w:p>
      <w:pPr>
        <w:ind w:firstLine="480"/>
        <w:rPr>
          <w:rFonts w:cs="Times New Roman"/>
          <w:lang w:val="zh-CN"/>
        </w:rPr>
      </w:pPr>
      <w:r>
        <w:rPr>
          <w:rFonts w:cs="Times New Roman"/>
          <w:lang w:val="zh-CN"/>
        </w:rPr>
        <w:t>对于在工业园发展过程中耕地、宅基地被征用的农民，主要采取以下几种安置方式：</w:t>
      </w:r>
    </w:p>
    <w:p>
      <w:pPr>
        <w:ind w:firstLine="480"/>
        <w:rPr>
          <w:rFonts w:cs="Times New Roman"/>
          <w:lang w:val="zh-CN"/>
        </w:rPr>
      </w:pPr>
      <w:r>
        <w:rPr>
          <w:rFonts w:hint="eastAsia" w:ascii="宋体" w:hAnsi="宋体" w:cs="宋体"/>
          <w:lang w:val="zh-CN"/>
        </w:rPr>
        <w:t>①</w:t>
      </w:r>
      <w:r>
        <w:rPr>
          <w:rFonts w:cs="Times New Roman"/>
          <w:lang w:val="zh-CN"/>
        </w:rPr>
        <w:t>一次性完全货币补偿法</w:t>
      </w:r>
    </w:p>
    <w:p>
      <w:pPr>
        <w:ind w:firstLine="480"/>
        <w:rPr>
          <w:rFonts w:cs="Times New Roman"/>
          <w:lang w:val="zh-CN"/>
        </w:rPr>
      </w:pPr>
      <w:r>
        <w:rPr>
          <w:rFonts w:cs="Times New Roman"/>
          <w:lang w:val="zh-CN"/>
        </w:rPr>
        <w:t>即综合分析现有建筑的面积、材料结构、区位商业价值情况、现有耕地与种植情况、身份置换及以后一定年限生活保障情况等因素，采取货币方式一次性补偿到位，其拆迁后的安置问题由居民本人自己解决，政府不再承担其它安置责任，这类方法适用于那些能够解决或已有安置处所的居民。</w:t>
      </w:r>
    </w:p>
    <w:p>
      <w:pPr>
        <w:ind w:firstLine="480"/>
        <w:rPr>
          <w:rFonts w:cs="Times New Roman"/>
          <w:lang w:val="zh-CN"/>
        </w:rPr>
      </w:pPr>
      <w:r>
        <w:rPr>
          <w:rFonts w:hint="eastAsia" w:ascii="宋体" w:hAnsi="宋体" w:cs="宋体"/>
          <w:lang w:val="zh-CN"/>
        </w:rPr>
        <w:t>②</w:t>
      </w:r>
      <w:r>
        <w:rPr>
          <w:rFonts w:cs="Times New Roman"/>
          <w:lang w:val="zh-CN"/>
        </w:rPr>
        <w:t>劳动力转移法</w:t>
      </w:r>
    </w:p>
    <w:p>
      <w:pPr>
        <w:ind w:firstLine="480"/>
        <w:rPr>
          <w:rFonts w:cs="Times New Roman"/>
          <w:lang w:val="zh-CN"/>
        </w:rPr>
      </w:pPr>
      <w:r>
        <w:rPr>
          <w:rFonts w:cs="Times New Roman"/>
          <w:lang w:val="zh-CN"/>
        </w:rPr>
        <w:t>针对工业区内居民的劳动力情况，政府将其适当安排到园区服务或工业企业内适当的岗位。</w:t>
      </w:r>
    </w:p>
    <w:p>
      <w:pPr>
        <w:ind w:firstLine="480"/>
        <w:rPr>
          <w:rFonts w:cs="Times New Roman"/>
          <w:lang w:val="zh-CN"/>
        </w:rPr>
      </w:pPr>
      <w:r>
        <w:rPr>
          <w:rFonts w:hint="eastAsia" w:ascii="宋体" w:hAnsi="宋体" w:cs="宋体"/>
          <w:lang w:val="zh-CN"/>
        </w:rPr>
        <w:t>③</w:t>
      </w:r>
      <w:r>
        <w:rPr>
          <w:rFonts w:cs="Times New Roman"/>
          <w:lang w:val="zh-CN"/>
        </w:rPr>
        <w:t>土地入股法</w:t>
      </w:r>
    </w:p>
    <w:p>
      <w:pPr>
        <w:ind w:firstLine="480"/>
        <w:rPr>
          <w:rFonts w:cs="Times New Roman"/>
          <w:lang w:val="zh-CN"/>
        </w:rPr>
      </w:pPr>
      <w:r>
        <w:rPr>
          <w:rFonts w:cs="Times New Roman"/>
          <w:lang w:val="zh-CN"/>
        </w:rPr>
        <w:t>对居民的土地采取征收统一管理办法，但不以货币补偿，而是将其土地入股成立开发公司，在符合国家法律、法规、政策及工业园区管理的条件下经营土地，居民从土地收益中分红。解决失地村民的生活来源问题既要政府引导，也要充分考虑失地村民本人的意愿。</w:t>
      </w:r>
    </w:p>
    <w:p>
      <w:pPr>
        <w:ind w:firstLine="482"/>
        <w:rPr>
          <w:rFonts w:cs="Times New Roman"/>
          <w:b/>
          <w:bCs/>
          <w:lang w:val="zh-CN"/>
        </w:rPr>
      </w:pPr>
      <w:r>
        <w:rPr>
          <w:rFonts w:cs="Times New Roman"/>
          <w:b/>
          <w:bCs/>
          <w:lang w:val="zh-CN"/>
        </w:rPr>
        <w:t>4、分期拆迁及建设控制、引导</w:t>
      </w:r>
    </w:p>
    <w:p>
      <w:pPr>
        <w:ind w:firstLine="480"/>
        <w:rPr>
          <w:rFonts w:cs="Times New Roman"/>
          <w:lang w:val="zh-CN"/>
        </w:rPr>
      </w:pPr>
      <w:r>
        <w:rPr>
          <w:rFonts w:cs="Times New Roman"/>
          <w:lang w:val="zh-CN"/>
        </w:rPr>
        <w:t>根据近期建设规划图，近期拆迁区域主要集中在创业大道和声馨大道南北两侧区域，在近期拆迁区内禁止新建村宅，以保障工业园近期发展的用地需求。对远期拆迁区进行合理控制，根据农村建设规划，采取有效措施引导居民向集中居住示范区或农民新村集中居住。</w:t>
      </w:r>
    </w:p>
    <w:p>
      <w:pPr>
        <w:ind w:firstLine="480"/>
        <w:rPr>
          <w:rFonts w:cs="Times New Roman"/>
          <w:lang w:val="zh-CN"/>
        </w:rPr>
      </w:pPr>
      <w:r>
        <w:rPr>
          <w:rFonts w:cs="Times New Roman"/>
          <w:lang w:val="zh-CN"/>
        </w:rPr>
        <w:t>对远期拆迁区内的建房中请原则上不限制，但在其申请阶段便要签定一份协议书，即在该区内新建房，政府不予补贴，将来拆迁时将一律不予以赔偿拆迁费，而如果中请建房的村民愿意迁往规划安置区，则政府可以进行一定补贴，如免收征地费、政府补贴一定建房费等。</w:t>
      </w:r>
    </w:p>
    <w:p>
      <w:pPr>
        <w:pStyle w:val="3"/>
        <w:rPr>
          <w:rFonts w:cs="Times New Roman"/>
          <w:lang w:val="zh-CN"/>
        </w:rPr>
      </w:pPr>
      <w:bookmarkStart w:id="110" w:name="_Toc86611283"/>
      <w:r>
        <w:rPr>
          <w:rFonts w:cs="Times New Roman"/>
          <w:lang w:val="zh-CN"/>
        </w:rPr>
        <w:t>4.4区域污染源调查</w:t>
      </w:r>
      <w:bookmarkEnd w:id="110"/>
    </w:p>
    <w:p>
      <w:pPr>
        <w:ind w:firstLine="480"/>
        <w:rPr>
          <w:rFonts w:cs="Times New Roman"/>
        </w:rPr>
      </w:pPr>
      <w:r>
        <w:rPr>
          <w:rFonts w:cs="Times New Roman"/>
        </w:rPr>
        <w:t>目标位于衡阳界牌镇陶瓷循环经济特色工业园内，现有入园规模企业8家，其中阳光陶瓷主要利用废弃瓷泥原料生产琉璃瓦等建筑陶瓷，既符合循环经济的发展思路，又适应了当前新农村建设的广大市场，企业准备包装上市；中信陶瓷主要生产瓷杯、瓷碗、瓷碟等日用瓷，产品远销俄罗斯等东欧国家；旭辉陶瓷、共兴陶瓷、伟恒陶瓷、盛泰陶瓷、文杰矿业、金瑞达矿业是高档陶瓷原料生产企业，是园区高档陶瓷加工必备的上游企业。衡阳和美园食品有限公司虽地处工业园区控制区而不在建设区范围内，但是其不属于陶瓷行业，不符合园区产业规划，建议搬迁。在园区西北角原有一瓷泥加工企业——衡阳金瑞达矿业有限公司，占地面积为2.1万m</w:t>
      </w:r>
      <w:r>
        <w:rPr>
          <w:rFonts w:cs="Times New Roman"/>
          <w:vertAlign w:val="superscript"/>
        </w:rPr>
        <w:t>2</w:t>
      </w:r>
      <w:r>
        <w:rPr>
          <w:rFonts w:cs="Times New Roman"/>
        </w:rPr>
        <w:t>，成立于1981年，1996年已停产关闭。园区各企业主要概况统计见表4.4-1。</w:t>
      </w:r>
    </w:p>
    <w:p>
      <w:pPr>
        <w:ind w:firstLine="480"/>
        <w:rPr>
          <w:rFonts w:cs="Times New Roman"/>
        </w:rPr>
        <w:sectPr>
          <w:pgSz w:w="11906" w:h="16838"/>
          <w:pgMar w:top="1440" w:right="1800" w:bottom="1440" w:left="1800" w:header="851" w:footer="992" w:gutter="0"/>
          <w:cols w:space="425" w:num="1"/>
          <w:docGrid w:type="lines" w:linePitch="326" w:charSpace="0"/>
        </w:sectPr>
      </w:pPr>
    </w:p>
    <w:p>
      <w:pPr>
        <w:pStyle w:val="14"/>
        <w:spacing w:before="163" w:beforeLines="50"/>
        <w:ind w:firstLine="420"/>
        <w:rPr>
          <w:color w:val="auto"/>
          <w:szCs w:val="24"/>
        </w:rPr>
      </w:pPr>
      <w:r>
        <w:rPr>
          <w:color w:val="auto"/>
          <w:szCs w:val="24"/>
        </w:rPr>
        <w:t>表4.4-1  评价范围内现有及在建企业基本情况表</w:t>
      </w:r>
    </w:p>
    <w:tbl>
      <w:tblPr>
        <w:tblStyle w:val="4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06"/>
        <w:gridCol w:w="2650"/>
        <w:gridCol w:w="1033"/>
        <w:gridCol w:w="2250"/>
        <w:gridCol w:w="1406"/>
        <w:gridCol w:w="1577"/>
        <w:gridCol w:w="2180"/>
        <w:gridCol w:w="1406"/>
        <w:gridCol w:w="14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blHeader/>
          <w:jc w:val="center"/>
        </w:trPr>
        <w:tc>
          <w:tcPr>
            <w:tcW w:w="274" w:type="pct"/>
            <w:tcBorders>
              <w:tl2br w:val="nil"/>
              <w:tr2bl w:val="nil"/>
            </w:tcBorders>
            <w:vAlign w:val="center"/>
          </w:tcPr>
          <w:p>
            <w:pPr>
              <w:spacing w:line="240" w:lineRule="auto"/>
              <w:ind w:firstLine="0" w:firstLineChars="0"/>
              <w:jc w:val="center"/>
              <w:rPr>
                <w:rFonts w:cs="Times New Roman"/>
                <w:b/>
                <w:sz w:val="21"/>
                <w:szCs w:val="21"/>
              </w:rPr>
            </w:pPr>
            <w:r>
              <w:rPr>
                <w:rFonts w:cs="Times New Roman"/>
                <w:b/>
                <w:sz w:val="21"/>
                <w:szCs w:val="21"/>
              </w:rPr>
              <w:t>序号</w:t>
            </w:r>
          </w:p>
        </w:tc>
        <w:tc>
          <w:tcPr>
            <w:tcW w:w="901" w:type="pct"/>
            <w:tcBorders>
              <w:tl2br w:val="nil"/>
              <w:tr2bl w:val="nil"/>
            </w:tcBorders>
            <w:vAlign w:val="center"/>
          </w:tcPr>
          <w:p>
            <w:pPr>
              <w:spacing w:line="240" w:lineRule="auto"/>
              <w:ind w:firstLine="0" w:firstLineChars="0"/>
              <w:jc w:val="center"/>
              <w:rPr>
                <w:rFonts w:cs="Times New Roman"/>
                <w:b/>
                <w:sz w:val="21"/>
                <w:szCs w:val="21"/>
              </w:rPr>
            </w:pPr>
            <w:r>
              <w:rPr>
                <w:rFonts w:cs="Times New Roman"/>
                <w:b/>
                <w:sz w:val="21"/>
                <w:szCs w:val="21"/>
              </w:rPr>
              <w:t>企业名称</w:t>
            </w:r>
          </w:p>
        </w:tc>
        <w:tc>
          <w:tcPr>
            <w:tcW w:w="351" w:type="pct"/>
            <w:tcBorders>
              <w:tl2br w:val="nil"/>
              <w:tr2bl w:val="nil"/>
            </w:tcBorders>
            <w:vAlign w:val="center"/>
          </w:tcPr>
          <w:p>
            <w:pPr>
              <w:spacing w:line="240" w:lineRule="auto"/>
              <w:ind w:firstLine="0" w:firstLineChars="0"/>
              <w:jc w:val="center"/>
              <w:rPr>
                <w:rFonts w:cs="Times New Roman"/>
                <w:b/>
                <w:sz w:val="21"/>
                <w:szCs w:val="21"/>
              </w:rPr>
            </w:pPr>
            <w:r>
              <w:rPr>
                <w:rFonts w:cs="Times New Roman"/>
                <w:b/>
                <w:sz w:val="21"/>
                <w:szCs w:val="21"/>
              </w:rPr>
              <w:t>占地面积（m</w:t>
            </w:r>
            <w:r>
              <w:rPr>
                <w:rFonts w:cs="Times New Roman"/>
                <w:b/>
                <w:sz w:val="21"/>
                <w:szCs w:val="21"/>
                <w:vertAlign w:val="superscript"/>
              </w:rPr>
              <w:t>2</w:t>
            </w:r>
            <w:r>
              <w:rPr>
                <w:rFonts w:cs="Times New Roman"/>
                <w:b/>
                <w:sz w:val="21"/>
                <w:szCs w:val="21"/>
              </w:rPr>
              <w:t>）</w:t>
            </w:r>
          </w:p>
        </w:tc>
        <w:tc>
          <w:tcPr>
            <w:tcW w:w="765" w:type="pct"/>
            <w:tcBorders>
              <w:tl2br w:val="nil"/>
              <w:tr2bl w:val="nil"/>
            </w:tcBorders>
            <w:vAlign w:val="center"/>
          </w:tcPr>
          <w:p>
            <w:pPr>
              <w:spacing w:line="240" w:lineRule="auto"/>
              <w:ind w:firstLine="0" w:firstLineChars="0"/>
              <w:jc w:val="center"/>
              <w:rPr>
                <w:rFonts w:cs="Times New Roman"/>
                <w:b/>
                <w:sz w:val="21"/>
                <w:szCs w:val="21"/>
              </w:rPr>
            </w:pPr>
            <w:r>
              <w:rPr>
                <w:rFonts w:cs="Times New Roman"/>
                <w:b/>
                <w:sz w:val="21"/>
                <w:szCs w:val="21"/>
              </w:rPr>
              <w:t>产品及生产规模</w:t>
            </w:r>
          </w:p>
          <w:p>
            <w:pPr>
              <w:spacing w:line="240" w:lineRule="auto"/>
              <w:ind w:firstLine="0" w:firstLineChars="0"/>
              <w:jc w:val="center"/>
              <w:rPr>
                <w:rFonts w:cs="Times New Roman"/>
                <w:b/>
                <w:sz w:val="21"/>
                <w:szCs w:val="21"/>
              </w:rPr>
            </w:pPr>
            <w:r>
              <w:rPr>
                <w:rFonts w:cs="Times New Roman"/>
                <w:b/>
                <w:sz w:val="21"/>
                <w:szCs w:val="21"/>
              </w:rPr>
              <w:t>单位：吨/年</w:t>
            </w:r>
          </w:p>
        </w:tc>
        <w:tc>
          <w:tcPr>
            <w:tcW w:w="478" w:type="pct"/>
            <w:tcBorders>
              <w:tl2br w:val="nil"/>
              <w:tr2bl w:val="nil"/>
            </w:tcBorders>
            <w:vAlign w:val="center"/>
          </w:tcPr>
          <w:p>
            <w:pPr>
              <w:spacing w:line="240" w:lineRule="auto"/>
              <w:ind w:firstLine="0" w:firstLineChars="0"/>
              <w:jc w:val="center"/>
              <w:rPr>
                <w:rFonts w:cs="Times New Roman"/>
                <w:b/>
                <w:sz w:val="21"/>
                <w:szCs w:val="21"/>
              </w:rPr>
            </w:pPr>
            <w:r>
              <w:rPr>
                <w:rFonts w:cs="Times New Roman"/>
                <w:b/>
                <w:sz w:val="21"/>
                <w:szCs w:val="21"/>
              </w:rPr>
              <w:t>行业类别</w:t>
            </w:r>
          </w:p>
        </w:tc>
        <w:tc>
          <w:tcPr>
            <w:tcW w:w="536" w:type="pct"/>
            <w:tcBorders>
              <w:tl2br w:val="nil"/>
              <w:tr2bl w:val="nil"/>
            </w:tcBorders>
            <w:vAlign w:val="center"/>
          </w:tcPr>
          <w:p>
            <w:pPr>
              <w:spacing w:line="240" w:lineRule="auto"/>
              <w:ind w:firstLine="0" w:firstLineChars="0"/>
              <w:jc w:val="center"/>
              <w:rPr>
                <w:rFonts w:cs="Times New Roman"/>
                <w:b/>
                <w:sz w:val="21"/>
                <w:szCs w:val="21"/>
              </w:rPr>
            </w:pPr>
            <w:r>
              <w:rPr>
                <w:rFonts w:cs="Times New Roman"/>
                <w:b/>
                <w:sz w:val="21"/>
                <w:szCs w:val="21"/>
              </w:rPr>
              <w:t>环评批复情况</w:t>
            </w:r>
          </w:p>
        </w:tc>
        <w:tc>
          <w:tcPr>
            <w:tcW w:w="741" w:type="pct"/>
            <w:tcBorders>
              <w:tl2br w:val="nil"/>
              <w:tr2bl w:val="nil"/>
            </w:tcBorders>
            <w:vAlign w:val="center"/>
          </w:tcPr>
          <w:p>
            <w:pPr>
              <w:spacing w:line="240" w:lineRule="auto"/>
              <w:ind w:firstLine="0" w:firstLineChars="0"/>
              <w:jc w:val="center"/>
              <w:rPr>
                <w:rFonts w:cs="Times New Roman"/>
                <w:b/>
                <w:sz w:val="21"/>
                <w:szCs w:val="21"/>
              </w:rPr>
            </w:pPr>
            <w:r>
              <w:rPr>
                <w:rFonts w:cs="Times New Roman"/>
                <w:b/>
                <w:sz w:val="21"/>
                <w:szCs w:val="21"/>
              </w:rPr>
              <w:t>污染物排放情况</w:t>
            </w:r>
          </w:p>
          <w:p>
            <w:pPr>
              <w:spacing w:line="240" w:lineRule="auto"/>
              <w:ind w:firstLine="0" w:firstLineChars="0"/>
              <w:jc w:val="center"/>
              <w:rPr>
                <w:rFonts w:cs="Times New Roman"/>
                <w:b/>
                <w:sz w:val="21"/>
                <w:szCs w:val="21"/>
              </w:rPr>
            </w:pPr>
            <w:r>
              <w:rPr>
                <w:rFonts w:cs="Times New Roman"/>
                <w:b/>
                <w:sz w:val="21"/>
                <w:szCs w:val="21"/>
              </w:rPr>
              <w:t>单位：吨/年</w:t>
            </w:r>
          </w:p>
        </w:tc>
        <w:tc>
          <w:tcPr>
            <w:tcW w:w="478" w:type="pct"/>
            <w:tcBorders>
              <w:tl2br w:val="nil"/>
              <w:tr2bl w:val="nil"/>
            </w:tcBorders>
            <w:vAlign w:val="center"/>
          </w:tcPr>
          <w:p>
            <w:pPr>
              <w:spacing w:line="240" w:lineRule="auto"/>
              <w:ind w:firstLine="0" w:firstLineChars="0"/>
              <w:jc w:val="center"/>
              <w:rPr>
                <w:rFonts w:cs="Times New Roman"/>
                <w:b/>
                <w:sz w:val="21"/>
                <w:szCs w:val="21"/>
              </w:rPr>
            </w:pPr>
            <w:r>
              <w:rPr>
                <w:rFonts w:cs="Times New Roman"/>
                <w:b/>
                <w:sz w:val="21"/>
                <w:szCs w:val="21"/>
              </w:rPr>
              <w:t>符合园区规划</w:t>
            </w:r>
          </w:p>
        </w:tc>
        <w:tc>
          <w:tcPr>
            <w:tcW w:w="476" w:type="pct"/>
            <w:tcBorders>
              <w:tl2br w:val="nil"/>
              <w:tr2bl w:val="nil"/>
            </w:tcBorders>
            <w:vAlign w:val="center"/>
          </w:tcPr>
          <w:p>
            <w:pPr>
              <w:spacing w:line="240" w:lineRule="auto"/>
              <w:ind w:firstLine="0" w:firstLineChars="0"/>
              <w:jc w:val="center"/>
              <w:rPr>
                <w:rFonts w:cs="Times New Roman"/>
                <w:b/>
                <w:sz w:val="21"/>
                <w:szCs w:val="21"/>
              </w:rPr>
            </w:pPr>
            <w:r>
              <w:rPr>
                <w:rFonts w:cs="Times New Roman"/>
                <w:b/>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274"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w:t>
            </w:r>
          </w:p>
        </w:tc>
        <w:tc>
          <w:tcPr>
            <w:tcW w:w="90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衡阳和美园食品有限公司</w:t>
            </w:r>
          </w:p>
        </w:tc>
        <w:tc>
          <w:tcPr>
            <w:tcW w:w="3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11192</w:t>
            </w:r>
          </w:p>
        </w:tc>
        <w:tc>
          <w:tcPr>
            <w:tcW w:w="76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年产1万吨果冻</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农副食品加工业</w:t>
            </w:r>
          </w:p>
        </w:tc>
        <w:tc>
          <w:tcPr>
            <w:tcW w:w="53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蒸环评函[2013]27号</w:t>
            </w:r>
          </w:p>
        </w:tc>
        <w:tc>
          <w:tcPr>
            <w:tcW w:w="74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lang w:val="de-DE"/>
              </w:rPr>
              <w:t>CODcr：</w:t>
            </w:r>
            <w:r>
              <w:rPr>
                <w:rFonts w:cs="Times New Roman"/>
                <w:sz w:val="21"/>
                <w:szCs w:val="21"/>
              </w:rPr>
              <w:t>0.834；氨氮</w:t>
            </w:r>
            <w:r>
              <w:rPr>
                <w:rFonts w:cs="Times New Roman"/>
                <w:sz w:val="21"/>
                <w:szCs w:val="21"/>
                <w:lang w:val="de-DE"/>
              </w:rPr>
              <w:t>：</w:t>
            </w:r>
            <w:r>
              <w:rPr>
                <w:rFonts w:cs="Times New Roman"/>
                <w:sz w:val="21"/>
                <w:szCs w:val="21"/>
              </w:rPr>
              <w:t>0.032</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否</w:t>
            </w:r>
          </w:p>
        </w:tc>
        <w:tc>
          <w:tcPr>
            <w:tcW w:w="47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园区外，在产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274"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2</w:t>
            </w:r>
          </w:p>
        </w:tc>
        <w:tc>
          <w:tcPr>
            <w:tcW w:w="90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衡阳界牌中信陶瓷有限公司</w:t>
            </w:r>
          </w:p>
        </w:tc>
        <w:tc>
          <w:tcPr>
            <w:tcW w:w="3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13282</w:t>
            </w:r>
          </w:p>
        </w:tc>
        <w:tc>
          <w:tcPr>
            <w:tcW w:w="76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年产50万个日用陶瓷彩烤加工</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日用陶瓷制品制造</w:t>
            </w:r>
          </w:p>
        </w:tc>
        <w:tc>
          <w:tcPr>
            <w:tcW w:w="53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蒸环评函[2011]71号</w:t>
            </w:r>
          </w:p>
        </w:tc>
        <w:tc>
          <w:tcPr>
            <w:tcW w:w="74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是</w:t>
            </w:r>
          </w:p>
        </w:tc>
        <w:tc>
          <w:tcPr>
            <w:tcW w:w="47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园区内，在产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274"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3</w:t>
            </w:r>
          </w:p>
        </w:tc>
        <w:tc>
          <w:tcPr>
            <w:tcW w:w="90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衡阳共兴陶瓷原料有限公司</w:t>
            </w:r>
          </w:p>
        </w:tc>
        <w:tc>
          <w:tcPr>
            <w:tcW w:w="3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16667</w:t>
            </w:r>
          </w:p>
        </w:tc>
        <w:tc>
          <w:tcPr>
            <w:tcW w:w="76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年精加工6万吨长石（不含采矿）</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非金属矿采选</w:t>
            </w:r>
          </w:p>
        </w:tc>
        <w:tc>
          <w:tcPr>
            <w:tcW w:w="53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蒸环评函[2013]31号</w:t>
            </w:r>
          </w:p>
        </w:tc>
        <w:tc>
          <w:tcPr>
            <w:tcW w:w="74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lang w:val="de-DE"/>
              </w:rPr>
              <w:t>CODcr：</w:t>
            </w:r>
            <w:r>
              <w:rPr>
                <w:rFonts w:cs="Times New Roman"/>
                <w:sz w:val="21"/>
                <w:szCs w:val="21"/>
              </w:rPr>
              <w:t>0.104；氨氮</w:t>
            </w:r>
            <w:r>
              <w:rPr>
                <w:rFonts w:cs="Times New Roman"/>
                <w:sz w:val="21"/>
                <w:szCs w:val="21"/>
                <w:lang w:val="de-DE"/>
              </w:rPr>
              <w:t>：</w:t>
            </w:r>
            <w:r>
              <w:rPr>
                <w:rFonts w:cs="Times New Roman"/>
                <w:sz w:val="21"/>
                <w:szCs w:val="21"/>
              </w:rPr>
              <w:t>0.014</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是</w:t>
            </w:r>
          </w:p>
        </w:tc>
        <w:tc>
          <w:tcPr>
            <w:tcW w:w="47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园区内，在产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274"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4</w:t>
            </w:r>
          </w:p>
        </w:tc>
        <w:tc>
          <w:tcPr>
            <w:tcW w:w="90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衡阳阳光陶瓷有限公司</w:t>
            </w:r>
          </w:p>
        </w:tc>
        <w:tc>
          <w:tcPr>
            <w:tcW w:w="3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104000</w:t>
            </w:r>
          </w:p>
        </w:tc>
        <w:tc>
          <w:tcPr>
            <w:tcW w:w="76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年产1000万m</w:t>
            </w:r>
            <w:r>
              <w:rPr>
                <w:rFonts w:cs="Times New Roman"/>
                <w:sz w:val="21"/>
                <w:szCs w:val="21"/>
                <w:vertAlign w:val="superscript"/>
              </w:rPr>
              <w:t>2</w:t>
            </w:r>
            <w:r>
              <w:rPr>
                <w:rFonts w:cs="Times New Roman"/>
                <w:sz w:val="21"/>
                <w:szCs w:val="21"/>
              </w:rPr>
              <w:t>琉璃瓦、100万m</w:t>
            </w:r>
            <w:r>
              <w:rPr>
                <w:rFonts w:cs="Times New Roman"/>
                <w:sz w:val="21"/>
                <w:szCs w:val="21"/>
                <w:vertAlign w:val="superscript"/>
              </w:rPr>
              <w:t>2</w:t>
            </w:r>
            <w:r>
              <w:rPr>
                <w:rFonts w:cs="Times New Roman"/>
                <w:sz w:val="21"/>
                <w:szCs w:val="21"/>
              </w:rPr>
              <w:t>琉璃配件、600万m</w:t>
            </w:r>
            <w:r>
              <w:rPr>
                <w:rFonts w:cs="Times New Roman"/>
                <w:sz w:val="21"/>
                <w:szCs w:val="21"/>
                <w:vertAlign w:val="superscript"/>
              </w:rPr>
              <w:t>2</w:t>
            </w:r>
            <w:r>
              <w:rPr>
                <w:rFonts w:cs="Times New Roman"/>
                <w:sz w:val="21"/>
                <w:szCs w:val="21"/>
              </w:rPr>
              <w:t>青砖、青瓦及配件、园林琉璃瓦、仿古地板砖砖</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建筑陶瓷制品制造</w:t>
            </w:r>
          </w:p>
        </w:tc>
        <w:tc>
          <w:tcPr>
            <w:tcW w:w="53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衡环发[2013]37号，衡环发[2015]231号，蒸环评函[2016]63号，蒸环评[2018]04号</w:t>
            </w:r>
          </w:p>
        </w:tc>
        <w:tc>
          <w:tcPr>
            <w:tcW w:w="74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lang w:val="de-DE"/>
              </w:rPr>
              <w:t>CODcr：50.4；</w:t>
            </w:r>
            <w:r>
              <w:rPr>
                <w:rFonts w:cs="Times New Roman"/>
                <w:sz w:val="21"/>
                <w:szCs w:val="21"/>
              </w:rPr>
              <w:t>氨氮</w:t>
            </w:r>
            <w:r>
              <w:rPr>
                <w:rFonts w:cs="Times New Roman"/>
                <w:sz w:val="21"/>
                <w:szCs w:val="21"/>
                <w:lang w:val="de-DE"/>
              </w:rPr>
              <w:t>：52.81；SO</w:t>
            </w:r>
            <w:r>
              <w:rPr>
                <w:rFonts w:cs="Times New Roman"/>
                <w:sz w:val="21"/>
                <w:szCs w:val="21"/>
                <w:vertAlign w:val="subscript"/>
                <w:lang w:val="de-DE"/>
              </w:rPr>
              <w:t>2</w:t>
            </w:r>
            <w:r>
              <w:rPr>
                <w:rFonts w:cs="Times New Roman"/>
                <w:sz w:val="21"/>
                <w:szCs w:val="21"/>
                <w:lang w:val="de-DE"/>
              </w:rPr>
              <w:t>16.514；</w:t>
            </w:r>
            <w:r>
              <w:rPr>
                <w:rFonts w:cs="Times New Roman"/>
                <w:sz w:val="21"/>
                <w:szCs w:val="21"/>
              </w:rPr>
              <w:t>NOx：89.02</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是</w:t>
            </w:r>
          </w:p>
        </w:tc>
        <w:tc>
          <w:tcPr>
            <w:tcW w:w="47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园区内，在产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274"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5</w:t>
            </w:r>
          </w:p>
        </w:tc>
        <w:tc>
          <w:tcPr>
            <w:tcW w:w="90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衡阳县旭辉陶瓷原料有限公司</w:t>
            </w:r>
          </w:p>
        </w:tc>
        <w:tc>
          <w:tcPr>
            <w:tcW w:w="3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53360</w:t>
            </w:r>
          </w:p>
        </w:tc>
        <w:tc>
          <w:tcPr>
            <w:tcW w:w="76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年产10万吨纳长石精矿（不含采矿）</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非金属矿采选</w:t>
            </w:r>
          </w:p>
        </w:tc>
        <w:tc>
          <w:tcPr>
            <w:tcW w:w="536" w:type="pct"/>
            <w:tcBorders>
              <w:tl2br w:val="nil"/>
              <w:tr2bl w:val="nil"/>
            </w:tcBorders>
            <w:vAlign w:val="center"/>
          </w:tcPr>
          <w:p>
            <w:pPr>
              <w:spacing w:line="240" w:lineRule="auto"/>
              <w:ind w:firstLine="0" w:firstLineChars="0"/>
              <w:jc w:val="center"/>
              <w:rPr>
                <w:rFonts w:cs="Times New Roman"/>
                <w:sz w:val="21"/>
                <w:szCs w:val="21"/>
              </w:rPr>
            </w:pPr>
          </w:p>
        </w:tc>
        <w:tc>
          <w:tcPr>
            <w:tcW w:w="74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lang w:val="de-DE"/>
              </w:rPr>
              <w:t>SO</w:t>
            </w:r>
            <w:r>
              <w:rPr>
                <w:rFonts w:cs="Times New Roman"/>
                <w:sz w:val="21"/>
                <w:szCs w:val="21"/>
                <w:vertAlign w:val="subscript"/>
                <w:lang w:val="de-DE"/>
              </w:rPr>
              <w:t>2</w:t>
            </w:r>
            <w:r>
              <w:rPr>
                <w:rFonts w:cs="Times New Roman"/>
                <w:sz w:val="21"/>
                <w:szCs w:val="21"/>
              </w:rPr>
              <w:t>≤0.35、NOx≤1.24</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是</w:t>
            </w:r>
          </w:p>
        </w:tc>
        <w:tc>
          <w:tcPr>
            <w:tcW w:w="47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园区内，在产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274"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6</w:t>
            </w:r>
          </w:p>
        </w:tc>
        <w:tc>
          <w:tcPr>
            <w:tcW w:w="90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衡阳盛泰陶瓷原料有限公司</w:t>
            </w:r>
          </w:p>
        </w:tc>
        <w:tc>
          <w:tcPr>
            <w:tcW w:w="3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40020</w:t>
            </w:r>
          </w:p>
        </w:tc>
        <w:tc>
          <w:tcPr>
            <w:tcW w:w="76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年产30万吨纳长石</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非金属矿物制品制造</w:t>
            </w:r>
          </w:p>
        </w:tc>
        <w:tc>
          <w:tcPr>
            <w:tcW w:w="53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蒸环评函[2016]50号</w:t>
            </w:r>
          </w:p>
        </w:tc>
        <w:tc>
          <w:tcPr>
            <w:tcW w:w="74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是</w:t>
            </w:r>
          </w:p>
        </w:tc>
        <w:tc>
          <w:tcPr>
            <w:tcW w:w="47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园区内，在产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274"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7</w:t>
            </w:r>
          </w:p>
        </w:tc>
        <w:tc>
          <w:tcPr>
            <w:tcW w:w="90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衡阳县伟恒陶瓷原料有限公司</w:t>
            </w:r>
          </w:p>
        </w:tc>
        <w:tc>
          <w:tcPr>
            <w:tcW w:w="3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13340</w:t>
            </w:r>
          </w:p>
        </w:tc>
        <w:tc>
          <w:tcPr>
            <w:tcW w:w="76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年产100万吨纳长石</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非金属矿物制品制造</w:t>
            </w:r>
          </w:p>
        </w:tc>
        <w:tc>
          <w:tcPr>
            <w:tcW w:w="53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蒸环评函[2016]39号</w:t>
            </w:r>
          </w:p>
        </w:tc>
        <w:tc>
          <w:tcPr>
            <w:tcW w:w="74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是</w:t>
            </w:r>
          </w:p>
        </w:tc>
        <w:tc>
          <w:tcPr>
            <w:tcW w:w="47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园区内，在产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274"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8</w:t>
            </w:r>
          </w:p>
        </w:tc>
        <w:tc>
          <w:tcPr>
            <w:tcW w:w="90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衡阳县文杰矿业有限公司</w:t>
            </w:r>
          </w:p>
        </w:tc>
        <w:tc>
          <w:tcPr>
            <w:tcW w:w="3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13334</w:t>
            </w:r>
          </w:p>
        </w:tc>
        <w:tc>
          <w:tcPr>
            <w:tcW w:w="76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年产30万吨纳长石</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非金属矿物制品制造</w:t>
            </w:r>
          </w:p>
        </w:tc>
        <w:tc>
          <w:tcPr>
            <w:tcW w:w="53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蒸环评函[2017]06号</w:t>
            </w:r>
          </w:p>
        </w:tc>
        <w:tc>
          <w:tcPr>
            <w:tcW w:w="74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lang w:val="de-DE"/>
              </w:rPr>
              <w:t>CODcr：0.22；</w:t>
            </w:r>
            <w:r>
              <w:rPr>
                <w:rFonts w:cs="Times New Roman"/>
                <w:sz w:val="21"/>
                <w:szCs w:val="21"/>
              </w:rPr>
              <w:t>氨氮</w:t>
            </w:r>
            <w:r>
              <w:rPr>
                <w:rFonts w:cs="Times New Roman"/>
                <w:sz w:val="21"/>
                <w:szCs w:val="21"/>
                <w:lang w:val="de-DE"/>
              </w:rPr>
              <w:t>：0.01；SO</w:t>
            </w:r>
            <w:r>
              <w:rPr>
                <w:rFonts w:cs="Times New Roman"/>
                <w:sz w:val="21"/>
                <w:szCs w:val="21"/>
                <w:vertAlign w:val="subscript"/>
                <w:lang w:val="de-DE"/>
              </w:rPr>
              <w:t>2</w:t>
            </w:r>
            <w:r>
              <w:rPr>
                <w:rFonts w:cs="Times New Roman"/>
                <w:sz w:val="21"/>
                <w:szCs w:val="21"/>
                <w:lang w:val="de-DE"/>
              </w:rPr>
              <w:t>0.96；</w:t>
            </w:r>
            <w:r>
              <w:rPr>
                <w:rFonts w:cs="Times New Roman"/>
                <w:sz w:val="21"/>
                <w:szCs w:val="21"/>
              </w:rPr>
              <w:t>NOx：0.94</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是</w:t>
            </w:r>
          </w:p>
        </w:tc>
        <w:tc>
          <w:tcPr>
            <w:tcW w:w="47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园区内，在产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274"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9</w:t>
            </w:r>
          </w:p>
        </w:tc>
        <w:tc>
          <w:tcPr>
            <w:tcW w:w="90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衡阳金瑞达矿业有限公司</w:t>
            </w:r>
          </w:p>
        </w:tc>
        <w:tc>
          <w:tcPr>
            <w:tcW w:w="3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33333.3</w:t>
            </w:r>
          </w:p>
        </w:tc>
        <w:tc>
          <w:tcPr>
            <w:tcW w:w="76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年产1.5万吨纳长石粉</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非金属矿物制品制造</w:t>
            </w:r>
          </w:p>
        </w:tc>
        <w:tc>
          <w:tcPr>
            <w:tcW w:w="53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衡环评[2010]019号</w:t>
            </w:r>
          </w:p>
        </w:tc>
        <w:tc>
          <w:tcPr>
            <w:tcW w:w="741" w:type="pct"/>
            <w:tcBorders>
              <w:tl2br w:val="nil"/>
              <w:tr2bl w:val="nil"/>
            </w:tcBorders>
            <w:vAlign w:val="center"/>
          </w:tcPr>
          <w:p>
            <w:pPr>
              <w:spacing w:line="240" w:lineRule="auto"/>
              <w:ind w:firstLine="0" w:firstLineChars="0"/>
              <w:jc w:val="center"/>
              <w:rPr>
                <w:rFonts w:cs="Times New Roman"/>
                <w:sz w:val="21"/>
                <w:szCs w:val="21"/>
                <w:lang w:val="de-DE"/>
              </w:rPr>
            </w:pPr>
            <w:r>
              <w:rPr>
                <w:rFonts w:cs="Times New Roman"/>
                <w:sz w:val="21"/>
                <w:szCs w:val="21"/>
                <w:lang w:val="de-DE"/>
              </w:rPr>
              <w:t>SO</w:t>
            </w:r>
            <w:r>
              <w:rPr>
                <w:rFonts w:cs="Times New Roman"/>
                <w:sz w:val="21"/>
                <w:szCs w:val="21"/>
                <w:vertAlign w:val="subscript"/>
                <w:lang w:val="de-DE"/>
              </w:rPr>
              <w:t>2</w:t>
            </w:r>
            <w:r>
              <w:rPr>
                <w:rFonts w:cs="Times New Roman"/>
                <w:sz w:val="21"/>
                <w:szCs w:val="21"/>
              </w:rPr>
              <w:t>2.15</w:t>
            </w:r>
            <w:r>
              <w:rPr>
                <w:rFonts w:cs="Times New Roman"/>
                <w:sz w:val="21"/>
                <w:szCs w:val="21"/>
                <w:lang w:val="de-DE"/>
              </w:rPr>
              <w:t>；</w:t>
            </w:r>
            <w:r>
              <w:rPr>
                <w:rFonts w:cs="Times New Roman"/>
                <w:sz w:val="21"/>
                <w:szCs w:val="21"/>
              </w:rPr>
              <w:t>NOx：2.06</w:t>
            </w:r>
          </w:p>
        </w:tc>
        <w:tc>
          <w:tcPr>
            <w:tcW w:w="478"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是</w:t>
            </w:r>
          </w:p>
        </w:tc>
        <w:tc>
          <w:tcPr>
            <w:tcW w:w="47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园区内，已停产</w:t>
            </w:r>
          </w:p>
        </w:tc>
      </w:tr>
    </w:tbl>
    <w:p>
      <w:pPr>
        <w:ind w:firstLine="0" w:firstLineChars="0"/>
        <w:rPr>
          <w:rFonts w:cs="Times New Roman"/>
        </w:rPr>
        <w:sectPr>
          <w:pgSz w:w="16838" w:h="11906" w:orient="landscape"/>
          <w:pgMar w:top="1440" w:right="1080" w:bottom="1440" w:left="1080" w:header="851" w:footer="992" w:gutter="0"/>
          <w:cols w:space="425" w:num="1"/>
          <w:docGrid w:type="lines" w:linePitch="326" w:charSpace="0"/>
        </w:sectPr>
      </w:pPr>
    </w:p>
    <w:p>
      <w:pPr>
        <w:pStyle w:val="3"/>
        <w:rPr>
          <w:rFonts w:cs="Times New Roman"/>
        </w:rPr>
      </w:pPr>
      <w:bookmarkStart w:id="111" w:name="_Toc86611284"/>
      <w:r>
        <w:rPr>
          <w:rFonts w:cs="Times New Roman"/>
        </w:rPr>
        <w:t>4.6环境空气质量现状调查与评价</w:t>
      </w:r>
      <w:bookmarkEnd w:id="111"/>
    </w:p>
    <w:p>
      <w:pPr>
        <w:pStyle w:val="4"/>
        <w:rPr>
          <w:rFonts w:cs="Times New Roman"/>
        </w:rPr>
      </w:pPr>
      <w:bookmarkStart w:id="112" w:name="_Toc86611285"/>
      <w:r>
        <w:rPr>
          <w:rFonts w:cs="Times New Roman"/>
        </w:rPr>
        <w:t>4.6.1评价基准年筛选</w:t>
      </w:r>
      <w:bookmarkEnd w:id="112"/>
    </w:p>
    <w:p>
      <w:pPr>
        <w:adjustRightInd w:val="0"/>
        <w:snapToGrid w:val="0"/>
        <w:ind w:firstLine="480"/>
        <w:rPr>
          <w:rFonts w:cs="Times New Roman"/>
          <w:kern w:val="0"/>
          <w:szCs w:val="21"/>
        </w:rPr>
      </w:pPr>
      <w:r>
        <w:rPr>
          <w:rFonts w:cs="Times New Roman"/>
          <w:kern w:val="0"/>
          <w:szCs w:val="21"/>
        </w:rPr>
        <w:t>根据本项目所需环境空气质量现状、气象资料等数据的可获得性、数据质量、代表性等因素，选择2020年作为评价基准年。</w:t>
      </w:r>
    </w:p>
    <w:p>
      <w:pPr>
        <w:pStyle w:val="4"/>
        <w:rPr>
          <w:rFonts w:cs="Times New Roman"/>
        </w:rPr>
      </w:pPr>
      <w:bookmarkStart w:id="113" w:name="_Toc86611286"/>
      <w:r>
        <w:rPr>
          <w:rFonts w:cs="Times New Roman"/>
        </w:rPr>
        <w:t>4.6.2环境空气质量达标区判定</w:t>
      </w:r>
      <w:bookmarkEnd w:id="113"/>
    </w:p>
    <w:p>
      <w:pPr>
        <w:adjustRightInd w:val="0"/>
        <w:snapToGrid w:val="0"/>
        <w:ind w:left="-120" w:leftChars="-50" w:firstLine="480"/>
        <w:rPr>
          <w:rFonts w:cs="Times New Roman"/>
          <w:kern w:val="0"/>
          <w:szCs w:val="20"/>
        </w:rPr>
      </w:pPr>
      <w:r>
        <w:rPr>
          <w:rFonts w:cs="Times New Roman"/>
          <w:kern w:val="0"/>
        </w:rPr>
        <w:t>根据衡阳市环境保护局发布的关于</w:t>
      </w:r>
      <w:r>
        <w:rPr>
          <w:rFonts w:cs="Times New Roman"/>
          <w:kern w:val="0"/>
          <w:szCs w:val="20"/>
        </w:rPr>
        <w:t>2020年12月及1-12月全市环境质量状况的通报可知</w:t>
      </w:r>
      <w:r>
        <w:rPr>
          <w:rFonts w:cs="Times New Roman"/>
          <w:kern w:val="0"/>
        </w:rPr>
        <w:t>，衡阳县SO</w:t>
      </w:r>
      <w:r>
        <w:rPr>
          <w:rFonts w:cs="Times New Roman"/>
          <w:kern w:val="0"/>
          <w:vertAlign w:val="subscript"/>
        </w:rPr>
        <w:t>2</w:t>
      </w:r>
      <w:r>
        <w:rPr>
          <w:rFonts w:cs="Times New Roman"/>
          <w:kern w:val="0"/>
        </w:rPr>
        <w:t>、NO</w:t>
      </w:r>
      <w:r>
        <w:rPr>
          <w:rFonts w:cs="Times New Roman"/>
          <w:kern w:val="0"/>
          <w:vertAlign w:val="subscript"/>
        </w:rPr>
        <w:t>2</w:t>
      </w:r>
      <w:r>
        <w:rPr>
          <w:rFonts w:cs="Times New Roman"/>
          <w:kern w:val="0"/>
        </w:rPr>
        <w:t>和可吸入颗粒物（PM</w:t>
      </w:r>
      <w:r>
        <w:rPr>
          <w:rFonts w:cs="Times New Roman"/>
          <w:kern w:val="0"/>
          <w:vertAlign w:val="subscript"/>
        </w:rPr>
        <w:t>10</w:t>
      </w:r>
      <w:r>
        <w:rPr>
          <w:rFonts w:cs="Times New Roman"/>
          <w:kern w:val="0"/>
        </w:rPr>
        <w:t>）年平均质量浓度、CO24小时平均第95百分位数浓度、O</w:t>
      </w:r>
      <w:r>
        <w:rPr>
          <w:rFonts w:cs="Times New Roman"/>
          <w:kern w:val="0"/>
          <w:vertAlign w:val="subscript"/>
        </w:rPr>
        <w:t>3</w:t>
      </w:r>
      <w:r>
        <w:rPr>
          <w:rFonts w:cs="Times New Roman"/>
          <w:kern w:val="0"/>
        </w:rPr>
        <w:t>日最大8h滑动平均值的第90百分位数浓度能满足《环境空气质量标准》（GB3095-2012）二级标准限值要求</w:t>
      </w:r>
      <w:r>
        <w:rPr>
          <w:rFonts w:hint="eastAsia" w:cs="Times New Roman"/>
          <w:kern w:val="0"/>
        </w:rPr>
        <w:t>，</w:t>
      </w:r>
      <w:r>
        <w:rPr>
          <w:rFonts w:cs="Times New Roman"/>
          <w:kern w:val="0"/>
        </w:rPr>
        <w:t>细颗粒物（PM</w:t>
      </w:r>
      <w:r>
        <w:rPr>
          <w:rFonts w:cs="Times New Roman"/>
          <w:kern w:val="0"/>
          <w:vertAlign w:val="subscript"/>
        </w:rPr>
        <w:t>2.5</w:t>
      </w:r>
      <w:r>
        <w:rPr>
          <w:rFonts w:cs="Times New Roman"/>
          <w:kern w:val="0"/>
        </w:rPr>
        <w:t>）年平均质量浓度</w:t>
      </w:r>
      <w:r>
        <w:rPr>
          <w:rFonts w:hint="eastAsia" w:cs="Times New Roman"/>
          <w:kern w:val="0"/>
        </w:rPr>
        <w:t>超标</w:t>
      </w:r>
      <w:r>
        <w:rPr>
          <w:rFonts w:cs="Times New Roman"/>
          <w:kern w:val="0"/>
        </w:rPr>
        <w:t>，因此项目所在区域为</w:t>
      </w:r>
      <w:r>
        <w:rPr>
          <w:rFonts w:hint="eastAsia" w:cs="Times New Roman"/>
          <w:kern w:val="0"/>
        </w:rPr>
        <w:t>不</w:t>
      </w:r>
      <w:r>
        <w:rPr>
          <w:rFonts w:cs="Times New Roman"/>
          <w:kern w:val="0"/>
        </w:rPr>
        <w:t>达标区，</w:t>
      </w:r>
      <w:r>
        <w:rPr>
          <w:rFonts w:cs="Times New Roman"/>
          <w:kern w:val="0"/>
          <w:szCs w:val="20"/>
        </w:rPr>
        <w:t>具体见表5.1-1。</w:t>
      </w:r>
    </w:p>
    <w:p>
      <w:pPr>
        <w:autoSpaceDE w:val="0"/>
        <w:autoSpaceDN w:val="0"/>
        <w:adjustRightInd w:val="0"/>
        <w:ind w:firstLine="482"/>
        <w:jc w:val="center"/>
        <w:rPr>
          <w:rFonts w:cs="Times New Roman"/>
          <w:b/>
          <w:kern w:val="0"/>
          <w:szCs w:val="21"/>
        </w:rPr>
      </w:pPr>
      <w:r>
        <w:rPr>
          <w:rFonts w:cs="Times New Roman"/>
          <w:b/>
          <w:kern w:val="0"/>
          <w:szCs w:val="21"/>
        </w:rPr>
        <w:t>表5.1-1  区域空气质量现状评价表</w:t>
      </w:r>
    </w:p>
    <w:tbl>
      <w:tblPr>
        <w:tblStyle w:val="4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2119"/>
        <w:gridCol w:w="1793"/>
        <w:gridCol w:w="1631"/>
        <w:gridCol w:w="1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jc w:val="center"/>
        </w:trPr>
        <w:tc>
          <w:tcPr>
            <w:tcW w:w="1143" w:type="dxa"/>
            <w:vAlign w:val="center"/>
          </w:tcPr>
          <w:p>
            <w:pPr>
              <w:pStyle w:val="14"/>
            </w:pPr>
            <w:r>
              <w:t>污染物</w:t>
            </w:r>
          </w:p>
        </w:tc>
        <w:tc>
          <w:tcPr>
            <w:tcW w:w="2119" w:type="dxa"/>
            <w:vAlign w:val="center"/>
          </w:tcPr>
          <w:p>
            <w:pPr>
              <w:pStyle w:val="14"/>
            </w:pPr>
            <w:r>
              <w:t>年评价指标</w:t>
            </w:r>
          </w:p>
        </w:tc>
        <w:tc>
          <w:tcPr>
            <w:tcW w:w="1793" w:type="dxa"/>
            <w:vAlign w:val="center"/>
          </w:tcPr>
          <w:p>
            <w:pPr>
              <w:pStyle w:val="14"/>
            </w:pPr>
            <w:r>
              <w:t>现状浓度</w:t>
            </w:r>
          </w:p>
          <w:p>
            <w:pPr>
              <w:pStyle w:val="14"/>
            </w:pPr>
            <w:r>
              <w:t>µg/m</w:t>
            </w:r>
            <w:r>
              <w:rPr>
                <w:vertAlign w:val="superscript"/>
              </w:rPr>
              <w:t>3</w:t>
            </w:r>
          </w:p>
        </w:tc>
        <w:tc>
          <w:tcPr>
            <w:tcW w:w="1631" w:type="dxa"/>
            <w:vAlign w:val="center"/>
          </w:tcPr>
          <w:p>
            <w:pPr>
              <w:pStyle w:val="14"/>
            </w:pPr>
            <w:r>
              <w:t>标准值</w:t>
            </w:r>
          </w:p>
          <w:p>
            <w:pPr>
              <w:pStyle w:val="14"/>
            </w:pPr>
            <w:r>
              <w:t>µg/m</w:t>
            </w:r>
            <w:r>
              <w:rPr>
                <w:vertAlign w:val="superscript"/>
              </w:rPr>
              <w:t>3</w:t>
            </w:r>
          </w:p>
        </w:tc>
        <w:tc>
          <w:tcPr>
            <w:tcW w:w="1741" w:type="dxa"/>
            <w:vAlign w:val="center"/>
          </w:tcPr>
          <w:p>
            <w:pPr>
              <w:pStyle w:val="14"/>
            </w:pPr>
            <w: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1" w:hRule="atLeast"/>
          <w:jc w:val="center"/>
        </w:trPr>
        <w:tc>
          <w:tcPr>
            <w:tcW w:w="1143" w:type="dxa"/>
            <w:vMerge w:val="restart"/>
            <w:vAlign w:val="center"/>
          </w:tcPr>
          <w:p>
            <w:pPr>
              <w:pStyle w:val="14"/>
              <w:rPr>
                <w:spacing w:val="6"/>
              </w:rPr>
            </w:pPr>
            <w:r>
              <w:rPr>
                <w:spacing w:val="6"/>
              </w:rPr>
              <w:t>SO</w:t>
            </w:r>
            <w:r>
              <w:rPr>
                <w:spacing w:val="6"/>
                <w:vertAlign w:val="subscript"/>
              </w:rPr>
              <w:t>2</w:t>
            </w:r>
          </w:p>
        </w:tc>
        <w:tc>
          <w:tcPr>
            <w:tcW w:w="2119" w:type="dxa"/>
            <w:vAlign w:val="center"/>
          </w:tcPr>
          <w:p>
            <w:pPr>
              <w:pStyle w:val="14"/>
              <w:rPr>
                <w:spacing w:val="6"/>
              </w:rPr>
            </w:pPr>
            <w:r>
              <w:rPr>
                <w:spacing w:val="6"/>
              </w:rPr>
              <w:t>年平均质量浓度</w:t>
            </w:r>
          </w:p>
        </w:tc>
        <w:tc>
          <w:tcPr>
            <w:tcW w:w="1793" w:type="dxa"/>
            <w:vAlign w:val="center"/>
          </w:tcPr>
          <w:p>
            <w:pPr>
              <w:pStyle w:val="14"/>
              <w:rPr>
                <w:spacing w:val="6"/>
              </w:rPr>
            </w:pPr>
            <w:r>
              <w:rPr>
                <w:spacing w:val="6"/>
              </w:rPr>
              <w:t>9</w:t>
            </w:r>
          </w:p>
        </w:tc>
        <w:tc>
          <w:tcPr>
            <w:tcW w:w="1631" w:type="dxa"/>
            <w:vAlign w:val="center"/>
          </w:tcPr>
          <w:p>
            <w:pPr>
              <w:pStyle w:val="14"/>
              <w:rPr>
                <w:spacing w:val="6"/>
              </w:rPr>
            </w:pPr>
            <w:r>
              <w:rPr>
                <w:spacing w:val="6"/>
              </w:rPr>
              <w:t>60</w:t>
            </w:r>
          </w:p>
        </w:tc>
        <w:tc>
          <w:tcPr>
            <w:tcW w:w="1741" w:type="dxa"/>
            <w:vAlign w:val="center"/>
          </w:tcPr>
          <w:p>
            <w:pPr>
              <w:pStyle w:val="14"/>
              <w:rPr>
                <w:spacing w:val="6"/>
              </w:rPr>
            </w:pPr>
            <w:r>
              <w:rPr>
                <w:spacing w:val="6"/>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1" w:hRule="atLeast"/>
          <w:jc w:val="center"/>
        </w:trPr>
        <w:tc>
          <w:tcPr>
            <w:tcW w:w="1143" w:type="dxa"/>
            <w:vMerge w:val="continue"/>
            <w:vAlign w:val="center"/>
          </w:tcPr>
          <w:p>
            <w:pPr>
              <w:pStyle w:val="14"/>
              <w:rPr>
                <w:spacing w:val="6"/>
              </w:rPr>
            </w:pPr>
          </w:p>
        </w:tc>
        <w:tc>
          <w:tcPr>
            <w:tcW w:w="2119" w:type="dxa"/>
            <w:vAlign w:val="center"/>
          </w:tcPr>
          <w:p>
            <w:pPr>
              <w:pStyle w:val="14"/>
              <w:rPr>
                <w:spacing w:val="6"/>
              </w:rPr>
            </w:pPr>
            <w:r>
              <w:rPr>
                <w:spacing w:val="6"/>
              </w:rPr>
              <w:t>98</w:t>
            </w:r>
            <w:r>
              <w:rPr>
                <w:rFonts w:ascii="宋体" w:hAnsi="宋体"/>
                <w:spacing w:val="6"/>
              </w:rPr>
              <w:t>百分位日平均</w:t>
            </w:r>
          </w:p>
        </w:tc>
        <w:tc>
          <w:tcPr>
            <w:tcW w:w="1793" w:type="dxa"/>
            <w:vAlign w:val="center"/>
          </w:tcPr>
          <w:p>
            <w:pPr>
              <w:pStyle w:val="14"/>
              <w:rPr>
                <w:spacing w:val="6"/>
              </w:rPr>
            </w:pPr>
            <w:r>
              <w:rPr>
                <w:spacing w:val="6"/>
              </w:rPr>
              <w:t>23</w:t>
            </w:r>
          </w:p>
        </w:tc>
        <w:tc>
          <w:tcPr>
            <w:tcW w:w="1631" w:type="dxa"/>
            <w:vAlign w:val="center"/>
          </w:tcPr>
          <w:p>
            <w:pPr>
              <w:pStyle w:val="14"/>
              <w:rPr>
                <w:spacing w:val="6"/>
              </w:rPr>
            </w:pPr>
            <w:r>
              <w:rPr>
                <w:spacing w:val="6"/>
              </w:rPr>
              <w:t>150</w:t>
            </w:r>
          </w:p>
        </w:tc>
        <w:tc>
          <w:tcPr>
            <w:tcW w:w="1741" w:type="dxa"/>
            <w:vAlign w:val="center"/>
          </w:tcPr>
          <w:p>
            <w:pPr>
              <w:pStyle w:val="14"/>
              <w:rPr>
                <w:spacing w:val="6"/>
              </w:rPr>
            </w:pPr>
            <w:r>
              <w:rPr>
                <w:spacing w:val="6"/>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1" w:hRule="atLeast"/>
          <w:jc w:val="center"/>
        </w:trPr>
        <w:tc>
          <w:tcPr>
            <w:tcW w:w="1143" w:type="dxa"/>
            <w:vMerge w:val="restart"/>
            <w:vAlign w:val="center"/>
          </w:tcPr>
          <w:p>
            <w:pPr>
              <w:pStyle w:val="14"/>
              <w:rPr>
                <w:spacing w:val="6"/>
              </w:rPr>
            </w:pPr>
            <w:r>
              <w:rPr>
                <w:spacing w:val="6"/>
              </w:rPr>
              <w:t>NO</w:t>
            </w:r>
            <w:r>
              <w:rPr>
                <w:spacing w:val="6"/>
                <w:vertAlign w:val="subscript"/>
              </w:rPr>
              <w:t>2</w:t>
            </w:r>
          </w:p>
        </w:tc>
        <w:tc>
          <w:tcPr>
            <w:tcW w:w="2119" w:type="dxa"/>
            <w:vAlign w:val="center"/>
          </w:tcPr>
          <w:p>
            <w:pPr>
              <w:pStyle w:val="14"/>
              <w:rPr>
                <w:spacing w:val="6"/>
              </w:rPr>
            </w:pPr>
            <w:r>
              <w:rPr>
                <w:spacing w:val="6"/>
              </w:rPr>
              <w:t>年平均质量浓度</w:t>
            </w:r>
          </w:p>
        </w:tc>
        <w:tc>
          <w:tcPr>
            <w:tcW w:w="1793" w:type="dxa"/>
            <w:vAlign w:val="center"/>
          </w:tcPr>
          <w:p>
            <w:pPr>
              <w:pStyle w:val="14"/>
              <w:rPr>
                <w:spacing w:val="6"/>
              </w:rPr>
            </w:pPr>
            <w:r>
              <w:rPr>
                <w:spacing w:val="6"/>
              </w:rPr>
              <w:t>17</w:t>
            </w:r>
          </w:p>
        </w:tc>
        <w:tc>
          <w:tcPr>
            <w:tcW w:w="1631" w:type="dxa"/>
            <w:vAlign w:val="center"/>
          </w:tcPr>
          <w:p>
            <w:pPr>
              <w:pStyle w:val="14"/>
              <w:rPr>
                <w:spacing w:val="6"/>
              </w:rPr>
            </w:pPr>
            <w:r>
              <w:rPr>
                <w:spacing w:val="6"/>
              </w:rPr>
              <w:t>40</w:t>
            </w:r>
          </w:p>
        </w:tc>
        <w:tc>
          <w:tcPr>
            <w:tcW w:w="1741" w:type="dxa"/>
            <w:vAlign w:val="center"/>
          </w:tcPr>
          <w:p>
            <w:pPr>
              <w:pStyle w:val="14"/>
              <w:rPr>
                <w:spacing w:val="6"/>
              </w:rPr>
            </w:pPr>
            <w:r>
              <w:rPr>
                <w:spacing w:val="6"/>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1" w:hRule="atLeast"/>
          <w:jc w:val="center"/>
        </w:trPr>
        <w:tc>
          <w:tcPr>
            <w:tcW w:w="1143" w:type="dxa"/>
            <w:vMerge w:val="continue"/>
            <w:vAlign w:val="center"/>
          </w:tcPr>
          <w:p>
            <w:pPr>
              <w:pStyle w:val="14"/>
              <w:rPr>
                <w:spacing w:val="6"/>
              </w:rPr>
            </w:pPr>
          </w:p>
        </w:tc>
        <w:tc>
          <w:tcPr>
            <w:tcW w:w="2119" w:type="dxa"/>
            <w:vAlign w:val="center"/>
          </w:tcPr>
          <w:p>
            <w:pPr>
              <w:pStyle w:val="14"/>
              <w:rPr>
                <w:spacing w:val="6"/>
              </w:rPr>
            </w:pPr>
            <w:r>
              <w:rPr>
                <w:spacing w:val="6"/>
              </w:rPr>
              <w:t>98</w:t>
            </w:r>
            <w:r>
              <w:rPr>
                <w:rFonts w:ascii="宋体" w:hAnsi="宋体"/>
                <w:spacing w:val="6"/>
              </w:rPr>
              <w:t>百分位日平均</w:t>
            </w:r>
          </w:p>
        </w:tc>
        <w:tc>
          <w:tcPr>
            <w:tcW w:w="1793" w:type="dxa"/>
            <w:vAlign w:val="center"/>
          </w:tcPr>
          <w:p>
            <w:pPr>
              <w:pStyle w:val="14"/>
              <w:rPr>
                <w:spacing w:val="6"/>
              </w:rPr>
            </w:pPr>
            <w:r>
              <w:rPr>
                <w:spacing w:val="6"/>
              </w:rPr>
              <w:t>48</w:t>
            </w:r>
          </w:p>
        </w:tc>
        <w:tc>
          <w:tcPr>
            <w:tcW w:w="1631" w:type="dxa"/>
            <w:vAlign w:val="center"/>
          </w:tcPr>
          <w:p>
            <w:pPr>
              <w:pStyle w:val="14"/>
              <w:rPr>
                <w:spacing w:val="6"/>
              </w:rPr>
            </w:pPr>
            <w:r>
              <w:rPr>
                <w:spacing w:val="6"/>
              </w:rPr>
              <w:t>80</w:t>
            </w:r>
          </w:p>
        </w:tc>
        <w:tc>
          <w:tcPr>
            <w:tcW w:w="1741" w:type="dxa"/>
            <w:vAlign w:val="center"/>
          </w:tcPr>
          <w:p>
            <w:pPr>
              <w:pStyle w:val="14"/>
              <w:rPr>
                <w:spacing w:val="6"/>
              </w:rPr>
            </w:pPr>
            <w:r>
              <w:rPr>
                <w:spacing w:val="6"/>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1" w:hRule="atLeast"/>
          <w:jc w:val="center"/>
        </w:trPr>
        <w:tc>
          <w:tcPr>
            <w:tcW w:w="1143" w:type="dxa"/>
            <w:vMerge w:val="restart"/>
            <w:vAlign w:val="center"/>
          </w:tcPr>
          <w:p>
            <w:pPr>
              <w:pStyle w:val="14"/>
              <w:rPr>
                <w:spacing w:val="6"/>
              </w:rPr>
            </w:pPr>
            <w:r>
              <w:rPr>
                <w:spacing w:val="6"/>
              </w:rPr>
              <w:t>PM</w:t>
            </w:r>
            <w:r>
              <w:rPr>
                <w:spacing w:val="6"/>
                <w:vertAlign w:val="subscript"/>
              </w:rPr>
              <w:t>10</w:t>
            </w:r>
          </w:p>
        </w:tc>
        <w:tc>
          <w:tcPr>
            <w:tcW w:w="2119" w:type="dxa"/>
            <w:vAlign w:val="center"/>
          </w:tcPr>
          <w:p>
            <w:pPr>
              <w:pStyle w:val="14"/>
              <w:rPr>
                <w:spacing w:val="6"/>
              </w:rPr>
            </w:pPr>
            <w:r>
              <w:rPr>
                <w:spacing w:val="6"/>
              </w:rPr>
              <w:t>年平均质量浓度</w:t>
            </w:r>
          </w:p>
        </w:tc>
        <w:tc>
          <w:tcPr>
            <w:tcW w:w="1793" w:type="dxa"/>
            <w:vAlign w:val="center"/>
          </w:tcPr>
          <w:p>
            <w:pPr>
              <w:pStyle w:val="14"/>
              <w:rPr>
                <w:spacing w:val="6"/>
              </w:rPr>
            </w:pPr>
            <w:r>
              <w:rPr>
                <w:spacing w:val="6"/>
              </w:rPr>
              <w:t>60</w:t>
            </w:r>
          </w:p>
        </w:tc>
        <w:tc>
          <w:tcPr>
            <w:tcW w:w="1631" w:type="dxa"/>
            <w:vAlign w:val="center"/>
          </w:tcPr>
          <w:p>
            <w:pPr>
              <w:pStyle w:val="14"/>
              <w:rPr>
                <w:spacing w:val="6"/>
              </w:rPr>
            </w:pPr>
            <w:r>
              <w:rPr>
                <w:spacing w:val="6"/>
              </w:rPr>
              <w:t>70</w:t>
            </w:r>
          </w:p>
        </w:tc>
        <w:tc>
          <w:tcPr>
            <w:tcW w:w="1741" w:type="dxa"/>
            <w:vAlign w:val="center"/>
          </w:tcPr>
          <w:p>
            <w:pPr>
              <w:pStyle w:val="14"/>
              <w:rPr>
                <w:spacing w:val="6"/>
              </w:rPr>
            </w:pPr>
            <w:r>
              <w:rPr>
                <w:spacing w:val="6"/>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1" w:hRule="atLeast"/>
          <w:jc w:val="center"/>
        </w:trPr>
        <w:tc>
          <w:tcPr>
            <w:tcW w:w="1143" w:type="dxa"/>
            <w:vMerge w:val="continue"/>
            <w:vAlign w:val="center"/>
          </w:tcPr>
          <w:p>
            <w:pPr>
              <w:pStyle w:val="14"/>
              <w:rPr>
                <w:spacing w:val="6"/>
              </w:rPr>
            </w:pPr>
          </w:p>
        </w:tc>
        <w:tc>
          <w:tcPr>
            <w:tcW w:w="2119" w:type="dxa"/>
            <w:vAlign w:val="center"/>
          </w:tcPr>
          <w:p>
            <w:pPr>
              <w:pStyle w:val="14"/>
              <w:rPr>
                <w:spacing w:val="6"/>
              </w:rPr>
            </w:pPr>
            <w:r>
              <w:rPr>
                <w:spacing w:val="6"/>
              </w:rPr>
              <w:t>95</w:t>
            </w:r>
            <w:r>
              <w:rPr>
                <w:rFonts w:ascii="宋体" w:hAnsi="宋体"/>
                <w:spacing w:val="6"/>
              </w:rPr>
              <w:t>百分位日平均</w:t>
            </w:r>
          </w:p>
        </w:tc>
        <w:tc>
          <w:tcPr>
            <w:tcW w:w="1793" w:type="dxa"/>
            <w:vAlign w:val="center"/>
          </w:tcPr>
          <w:p>
            <w:pPr>
              <w:pStyle w:val="14"/>
              <w:rPr>
                <w:spacing w:val="6"/>
              </w:rPr>
            </w:pPr>
            <w:r>
              <w:rPr>
                <w:spacing w:val="6"/>
              </w:rPr>
              <w:t>134</w:t>
            </w:r>
          </w:p>
        </w:tc>
        <w:tc>
          <w:tcPr>
            <w:tcW w:w="1631" w:type="dxa"/>
            <w:vAlign w:val="center"/>
          </w:tcPr>
          <w:p>
            <w:pPr>
              <w:pStyle w:val="14"/>
              <w:rPr>
                <w:spacing w:val="6"/>
              </w:rPr>
            </w:pPr>
            <w:r>
              <w:rPr>
                <w:spacing w:val="6"/>
              </w:rPr>
              <w:t>150</w:t>
            </w:r>
          </w:p>
        </w:tc>
        <w:tc>
          <w:tcPr>
            <w:tcW w:w="1741" w:type="dxa"/>
            <w:vAlign w:val="center"/>
          </w:tcPr>
          <w:p>
            <w:pPr>
              <w:pStyle w:val="14"/>
              <w:rPr>
                <w:spacing w:val="6"/>
              </w:rPr>
            </w:pPr>
            <w:r>
              <w:rPr>
                <w:spacing w:val="6"/>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9" w:hRule="atLeast"/>
          <w:jc w:val="center"/>
        </w:trPr>
        <w:tc>
          <w:tcPr>
            <w:tcW w:w="1143" w:type="dxa"/>
            <w:vMerge w:val="restart"/>
            <w:vAlign w:val="center"/>
          </w:tcPr>
          <w:p>
            <w:pPr>
              <w:pStyle w:val="14"/>
              <w:rPr>
                <w:spacing w:val="6"/>
              </w:rPr>
            </w:pPr>
            <w:r>
              <w:rPr>
                <w:spacing w:val="6"/>
              </w:rPr>
              <w:t>PM</w:t>
            </w:r>
            <w:r>
              <w:rPr>
                <w:spacing w:val="6"/>
                <w:vertAlign w:val="subscript"/>
              </w:rPr>
              <w:t>2.5</w:t>
            </w:r>
          </w:p>
        </w:tc>
        <w:tc>
          <w:tcPr>
            <w:tcW w:w="2119" w:type="dxa"/>
            <w:vAlign w:val="center"/>
          </w:tcPr>
          <w:p>
            <w:pPr>
              <w:pStyle w:val="14"/>
              <w:rPr>
                <w:spacing w:val="6"/>
              </w:rPr>
            </w:pPr>
            <w:r>
              <w:rPr>
                <w:spacing w:val="6"/>
              </w:rPr>
              <w:t>年平均质量浓度</w:t>
            </w:r>
          </w:p>
        </w:tc>
        <w:tc>
          <w:tcPr>
            <w:tcW w:w="1793" w:type="dxa"/>
            <w:vAlign w:val="center"/>
          </w:tcPr>
          <w:p>
            <w:pPr>
              <w:pStyle w:val="14"/>
              <w:rPr>
                <w:spacing w:val="6"/>
              </w:rPr>
            </w:pPr>
            <w:r>
              <w:rPr>
                <w:spacing w:val="6"/>
              </w:rPr>
              <w:t>35</w:t>
            </w:r>
          </w:p>
        </w:tc>
        <w:tc>
          <w:tcPr>
            <w:tcW w:w="1631" w:type="dxa"/>
            <w:vAlign w:val="center"/>
          </w:tcPr>
          <w:p>
            <w:pPr>
              <w:pStyle w:val="14"/>
              <w:rPr>
                <w:spacing w:val="6"/>
              </w:rPr>
            </w:pPr>
            <w:r>
              <w:rPr>
                <w:spacing w:val="6"/>
              </w:rPr>
              <w:t>35</w:t>
            </w:r>
          </w:p>
        </w:tc>
        <w:tc>
          <w:tcPr>
            <w:tcW w:w="1741" w:type="dxa"/>
            <w:vAlign w:val="center"/>
          </w:tcPr>
          <w:p>
            <w:pPr>
              <w:pStyle w:val="14"/>
              <w:rPr>
                <w:spacing w:val="6"/>
              </w:rPr>
            </w:pPr>
            <w:r>
              <w:rPr>
                <w:spacing w:val="6"/>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9" w:hRule="atLeast"/>
          <w:jc w:val="center"/>
        </w:trPr>
        <w:tc>
          <w:tcPr>
            <w:tcW w:w="1143" w:type="dxa"/>
            <w:vMerge w:val="continue"/>
            <w:vAlign w:val="center"/>
          </w:tcPr>
          <w:p>
            <w:pPr>
              <w:pStyle w:val="14"/>
              <w:rPr>
                <w:spacing w:val="6"/>
              </w:rPr>
            </w:pPr>
          </w:p>
        </w:tc>
        <w:tc>
          <w:tcPr>
            <w:tcW w:w="2119" w:type="dxa"/>
            <w:vAlign w:val="center"/>
          </w:tcPr>
          <w:p>
            <w:pPr>
              <w:pStyle w:val="14"/>
              <w:rPr>
                <w:spacing w:val="6"/>
              </w:rPr>
            </w:pPr>
            <w:r>
              <w:rPr>
                <w:spacing w:val="6"/>
              </w:rPr>
              <w:t>95</w:t>
            </w:r>
            <w:r>
              <w:rPr>
                <w:rFonts w:ascii="宋体" w:hAnsi="宋体"/>
                <w:spacing w:val="6"/>
              </w:rPr>
              <w:t>百分位日平均</w:t>
            </w:r>
          </w:p>
        </w:tc>
        <w:tc>
          <w:tcPr>
            <w:tcW w:w="1793" w:type="dxa"/>
            <w:vAlign w:val="center"/>
          </w:tcPr>
          <w:p>
            <w:pPr>
              <w:pStyle w:val="14"/>
              <w:rPr>
                <w:spacing w:val="6"/>
              </w:rPr>
            </w:pPr>
            <w:r>
              <w:rPr>
                <w:spacing w:val="6"/>
              </w:rPr>
              <w:t>72</w:t>
            </w:r>
          </w:p>
        </w:tc>
        <w:tc>
          <w:tcPr>
            <w:tcW w:w="1631" w:type="dxa"/>
            <w:vAlign w:val="center"/>
          </w:tcPr>
          <w:p>
            <w:pPr>
              <w:pStyle w:val="14"/>
              <w:rPr>
                <w:spacing w:val="6"/>
              </w:rPr>
            </w:pPr>
            <w:r>
              <w:rPr>
                <w:spacing w:val="6"/>
              </w:rPr>
              <w:t>75</w:t>
            </w:r>
          </w:p>
        </w:tc>
        <w:tc>
          <w:tcPr>
            <w:tcW w:w="1741" w:type="dxa"/>
            <w:vAlign w:val="center"/>
          </w:tcPr>
          <w:p>
            <w:pPr>
              <w:pStyle w:val="14"/>
              <w:rPr>
                <w:spacing w:val="6"/>
              </w:rPr>
            </w:pPr>
            <w:r>
              <w:rPr>
                <w:spacing w:val="6"/>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9" w:hRule="atLeast"/>
          <w:jc w:val="center"/>
        </w:trPr>
        <w:tc>
          <w:tcPr>
            <w:tcW w:w="1143" w:type="dxa"/>
            <w:vAlign w:val="center"/>
          </w:tcPr>
          <w:p>
            <w:pPr>
              <w:pStyle w:val="14"/>
              <w:rPr>
                <w:spacing w:val="6"/>
              </w:rPr>
            </w:pPr>
            <w:r>
              <w:rPr>
                <w:spacing w:val="6"/>
              </w:rPr>
              <w:t>CO</w:t>
            </w:r>
          </w:p>
        </w:tc>
        <w:tc>
          <w:tcPr>
            <w:tcW w:w="2119" w:type="dxa"/>
            <w:vAlign w:val="center"/>
          </w:tcPr>
          <w:p>
            <w:pPr>
              <w:pStyle w:val="14"/>
              <w:rPr>
                <w:spacing w:val="6"/>
              </w:rPr>
            </w:pPr>
            <w:r>
              <w:rPr>
                <w:spacing w:val="6"/>
              </w:rPr>
              <w:t>95</w:t>
            </w:r>
            <w:r>
              <w:rPr>
                <w:rFonts w:ascii="宋体" w:hAnsi="宋体"/>
                <w:spacing w:val="6"/>
              </w:rPr>
              <w:t>百分位日平均</w:t>
            </w:r>
          </w:p>
        </w:tc>
        <w:tc>
          <w:tcPr>
            <w:tcW w:w="1793" w:type="dxa"/>
            <w:vAlign w:val="center"/>
          </w:tcPr>
          <w:p>
            <w:pPr>
              <w:pStyle w:val="14"/>
              <w:rPr>
                <w:spacing w:val="6"/>
              </w:rPr>
            </w:pPr>
            <w:r>
              <w:rPr>
                <w:spacing w:val="6"/>
              </w:rPr>
              <w:t>1500</w:t>
            </w:r>
          </w:p>
        </w:tc>
        <w:tc>
          <w:tcPr>
            <w:tcW w:w="1631" w:type="dxa"/>
            <w:vAlign w:val="center"/>
          </w:tcPr>
          <w:p>
            <w:pPr>
              <w:pStyle w:val="14"/>
              <w:rPr>
                <w:spacing w:val="6"/>
              </w:rPr>
            </w:pPr>
            <w:r>
              <w:rPr>
                <w:spacing w:val="6"/>
              </w:rPr>
              <w:t>4000</w:t>
            </w:r>
          </w:p>
        </w:tc>
        <w:tc>
          <w:tcPr>
            <w:tcW w:w="1741" w:type="dxa"/>
            <w:vAlign w:val="center"/>
          </w:tcPr>
          <w:p>
            <w:pPr>
              <w:pStyle w:val="14"/>
              <w:rPr>
                <w:spacing w:val="6"/>
              </w:rPr>
            </w:pPr>
            <w:r>
              <w:rPr>
                <w:spacing w:val="6"/>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9" w:hRule="atLeast"/>
          <w:jc w:val="center"/>
        </w:trPr>
        <w:tc>
          <w:tcPr>
            <w:tcW w:w="1143" w:type="dxa"/>
            <w:vAlign w:val="center"/>
          </w:tcPr>
          <w:p>
            <w:pPr>
              <w:pStyle w:val="14"/>
              <w:rPr>
                <w:spacing w:val="6"/>
              </w:rPr>
            </w:pPr>
            <w:r>
              <w:rPr>
                <w:spacing w:val="6"/>
              </w:rPr>
              <w:t>O</w:t>
            </w:r>
            <w:r>
              <w:rPr>
                <w:spacing w:val="6"/>
                <w:vertAlign w:val="subscript"/>
              </w:rPr>
              <w:t>3</w:t>
            </w:r>
          </w:p>
        </w:tc>
        <w:tc>
          <w:tcPr>
            <w:tcW w:w="2119" w:type="dxa"/>
            <w:vAlign w:val="center"/>
          </w:tcPr>
          <w:p>
            <w:pPr>
              <w:pStyle w:val="14"/>
              <w:rPr>
                <w:spacing w:val="6"/>
              </w:rPr>
            </w:pPr>
            <w:r>
              <w:rPr>
                <w:spacing w:val="6"/>
              </w:rPr>
              <w:t>90</w:t>
            </w:r>
            <w:r>
              <w:rPr>
                <w:rFonts w:ascii="宋体" w:hAnsi="宋体"/>
                <w:spacing w:val="6"/>
              </w:rPr>
              <w:t>百分位</w:t>
            </w:r>
            <w:r>
              <w:rPr>
                <w:spacing w:val="6"/>
              </w:rPr>
              <w:t>8h</w:t>
            </w:r>
            <w:r>
              <w:rPr>
                <w:rFonts w:ascii="宋体" w:hAnsi="宋体"/>
                <w:spacing w:val="6"/>
              </w:rPr>
              <w:t>平均</w:t>
            </w:r>
          </w:p>
        </w:tc>
        <w:tc>
          <w:tcPr>
            <w:tcW w:w="1793" w:type="dxa"/>
            <w:vAlign w:val="center"/>
          </w:tcPr>
          <w:p>
            <w:pPr>
              <w:pStyle w:val="14"/>
              <w:rPr>
                <w:spacing w:val="6"/>
              </w:rPr>
            </w:pPr>
            <w:r>
              <w:rPr>
                <w:spacing w:val="6"/>
              </w:rPr>
              <w:t>119</w:t>
            </w:r>
          </w:p>
        </w:tc>
        <w:tc>
          <w:tcPr>
            <w:tcW w:w="1631" w:type="dxa"/>
            <w:vAlign w:val="center"/>
          </w:tcPr>
          <w:p>
            <w:pPr>
              <w:pStyle w:val="14"/>
              <w:rPr>
                <w:spacing w:val="6"/>
              </w:rPr>
            </w:pPr>
            <w:r>
              <w:rPr>
                <w:spacing w:val="6"/>
              </w:rPr>
              <w:t>160</w:t>
            </w:r>
          </w:p>
        </w:tc>
        <w:tc>
          <w:tcPr>
            <w:tcW w:w="1741" w:type="dxa"/>
            <w:vAlign w:val="center"/>
          </w:tcPr>
          <w:p>
            <w:pPr>
              <w:pStyle w:val="14"/>
              <w:rPr>
                <w:spacing w:val="6"/>
              </w:rPr>
            </w:pPr>
            <w:r>
              <w:rPr>
                <w:spacing w:val="6"/>
              </w:rPr>
              <w:t>达标</w:t>
            </w:r>
          </w:p>
        </w:tc>
      </w:tr>
    </w:tbl>
    <w:p>
      <w:pPr>
        <w:ind w:firstLine="480"/>
        <w:rPr>
          <w:rFonts w:cs="Times New Roman"/>
          <w:kern w:val="0"/>
        </w:rPr>
      </w:pPr>
      <w:r>
        <w:rPr>
          <w:rFonts w:cs="Times New Roman"/>
          <w:kern w:val="0"/>
        </w:rPr>
        <w:t>根据监测结果可知，项目区域属于</w:t>
      </w:r>
      <w:r>
        <w:rPr>
          <w:rFonts w:hint="eastAsia" w:cs="Times New Roman"/>
          <w:kern w:val="0"/>
        </w:rPr>
        <w:t>不</w:t>
      </w:r>
      <w:r>
        <w:rPr>
          <w:rFonts w:cs="Times New Roman"/>
          <w:kern w:val="0"/>
        </w:rPr>
        <w:t>达标区。</w:t>
      </w:r>
    </w:p>
    <w:p>
      <w:pPr>
        <w:pStyle w:val="4"/>
        <w:rPr>
          <w:rFonts w:cs="Times New Roman"/>
        </w:rPr>
      </w:pPr>
      <w:bookmarkStart w:id="114" w:name="_Toc86611287"/>
      <w:r>
        <w:rPr>
          <w:rFonts w:cs="Times New Roman"/>
        </w:rPr>
        <w:t>4.6.3 补充监测污染物环境质量现状评价</w:t>
      </w:r>
      <w:bookmarkEnd w:id="114"/>
    </w:p>
    <w:p>
      <w:pPr>
        <w:adjustRightInd w:val="0"/>
        <w:snapToGrid w:val="0"/>
        <w:ind w:firstLine="482"/>
        <w:rPr>
          <w:rFonts w:cs="Times New Roman"/>
          <w:b/>
        </w:rPr>
      </w:pPr>
      <w:r>
        <w:rPr>
          <w:rFonts w:cs="Times New Roman"/>
          <w:b/>
        </w:rPr>
        <w:t>1、监测点位及因子</w:t>
      </w:r>
    </w:p>
    <w:p>
      <w:pPr>
        <w:adjustRightInd w:val="0"/>
        <w:snapToGrid w:val="0"/>
        <w:ind w:firstLine="480"/>
        <w:rPr>
          <w:rFonts w:cs="Times New Roman"/>
        </w:rPr>
      </w:pPr>
      <w:r>
        <w:rPr>
          <w:rFonts w:cs="Times New Roman"/>
        </w:rPr>
        <w:t>（1）监测因子</w:t>
      </w:r>
    </w:p>
    <w:p>
      <w:pPr>
        <w:adjustRightInd w:val="0"/>
        <w:snapToGrid w:val="0"/>
        <w:ind w:firstLine="480"/>
        <w:rPr>
          <w:rFonts w:cs="Times New Roman"/>
        </w:rPr>
      </w:pPr>
      <w:r>
        <w:rPr>
          <w:rFonts w:cs="Times New Roman"/>
        </w:rPr>
        <w:t>根据大气导则要求、环境质量标准以及结合项目排污情况，项目环境空气现状补充监测选取的监测因子包括：TSP、氟化物、氯化物、氨、TVOC、铅及其化合物、镉及其化合物、镍及其化合物、汞及化合物9项指标。</w:t>
      </w:r>
    </w:p>
    <w:p>
      <w:pPr>
        <w:adjustRightInd w:val="0"/>
        <w:snapToGrid w:val="0"/>
        <w:ind w:firstLine="480"/>
        <w:rPr>
          <w:rFonts w:cs="Times New Roman"/>
        </w:rPr>
      </w:pPr>
      <w:r>
        <w:rPr>
          <w:rFonts w:cs="Times New Roman"/>
        </w:rPr>
        <w:t>（2）监测点位</w:t>
      </w:r>
    </w:p>
    <w:p>
      <w:pPr>
        <w:ind w:firstLine="480"/>
        <w:rPr>
          <w:rFonts w:cs="Times New Roman"/>
        </w:rPr>
      </w:pPr>
      <w:r>
        <w:rPr>
          <w:rFonts w:cs="Times New Roman"/>
        </w:rPr>
        <w:t>本项目环评委托湖南精博监测科技有限公司对项目周边环境敏感点太清村（G1）及众拱村（G2）进行监测，监测点位及监测项目情况见表4.6-2。</w:t>
      </w:r>
    </w:p>
    <w:p>
      <w:pPr>
        <w:spacing w:before="163" w:beforeLines="50"/>
        <w:ind w:firstLine="482"/>
        <w:jc w:val="center"/>
        <w:rPr>
          <w:rFonts w:cs="Times New Roman"/>
          <w:b/>
          <w:bCs/>
          <w:szCs w:val="21"/>
        </w:rPr>
      </w:pPr>
      <w:r>
        <w:rPr>
          <w:rFonts w:cs="Times New Roman"/>
          <w:b/>
          <w:bCs/>
          <w:szCs w:val="21"/>
        </w:rPr>
        <w:t>表4.6-2  其他污染物补充监测点位基本信息</w:t>
      </w:r>
    </w:p>
    <w:tbl>
      <w:tblPr>
        <w:tblStyle w:val="45"/>
        <w:tblW w:w="85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08"/>
        <w:gridCol w:w="1249"/>
        <w:gridCol w:w="1369"/>
        <w:gridCol w:w="2071"/>
        <w:gridCol w:w="1135"/>
        <w:gridCol w:w="119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08" w:type="dxa"/>
            <w:vMerge w:val="restart"/>
            <w:vAlign w:val="center"/>
          </w:tcPr>
          <w:p>
            <w:pPr>
              <w:adjustRightInd w:val="0"/>
              <w:snapToGrid w:val="0"/>
              <w:spacing w:line="240" w:lineRule="auto"/>
              <w:ind w:firstLine="0" w:firstLineChars="0"/>
              <w:jc w:val="center"/>
              <w:rPr>
                <w:rFonts w:cs="Times New Roman"/>
                <w:b/>
                <w:sz w:val="21"/>
                <w:szCs w:val="18"/>
              </w:rPr>
            </w:pPr>
            <w:r>
              <w:rPr>
                <w:rFonts w:cs="Times New Roman"/>
                <w:b/>
                <w:sz w:val="21"/>
                <w:szCs w:val="18"/>
              </w:rPr>
              <w:t>监测点</w:t>
            </w:r>
          </w:p>
          <w:p>
            <w:pPr>
              <w:adjustRightInd w:val="0"/>
              <w:snapToGrid w:val="0"/>
              <w:spacing w:line="240" w:lineRule="auto"/>
              <w:ind w:firstLine="0" w:firstLineChars="0"/>
              <w:jc w:val="center"/>
              <w:rPr>
                <w:rFonts w:cs="Times New Roman"/>
                <w:b/>
                <w:sz w:val="21"/>
                <w:szCs w:val="18"/>
              </w:rPr>
            </w:pPr>
            <w:r>
              <w:rPr>
                <w:rFonts w:cs="Times New Roman"/>
                <w:b/>
                <w:sz w:val="21"/>
                <w:szCs w:val="18"/>
              </w:rPr>
              <w:t>名称</w:t>
            </w:r>
          </w:p>
        </w:tc>
        <w:tc>
          <w:tcPr>
            <w:tcW w:w="2618" w:type="dxa"/>
            <w:gridSpan w:val="2"/>
            <w:vAlign w:val="center"/>
          </w:tcPr>
          <w:p>
            <w:pPr>
              <w:adjustRightInd w:val="0"/>
              <w:snapToGrid w:val="0"/>
              <w:spacing w:line="240" w:lineRule="auto"/>
              <w:ind w:firstLine="0" w:firstLineChars="0"/>
              <w:jc w:val="center"/>
              <w:rPr>
                <w:rFonts w:cs="Times New Roman"/>
                <w:b/>
                <w:sz w:val="21"/>
                <w:szCs w:val="18"/>
              </w:rPr>
            </w:pPr>
            <w:r>
              <w:rPr>
                <w:rFonts w:cs="Times New Roman"/>
                <w:b/>
                <w:sz w:val="21"/>
                <w:szCs w:val="18"/>
              </w:rPr>
              <w:t>监测点坐标/m</w:t>
            </w:r>
          </w:p>
        </w:tc>
        <w:tc>
          <w:tcPr>
            <w:tcW w:w="2071" w:type="dxa"/>
            <w:vMerge w:val="restart"/>
            <w:vAlign w:val="center"/>
          </w:tcPr>
          <w:p>
            <w:pPr>
              <w:adjustRightInd w:val="0"/>
              <w:snapToGrid w:val="0"/>
              <w:spacing w:line="240" w:lineRule="auto"/>
              <w:ind w:firstLine="0" w:firstLineChars="0"/>
              <w:jc w:val="center"/>
              <w:rPr>
                <w:rFonts w:cs="Times New Roman"/>
                <w:b/>
                <w:sz w:val="21"/>
                <w:szCs w:val="18"/>
              </w:rPr>
            </w:pPr>
            <w:r>
              <w:rPr>
                <w:rFonts w:cs="Times New Roman"/>
                <w:b/>
                <w:sz w:val="21"/>
                <w:szCs w:val="18"/>
              </w:rPr>
              <w:t>监测时段</w:t>
            </w:r>
          </w:p>
        </w:tc>
        <w:tc>
          <w:tcPr>
            <w:tcW w:w="1135" w:type="dxa"/>
            <w:vMerge w:val="restart"/>
            <w:vAlign w:val="center"/>
          </w:tcPr>
          <w:p>
            <w:pPr>
              <w:adjustRightInd w:val="0"/>
              <w:snapToGrid w:val="0"/>
              <w:spacing w:line="240" w:lineRule="auto"/>
              <w:ind w:firstLine="0" w:firstLineChars="0"/>
              <w:jc w:val="center"/>
              <w:rPr>
                <w:rFonts w:cs="Times New Roman"/>
                <w:b/>
                <w:sz w:val="21"/>
                <w:szCs w:val="18"/>
              </w:rPr>
            </w:pPr>
            <w:r>
              <w:rPr>
                <w:rFonts w:cs="Times New Roman"/>
                <w:b/>
                <w:sz w:val="21"/>
                <w:szCs w:val="18"/>
              </w:rPr>
              <w:t>相对厂址方位</w:t>
            </w:r>
          </w:p>
        </w:tc>
        <w:tc>
          <w:tcPr>
            <w:tcW w:w="1190" w:type="dxa"/>
            <w:vMerge w:val="restart"/>
            <w:vAlign w:val="center"/>
          </w:tcPr>
          <w:p>
            <w:pPr>
              <w:adjustRightInd w:val="0"/>
              <w:snapToGrid w:val="0"/>
              <w:spacing w:line="240" w:lineRule="auto"/>
              <w:ind w:firstLine="0" w:firstLineChars="0"/>
              <w:jc w:val="center"/>
              <w:rPr>
                <w:rFonts w:cs="Times New Roman"/>
                <w:b/>
                <w:sz w:val="21"/>
                <w:szCs w:val="18"/>
              </w:rPr>
            </w:pPr>
            <w:r>
              <w:rPr>
                <w:rFonts w:cs="Times New Roman"/>
                <w:b/>
                <w:sz w:val="21"/>
                <w:szCs w:val="18"/>
              </w:rPr>
              <w:t>相对厂界距离/m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08" w:type="dxa"/>
            <w:vMerge w:val="continue"/>
            <w:vAlign w:val="center"/>
          </w:tcPr>
          <w:p>
            <w:pPr>
              <w:adjustRightInd w:val="0"/>
              <w:snapToGrid w:val="0"/>
              <w:spacing w:line="240" w:lineRule="auto"/>
              <w:ind w:firstLine="0" w:firstLineChars="0"/>
              <w:jc w:val="center"/>
              <w:rPr>
                <w:rFonts w:cs="Times New Roman"/>
                <w:b/>
                <w:sz w:val="21"/>
                <w:szCs w:val="18"/>
              </w:rPr>
            </w:pPr>
          </w:p>
        </w:tc>
        <w:tc>
          <w:tcPr>
            <w:tcW w:w="1249" w:type="dxa"/>
            <w:vAlign w:val="center"/>
          </w:tcPr>
          <w:p>
            <w:pPr>
              <w:adjustRightInd w:val="0"/>
              <w:snapToGrid w:val="0"/>
              <w:spacing w:line="240" w:lineRule="auto"/>
              <w:ind w:firstLine="0" w:firstLineChars="0"/>
              <w:jc w:val="center"/>
              <w:rPr>
                <w:rFonts w:cs="Times New Roman"/>
                <w:b/>
                <w:sz w:val="21"/>
                <w:szCs w:val="18"/>
              </w:rPr>
            </w:pPr>
            <w:r>
              <w:rPr>
                <w:rFonts w:cs="Times New Roman"/>
                <w:b/>
                <w:sz w:val="21"/>
                <w:szCs w:val="18"/>
              </w:rPr>
              <w:t>X</w:t>
            </w:r>
          </w:p>
        </w:tc>
        <w:tc>
          <w:tcPr>
            <w:tcW w:w="1369" w:type="dxa"/>
            <w:vAlign w:val="center"/>
          </w:tcPr>
          <w:p>
            <w:pPr>
              <w:adjustRightInd w:val="0"/>
              <w:snapToGrid w:val="0"/>
              <w:spacing w:line="240" w:lineRule="auto"/>
              <w:ind w:firstLine="0" w:firstLineChars="0"/>
              <w:jc w:val="center"/>
              <w:rPr>
                <w:rFonts w:cs="Times New Roman"/>
                <w:b/>
                <w:sz w:val="21"/>
                <w:szCs w:val="18"/>
              </w:rPr>
            </w:pPr>
            <w:r>
              <w:rPr>
                <w:rFonts w:cs="Times New Roman"/>
                <w:b/>
                <w:sz w:val="21"/>
                <w:szCs w:val="18"/>
              </w:rPr>
              <w:t>Y</w:t>
            </w:r>
          </w:p>
        </w:tc>
        <w:tc>
          <w:tcPr>
            <w:tcW w:w="2071" w:type="dxa"/>
            <w:vMerge w:val="continue"/>
            <w:vAlign w:val="center"/>
          </w:tcPr>
          <w:p>
            <w:pPr>
              <w:adjustRightInd w:val="0"/>
              <w:snapToGrid w:val="0"/>
              <w:spacing w:line="240" w:lineRule="auto"/>
              <w:ind w:firstLine="0" w:firstLineChars="0"/>
              <w:jc w:val="center"/>
              <w:rPr>
                <w:rFonts w:cs="Times New Roman"/>
                <w:b/>
                <w:sz w:val="21"/>
                <w:szCs w:val="18"/>
              </w:rPr>
            </w:pPr>
          </w:p>
        </w:tc>
        <w:tc>
          <w:tcPr>
            <w:tcW w:w="1135" w:type="dxa"/>
            <w:vMerge w:val="continue"/>
            <w:vAlign w:val="center"/>
          </w:tcPr>
          <w:p>
            <w:pPr>
              <w:adjustRightInd w:val="0"/>
              <w:snapToGrid w:val="0"/>
              <w:spacing w:line="240" w:lineRule="auto"/>
              <w:ind w:firstLine="0" w:firstLineChars="0"/>
              <w:jc w:val="center"/>
              <w:rPr>
                <w:rFonts w:cs="Times New Roman"/>
                <w:b/>
                <w:sz w:val="21"/>
                <w:szCs w:val="18"/>
              </w:rPr>
            </w:pPr>
          </w:p>
        </w:tc>
        <w:tc>
          <w:tcPr>
            <w:tcW w:w="1190" w:type="dxa"/>
            <w:vMerge w:val="continue"/>
            <w:vAlign w:val="center"/>
          </w:tcPr>
          <w:p>
            <w:pPr>
              <w:adjustRightInd w:val="0"/>
              <w:snapToGrid w:val="0"/>
              <w:spacing w:line="240" w:lineRule="auto"/>
              <w:ind w:firstLine="0" w:firstLineChars="0"/>
              <w:jc w:val="center"/>
              <w:rPr>
                <w:rFonts w:cs="Times New Roman"/>
                <w:b/>
                <w:sz w:val="21"/>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08" w:type="dxa"/>
            <w:vAlign w:val="center"/>
          </w:tcPr>
          <w:p>
            <w:pPr>
              <w:spacing w:line="240" w:lineRule="auto"/>
              <w:ind w:firstLine="0" w:firstLineChars="0"/>
              <w:jc w:val="center"/>
              <w:rPr>
                <w:rFonts w:cs="Times New Roman"/>
                <w:sz w:val="21"/>
                <w:szCs w:val="18"/>
              </w:rPr>
            </w:pPr>
            <w:r>
              <w:rPr>
                <w:rFonts w:cs="Times New Roman"/>
                <w:sz w:val="21"/>
                <w:szCs w:val="18"/>
              </w:rPr>
              <w:t>太清村（G1）</w:t>
            </w:r>
          </w:p>
        </w:tc>
        <w:tc>
          <w:tcPr>
            <w:tcW w:w="1249" w:type="dxa"/>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805</w:t>
            </w:r>
          </w:p>
        </w:tc>
        <w:tc>
          <w:tcPr>
            <w:tcW w:w="1369" w:type="dxa"/>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1327</w:t>
            </w:r>
          </w:p>
        </w:tc>
        <w:tc>
          <w:tcPr>
            <w:tcW w:w="2071" w:type="dxa"/>
            <w:vMerge w:val="restart"/>
            <w:vAlign w:val="center"/>
          </w:tcPr>
          <w:p>
            <w:pPr>
              <w:adjustRightInd w:val="0"/>
              <w:snapToGrid w:val="0"/>
              <w:spacing w:line="240" w:lineRule="auto"/>
              <w:ind w:firstLine="0" w:firstLineChars="0"/>
              <w:jc w:val="center"/>
              <w:rPr>
                <w:rFonts w:cs="Times New Roman"/>
                <w:spacing w:val="-6"/>
                <w:sz w:val="21"/>
                <w:szCs w:val="18"/>
              </w:rPr>
            </w:pPr>
            <w:r>
              <w:rPr>
                <w:rFonts w:cs="Times New Roman"/>
                <w:bCs/>
                <w:spacing w:val="-6"/>
                <w:sz w:val="21"/>
                <w:szCs w:val="18"/>
              </w:rPr>
              <w:t>2019.7.22~2019.7.28</w:t>
            </w:r>
          </w:p>
        </w:tc>
        <w:tc>
          <w:tcPr>
            <w:tcW w:w="1135" w:type="dxa"/>
            <w:vAlign w:val="center"/>
          </w:tcPr>
          <w:p>
            <w:pPr>
              <w:spacing w:line="240" w:lineRule="auto"/>
              <w:ind w:firstLine="0" w:firstLineChars="0"/>
              <w:jc w:val="center"/>
              <w:rPr>
                <w:rFonts w:cs="Times New Roman"/>
                <w:sz w:val="21"/>
                <w:szCs w:val="18"/>
              </w:rPr>
            </w:pPr>
            <w:r>
              <w:rPr>
                <w:rFonts w:cs="Times New Roman"/>
                <w:sz w:val="21"/>
                <w:szCs w:val="18"/>
              </w:rPr>
              <w:t>北</w:t>
            </w:r>
          </w:p>
        </w:tc>
        <w:tc>
          <w:tcPr>
            <w:tcW w:w="1190" w:type="dxa"/>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940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08" w:type="dxa"/>
            <w:vAlign w:val="center"/>
          </w:tcPr>
          <w:p>
            <w:pPr>
              <w:spacing w:line="240" w:lineRule="auto"/>
              <w:ind w:firstLine="0" w:firstLineChars="0"/>
              <w:jc w:val="center"/>
              <w:rPr>
                <w:rFonts w:cs="Times New Roman"/>
                <w:sz w:val="21"/>
                <w:szCs w:val="18"/>
              </w:rPr>
            </w:pPr>
            <w:r>
              <w:rPr>
                <w:rFonts w:cs="Times New Roman"/>
                <w:sz w:val="21"/>
                <w:szCs w:val="18"/>
              </w:rPr>
              <w:t>众拱村（G2）</w:t>
            </w:r>
          </w:p>
        </w:tc>
        <w:tc>
          <w:tcPr>
            <w:tcW w:w="1249" w:type="dxa"/>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1235</w:t>
            </w:r>
          </w:p>
        </w:tc>
        <w:tc>
          <w:tcPr>
            <w:tcW w:w="1369" w:type="dxa"/>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-381</w:t>
            </w:r>
          </w:p>
        </w:tc>
        <w:tc>
          <w:tcPr>
            <w:tcW w:w="2071" w:type="dxa"/>
            <w:vMerge w:val="continue"/>
            <w:vAlign w:val="center"/>
          </w:tcPr>
          <w:p>
            <w:pPr>
              <w:adjustRightInd w:val="0"/>
              <w:snapToGrid w:val="0"/>
              <w:spacing w:line="240" w:lineRule="auto"/>
              <w:ind w:firstLine="0" w:firstLineChars="0"/>
              <w:jc w:val="center"/>
              <w:rPr>
                <w:rFonts w:cs="Times New Roman"/>
                <w:bCs/>
                <w:spacing w:val="-6"/>
                <w:sz w:val="21"/>
                <w:szCs w:val="18"/>
              </w:rPr>
            </w:pPr>
          </w:p>
        </w:tc>
        <w:tc>
          <w:tcPr>
            <w:tcW w:w="1135" w:type="dxa"/>
            <w:vAlign w:val="center"/>
          </w:tcPr>
          <w:p>
            <w:pPr>
              <w:spacing w:line="240" w:lineRule="auto"/>
              <w:ind w:firstLine="0" w:firstLineChars="0"/>
              <w:jc w:val="center"/>
              <w:rPr>
                <w:rFonts w:cs="Times New Roman"/>
                <w:sz w:val="21"/>
                <w:szCs w:val="18"/>
              </w:rPr>
            </w:pPr>
            <w:r>
              <w:rPr>
                <w:rFonts w:cs="Times New Roman"/>
                <w:sz w:val="21"/>
                <w:szCs w:val="18"/>
              </w:rPr>
              <w:t>南</w:t>
            </w:r>
          </w:p>
        </w:tc>
        <w:tc>
          <w:tcPr>
            <w:tcW w:w="1190" w:type="dxa"/>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400</w:t>
            </w:r>
          </w:p>
        </w:tc>
      </w:tr>
    </w:tbl>
    <w:p>
      <w:pPr>
        <w:ind w:firstLine="482"/>
        <w:rPr>
          <w:rFonts w:cs="Times New Roman"/>
          <w:b/>
          <w:szCs w:val="21"/>
        </w:rPr>
      </w:pPr>
      <w:r>
        <w:rPr>
          <w:rFonts w:cs="Times New Roman"/>
          <w:b/>
          <w:szCs w:val="21"/>
        </w:rPr>
        <w:t>注：</w:t>
      </w:r>
      <w:r>
        <w:rPr>
          <w:rFonts w:cs="Times New Roman"/>
        </w:rPr>
        <w:t>以湖南将军新型建材有限公司项目西、南边界交汇点为坐标零点</w:t>
      </w:r>
      <w:r>
        <w:rPr>
          <w:rFonts w:cs="Times New Roman"/>
          <w:szCs w:val="21"/>
        </w:rPr>
        <w:t>。</w:t>
      </w:r>
    </w:p>
    <w:p>
      <w:pPr>
        <w:ind w:firstLine="482"/>
        <w:rPr>
          <w:rFonts w:cs="Times New Roman"/>
          <w:b/>
        </w:rPr>
      </w:pPr>
      <w:r>
        <w:rPr>
          <w:rFonts w:cs="Times New Roman"/>
          <w:b/>
        </w:rPr>
        <w:t>2、监测时间和和频率</w:t>
      </w:r>
    </w:p>
    <w:p>
      <w:pPr>
        <w:ind w:firstLine="480"/>
        <w:rPr>
          <w:rFonts w:cs="Times New Roman"/>
          <w:bCs/>
        </w:rPr>
      </w:pPr>
      <w:r>
        <w:rPr>
          <w:rFonts w:cs="Times New Roman"/>
          <w:bCs/>
        </w:rPr>
        <w:t>监测时间为2019.7.22~2019.7.28，监测频率为连续7天，日平均浓度TSP、氟化物、氯化氢、铅及其化合物、镉及其化合物、镍及其化合物、汞及其化合物每天20小时连续采样，氨、TVOC每天采样4次，每次45~60分钟，时间分别为02、08、14、20时；现状监测同步观测天气状况、气温、气压、风速、风向、湿度等相关气象条件。</w:t>
      </w:r>
    </w:p>
    <w:p>
      <w:pPr>
        <w:ind w:firstLine="482"/>
        <w:rPr>
          <w:rFonts w:cs="Times New Roman"/>
          <w:b/>
        </w:rPr>
      </w:pPr>
      <w:r>
        <w:rPr>
          <w:rFonts w:cs="Times New Roman"/>
          <w:b/>
        </w:rPr>
        <w:t>3、评价标准</w:t>
      </w:r>
    </w:p>
    <w:p>
      <w:pPr>
        <w:ind w:firstLine="480"/>
        <w:rPr>
          <w:rFonts w:cs="Times New Roman"/>
        </w:rPr>
      </w:pPr>
      <w:r>
        <w:rPr>
          <w:rFonts w:cs="Times New Roman"/>
          <w:bCs/>
        </w:rPr>
        <w:t>TSP、氟化物按</w:t>
      </w:r>
      <w:r>
        <w:rPr>
          <w:rFonts w:cs="Times New Roman"/>
        </w:rPr>
        <w:t>《环境空气质量标准》（GB3095-2012）二级标准及其修改单、附录A进行评价；</w:t>
      </w:r>
      <w:r>
        <w:rPr>
          <w:rFonts w:cs="Times New Roman"/>
          <w:bCs/>
        </w:rPr>
        <w:t>氯化氢、铅及其无机化合物按《工业企业设计卫生标准》（TJ36-79）中居住区大气中有害物质的最高容许浓度进行评价；氨</w:t>
      </w:r>
      <w:r>
        <w:rPr>
          <w:rFonts w:cs="Times New Roman"/>
        </w:rPr>
        <w:t>、TVOC按《环境影响评价技术导则大气环境》（HJ2.2-2018）附录D的参考限值进行评价。</w:t>
      </w:r>
    </w:p>
    <w:p>
      <w:pPr>
        <w:ind w:firstLine="482"/>
        <w:rPr>
          <w:rFonts w:cs="Times New Roman"/>
          <w:b/>
        </w:rPr>
      </w:pPr>
      <w:r>
        <w:rPr>
          <w:rFonts w:cs="Times New Roman"/>
          <w:b/>
        </w:rPr>
        <w:t>4、评价方法</w:t>
      </w:r>
    </w:p>
    <w:p>
      <w:pPr>
        <w:ind w:firstLine="480"/>
        <w:rPr>
          <w:rFonts w:cs="Times New Roman"/>
        </w:rPr>
      </w:pPr>
      <w:r>
        <w:rPr>
          <w:rFonts w:cs="Times New Roman"/>
        </w:rPr>
        <w:t>根据《环境影响评价技术导则  大气环境》（HJ2.2-2018）中的监测结果统计分析要求，以列表的方式给出各监测点大气污染物的不同取值时间的质量浓度变化范围，计算并列表给出各取值时间最大质量浓度值占相应标准质量浓度限值的百分比和超标率，评价达标情况。</w:t>
      </w:r>
    </w:p>
    <w:p>
      <w:pPr>
        <w:ind w:firstLine="482"/>
        <w:rPr>
          <w:rFonts w:cs="Times New Roman"/>
          <w:b/>
        </w:rPr>
      </w:pPr>
      <w:r>
        <w:rPr>
          <w:rFonts w:cs="Times New Roman"/>
          <w:b/>
        </w:rPr>
        <w:t>5、监测结果及评价</w:t>
      </w:r>
    </w:p>
    <w:p>
      <w:pPr>
        <w:ind w:firstLine="480"/>
        <w:rPr>
          <w:rFonts w:cs="Times New Roman"/>
          <w:bCs/>
        </w:rPr>
      </w:pPr>
      <w:r>
        <w:rPr>
          <w:rFonts w:cs="Times New Roman"/>
          <w:bCs/>
        </w:rPr>
        <w:t>评价区域环境空气污染物现状监测结果统计分析见表4.6-3。</w:t>
      </w:r>
    </w:p>
    <w:p>
      <w:pPr>
        <w:spacing w:before="163" w:beforeLines="50"/>
        <w:ind w:firstLine="482"/>
        <w:jc w:val="center"/>
        <w:rPr>
          <w:rFonts w:cs="Times New Roman"/>
          <w:b/>
          <w:bCs/>
          <w:szCs w:val="21"/>
        </w:rPr>
      </w:pPr>
      <w:r>
        <w:rPr>
          <w:rFonts w:cs="Times New Roman"/>
          <w:b/>
          <w:bCs/>
          <w:szCs w:val="21"/>
        </w:rPr>
        <w:t>表4.6-3  环境质量现状监测结果表  单位：μg/m</w:t>
      </w:r>
      <w:r>
        <w:rPr>
          <w:rFonts w:cs="Times New Roman"/>
          <w:b/>
          <w:bCs/>
          <w:szCs w:val="21"/>
          <w:vertAlign w:val="superscript"/>
        </w:rPr>
        <w:t>3</w:t>
      </w:r>
    </w:p>
    <w:tbl>
      <w:tblPr>
        <w:tblStyle w:val="4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7"/>
        <w:gridCol w:w="1065"/>
        <w:gridCol w:w="1065"/>
        <w:gridCol w:w="1066"/>
        <w:gridCol w:w="1066"/>
        <w:gridCol w:w="1065"/>
        <w:gridCol w:w="1064"/>
        <w:gridCol w:w="10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Align w:val="center"/>
          </w:tcPr>
          <w:p>
            <w:pPr>
              <w:adjustRightInd w:val="0"/>
              <w:snapToGrid w:val="0"/>
              <w:spacing w:line="240" w:lineRule="auto"/>
              <w:ind w:firstLine="0" w:firstLineChars="0"/>
              <w:jc w:val="center"/>
              <w:rPr>
                <w:rFonts w:cs="Times New Roman"/>
                <w:b/>
                <w:bCs/>
                <w:sz w:val="21"/>
                <w:szCs w:val="21"/>
              </w:rPr>
            </w:pPr>
            <w:r>
              <w:rPr>
                <w:rFonts w:cs="Times New Roman"/>
                <w:b/>
                <w:bCs/>
                <w:sz w:val="21"/>
                <w:szCs w:val="21"/>
              </w:rPr>
              <w:t>点位</w:t>
            </w:r>
          </w:p>
        </w:tc>
        <w:tc>
          <w:tcPr>
            <w:tcW w:w="1065" w:type="dxa"/>
            <w:vAlign w:val="center"/>
          </w:tcPr>
          <w:p>
            <w:pPr>
              <w:adjustRightInd w:val="0"/>
              <w:snapToGrid w:val="0"/>
              <w:spacing w:line="240" w:lineRule="auto"/>
              <w:ind w:firstLine="0" w:firstLineChars="0"/>
              <w:jc w:val="center"/>
              <w:rPr>
                <w:rFonts w:cs="Times New Roman"/>
                <w:b/>
                <w:bCs/>
                <w:sz w:val="21"/>
                <w:szCs w:val="21"/>
              </w:rPr>
            </w:pPr>
            <w:r>
              <w:rPr>
                <w:rFonts w:cs="Times New Roman"/>
                <w:b/>
                <w:bCs/>
                <w:sz w:val="21"/>
                <w:szCs w:val="21"/>
              </w:rPr>
              <w:t>项目</w:t>
            </w:r>
          </w:p>
        </w:tc>
        <w:tc>
          <w:tcPr>
            <w:tcW w:w="1065" w:type="dxa"/>
            <w:vAlign w:val="center"/>
          </w:tcPr>
          <w:p>
            <w:pPr>
              <w:adjustRightInd w:val="0"/>
              <w:snapToGrid w:val="0"/>
              <w:spacing w:line="240" w:lineRule="auto"/>
              <w:ind w:firstLine="0" w:firstLineChars="0"/>
              <w:jc w:val="center"/>
              <w:rPr>
                <w:rFonts w:cs="Times New Roman"/>
                <w:b/>
                <w:bCs/>
                <w:sz w:val="21"/>
                <w:szCs w:val="21"/>
              </w:rPr>
            </w:pPr>
            <w:r>
              <w:rPr>
                <w:rFonts w:cs="Times New Roman"/>
                <w:b/>
                <w:bCs/>
                <w:sz w:val="21"/>
                <w:szCs w:val="21"/>
              </w:rPr>
              <w:t>评价标准</w:t>
            </w:r>
          </w:p>
        </w:tc>
        <w:tc>
          <w:tcPr>
            <w:tcW w:w="1066" w:type="dxa"/>
            <w:vAlign w:val="center"/>
          </w:tcPr>
          <w:p>
            <w:pPr>
              <w:adjustRightInd w:val="0"/>
              <w:snapToGrid w:val="0"/>
              <w:spacing w:line="240" w:lineRule="auto"/>
              <w:ind w:firstLine="0" w:firstLineChars="0"/>
              <w:jc w:val="center"/>
              <w:rPr>
                <w:rFonts w:cs="Times New Roman"/>
                <w:b/>
                <w:bCs/>
                <w:sz w:val="21"/>
                <w:szCs w:val="21"/>
              </w:rPr>
            </w:pPr>
            <w:r>
              <w:rPr>
                <w:rFonts w:cs="Times New Roman"/>
                <w:b/>
                <w:bCs/>
                <w:sz w:val="21"/>
                <w:szCs w:val="21"/>
              </w:rPr>
              <w:t>监测范围</w:t>
            </w:r>
          </w:p>
        </w:tc>
        <w:tc>
          <w:tcPr>
            <w:tcW w:w="1066" w:type="dxa"/>
            <w:vAlign w:val="center"/>
          </w:tcPr>
          <w:p>
            <w:pPr>
              <w:adjustRightInd w:val="0"/>
              <w:snapToGrid w:val="0"/>
              <w:spacing w:line="240" w:lineRule="auto"/>
              <w:ind w:firstLine="0" w:firstLineChars="0"/>
              <w:jc w:val="center"/>
              <w:rPr>
                <w:rFonts w:cs="Times New Roman"/>
                <w:b/>
                <w:bCs/>
                <w:sz w:val="21"/>
                <w:szCs w:val="21"/>
              </w:rPr>
            </w:pPr>
            <w:r>
              <w:rPr>
                <w:rFonts w:cs="Times New Roman"/>
                <w:b/>
                <w:bCs/>
                <w:sz w:val="21"/>
                <w:szCs w:val="21"/>
              </w:rPr>
              <w:t>占标率</w:t>
            </w:r>
          </w:p>
        </w:tc>
        <w:tc>
          <w:tcPr>
            <w:tcW w:w="1065" w:type="dxa"/>
            <w:vAlign w:val="center"/>
          </w:tcPr>
          <w:p>
            <w:pPr>
              <w:adjustRightInd w:val="0"/>
              <w:snapToGrid w:val="0"/>
              <w:spacing w:line="240" w:lineRule="auto"/>
              <w:ind w:firstLine="0" w:firstLineChars="0"/>
              <w:jc w:val="center"/>
              <w:rPr>
                <w:rFonts w:cs="Times New Roman"/>
                <w:b/>
                <w:bCs/>
                <w:sz w:val="21"/>
                <w:szCs w:val="21"/>
              </w:rPr>
            </w:pPr>
            <w:r>
              <w:rPr>
                <w:rFonts w:cs="Times New Roman"/>
                <w:b/>
                <w:bCs/>
                <w:sz w:val="21"/>
                <w:szCs w:val="21"/>
              </w:rPr>
              <w:t>平均值</w:t>
            </w:r>
          </w:p>
        </w:tc>
        <w:tc>
          <w:tcPr>
            <w:tcW w:w="1064" w:type="dxa"/>
            <w:vAlign w:val="center"/>
          </w:tcPr>
          <w:p>
            <w:pPr>
              <w:adjustRightInd w:val="0"/>
              <w:snapToGrid w:val="0"/>
              <w:spacing w:line="240" w:lineRule="auto"/>
              <w:ind w:firstLine="0" w:firstLineChars="0"/>
              <w:jc w:val="center"/>
              <w:rPr>
                <w:rFonts w:cs="Times New Roman"/>
                <w:b/>
                <w:bCs/>
                <w:sz w:val="21"/>
                <w:szCs w:val="21"/>
              </w:rPr>
            </w:pPr>
            <w:r>
              <w:rPr>
                <w:rFonts w:cs="Times New Roman"/>
                <w:b/>
                <w:bCs/>
                <w:sz w:val="21"/>
                <w:szCs w:val="21"/>
              </w:rPr>
              <w:t>超标率</w:t>
            </w:r>
          </w:p>
        </w:tc>
        <w:tc>
          <w:tcPr>
            <w:tcW w:w="1064" w:type="dxa"/>
            <w:vAlign w:val="center"/>
          </w:tcPr>
          <w:p>
            <w:pPr>
              <w:adjustRightInd w:val="0"/>
              <w:snapToGrid w:val="0"/>
              <w:spacing w:line="240" w:lineRule="auto"/>
              <w:ind w:firstLine="0" w:firstLineChars="0"/>
              <w:jc w:val="center"/>
              <w:rPr>
                <w:rFonts w:cs="Times New Roman"/>
                <w:b/>
                <w:bCs/>
                <w:sz w:val="21"/>
                <w:szCs w:val="21"/>
              </w:rPr>
            </w:pPr>
            <w:r>
              <w:rPr>
                <w:rFonts w:cs="Times New Roman"/>
                <w:b/>
                <w:bCs/>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restart"/>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太清村（G1）</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TSP</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≤300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115~135</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38.3~45.0</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126.29</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氟化物</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≤7</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0.27~0.34</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3.86~4.86</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0.30</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氯化氢</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≤15</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20L</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氨</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≤200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20~40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10.0~20.0</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31.43</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TVOC</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≤600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215~264</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35.8~44.0</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241.57</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铅及其化合物</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≤0.7</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0.5L</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镉及其化合物</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≤10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0.05L</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镍及其化合物</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0.5L</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汞及其化合物</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0.03L</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restart"/>
            <w:vAlign w:val="center"/>
          </w:tcPr>
          <w:p>
            <w:pPr>
              <w:adjustRightInd w:val="0"/>
              <w:snapToGrid w:val="0"/>
              <w:spacing w:line="240" w:lineRule="auto"/>
              <w:ind w:firstLine="0" w:firstLineChars="0"/>
              <w:jc w:val="center"/>
              <w:rPr>
                <w:rFonts w:cs="Times New Roman"/>
                <w:bCs/>
                <w:sz w:val="21"/>
                <w:szCs w:val="21"/>
              </w:rPr>
            </w:pPr>
            <w:r>
              <w:rPr>
                <w:rFonts w:cs="Times New Roman"/>
                <w:sz w:val="21"/>
                <w:szCs w:val="21"/>
              </w:rPr>
              <w:t>众拱村（G2）</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TSP</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≤300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118~135</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39.3~45.0</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127</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氟化物</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≤7</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0.21~0.31</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3.00~4.43</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0.24</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氯化氢</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≤15</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20L</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氨</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≤200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30~40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15.0~20.0</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32.86</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TVOC</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≤600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227~243</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37.8~40.5</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234.86</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铅及其化合物</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≤0.7</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0.5L</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镉及其化合物</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≤10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0.05L</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镍及其化合物</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≤30</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0.5L</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7" w:type="dxa"/>
            <w:vMerge w:val="continue"/>
            <w:vAlign w:val="center"/>
          </w:tcPr>
          <w:p>
            <w:pPr>
              <w:adjustRightInd w:val="0"/>
              <w:snapToGrid w:val="0"/>
              <w:spacing w:line="240" w:lineRule="auto"/>
              <w:ind w:firstLine="0" w:firstLineChars="0"/>
              <w:jc w:val="center"/>
              <w:rPr>
                <w:rFonts w:cs="Times New Roman"/>
                <w:bCs/>
                <w:sz w:val="21"/>
                <w:szCs w:val="21"/>
              </w:rPr>
            </w:pP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汞及其化合物</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0.03L</w:t>
            </w:r>
          </w:p>
        </w:tc>
        <w:tc>
          <w:tcPr>
            <w:tcW w:w="1066"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5"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adjustRightInd w:val="0"/>
              <w:snapToGrid w:val="0"/>
              <w:spacing w:line="240" w:lineRule="auto"/>
              <w:ind w:firstLine="0" w:firstLineChars="0"/>
              <w:jc w:val="center"/>
              <w:rPr>
                <w:rFonts w:cs="Times New Roman"/>
                <w:bCs/>
                <w:sz w:val="21"/>
                <w:szCs w:val="21"/>
              </w:rPr>
            </w:pPr>
            <w:r>
              <w:rPr>
                <w:rFonts w:cs="Times New Roman"/>
                <w:bCs/>
                <w:sz w:val="21"/>
                <w:szCs w:val="21"/>
              </w:rPr>
              <w:t>/</w:t>
            </w:r>
          </w:p>
        </w:tc>
        <w:tc>
          <w:tcPr>
            <w:tcW w:w="1064" w:type="dxa"/>
            <w:vAlign w:val="center"/>
          </w:tcPr>
          <w:p>
            <w:pPr>
              <w:spacing w:line="240" w:lineRule="auto"/>
              <w:ind w:firstLine="0" w:firstLineChars="0"/>
              <w:jc w:val="center"/>
              <w:rPr>
                <w:rFonts w:cs="Times New Roman"/>
                <w:sz w:val="21"/>
                <w:szCs w:val="21"/>
              </w:rPr>
            </w:pPr>
            <w:r>
              <w:rPr>
                <w:rFonts w:cs="Times New Roman"/>
                <w:bCs/>
                <w:sz w:val="21"/>
                <w:szCs w:val="21"/>
              </w:rPr>
              <w:t>达标</w:t>
            </w:r>
          </w:p>
        </w:tc>
      </w:tr>
    </w:tbl>
    <w:p>
      <w:pPr>
        <w:autoSpaceDE w:val="0"/>
        <w:autoSpaceDN w:val="0"/>
        <w:adjustRightInd w:val="0"/>
        <w:ind w:firstLine="480"/>
        <w:rPr>
          <w:rFonts w:cs="Times New Roman"/>
        </w:rPr>
      </w:pPr>
      <w:r>
        <w:rPr>
          <w:rFonts w:cs="Times New Roman"/>
        </w:rPr>
        <w:t>从表4.6-3可知，在监测期间，项目周边环境敏感点太清村（G1）及众拱村（G2）TSP日均值满足《环境空气质量标准》（GB3095-2012）二级标准及其修改单二级标准要求；氟化物日均值满足《环境空气质量标准》（GB3095-2012）附录A标准要求；氯化氢、铅及其无机化合物日均值满足《工业企业设计卫生标准》（TJ36-79）中居住区大气中有害物质的最高容许浓度；氨满足《环境影响评价技术导则大气环境》（HJ2.2-2018）附录D一次浓度的参考限值；TVOC满足《环境影响评价技术导则大气环境》（HJ2.2-2018）附录D8小时平均浓度的参考限值；镉及其化合物、镍及其化合物及汞及其化合物均满足相应标准要求。</w:t>
      </w:r>
    </w:p>
    <w:p>
      <w:pPr>
        <w:pStyle w:val="4"/>
        <w:rPr>
          <w:rFonts w:cs="Times New Roman"/>
        </w:rPr>
      </w:pPr>
      <w:bookmarkStart w:id="115" w:name="_Toc86611288"/>
      <w:r>
        <w:rPr>
          <w:rFonts w:cs="Times New Roman"/>
        </w:rPr>
        <w:t>4.6.4 结论</w:t>
      </w:r>
      <w:bookmarkEnd w:id="115"/>
    </w:p>
    <w:p>
      <w:pPr>
        <w:ind w:firstLine="480"/>
        <w:rPr>
          <w:rFonts w:cs="Times New Roman"/>
        </w:rPr>
      </w:pPr>
      <w:r>
        <w:rPr>
          <w:rFonts w:cs="Times New Roman"/>
        </w:rPr>
        <w:t>根据衡阳市环境保护局发布的关于2020年12月及1-12月全市环境质量状况的通报可知，衡阳县SO</w:t>
      </w:r>
      <w:r>
        <w:rPr>
          <w:rFonts w:cs="Times New Roman"/>
          <w:vertAlign w:val="subscript"/>
        </w:rPr>
        <w:t>2</w:t>
      </w:r>
      <w:r>
        <w:rPr>
          <w:rFonts w:cs="Times New Roman"/>
        </w:rPr>
        <w:t>、NO</w:t>
      </w:r>
      <w:r>
        <w:rPr>
          <w:rFonts w:cs="Times New Roman"/>
          <w:vertAlign w:val="subscript"/>
        </w:rPr>
        <w:t>2</w:t>
      </w:r>
      <w:r>
        <w:rPr>
          <w:rFonts w:cs="Times New Roman"/>
        </w:rPr>
        <w:t>和可吸入颗粒物（PM</w:t>
      </w:r>
      <w:r>
        <w:rPr>
          <w:rFonts w:cs="Times New Roman"/>
          <w:vertAlign w:val="subscript"/>
        </w:rPr>
        <w:t>10</w:t>
      </w:r>
      <w:r>
        <w:rPr>
          <w:rFonts w:cs="Times New Roman"/>
        </w:rPr>
        <w:t>）年平均质量浓度、CO24小时平均第95百分位数浓度、O</w:t>
      </w:r>
      <w:r>
        <w:rPr>
          <w:rFonts w:cs="Times New Roman"/>
          <w:vertAlign w:val="subscript"/>
        </w:rPr>
        <w:t>3</w:t>
      </w:r>
      <w:r>
        <w:rPr>
          <w:rFonts w:cs="Times New Roman"/>
        </w:rPr>
        <w:t>日最大8h滑动平均值的第90百分位数浓度和细颗粒物（PM</w:t>
      </w:r>
      <w:r>
        <w:rPr>
          <w:rFonts w:cs="Times New Roman"/>
          <w:vertAlign w:val="subscript"/>
        </w:rPr>
        <w:t>2.5</w:t>
      </w:r>
      <w:r>
        <w:rPr>
          <w:rFonts w:cs="Times New Roman"/>
        </w:rPr>
        <w:t>）年平均质量浓度均能满足《环境空气质量标准》（GB3095-2012）二级标准限值要求，因此项目所在区域为</w:t>
      </w:r>
      <w:r>
        <w:rPr>
          <w:rFonts w:hint="eastAsia" w:cs="Times New Roman"/>
        </w:rPr>
        <w:t>不</w:t>
      </w:r>
      <w:r>
        <w:rPr>
          <w:rFonts w:cs="Times New Roman"/>
        </w:rPr>
        <w:t>达标区。</w:t>
      </w:r>
    </w:p>
    <w:p>
      <w:pPr>
        <w:ind w:firstLine="480"/>
        <w:rPr>
          <w:rFonts w:cs="Times New Roman"/>
        </w:rPr>
      </w:pPr>
      <w:r>
        <w:rPr>
          <w:rFonts w:cs="Times New Roman"/>
        </w:rPr>
        <w:t>本项目补充监测结果表明，在监测期间，在监测期间，项目周边环境敏感点太清村（G1）及众拱村（G2）TSP日均值满足《环境空气质量标准》（GB3095-2012）二级标准及其修改单二级标准要求；氟化物日均值满足《环境空气质量标准》（GB3095-2012）附录A标准要求；氯化氢、铅及其无机化合物日均值满足《工业企业设计卫生标准》（TJ36-79）中居住区大气中有害物质的最高容许浓度；氨满足《环境影响评价技术导则大气环境》（HJ2.2-2018）附录D一次浓度的参考限值；TVOC满足《环境影响评价技术导则大气环境》（HJ2.2-2018）附录D8小时平均浓度的参考限值；镉及其化合物、镍及其化合物及汞及其化合物均满足相应标准要求。</w:t>
      </w:r>
    </w:p>
    <w:p>
      <w:pPr>
        <w:pStyle w:val="3"/>
        <w:rPr>
          <w:rFonts w:cs="Times New Roman"/>
        </w:rPr>
      </w:pPr>
      <w:bookmarkStart w:id="116" w:name="_Toc86611289"/>
      <w:r>
        <w:rPr>
          <w:rFonts w:cs="Times New Roman"/>
        </w:rPr>
        <w:t>4.7地表水环境质量现状调查与评价</w:t>
      </w:r>
      <w:bookmarkEnd w:id="116"/>
    </w:p>
    <w:p>
      <w:pPr>
        <w:pStyle w:val="4"/>
        <w:rPr>
          <w:rFonts w:cs="Times New Roman"/>
        </w:rPr>
      </w:pPr>
      <w:bookmarkStart w:id="117" w:name="_Toc86611290"/>
      <w:r>
        <w:rPr>
          <w:rFonts w:cs="Times New Roman"/>
        </w:rPr>
        <w:t>4.7.1 废水去向情况调查</w:t>
      </w:r>
      <w:bookmarkEnd w:id="117"/>
    </w:p>
    <w:p>
      <w:pPr>
        <w:adjustRightInd w:val="0"/>
        <w:snapToGrid w:val="0"/>
        <w:ind w:firstLine="480"/>
        <w:rPr>
          <w:rFonts w:cs="Times New Roman"/>
        </w:rPr>
      </w:pPr>
      <w:r>
        <w:rPr>
          <w:rFonts w:cs="Times New Roman"/>
        </w:rPr>
        <w:t>项目生产废水经各生产单位废水处理设施处理后回用于生产，不外排；项目生活污水经自建生活污水处理设施处理后近期经处理后的生活污水近期</w:t>
      </w:r>
      <w:r>
        <w:rPr>
          <w:rFonts w:hint="eastAsia" w:cs="Times New Roman"/>
        </w:rPr>
        <w:t>排入白象河</w:t>
      </w:r>
      <w:r>
        <w:rPr>
          <w:rFonts w:cs="Times New Roman"/>
        </w:rPr>
        <w:t>，远期待污水厂建成投入使用后由市政污水管网排入工业园的污水处理厂处理，最终排入白象河。</w:t>
      </w:r>
    </w:p>
    <w:p>
      <w:pPr>
        <w:pStyle w:val="4"/>
        <w:rPr>
          <w:rFonts w:cs="Times New Roman"/>
        </w:rPr>
      </w:pPr>
      <w:bookmarkStart w:id="118" w:name="_Toc86611291"/>
      <w:r>
        <w:rPr>
          <w:rFonts w:cs="Times New Roman"/>
        </w:rPr>
        <w:t>4.7.2 水环境状况调查</w:t>
      </w:r>
      <w:bookmarkEnd w:id="118"/>
    </w:p>
    <w:p>
      <w:pPr>
        <w:adjustRightInd w:val="0"/>
        <w:snapToGrid w:val="0"/>
        <w:ind w:firstLine="480"/>
        <w:rPr>
          <w:rFonts w:cs="Times New Roman"/>
        </w:rPr>
      </w:pPr>
      <w:r>
        <w:rPr>
          <w:rFonts w:cs="Times New Roman"/>
        </w:rPr>
        <w:t>为了了解拟建地区域地表水质量现状，本次评价委托</w:t>
      </w:r>
      <w:r>
        <w:rPr>
          <w:rFonts w:eastAsia="仿宋_GB2312" w:cs="Times New Roman"/>
        </w:rPr>
        <w:t>湖</w:t>
      </w:r>
      <w:r>
        <w:rPr>
          <w:rFonts w:cs="Times New Roman"/>
        </w:rPr>
        <w:t>南精博监测科技有限公司于2019年7月22日至2019年7月24日对项目拟建地附近斜陂堰水库、白象河进行了水质现状监测。</w:t>
      </w:r>
    </w:p>
    <w:p>
      <w:pPr>
        <w:adjustRightInd w:val="0"/>
        <w:snapToGrid w:val="0"/>
        <w:ind w:firstLine="482"/>
        <w:rPr>
          <w:rFonts w:cs="Times New Roman"/>
          <w:b/>
        </w:rPr>
      </w:pPr>
      <w:r>
        <w:rPr>
          <w:rFonts w:cs="Times New Roman"/>
          <w:b/>
        </w:rPr>
        <w:t>1、监测断面布设</w:t>
      </w:r>
    </w:p>
    <w:p>
      <w:pPr>
        <w:adjustRightInd w:val="0"/>
        <w:snapToGrid w:val="0"/>
        <w:ind w:firstLine="480"/>
        <w:rPr>
          <w:rFonts w:cs="Times New Roman"/>
        </w:rPr>
      </w:pPr>
      <w:r>
        <w:rPr>
          <w:rFonts w:cs="Times New Roman"/>
        </w:rPr>
        <w:t>在斜陂堰水库、白象河共设4个监测断面，采样点位置见表4.7-1。</w:t>
      </w:r>
    </w:p>
    <w:p>
      <w:pPr>
        <w:adjustRightInd w:val="0"/>
        <w:snapToGrid w:val="0"/>
        <w:ind w:firstLine="480"/>
        <w:rPr>
          <w:rFonts w:cs="Times New Roman"/>
        </w:rPr>
      </w:pPr>
    </w:p>
    <w:p>
      <w:pPr>
        <w:adjustRightInd w:val="0"/>
        <w:snapToGrid w:val="0"/>
        <w:spacing w:before="163" w:beforeLines="50"/>
        <w:ind w:firstLine="482"/>
        <w:jc w:val="center"/>
        <w:rPr>
          <w:rFonts w:cs="Times New Roman"/>
          <w:b/>
          <w:kern w:val="0"/>
          <w:szCs w:val="21"/>
        </w:rPr>
      </w:pPr>
      <w:r>
        <w:rPr>
          <w:rFonts w:cs="Times New Roman"/>
          <w:b/>
          <w:kern w:val="0"/>
          <w:szCs w:val="21"/>
        </w:rPr>
        <w:t>表4.7-1  地表水监测断面位置表</w:t>
      </w:r>
    </w:p>
    <w:tbl>
      <w:tblPr>
        <w:tblStyle w:val="45"/>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0"/>
        <w:gridCol w:w="4958"/>
        <w:gridCol w:w="1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50" w:type="dxa"/>
            <w:vAlign w:val="center"/>
          </w:tcPr>
          <w:p>
            <w:pPr>
              <w:spacing w:line="240" w:lineRule="auto"/>
              <w:ind w:firstLine="0" w:firstLineChars="0"/>
              <w:jc w:val="center"/>
              <w:rPr>
                <w:rFonts w:cs="Times New Roman"/>
                <w:b/>
                <w:sz w:val="21"/>
                <w:szCs w:val="18"/>
              </w:rPr>
            </w:pPr>
            <w:r>
              <w:rPr>
                <w:rFonts w:cs="Times New Roman"/>
                <w:b/>
                <w:sz w:val="21"/>
                <w:szCs w:val="18"/>
              </w:rPr>
              <w:t>流域</w:t>
            </w:r>
          </w:p>
        </w:tc>
        <w:tc>
          <w:tcPr>
            <w:tcW w:w="4958" w:type="dxa"/>
            <w:vAlign w:val="center"/>
          </w:tcPr>
          <w:p>
            <w:pPr>
              <w:spacing w:line="240" w:lineRule="auto"/>
              <w:ind w:firstLine="0" w:firstLineChars="0"/>
              <w:jc w:val="center"/>
              <w:rPr>
                <w:rFonts w:cs="Times New Roman"/>
                <w:b/>
                <w:sz w:val="21"/>
                <w:szCs w:val="18"/>
              </w:rPr>
            </w:pPr>
            <w:r>
              <w:rPr>
                <w:rFonts w:cs="Times New Roman"/>
                <w:b/>
                <w:sz w:val="21"/>
                <w:szCs w:val="18"/>
              </w:rPr>
              <w:t>监测点/断面布设情况</w:t>
            </w:r>
          </w:p>
        </w:tc>
        <w:tc>
          <w:tcPr>
            <w:tcW w:w="1614" w:type="dxa"/>
            <w:vAlign w:val="center"/>
          </w:tcPr>
          <w:p>
            <w:pPr>
              <w:spacing w:line="240" w:lineRule="auto"/>
              <w:ind w:firstLine="0" w:firstLineChars="0"/>
              <w:jc w:val="center"/>
              <w:rPr>
                <w:rFonts w:cs="Times New Roman"/>
                <w:b/>
                <w:sz w:val="21"/>
                <w:szCs w:val="18"/>
              </w:rPr>
            </w:pPr>
            <w:r>
              <w:rPr>
                <w:rFonts w:cs="Times New Roman"/>
                <w:b/>
                <w:sz w:val="21"/>
                <w:szCs w:val="18"/>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1950" w:type="dxa"/>
            <w:vAlign w:val="center"/>
          </w:tcPr>
          <w:p>
            <w:pPr>
              <w:spacing w:line="240" w:lineRule="auto"/>
              <w:ind w:firstLine="0" w:firstLineChars="0"/>
              <w:jc w:val="center"/>
              <w:rPr>
                <w:rFonts w:cs="Times New Roman"/>
                <w:b/>
                <w:sz w:val="21"/>
                <w:szCs w:val="18"/>
              </w:rPr>
            </w:pPr>
            <w:r>
              <w:rPr>
                <w:rFonts w:cs="Times New Roman"/>
                <w:sz w:val="21"/>
                <w:szCs w:val="18"/>
              </w:rPr>
              <w:t>斜陂堰水库</w:t>
            </w:r>
          </w:p>
        </w:tc>
        <w:tc>
          <w:tcPr>
            <w:tcW w:w="4958" w:type="dxa"/>
            <w:vAlign w:val="center"/>
          </w:tcPr>
          <w:p>
            <w:pPr>
              <w:spacing w:line="240" w:lineRule="auto"/>
              <w:ind w:firstLine="0" w:firstLineChars="0"/>
              <w:jc w:val="center"/>
              <w:rPr>
                <w:rFonts w:cs="Times New Roman"/>
                <w:b/>
                <w:sz w:val="21"/>
                <w:szCs w:val="18"/>
              </w:rPr>
            </w:pPr>
            <w:r>
              <w:rPr>
                <w:rFonts w:cs="Times New Roman"/>
                <w:sz w:val="21"/>
                <w:szCs w:val="18"/>
              </w:rPr>
              <w:t>W1：项目东南侧斜陂堰水库</w:t>
            </w:r>
          </w:p>
        </w:tc>
        <w:tc>
          <w:tcPr>
            <w:tcW w:w="1614" w:type="dxa"/>
            <w:vMerge w:val="restart"/>
            <w:vAlign w:val="center"/>
          </w:tcPr>
          <w:p>
            <w:pPr>
              <w:spacing w:line="240" w:lineRule="auto"/>
              <w:ind w:firstLine="0" w:firstLineChars="0"/>
              <w:jc w:val="center"/>
              <w:rPr>
                <w:rFonts w:cs="Times New Roman"/>
                <w:sz w:val="21"/>
                <w:szCs w:val="18"/>
              </w:rPr>
            </w:pPr>
            <w:r>
              <w:rPr>
                <w:rFonts w:cs="Times New Roman"/>
                <w:sz w:val="21"/>
                <w:szCs w:val="18"/>
              </w:rPr>
              <w:t>GB3838-2002 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50" w:type="dxa"/>
            <w:vMerge w:val="restart"/>
            <w:vAlign w:val="center"/>
          </w:tcPr>
          <w:p>
            <w:pPr>
              <w:spacing w:line="240" w:lineRule="auto"/>
              <w:ind w:firstLine="0" w:firstLineChars="0"/>
              <w:jc w:val="center"/>
              <w:rPr>
                <w:rFonts w:cs="Times New Roman"/>
                <w:b/>
                <w:sz w:val="21"/>
                <w:szCs w:val="18"/>
              </w:rPr>
            </w:pPr>
            <w:r>
              <w:rPr>
                <w:rFonts w:cs="Times New Roman"/>
                <w:sz w:val="21"/>
                <w:szCs w:val="18"/>
              </w:rPr>
              <w:t>白象河</w:t>
            </w:r>
          </w:p>
        </w:tc>
        <w:tc>
          <w:tcPr>
            <w:tcW w:w="4958" w:type="dxa"/>
            <w:vAlign w:val="center"/>
          </w:tcPr>
          <w:p>
            <w:pPr>
              <w:spacing w:line="240" w:lineRule="auto"/>
              <w:ind w:firstLine="0" w:firstLineChars="0"/>
              <w:jc w:val="center"/>
              <w:rPr>
                <w:rFonts w:cs="Times New Roman"/>
                <w:b/>
                <w:sz w:val="21"/>
                <w:szCs w:val="18"/>
              </w:rPr>
            </w:pPr>
            <w:r>
              <w:rPr>
                <w:rFonts w:cs="Times New Roman"/>
                <w:sz w:val="21"/>
                <w:szCs w:val="18"/>
              </w:rPr>
              <w:t>W2：污水处理厂排污口上游500米处</w:t>
            </w:r>
          </w:p>
        </w:tc>
        <w:tc>
          <w:tcPr>
            <w:tcW w:w="1614" w:type="dxa"/>
            <w:vMerge w:val="continue"/>
            <w:vAlign w:val="center"/>
          </w:tcPr>
          <w:p>
            <w:pPr>
              <w:spacing w:line="240" w:lineRule="auto"/>
              <w:ind w:firstLine="0" w:firstLineChars="0"/>
              <w:jc w:val="center"/>
              <w:rPr>
                <w:rFonts w:cs="Times New Roman"/>
                <w:sz w:val="21"/>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50" w:type="dxa"/>
            <w:vMerge w:val="continue"/>
            <w:vAlign w:val="center"/>
          </w:tcPr>
          <w:p>
            <w:pPr>
              <w:spacing w:line="240" w:lineRule="auto"/>
              <w:ind w:firstLine="0" w:firstLineChars="0"/>
              <w:jc w:val="center"/>
              <w:rPr>
                <w:rFonts w:cs="Times New Roman"/>
                <w:b/>
                <w:sz w:val="21"/>
                <w:szCs w:val="18"/>
              </w:rPr>
            </w:pPr>
          </w:p>
        </w:tc>
        <w:tc>
          <w:tcPr>
            <w:tcW w:w="4958" w:type="dxa"/>
            <w:vAlign w:val="center"/>
          </w:tcPr>
          <w:p>
            <w:pPr>
              <w:spacing w:line="240" w:lineRule="auto"/>
              <w:ind w:firstLine="0" w:firstLineChars="0"/>
              <w:jc w:val="center"/>
              <w:rPr>
                <w:rFonts w:cs="Times New Roman"/>
                <w:sz w:val="21"/>
                <w:szCs w:val="18"/>
              </w:rPr>
            </w:pPr>
            <w:r>
              <w:rPr>
                <w:rFonts w:cs="Times New Roman"/>
                <w:sz w:val="21"/>
                <w:szCs w:val="18"/>
              </w:rPr>
              <w:t>W3：污水处理厂排污口下游500米处</w:t>
            </w:r>
          </w:p>
        </w:tc>
        <w:tc>
          <w:tcPr>
            <w:tcW w:w="1614" w:type="dxa"/>
            <w:vMerge w:val="continue"/>
            <w:vAlign w:val="center"/>
          </w:tcPr>
          <w:p>
            <w:pPr>
              <w:spacing w:line="240" w:lineRule="auto"/>
              <w:ind w:firstLine="0" w:firstLineChars="0"/>
              <w:jc w:val="center"/>
              <w:rPr>
                <w:rFonts w:cs="Times New Roman"/>
                <w:sz w:val="21"/>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50" w:type="dxa"/>
            <w:vMerge w:val="continue"/>
            <w:vAlign w:val="center"/>
          </w:tcPr>
          <w:p>
            <w:pPr>
              <w:spacing w:line="240" w:lineRule="auto"/>
              <w:ind w:firstLine="0" w:firstLineChars="0"/>
              <w:jc w:val="center"/>
              <w:rPr>
                <w:rFonts w:cs="Times New Roman"/>
                <w:sz w:val="21"/>
                <w:szCs w:val="18"/>
              </w:rPr>
            </w:pPr>
          </w:p>
        </w:tc>
        <w:tc>
          <w:tcPr>
            <w:tcW w:w="4958" w:type="dxa"/>
            <w:vAlign w:val="center"/>
          </w:tcPr>
          <w:p>
            <w:pPr>
              <w:spacing w:line="240" w:lineRule="auto"/>
              <w:ind w:firstLine="0" w:firstLineChars="0"/>
              <w:jc w:val="center"/>
              <w:rPr>
                <w:rFonts w:cs="Times New Roman"/>
                <w:sz w:val="21"/>
                <w:szCs w:val="18"/>
              </w:rPr>
            </w:pPr>
            <w:r>
              <w:rPr>
                <w:rFonts w:cs="Times New Roman"/>
                <w:sz w:val="21"/>
                <w:szCs w:val="18"/>
              </w:rPr>
              <w:t>W4：污水处理厂排污口下游2500米处</w:t>
            </w:r>
          </w:p>
        </w:tc>
        <w:tc>
          <w:tcPr>
            <w:tcW w:w="1614" w:type="dxa"/>
            <w:vMerge w:val="continue"/>
            <w:vAlign w:val="center"/>
          </w:tcPr>
          <w:p>
            <w:pPr>
              <w:spacing w:line="240" w:lineRule="auto"/>
              <w:ind w:firstLine="0" w:firstLineChars="0"/>
              <w:jc w:val="center"/>
              <w:rPr>
                <w:rFonts w:cs="Times New Roman"/>
                <w:sz w:val="21"/>
                <w:szCs w:val="18"/>
              </w:rPr>
            </w:pPr>
          </w:p>
        </w:tc>
      </w:tr>
    </w:tbl>
    <w:p>
      <w:pPr>
        <w:adjustRightInd w:val="0"/>
        <w:snapToGrid w:val="0"/>
        <w:ind w:firstLine="482"/>
        <w:rPr>
          <w:rFonts w:cs="Times New Roman"/>
          <w:b/>
        </w:rPr>
      </w:pPr>
      <w:r>
        <w:rPr>
          <w:rFonts w:cs="Times New Roman"/>
          <w:b/>
        </w:rPr>
        <w:t>2、监测因子</w:t>
      </w:r>
    </w:p>
    <w:p>
      <w:pPr>
        <w:adjustRightInd w:val="0"/>
        <w:snapToGrid w:val="0"/>
        <w:ind w:firstLine="480"/>
        <w:rPr>
          <w:rFonts w:cs="Times New Roman"/>
        </w:rPr>
      </w:pPr>
      <w:r>
        <w:rPr>
          <w:rFonts w:cs="Times New Roman"/>
        </w:rPr>
        <w:t>水温、pH、化学需氧量、悬浮物、石油类、五日生化需氧量、氨氮、总磷、硫化物、氟化物、总铜、总锌、总钡、动植物油、挥发酚共15项。</w:t>
      </w:r>
    </w:p>
    <w:p>
      <w:pPr>
        <w:adjustRightInd w:val="0"/>
        <w:snapToGrid w:val="0"/>
        <w:ind w:firstLine="482"/>
        <w:rPr>
          <w:rFonts w:cs="Times New Roman"/>
          <w:b/>
        </w:rPr>
      </w:pPr>
      <w:r>
        <w:rPr>
          <w:rFonts w:cs="Times New Roman"/>
          <w:b/>
        </w:rPr>
        <w:t>3、采样方法</w:t>
      </w:r>
    </w:p>
    <w:p>
      <w:pPr>
        <w:adjustRightInd w:val="0"/>
        <w:snapToGrid w:val="0"/>
        <w:ind w:firstLine="480"/>
        <w:rPr>
          <w:rFonts w:cs="Times New Roman"/>
        </w:rPr>
      </w:pPr>
      <w:r>
        <w:rPr>
          <w:rFonts w:cs="Times New Roman"/>
        </w:rPr>
        <w:t>按国家环保局颁发的《环境监测技术规范》的有关规定和要求进行。</w:t>
      </w:r>
    </w:p>
    <w:p>
      <w:pPr>
        <w:adjustRightInd w:val="0"/>
        <w:snapToGrid w:val="0"/>
        <w:ind w:firstLine="482"/>
        <w:rPr>
          <w:rFonts w:cs="Times New Roman"/>
          <w:b/>
        </w:rPr>
      </w:pPr>
      <w:r>
        <w:rPr>
          <w:rFonts w:cs="Times New Roman"/>
          <w:b/>
        </w:rPr>
        <w:t>4、监测结果与评价</w:t>
      </w:r>
    </w:p>
    <w:p>
      <w:pPr>
        <w:adjustRightInd w:val="0"/>
        <w:snapToGrid w:val="0"/>
        <w:ind w:firstLine="480"/>
        <w:rPr>
          <w:rFonts w:cs="Times New Roman"/>
        </w:rPr>
      </w:pPr>
      <w:r>
        <w:rPr>
          <w:rFonts w:cs="Times New Roman"/>
        </w:rPr>
        <w:t>根据湖南精博监测科技有限公司于2019年7月22日至2019年7月24日，连续三天现场采样监测结果统计见表4.7-2。</w:t>
      </w:r>
    </w:p>
    <w:p>
      <w:pPr>
        <w:adjustRightInd w:val="0"/>
        <w:snapToGrid w:val="0"/>
        <w:spacing w:before="163" w:beforeLines="50"/>
        <w:ind w:firstLine="482"/>
        <w:jc w:val="center"/>
        <w:rPr>
          <w:rFonts w:cs="Times New Roman"/>
          <w:b/>
          <w:kern w:val="0"/>
          <w:szCs w:val="21"/>
        </w:rPr>
      </w:pPr>
      <w:r>
        <w:rPr>
          <w:rFonts w:cs="Times New Roman"/>
          <w:b/>
          <w:kern w:val="0"/>
          <w:szCs w:val="21"/>
        </w:rPr>
        <mc:AlternateContent>
          <mc:Choice Requires="wps">
            <w:drawing>
              <wp:anchor distT="0" distB="0" distL="114300" distR="114300" simplePos="0" relativeHeight="251659264" behindDoc="0" locked="0" layoutInCell="1" allowOverlap="1">
                <wp:simplePos x="0" y="0"/>
                <wp:positionH relativeFrom="column">
                  <wp:posOffset>1427480</wp:posOffset>
                </wp:positionH>
                <wp:positionV relativeFrom="paragraph">
                  <wp:posOffset>1464945</wp:posOffset>
                </wp:positionV>
                <wp:extent cx="603885" cy="317500"/>
                <wp:effectExtent l="0" t="0" r="0" b="0"/>
                <wp:wrapNone/>
                <wp:docPr id="4376" name="矩形 4376"/>
                <wp:cNvGraphicFramePr/>
                <a:graphic xmlns:a="http://schemas.openxmlformats.org/drawingml/2006/main">
                  <a:graphicData uri="http://schemas.microsoft.com/office/word/2010/wordprocessingShape">
                    <wps:wsp>
                      <wps:cNvSpPr/>
                      <wps:spPr>
                        <a:xfrm>
                          <a:off x="0" y="0"/>
                          <a:ext cx="603885" cy="317500"/>
                        </a:xfrm>
                        <a:prstGeom prst="rect">
                          <a:avLst/>
                        </a:prstGeom>
                        <a:noFill/>
                        <a:ln w="25400" cap="flat" cmpd="sng" algn="ctr">
                          <a:noFill/>
                          <a:prstDash val="solid"/>
                        </a:ln>
                        <a:effectLst/>
                      </wps:spPr>
                      <wps:txbx>
                        <w:txbxContent>
                          <w:p>
                            <w:pPr>
                              <w:ind w:firstLine="482"/>
                              <w:jc w:val="center"/>
                              <w:rPr>
                                <w:b/>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2.4pt;margin-top:115.35pt;height:25pt;width:47.55pt;z-index:251659264;v-text-anchor:middle;mso-width-relative:page;mso-height-relative:page;" filled="f" stroked="f" coordsize="21600,21600" o:gfxdata="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J66btkAAAALAQAADwAAAAAAAAABACAAAAAiAAAAZHJzL2Rvd25yZXYueG1sUEsBAhQAFAAAAAgA&#10;h07iQP7ycaxdAgAAqQQAAA4AAAAAAAAAAQAgAAAAKAEAAGRycy9lMm9Eb2MueG1sUEsFBgAAAAAG&#10;AAYAWQEAAPcFAAAAAA==&#10;">
                <v:fill on="f" focussize="0,0"/>
                <v:stroke on="f" weight="2pt"/>
                <v:imagedata o:title=""/>
                <o:lock v:ext="edit" aspectratio="f"/>
                <v:textbox>
                  <w:txbxContent>
                    <w:p>
                      <w:pPr>
                        <w:ind w:firstLine="482"/>
                        <w:jc w:val="center"/>
                        <w:rPr>
                          <w:b/>
                        </w:rPr>
                      </w:pPr>
                    </w:p>
                  </w:txbxContent>
                </v:textbox>
              </v:rect>
            </w:pict>
          </mc:Fallback>
        </mc:AlternateContent>
      </w:r>
      <w:r>
        <w:rPr>
          <w:rFonts w:cs="Times New Roman"/>
          <w:b/>
          <w:kern w:val="0"/>
          <w:szCs w:val="21"/>
        </w:rPr>
        <w:t>表5.2-2  地表水水质监测统计评价表单位：mg/L，pH无量纲</w:t>
      </w:r>
    </w:p>
    <w:tbl>
      <w:tblPr>
        <w:tblStyle w:val="45"/>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947"/>
        <w:gridCol w:w="947"/>
        <w:gridCol w:w="948"/>
        <w:gridCol w:w="948"/>
        <w:gridCol w:w="948"/>
        <w:gridCol w:w="948"/>
        <w:gridCol w:w="948"/>
        <w:gridCol w:w="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restart"/>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监测地点</w:t>
            </w:r>
          </w:p>
        </w:tc>
        <w:tc>
          <w:tcPr>
            <w:tcW w:w="947" w:type="dxa"/>
            <w:vMerge w:val="restart"/>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监测项目</w:t>
            </w:r>
          </w:p>
        </w:tc>
        <w:tc>
          <w:tcPr>
            <w:tcW w:w="2843" w:type="dxa"/>
            <w:gridSpan w:val="3"/>
            <w:vAlign w:val="center"/>
          </w:tcPr>
          <w:p>
            <w:pPr>
              <w:widowControl/>
              <w:adjustRightInd w:val="0"/>
              <w:snapToGrid w:val="0"/>
              <w:spacing w:line="240" w:lineRule="auto"/>
              <w:ind w:firstLine="0" w:firstLineChars="0"/>
              <w:jc w:val="center"/>
              <w:textAlignment w:val="center"/>
              <w:rPr>
                <w:rFonts w:cs="Times New Roman"/>
                <w:b/>
                <w:sz w:val="21"/>
                <w:szCs w:val="21"/>
              </w:rPr>
            </w:pPr>
            <w:r>
              <w:rPr>
                <w:rFonts w:cs="Times New Roman"/>
                <w:b/>
                <w:sz w:val="21"/>
                <w:szCs w:val="21"/>
              </w:rPr>
              <w:t>监测时间及监测结果</w:t>
            </w:r>
          </w:p>
        </w:tc>
        <w:tc>
          <w:tcPr>
            <w:tcW w:w="948" w:type="dxa"/>
            <w:vMerge w:val="restart"/>
            <w:vAlign w:val="center"/>
          </w:tcPr>
          <w:p>
            <w:pPr>
              <w:widowControl/>
              <w:adjustRightInd w:val="0"/>
              <w:snapToGrid w:val="0"/>
              <w:spacing w:line="240" w:lineRule="auto"/>
              <w:ind w:firstLine="0" w:firstLineChars="0"/>
              <w:jc w:val="center"/>
              <w:textAlignment w:val="center"/>
              <w:rPr>
                <w:rFonts w:cs="Times New Roman"/>
                <w:b/>
                <w:sz w:val="21"/>
                <w:szCs w:val="21"/>
              </w:rPr>
            </w:pPr>
            <w:r>
              <w:rPr>
                <w:rFonts w:cs="Times New Roman"/>
                <w:b/>
                <w:sz w:val="21"/>
                <w:szCs w:val="21"/>
              </w:rPr>
              <w:t>平均值</w:t>
            </w:r>
          </w:p>
        </w:tc>
        <w:tc>
          <w:tcPr>
            <w:tcW w:w="948" w:type="dxa"/>
            <w:vMerge w:val="restart"/>
            <w:vAlign w:val="center"/>
          </w:tcPr>
          <w:p>
            <w:pPr>
              <w:widowControl/>
              <w:adjustRightInd w:val="0"/>
              <w:snapToGrid w:val="0"/>
              <w:spacing w:line="240" w:lineRule="auto"/>
              <w:ind w:firstLine="0" w:firstLineChars="0"/>
              <w:jc w:val="center"/>
              <w:textAlignment w:val="center"/>
              <w:rPr>
                <w:rFonts w:cs="Times New Roman"/>
                <w:b/>
                <w:kern w:val="0"/>
                <w:sz w:val="21"/>
                <w:szCs w:val="21"/>
              </w:rPr>
            </w:pPr>
            <w:r>
              <w:rPr>
                <w:rFonts w:cs="Times New Roman"/>
                <w:b/>
                <w:kern w:val="0"/>
                <w:sz w:val="21"/>
                <w:szCs w:val="21"/>
              </w:rPr>
              <w:t>标准值</w:t>
            </w:r>
          </w:p>
        </w:tc>
        <w:tc>
          <w:tcPr>
            <w:tcW w:w="948" w:type="dxa"/>
            <w:vMerge w:val="restart"/>
            <w:vAlign w:val="center"/>
          </w:tcPr>
          <w:p>
            <w:pPr>
              <w:widowControl/>
              <w:adjustRightInd w:val="0"/>
              <w:snapToGrid w:val="0"/>
              <w:spacing w:line="240" w:lineRule="auto"/>
              <w:ind w:firstLine="0" w:firstLineChars="0"/>
              <w:jc w:val="center"/>
              <w:textAlignment w:val="center"/>
              <w:rPr>
                <w:rFonts w:cs="Times New Roman"/>
                <w:b/>
                <w:sz w:val="21"/>
                <w:szCs w:val="21"/>
              </w:rPr>
            </w:pPr>
            <w:r>
              <w:rPr>
                <w:rFonts w:cs="Times New Roman"/>
                <w:b/>
                <w:sz w:val="21"/>
                <w:szCs w:val="21"/>
              </w:rPr>
              <w:t>超标率</w:t>
            </w:r>
          </w:p>
        </w:tc>
        <w:tc>
          <w:tcPr>
            <w:tcW w:w="941" w:type="dxa"/>
            <w:vMerge w:val="restart"/>
            <w:vAlign w:val="center"/>
          </w:tcPr>
          <w:p>
            <w:pPr>
              <w:widowControl/>
              <w:adjustRightInd w:val="0"/>
              <w:snapToGrid w:val="0"/>
              <w:spacing w:line="240" w:lineRule="auto"/>
              <w:ind w:firstLine="0" w:firstLineChars="0"/>
              <w:jc w:val="center"/>
              <w:textAlignment w:val="center"/>
              <w:rPr>
                <w:rFonts w:cs="Times New Roman"/>
                <w:b/>
                <w:sz w:val="21"/>
                <w:szCs w:val="21"/>
              </w:rPr>
            </w:pPr>
            <w:r>
              <w:rPr>
                <w:rFonts w:cs="Times New Roman"/>
                <w:b/>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2019.7.22</w:t>
            </w:r>
          </w:p>
        </w:tc>
        <w:tc>
          <w:tcPr>
            <w:tcW w:w="948" w:type="dxa"/>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2019.7.23</w:t>
            </w:r>
          </w:p>
        </w:tc>
        <w:tc>
          <w:tcPr>
            <w:tcW w:w="948" w:type="dxa"/>
            <w:vAlign w:val="center"/>
          </w:tcPr>
          <w:p>
            <w:pPr>
              <w:adjustRightInd w:val="0"/>
              <w:snapToGrid w:val="0"/>
              <w:spacing w:line="240" w:lineRule="auto"/>
              <w:ind w:firstLine="0" w:firstLineChars="0"/>
              <w:jc w:val="center"/>
              <w:rPr>
                <w:rFonts w:cs="Times New Roman"/>
                <w:b/>
                <w:sz w:val="21"/>
                <w:szCs w:val="21"/>
              </w:rPr>
            </w:pPr>
            <w:r>
              <w:rPr>
                <w:rFonts w:cs="Times New Roman"/>
                <w:b/>
                <w:sz w:val="21"/>
                <w:szCs w:val="21"/>
              </w:rPr>
              <w:t>2019.7.24</w:t>
            </w:r>
          </w:p>
        </w:tc>
        <w:tc>
          <w:tcPr>
            <w:tcW w:w="948" w:type="dxa"/>
            <w:vMerge w:val="continue"/>
            <w:vAlign w:val="center"/>
          </w:tcPr>
          <w:p>
            <w:pPr>
              <w:adjustRightInd w:val="0"/>
              <w:snapToGrid w:val="0"/>
              <w:spacing w:line="240" w:lineRule="auto"/>
              <w:ind w:firstLine="0" w:firstLineChars="0"/>
              <w:jc w:val="center"/>
              <w:rPr>
                <w:rFonts w:cs="Times New Roman"/>
                <w:sz w:val="21"/>
                <w:szCs w:val="21"/>
              </w:rPr>
            </w:pPr>
          </w:p>
        </w:tc>
        <w:tc>
          <w:tcPr>
            <w:tcW w:w="948" w:type="dxa"/>
            <w:vMerge w:val="continue"/>
            <w:vAlign w:val="center"/>
          </w:tcPr>
          <w:p>
            <w:pPr>
              <w:adjustRightInd w:val="0"/>
              <w:snapToGrid w:val="0"/>
              <w:spacing w:line="240" w:lineRule="auto"/>
              <w:ind w:firstLine="0" w:firstLineChars="0"/>
              <w:jc w:val="center"/>
              <w:rPr>
                <w:rFonts w:cs="Times New Roman"/>
                <w:sz w:val="21"/>
                <w:szCs w:val="21"/>
              </w:rPr>
            </w:pPr>
          </w:p>
        </w:tc>
        <w:tc>
          <w:tcPr>
            <w:tcW w:w="948" w:type="dxa"/>
            <w:vMerge w:val="continue"/>
            <w:vAlign w:val="center"/>
          </w:tcPr>
          <w:p>
            <w:pPr>
              <w:adjustRightInd w:val="0"/>
              <w:snapToGrid w:val="0"/>
              <w:spacing w:line="240" w:lineRule="auto"/>
              <w:ind w:firstLine="0" w:firstLineChars="0"/>
              <w:jc w:val="center"/>
              <w:rPr>
                <w:rFonts w:cs="Times New Roman"/>
                <w:sz w:val="21"/>
                <w:szCs w:val="21"/>
              </w:rPr>
            </w:pPr>
          </w:p>
        </w:tc>
        <w:tc>
          <w:tcPr>
            <w:tcW w:w="941" w:type="dxa"/>
            <w:vMerge w:val="continue"/>
            <w:vAlign w:val="center"/>
          </w:tcPr>
          <w:p>
            <w:pPr>
              <w:adjustRightInd w:val="0"/>
              <w:snapToGrid w:val="0"/>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restar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W1：项目东南侧斜陂堰水库</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水温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24.6</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23.4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24.2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24.07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pH</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6.99</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7.01</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7.04</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7.01</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6</w:t>
            </w:r>
            <w:r>
              <w:rPr>
                <w:rFonts w:cs="Times New Roman"/>
                <w:sz w:val="21"/>
                <w:szCs w:val="21"/>
                <w:lang w:val="en-GB"/>
              </w:rPr>
              <w:t>-</w:t>
            </w:r>
            <w:r>
              <w:rPr>
                <w:rFonts w:cs="Times New Roman"/>
                <w:sz w:val="21"/>
                <w:szCs w:val="21"/>
              </w:rPr>
              <w:t>9</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BOD</w:t>
            </w:r>
            <w:r>
              <w:rPr>
                <w:rFonts w:cs="Times New Roman"/>
                <w:sz w:val="21"/>
                <w:szCs w:val="21"/>
                <w:vertAlign w:val="subscript"/>
              </w:rPr>
              <w:t>5</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13.00</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≤20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悬浮物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16</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16.00</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≤30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COD</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3.4</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3.43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总磷</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氨氮</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0.239</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0.246</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0.241</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0.24</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石油类</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0.01L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氟化物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0.200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0.204</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0.20</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硫化物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0.019</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挥发酚</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铜</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锌</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钡</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动植物油</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restar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W2：污水处理厂排污口上游500米处</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水温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25.3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24.8</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25.4</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25.17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pH</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6.96</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6.95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6.98</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6.96</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6</w:t>
            </w:r>
            <w:r>
              <w:rPr>
                <w:rFonts w:cs="Times New Roman"/>
                <w:sz w:val="21"/>
                <w:szCs w:val="21"/>
                <w:lang w:val="en-GB"/>
              </w:rPr>
              <w:t>-</w:t>
            </w:r>
            <w:r>
              <w:rPr>
                <w:rFonts w:cs="Times New Roman"/>
                <w:sz w:val="21"/>
                <w:szCs w:val="21"/>
              </w:rPr>
              <w:t>9</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BOD</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13.33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≤20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悬浮物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16</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16</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15.67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≤30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COD</w:t>
            </w:r>
            <w:r>
              <w:rPr>
                <w:rFonts w:cs="Times New Roman"/>
                <w:sz w:val="21"/>
                <w:szCs w:val="21"/>
                <w:vertAlign w:val="subscript"/>
              </w:rPr>
              <w:t>5</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3.1</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3.17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总磷</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0.08</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氨氮</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0.228</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0.224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0.223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石油类</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氟化物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0.203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0.208</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0.209</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0.21</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硫化物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挥发酚</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铜</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锌</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钡</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0.20</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动植物油</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restar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W3：污水处理厂排污口下游500米处</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水温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25.2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25.1</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25.3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25.20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pH</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7.07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7.09</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7.10</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7.09</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6</w:t>
            </w:r>
            <w:r>
              <w:rPr>
                <w:rFonts w:cs="Times New Roman"/>
                <w:sz w:val="21"/>
                <w:szCs w:val="21"/>
                <w:lang w:val="en-GB"/>
              </w:rPr>
              <w:t>-</w:t>
            </w:r>
            <w:r>
              <w:rPr>
                <w:rFonts w:cs="Times New Roman"/>
                <w:sz w:val="21"/>
                <w:szCs w:val="21"/>
              </w:rPr>
              <w:t>9</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BOD</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18</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17.33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≤20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悬浮物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20</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20.67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≤30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COD</w:t>
            </w:r>
            <w:r>
              <w:rPr>
                <w:rFonts w:cs="Times New Roman"/>
                <w:sz w:val="21"/>
                <w:szCs w:val="21"/>
                <w:vertAlign w:val="subscript"/>
              </w:rPr>
              <w:t>5</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3.8</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3.73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总磷</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0.08</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0.09</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0.08</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0.08</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氨氮</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0.275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0.273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0.270</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石油类</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0.04</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0.04</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氟化物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0.224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0.221</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0.218</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硫化物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0.019</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0.019</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挥发酚</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铜</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锌</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钡</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动植物油</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0.06</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restar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W4：污水处理厂排污口下游2500米处</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水温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25.3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24.4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24.7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24.80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pH</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7.03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7.04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7.07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7.05</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6</w:t>
            </w:r>
            <w:r>
              <w:rPr>
                <w:rFonts w:cs="Times New Roman"/>
                <w:sz w:val="21"/>
                <w:szCs w:val="21"/>
                <w:lang w:val="en-GB"/>
              </w:rPr>
              <w:t>-</w:t>
            </w:r>
            <w:r>
              <w:rPr>
                <w:rFonts w:cs="Times New Roman"/>
                <w:sz w:val="21"/>
                <w:szCs w:val="21"/>
              </w:rPr>
              <w:t>9</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BOD</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16</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15</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15.33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≤20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悬浮物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16</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16.67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≤30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COD</w:t>
            </w:r>
            <w:r>
              <w:rPr>
                <w:rFonts w:cs="Times New Roman"/>
                <w:sz w:val="21"/>
                <w:szCs w:val="21"/>
                <w:vertAlign w:val="subscript"/>
              </w:rPr>
              <w:t>5</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3.4</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3.43</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≤4</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总磷</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0.06</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0.06</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氨氮</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0.257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0.259</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0.258</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0.26</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石油类</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氟化物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0.203</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0.20</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硫化物</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0.016</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0.017</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挥发酚</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0.0003L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铜</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锌</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0.05L</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钡</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0.2</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0.20</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≤0.7</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7" w:type="dxa"/>
            <w:vMerge w:val="continue"/>
            <w:vAlign w:val="center"/>
          </w:tcPr>
          <w:p>
            <w:pPr>
              <w:adjustRightInd w:val="0"/>
              <w:snapToGrid w:val="0"/>
              <w:spacing w:line="240" w:lineRule="auto"/>
              <w:ind w:firstLine="0" w:firstLineChars="0"/>
              <w:jc w:val="center"/>
              <w:rPr>
                <w:rFonts w:cs="Times New Roman"/>
                <w:sz w:val="21"/>
                <w:szCs w:val="21"/>
              </w:rPr>
            </w:pP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动植物油</w:t>
            </w:r>
          </w:p>
        </w:tc>
        <w:tc>
          <w:tcPr>
            <w:tcW w:w="94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0.06</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spacing w:line="240" w:lineRule="auto"/>
              <w:ind w:firstLine="0" w:firstLineChars="0"/>
              <w:jc w:val="center"/>
              <w:rPr>
                <w:rFonts w:cs="Times New Roman"/>
                <w:sz w:val="21"/>
                <w:szCs w:val="21"/>
              </w:rPr>
            </w:pPr>
            <w:r>
              <w:rPr>
                <w:rFonts w:cs="Times New Roman"/>
                <w:sz w:val="21"/>
                <w:szCs w:val="21"/>
              </w:rPr>
              <w:t>0.05</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8"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c>
          <w:tcPr>
            <w:tcW w:w="941"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r>
    </w:tbl>
    <w:p>
      <w:pPr>
        <w:ind w:firstLine="480"/>
        <w:rPr>
          <w:rFonts w:cs="Times New Roman"/>
        </w:rPr>
      </w:pPr>
      <w:r>
        <w:rPr>
          <w:rFonts w:cs="Times New Roman"/>
        </w:rPr>
        <w:t>监测结果表明，项目拟建地附近斜陂堰水库、白象河各监测因子均能满足《地表水环境质量标准》（GB3838-2002）表1中Ⅲ类标准，说明项目地表周边水环境质量良好。</w:t>
      </w:r>
    </w:p>
    <w:p>
      <w:pPr>
        <w:pStyle w:val="3"/>
        <w:rPr>
          <w:rFonts w:cs="Times New Roman"/>
        </w:rPr>
      </w:pPr>
      <w:bookmarkStart w:id="119" w:name="_Toc86611292"/>
      <w:r>
        <w:rPr>
          <w:rFonts w:cs="Times New Roman"/>
        </w:rPr>
        <w:t>4.8地下水环境质量现状调查与评价</w:t>
      </w:r>
      <w:bookmarkEnd w:id="119"/>
    </w:p>
    <w:p>
      <w:pPr>
        <w:adjustRightInd w:val="0"/>
        <w:snapToGrid w:val="0"/>
        <w:ind w:firstLine="480"/>
        <w:rPr>
          <w:rFonts w:cs="Times New Roman"/>
        </w:rPr>
      </w:pPr>
      <w:r>
        <w:rPr>
          <w:rFonts w:cs="Times New Roman"/>
        </w:rPr>
        <w:t>为了了解拟建地区域地下水质量现状，本次评价引用湖南将军新型建材有限公司委托湖南精博监测科技有限公司于2019年7月22日对项目拟建地周边居民点水井进行了水质现状监测。</w:t>
      </w:r>
    </w:p>
    <w:p>
      <w:pPr>
        <w:pStyle w:val="4"/>
        <w:rPr>
          <w:rFonts w:cs="Times New Roman"/>
        </w:rPr>
      </w:pPr>
      <w:bookmarkStart w:id="120" w:name="_Toc86611293"/>
      <w:r>
        <w:rPr>
          <w:rFonts w:cs="Times New Roman"/>
        </w:rPr>
        <w:t>4.8.1 地下水水环境质量监测</w:t>
      </w:r>
      <w:bookmarkEnd w:id="120"/>
    </w:p>
    <w:p>
      <w:pPr>
        <w:adjustRightInd w:val="0"/>
        <w:snapToGrid w:val="0"/>
        <w:ind w:firstLine="482"/>
        <w:rPr>
          <w:rFonts w:cs="Times New Roman"/>
          <w:b/>
        </w:rPr>
      </w:pPr>
      <w:r>
        <w:rPr>
          <w:rFonts w:cs="Times New Roman"/>
          <w:b/>
        </w:rPr>
        <w:t>1、监测点位：</w:t>
      </w:r>
    </w:p>
    <w:p>
      <w:pPr>
        <w:ind w:firstLine="480"/>
        <w:rPr>
          <w:rFonts w:cs="Times New Roman"/>
        </w:rPr>
      </w:pPr>
      <w:r>
        <w:rPr>
          <w:rFonts w:cs="Times New Roman"/>
        </w:rPr>
        <w:t>共设3个监测点位：D1项目东北面黎老屋居民点水井、</w:t>
      </w:r>
      <w:r>
        <w:rPr>
          <w:rFonts w:cs="Times New Roman"/>
          <w:bCs/>
        </w:rPr>
        <w:t>D2</w:t>
      </w:r>
      <w:r>
        <w:rPr>
          <w:rFonts w:cs="Times New Roman"/>
        </w:rPr>
        <w:t>项目南面众拱村居民点水井</w:t>
      </w:r>
      <w:r>
        <w:rPr>
          <w:rFonts w:cs="Times New Roman"/>
          <w:bCs/>
        </w:rPr>
        <w:t>、D3</w:t>
      </w:r>
      <w:r>
        <w:rPr>
          <w:rFonts w:cs="Times New Roman"/>
        </w:rPr>
        <w:t>项目西南面高碧塘村居民点水井。</w:t>
      </w:r>
    </w:p>
    <w:p>
      <w:pPr>
        <w:ind w:firstLine="482"/>
        <w:rPr>
          <w:rFonts w:cs="Times New Roman"/>
          <w:b/>
        </w:rPr>
      </w:pPr>
      <w:r>
        <w:rPr>
          <w:rFonts w:cs="Times New Roman"/>
          <w:b/>
        </w:rPr>
        <w:t>2、监测项目</w:t>
      </w:r>
    </w:p>
    <w:p>
      <w:pPr>
        <w:ind w:firstLine="480"/>
        <w:rPr>
          <w:rFonts w:cs="Times New Roman"/>
        </w:rPr>
      </w:pPr>
      <w:r>
        <w:rPr>
          <w:rFonts w:cs="Times New Roman"/>
        </w:rPr>
        <w:t>化学指标：水位、pH、氟化物、溶解性总固体、氨氮、砷、镉、铬（六价）、铅、镍、挥发性酚类、K</w:t>
      </w:r>
      <w:r>
        <w:rPr>
          <w:rFonts w:cs="Times New Roman"/>
          <w:vertAlign w:val="superscript"/>
        </w:rPr>
        <w:t>+</w:t>
      </w:r>
      <w:r>
        <w:rPr>
          <w:rFonts w:cs="Times New Roman"/>
        </w:rPr>
        <w:t>、Na</w:t>
      </w:r>
      <w:r>
        <w:rPr>
          <w:rFonts w:cs="Times New Roman"/>
          <w:vertAlign w:val="superscript"/>
        </w:rPr>
        <w:t>+</w:t>
      </w:r>
      <w:r>
        <w:rPr>
          <w:rFonts w:cs="Times New Roman"/>
        </w:rPr>
        <w:t>、Ca</w:t>
      </w:r>
      <w:r>
        <w:rPr>
          <w:rFonts w:cs="Times New Roman"/>
          <w:vertAlign w:val="superscript"/>
        </w:rPr>
        <w:t>2+</w:t>
      </w:r>
      <w:r>
        <w:rPr>
          <w:rFonts w:cs="Times New Roman"/>
        </w:rPr>
        <w:t>、Mg</w:t>
      </w:r>
      <w:r>
        <w:rPr>
          <w:rFonts w:cs="Times New Roman"/>
          <w:vertAlign w:val="superscript"/>
        </w:rPr>
        <w:t>2+</w:t>
      </w:r>
      <w:r>
        <w:rPr>
          <w:rFonts w:cs="Times New Roman"/>
        </w:rPr>
        <w:t>、CO</w:t>
      </w:r>
      <w:r>
        <w:rPr>
          <w:rFonts w:cs="Times New Roman"/>
          <w:vertAlign w:val="subscript"/>
        </w:rPr>
        <w:t>3</w:t>
      </w:r>
      <w:r>
        <w:rPr>
          <w:rFonts w:cs="Times New Roman"/>
          <w:vertAlign w:val="superscript"/>
        </w:rPr>
        <w:t>2-</w:t>
      </w:r>
      <w:r>
        <w:rPr>
          <w:rFonts w:cs="Times New Roman"/>
        </w:rPr>
        <w:t>、HCO</w:t>
      </w:r>
      <w:r>
        <w:rPr>
          <w:rFonts w:cs="Times New Roman"/>
          <w:vertAlign w:val="subscript"/>
        </w:rPr>
        <w:t>3</w:t>
      </w:r>
      <w:r>
        <w:rPr>
          <w:rFonts w:cs="Times New Roman"/>
          <w:vertAlign w:val="superscript"/>
        </w:rPr>
        <w:t>-</w:t>
      </w:r>
      <w:r>
        <w:rPr>
          <w:rFonts w:cs="Times New Roman"/>
        </w:rPr>
        <w:t>、Cl</w:t>
      </w:r>
      <w:r>
        <w:rPr>
          <w:rFonts w:cs="Times New Roman"/>
          <w:vertAlign w:val="superscript"/>
        </w:rPr>
        <w:t>-</w:t>
      </w:r>
      <w:r>
        <w:rPr>
          <w:rFonts w:cs="Times New Roman"/>
        </w:rPr>
        <w:t>、SO</w:t>
      </w:r>
      <w:r>
        <w:rPr>
          <w:rFonts w:cs="Times New Roman"/>
          <w:vertAlign w:val="subscript"/>
        </w:rPr>
        <w:t>4</w:t>
      </w:r>
      <w:r>
        <w:rPr>
          <w:rFonts w:cs="Times New Roman"/>
          <w:vertAlign w:val="superscript"/>
        </w:rPr>
        <w:t>2-</w:t>
      </w:r>
      <w:r>
        <w:rPr>
          <w:rFonts w:cs="Times New Roman"/>
        </w:rPr>
        <w:t>，共计19项。</w:t>
      </w:r>
    </w:p>
    <w:p>
      <w:pPr>
        <w:ind w:firstLine="482"/>
        <w:rPr>
          <w:rFonts w:cs="Times New Roman"/>
          <w:b/>
        </w:rPr>
      </w:pPr>
      <w:r>
        <w:rPr>
          <w:rFonts w:cs="Times New Roman"/>
          <w:b/>
        </w:rPr>
        <w:t>3、监测时间</w:t>
      </w:r>
    </w:p>
    <w:p>
      <w:pPr>
        <w:ind w:firstLine="480"/>
        <w:rPr>
          <w:rFonts w:cs="Times New Roman"/>
        </w:rPr>
      </w:pPr>
      <w:r>
        <w:rPr>
          <w:rFonts w:cs="Times New Roman"/>
        </w:rPr>
        <w:t>由湖南精博监测科技有限公司于2019年7月22日对地下水环境现状进行监测，连续监测1天，每天1次。</w:t>
      </w:r>
    </w:p>
    <w:p>
      <w:pPr>
        <w:ind w:firstLine="482"/>
        <w:rPr>
          <w:rFonts w:cs="Times New Roman"/>
          <w:b/>
        </w:rPr>
      </w:pPr>
      <w:r>
        <w:rPr>
          <w:rFonts w:cs="Times New Roman"/>
          <w:b/>
        </w:rPr>
        <w:t>4、评价方法</w:t>
      </w:r>
    </w:p>
    <w:p>
      <w:pPr>
        <w:ind w:firstLine="480"/>
        <w:rPr>
          <w:rFonts w:cs="Times New Roman"/>
        </w:rPr>
      </w:pPr>
      <w:r>
        <w:rPr>
          <w:rFonts w:cs="Times New Roman"/>
        </w:rPr>
        <w:t>根据《环境影响评价技术导则—地下水环境》（HJ610-2016），地下水水质现状评价应采用标准指数法进行评价。标准指数&gt;1，表明该水质因子已超过了规定的水质标准，指数值越大，超标越严重。标准指数计算公式分为以下两种情况：</w:t>
      </w:r>
    </w:p>
    <w:p>
      <w:pPr>
        <w:ind w:firstLine="480"/>
        <w:rPr>
          <w:rFonts w:cs="Times New Roman"/>
        </w:rPr>
      </w:pPr>
      <w:r>
        <w:rPr>
          <w:rFonts w:hint="eastAsia" w:ascii="宋体" w:hAnsi="宋体" w:cs="宋体"/>
        </w:rPr>
        <w:t>①</w:t>
      </w:r>
      <w:r>
        <w:rPr>
          <w:rFonts w:cs="Times New Roman"/>
        </w:rPr>
        <w:t>对于评价标准为定值的水质因子，其标准指数计算公式：</w:t>
      </w:r>
    </w:p>
    <w:p>
      <w:pPr>
        <w:tabs>
          <w:tab w:val="left" w:pos="1021"/>
        </w:tabs>
        <w:ind w:firstLine="600" w:firstLineChars="250"/>
        <w:jc w:val="center"/>
        <w:rPr>
          <w:rFonts w:cs="Times New Roman"/>
          <w:vertAlign w:val="subscript"/>
        </w:rPr>
      </w:pPr>
      <w:r>
        <w:rPr>
          <w:rFonts w:cs="Times New Roman"/>
        </w:rPr>
        <w:t>P</w:t>
      </w:r>
      <w:r>
        <w:rPr>
          <w:rFonts w:cs="Times New Roman"/>
          <w:vertAlign w:val="subscript"/>
        </w:rPr>
        <w:t xml:space="preserve">i </w:t>
      </w:r>
      <w:r>
        <w:rPr>
          <w:rFonts w:cs="Times New Roman"/>
        </w:rPr>
        <w:t>=C</w:t>
      </w:r>
      <w:r>
        <w:rPr>
          <w:rFonts w:cs="Times New Roman"/>
          <w:vertAlign w:val="subscript"/>
        </w:rPr>
        <w:t xml:space="preserve">i </w:t>
      </w:r>
      <w:r>
        <w:rPr>
          <w:rFonts w:cs="Times New Roman"/>
        </w:rPr>
        <w:t>/C</w:t>
      </w:r>
      <w:r>
        <w:rPr>
          <w:rFonts w:cs="Times New Roman"/>
          <w:vertAlign w:val="subscript"/>
        </w:rPr>
        <w:t>si</w:t>
      </w:r>
    </w:p>
    <w:p>
      <w:pPr>
        <w:tabs>
          <w:tab w:val="left" w:pos="1021"/>
        </w:tabs>
        <w:ind w:firstLine="480"/>
        <w:rPr>
          <w:rFonts w:cs="Times New Roman"/>
        </w:rPr>
      </w:pPr>
      <w:r>
        <w:rPr>
          <w:rFonts w:cs="Times New Roman"/>
        </w:rPr>
        <w:t>式中：P</w:t>
      </w:r>
      <w:r>
        <w:rPr>
          <w:rFonts w:cs="Times New Roman"/>
          <w:vertAlign w:val="subscript"/>
        </w:rPr>
        <w:t>i</w:t>
      </w:r>
      <w:r>
        <w:rPr>
          <w:rFonts w:cs="Times New Roman"/>
        </w:rPr>
        <w:t>—第 i 个水质因子的标准指数，量纲为一；</w:t>
      </w:r>
    </w:p>
    <w:p>
      <w:pPr>
        <w:tabs>
          <w:tab w:val="left" w:pos="1021"/>
        </w:tabs>
        <w:ind w:firstLine="480"/>
        <w:rPr>
          <w:rFonts w:cs="Times New Roman"/>
        </w:rPr>
      </w:pPr>
      <w:r>
        <w:rPr>
          <w:rFonts w:cs="Times New Roman"/>
        </w:rPr>
        <w:t xml:space="preserve">      C</w:t>
      </w:r>
      <w:r>
        <w:rPr>
          <w:rFonts w:cs="Times New Roman"/>
          <w:vertAlign w:val="subscript"/>
        </w:rPr>
        <w:t>i</w:t>
      </w:r>
      <w:r>
        <w:rPr>
          <w:rFonts w:cs="Times New Roman"/>
        </w:rPr>
        <w:t>—第 i 个水质因子的监测质量浓度值，mg/L；</w:t>
      </w:r>
    </w:p>
    <w:p>
      <w:pPr>
        <w:tabs>
          <w:tab w:val="left" w:pos="1021"/>
        </w:tabs>
        <w:ind w:firstLine="480"/>
        <w:rPr>
          <w:rFonts w:cs="Times New Roman"/>
        </w:rPr>
      </w:pPr>
      <w:r>
        <w:rPr>
          <w:rFonts w:cs="Times New Roman"/>
        </w:rPr>
        <w:t xml:space="preserve">      C</w:t>
      </w:r>
      <w:r>
        <w:rPr>
          <w:rFonts w:cs="Times New Roman"/>
          <w:vertAlign w:val="subscript"/>
        </w:rPr>
        <w:t>si</w:t>
      </w:r>
      <w:r>
        <w:rPr>
          <w:rFonts w:cs="Times New Roman"/>
        </w:rPr>
        <w:t>—第 i 个水质因子的标准质量浓度值，mg/L。</w:t>
      </w:r>
    </w:p>
    <w:p>
      <w:pPr>
        <w:tabs>
          <w:tab w:val="left" w:pos="1021"/>
        </w:tabs>
        <w:ind w:firstLine="480"/>
        <w:rPr>
          <w:rFonts w:cs="Times New Roman"/>
        </w:rPr>
      </w:pPr>
      <w:r>
        <w:rPr>
          <w:rFonts w:hint="eastAsia" w:ascii="宋体" w:hAnsi="宋体" w:cs="宋体"/>
        </w:rPr>
        <w:t>②</w:t>
      </w:r>
      <w:r>
        <w:rPr>
          <w:rFonts w:cs="Times New Roman"/>
        </w:rPr>
        <w:t>对于评价标准为区间值的水质因子（如pH值），其标准指数计算公式：</w:t>
      </w:r>
    </w:p>
    <w:p>
      <w:pPr>
        <w:tabs>
          <w:tab w:val="left" w:pos="1021"/>
        </w:tabs>
        <w:ind w:firstLine="480"/>
        <w:jc w:val="center"/>
        <w:rPr>
          <w:rFonts w:cs="Times New Roman"/>
        </w:rPr>
      </w:pPr>
      <w:r>
        <w:rPr>
          <w:rFonts w:cs="Times New Roman"/>
          <w:position w:val="-30"/>
        </w:rPr>
        <w:object>
          <v:shape id="_x0000_i1037" o:spt="75" type="#_x0000_t75" style="height:33.25pt;width:85.3pt;" o:ole="t" filled="f" o:preferrelative="t" stroked="f" coordsize="21600,21600">
            <v:path/>
            <v:fill on="f" focussize="0,0"/>
            <v:stroke on="f" joinstyle="miter"/>
            <v:imagedata r:id="rId53" o:title=""/>
            <o:lock v:ext="edit" aspectratio="t"/>
            <w10:wrap type="none"/>
            <w10:anchorlock/>
          </v:shape>
          <o:OLEObject Type="Embed" ProgID="Equation.3" ShapeID="_x0000_i1037" DrawAspect="Content" ObjectID="_1468075737" r:id="rId52">
            <o:LockedField>false</o:LockedField>
          </o:OLEObject>
        </w:object>
      </w:r>
      <w:r>
        <w:rPr>
          <w:rFonts w:cs="Times New Roman"/>
        </w:rPr>
        <w:t xml:space="preserve">       pH≤7.0</w:t>
      </w:r>
    </w:p>
    <w:p>
      <w:pPr>
        <w:tabs>
          <w:tab w:val="left" w:pos="1021"/>
        </w:tabs>
        <w:ind w:firstLine="480"/>
        <w:jc w:val="center"/>
        <w:rPr>
          <w:rFonts w:cs="Times New Roman"/>
        </w:rPr>
      </w:pPr>
      <w:r>
        <w:rPr>
          <w:rFonts w:cs="Times New Roman"/>
          <w:position w:val="-30"/>
        </w:rPr>
        <w:object>
          <v:shape id="_x0000_i1038" o:spt="75" type="#_x0000_t75" style="height:33.25pt;width:85.3pt;" o:ole="t" filled="f" o:preferrelative="t" stroked="f" coordsize="21600,21600">
            <v:path/>
            <v:fill on="f" focussize="0,0"/>
            <v:stroke on="f" joinstyle="miter"/>
            <v:imagedata r:id="rId55" o:title=""/>
            <o:lock v:ext="edit" aspectratio="t"/>
            <w10:wrap type="none"/>
            <w10:anchorlock/>
          </v:shape>
          <o:OLEObject Type="Embed" ProgID="Equation.3" ShapeID="_x0000_i1038" DrawAspect="Content" ObjectID="_1468075738" r:id="rId54">
            <o:LockedField>false</o:LockedField>
          </o:OLEObject>
        </w:object>
      </w:r>
      <w:r>
        <w:rPr>
          <w:rFonts w:cs="Times New Roman"/>
        </w:rPr>
        <w:t xml:space="preserve">       pH＞7.0</w:t>
      </w:r>
    </w:p>
    <w:p>
      <w:pPr>
        <w:tabs>
          <w:tab w:val="left" w:pos="1021"/>
        </w:tabs>
        <w:ind w:firstLine="480"/>
        <w:rPr>
          <w:rFonts w:cs="Times New Roman"/>
        </w:rPr>
      </w:pPr>
      <w:r>
        <w:rPr>
          <w:rFonts w:cs="Times New Roman"/>
        </w:rPr>
        <w:t>式中：P</w:t>
      </w:r>
      <w:r>
        <w:rPr>
          <w:rFonts w:cs="Times New Roman"/>
          <w:vertAlign w:val="subscript"/>
        </w:rPr>
        <w:t xml:space="preserve">pH </w:t>
      </w:r>
      <w:r>
        <w:rPr>
          <w:rFonts w:cs="Times New Roman"/>
        </w:rPr>
        <w:t>—pH 的标准指数，量纲为一；</w:t>
      </w:r>
    </w:p>
    <w:p>
      <w:pPr>
        <w:tabs>
          <w:tab w:val="left" w:pos="1021"/>
        </w:tabs>
        <w:ind w:firstLine="480"/>
        <w:rPr>
          <w:rFonts w:cs="Times New Roman"/>
        </w:rPr>
      </w:pPr>
      <w:r>
        <w:rPr>
          <w:rFonts w:cs="Times New Roman"/>
        </w:rPr>
        <w:t xml:space="preserve">      pH—pH 监测值；</w:t>
      </w:r>
    </w:p>
    <w:p>
      <w:pPr>
        <w:tabs>
          <w:tab w:val="left" w:pos="1021"/>
        </w:tabs>
        <w:ind w:firstLine="480"/>
        <w:rPr>
          <w:rFonts w:cs="Times New Roman"/>
        </w:rPr>
      </w:pPr>
      <w:r>
        <w:rPr>
          <w:rFonts w:cs="Times New Roman"/>
        </w:rPr>
        <w:t xml:space="preserve">      pH</w:t>
      </w:r>
      <w:r>
        <w:rPr>
          <w:rFonts w:cs="Times New Roman"/>
          <w:vertAlign w:val="subscript"/>
        </w:rPr>
        <w:t>su</w:t>
      </w:r>
      <w:r>
        <w:rPr>
          <w:rFonts w:cs="Times New Roman"/>
        </w:rPr>
        <w:t>—标准中pH 的上限值；</w:t>
      </w:r>
    </w:p>
    <w:p>
      <w:pPr>
        <w:tabs>
          <w:tab w:val="left" w:pos="1021"/>
        </w:tabs>
        <w:ind w:firstLine="480"/>
        <w:rPr>
          <w:rFonts w:cs="Times New Roman"/>
        </w:rPr>
      </w:pPr>
      <w:r>
        <w:rPr>
          <w:rFonts w:cs="Times New Roman"/>
        </w:rPr>
        <w:t xml:space="preserve">      pH</w:t>
      </w:r>
      <w:r>
        <w:rPr>
          <w:rFonts w:cs="Times New Roman"/>
          <w:vertAlign w:val="subscript"/>
        </w:rPr>
        <w:t>sd</w:t>
      </w:r>
      <w:r>
        <w:rPr>
          <w:rFonts w:cs="Times New Roman"/>
        </w:rPr>
        <w:t>—标准中pH 的下限值。</w:t>
      </w:r>
    </w:p>
    <w:p>
      <w:pPr>
        <w:adjustRightInd w:val="0"/>
        <w:snapToGrid w:val="0"/>
        <w:ind w:firstLine="482"/>
        <w:rPr>
          <w:rFonts w:cs="Times New Roman"/>
          <w:b/>
        </w:rPr>
      </w:pPr>
      <w:r>
        <w:rPr>
          <w:rFonts w:cs="Times New Roman"/>
          <w:b/>
        </w:rPr>
        <w:t>5、监测结果</w:t>
      </w:r>
    </w:p>
    <w:p>
      <w:pPr>
        <w:widowControl/>
        <w:ind w:firstLine="480"/>
        <w:rPr>
          <w:rFonts w:cs="Times New Roman"/>
        </w:rPr>
      </w:pPr>
      <w:r>
        <w:rPr>
          <w:rFonts w:cs="Times New Roman"/>
        </w:rPr>
        <w:t>水质监测结果见表4.8-1：</w:t>
      </w:r>
    </w:p>
    <w:p>
      <w:pPr>
        <w:adjustRightInd w:val="0"/>
        <w:snapToGrid w:val="0"/>
        <w:spacing w:before="163" w:beforeLines="50"/>
        <w:ind w:firstLine="482"/>
        <w:jc w:val="center"/>
        <w:rPr>
          <w:rFonts w:cs="Times New Roman"/>
          <w:b/>
          <w:kern w:val="0"/>
          <w:szCs w:val="21"/>
        </w:rPr>
      </w:pPr>
      <w:r>
        <w:rPr>
          <w:rFonts w:cs="Times New Roman"/>
          <w:b/>
          <w:kern w:val="0"/>
          <w:szCs w:val="21"/>
        </w:rPr>
        <w:t>表4.8-1  地下水现状监测结果统计表  单位：除pH外，mg/L</w:t>
      </w:r>
    </w:p>
    <w:tbl>
      <w:tblPr>
        <w:tblStyle w:val="4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4"/>
        <w:gridCol w:w="1681"/>
        <w:gridCol w:w="1275"/>
        <w:gridCol w:w="1391"/>
        <w:gridCol w:w="1159"/>
        <w:gridCol w:w="992"/>
        <w:gridCol w:w="1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b/>
                <w:sz w:val="21"/>
                <w:szCs w:val="21"/>
              </w:rPr>
            </w:pPr>
            <w:r>
              <w:rPr>
                <w:rFonts w:cs="Times New Roman"/>
                <w:b/>
                <w:sz w:val="21"/>
                <w:szCs w:val="21"/>
              </w:rPr>
              <w:t>序号</w:t>
            </w:r>
          </w:p>
        </w:tc>
        <w:tc>
          <w:tcPr>
            <w:tcW w:w="1681" w:type="dxa"/>
            <w:vAlign w:val="center"/>
          </w:tcPr>
          <w:p>
            <w:pPr>
              <w:spacing w:line="240" w:lineRule="auto"/>
              <w:ind w:firstLine="0" w:firstLineChars="0"/>
              <w:jc w:val="center"/>
              <w:rPr>
                <w:rFonts w:cs="Times New Roman"/>
                <w:b/>
                <w:sz w:val="21"/>
                <w:szCs w:val="21"/>
              </w:rPr>
            </w:pPr>
            <w:r>
              <w:rPr>
                <w:rFonts w:cs="Times New Roman"/>
                <w:b/>
                <w:sz w:val="21"/>
                <w:szCs w:val="21"/>
              </w:rPr>
              <w:t>检验项目</w:t>
            </w:r>
          </w:p>
        </w:tc>
        <w:tc>
          <w:tcPr>
            <w:tcW w:w="1275" w:type="dxa"/>
            <w:vAlign w:val="center"/>
          </w:tcPr>
          <w:p>
            <w:pPr>
              <w:spacing w:line="240" w:lineRule="auto"/>
              <w:ind w:firstLine="0" w:firstLineChars="0"/>
              <w:jc w:val="center"/>
              <w:rPr>
                <w:rFonts w:cs="Times New Roman"/>
                <w:b/>
                <w:sz w:val="21"/>
                <w:szCs w:val="21"/>
              </w:rPr>
            </w:pPr>
            <w:r>
              <w:rPr>
                <w:rFonts w:cs="Times New Roman"/>
                <w:b/>
                <w:sz w:val="21"/>
                <w:szCs w:val="21"/>
              </w:rPr>
              <w:t>D1</w:t>
            </w:r>
          </w:p>
        </w:tc>
        <w:tc>
          <w:tcPr>
            <w:tcW w:w="1391" w:type="dxa"/>
            <w:vAlign w:val="center"/>
          </w:tcPr>
          <w:p>
            <w:pPr>
              <w:spacing w:line="240" w:lineRule="auto"/>
              <w:ind w:firstLine="0" w:firstLineChars="0"/>
              <w:jc w:val="center"/>
              <w:rPr>
                <w:rFonts w:cs="Times New Roman"/>
                <w:b/>
                <w:sz w:val="21"/>
                <w:szCs w:val="21"/>
              </w:rPr>
            </w:pPr>
            <w:r>
              <w:rPr>
                <w:rFonts w:cs="Times New Roman"/>
                <w:b/>
                <w:sz w:val="21"/>
                <w:szCs w:val="21"/>
              </w:rPr>
              <w:t>D2</w:t>
            </w:r>
          </w:p>
        </w:tc>
        <w:tc>
          <w:tcPr>
            <w:tcW w:w="1159" w:type="dxa"/>
            <w:vAlign w:val="center"/>
          </w:tcPr>
          <w:p>
            <w:pPr>
              <w:spacing w:line="240" w:lineRule="auto"/>
              <w:ind w:firstLine="0" w:firstLineChars="0"/>
              <w:jc w:val="center"/>
              <w:rPr>
                <w:rFonts w:cs="Times New Roman"/>
                <w:b/>
                <w:sz w:val="21"/>
                <w:szCs w:val="21"/>
              </w:rPr>
            </w:pPr>
            <w:r>
              <w:rPr>
                <w:rFonts w:cs="Times New Roman"/>
                <w:b/>
                <w:sz w:val="21"/>
                <w:szCs w:val="21"/>
              </w:rPr>
              <w:t>D3</w:t>
            </w:r>
          </w:p>
        </w:tc>
        <w:tc>
          <w:tcPr>
            <w:tcW w:w="992" w:type="dxa"/>
            <w:vAlign w:val="center"/>
          </w:tcPr>
          <w:p>
            <w:pPr>
              <w:spacing w:line="240" w:lineRule="auto"/>
              <w:ind w:firstLine="0" w:firstLineChars="0"/>
              <w:jc w:val="center"/>
              <w:rPr>
                <w:rFonts w:cs="Times New Roman"/>
                <w:b/>
                <w:sz w:val="21"/>
                <w:szCs w:val="21"/>
              </w:rPr>
            </w:pPr>
            <w:r>
              <w:rPr>
                <w:rFonts w:cs="Times New Roman"/>
                <w:b/>
                <w:sz w:val="21"/>
                <w:szCs w:val="21"/>
              </w:rPr>
              <w:t>标准值</w:t>
            </w:r>
          </w:p>
        </w:tc>
        <w:tc>
          <w:tcPr>
            <w:tcW w:w="1190" w:type="dxa"/>
            <w:vAlign w:val="center"/>
          </w:tcPr>
          <w:p>
            <w:pPr>
              <w:spacing w:line="240" w:lineRule="auto"/>
              <w:ind w:firstLine="0" w:firstLineChars="0"/>
              <w:jc w:val="center"/>
              <w:rPr>
                <w:rFonts w:cs="Times New Roman"/>
                <w:b/>
                <w:sz w:val="21"/>
                <w:szCs w:val="21"/>
              </w:rPr>
            </w:pPr>
            <w:r>
              <w:rPr>
                <w:rFonts w:cs="Times New Roman"/>
                <w:b/>
                <w:sz w:val="21"/>
                <w:szCs w:val="21"/>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1</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pH</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6.69</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6.74</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7.12</w:t>
            </w:r>
          </w:p>
        </w:tc>
        <w:tc>
          <w:tcPr>
            <w:tcW w:w="992" w:type="dxa"/>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6.5~8.5</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2</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氨氮（以N计）</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0.13</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0.25</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0.22</w:t>
            </w:r>
          </w:p>
        </w:tc>
        <w:tc>
          <w:tcPr>
            <w:tcW w:w="992" w:type="dxa"/>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≤0.50</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3</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氟化物</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0.13</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0.14</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0.18</w:t>
            </w:r>
          </w:p>
        </w:tc>
        <w:tc>
          <w:tcPr>
            <w:tcW w:w="992" w:type="dxa"/>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≤1.0</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4</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溶解性总固体</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175</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165</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155</w:t>
            </w:r>
          </w:p>
        </w:tc>
        <w:tc>
          <w:tcPr>
            <w:tcW w:w="992" w:type="dxa"/>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≤1000</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5</w:t>
            </w:r>
          </w:p>
        </w:tc>
        <w:tc>
          <w:tcPr>
            <w:tcW w:w="1681" w:type="dxa"/>
            <w:vAlign w:val="center"/>
          </w:tcPr>
          <w:p>
            <w:pPr>
              <w:widowControl/>
              <w:spacing w:line="240" w:lineRule="auto"/>
              <w:ind w:firstLine="0" w:firstLineChars="0"/>
              <w:jc w:val="center"/>
              <w:textAlignment w:val="center"/>
              <w:rPr>
                <w:rFonts w:cs="Times New Roman"/>
                <w:kern w:val="0"/>
                <w:sz w:val="21"/>
                <w:szCs w:val="21"/>
              </w:rPr>
            </w:pPr>
            <w:r>
              <w:rPr>
                <w:rFonts w:cs="Times New Roman"/>
                <w:kern w:val="0"/>
                <w:sz w:val="21"/>
                <w:szCs w:val="21"/>
              </w:rPr>
              <w:t>挥发性酚类（以苯酚计）</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0.002L</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0.002L</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0.002L</w:t>
            </w:r>
          </w:p>
        </w:tc>
        <w:tc>
          <w:tcPr>
            <w:tcW w:w="992" w:type="dxa"/>
            <w:vAlign w:val="center"/>
          </w:tcPr>
          <w:p>
            <w:pPr>
              <w:overflowPunct w:val="0"/>
              <w:autoSpaceDE w:val="0"/>
              <w:autoSpaceDN w:val="0"/>
              <w:adjustRightInd w:val="0"/>
              <w:spacing w:line="240" w:lineRule="auto"/>
              <w:ind w:firstLine="0" w:firstLineChars="0"/>
              <w:jc w:val="center"/>
              <w:textAlignment w:val="baseline"/>
              <w:rPr>
                <w:rFonts w:cs="Times New Roman"/>
                <w:kern w:val="0"/>
                <w:sz w:val="21"/>
                <w:szCs w:val="21"/>
              </w:rPr>
            </w:pPr>
            <w:r>
              <w:rPr>
                <w:rFonts w:cs="Times New Roman"/>
                <w:sz w:val="21"/>
                <w:szCs w:val="21"/>
              </w:rPr>
              <w:t>≤0.002</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6</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镍</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5×10</w:t>
            </w:r>
            <w:r>
              <w:rPr>
                <w:rFonts w:cs="Times New Roman"/>
                <w:sz w:val="21"/>
                <w:szCs w:val="21"/>
                <w:vertAlign w:val="superscript"/>
              </w:rPr>
              <w:t>-3</w:t>
            </w:r>
            <w:r>
              <w:rPr>
                <w:rFonts w:cs="Times New Roman"/>
                <w:sz w:val="21"/>
                <w:szCs w:val="21"/>
              </w:rPr>
              <w:t>L</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5×10</w:t>
            </w:r>
            <w:r>
              <w:rPr>
                <w:rFonts w:cs="Times New Roman"/>
                <w:sz w:val="21"/>
                <w:szCs w:val="21"/>
                <w:vertAlign w:val="superscript"/>
              </w:rPr>
              <w:t>-3</w:t>
            </w:r>
            <w:r>
              <w:rPr>
                <w:rFonts w:cs="Times New Roman"/>
                <w:sz w:val="21"/>
                <w:szCs w:val="21"/>
              </w:rPr>
              <w:t>L</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5×10</w:t>
            </w:r>
            <w:r>
              <w:rPr>
                <w:rFonts w:cs="Times New Roman"/>
                <w:sz w:val="21"/>
                <w:szCs w:val="21"/>
                <w:vertAlign w:val="superscript"/>
              </w:rPr>
              <w:t>-3</w:t>
            </w:r>
            <w:r>
              <w:rPr>
                <w:rFonts w:cs="Times New Roman"/>
                <w:sz w:val="21"/>
                <w:szCs w:val="21"/>
              </w:rPr>
              <w:t>L</w:t>
            </w:r>
          </w:p>
        </w:tc>
        <w:tc>
          <w:tcPr>
            <w:tcW w:w="992" w:type="dxa"/>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7</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1.0×10</w:t>
            </w:r>
            <w:r>
              <w:rPr>
                <w:rFonts w:cs="Times New Roman"/>
                <w:sz w:val="21"/>
                <w:szCs w:val="21"/>
                <w:vertAlign w:val="superscript"/>
              </w:rPr>
              <w:t>-3</w:t>
            </w:r>
            <w:r>
              <w:rPr>
                <w:rFonts w:cs="Times New Roman"/>
                <w:sz w:val="21"/>
                <w:szCs w:val="21"/>
              </w:rPr>
              <w:t>L</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1.0×10</w:t>
            </w:r>
            <w:r>
              <w:rPr>
                <w:rFonts w:cs="Times New Roman"/>
                <w:sz w:val="21"/>
                <w:szCs w:val="21"/>
                <w:vertAlign w:val="superscript"/>
              </w:rPr>
              <w:t>-3</w:t>
            </w:r>
            <w:r>
              <w:rPr>
                <w:rFonts w:cs="Times New Roman"/>
                <w:sz w:val="21"/>
                <w:szCs w:val="21"/>
              </w:rPr>
              <w:t>L</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1.0×10</w:t>
            </w:r>
            <w:r>
              <w:rPr>
                <w:rFonts w:cs="Times New Roman"/>
                <w:sz w:val="21"/>
                <w:szCs w:val="21"/>
                <w:vertAlign w:val="superscript"/>
              </w:rPr>
              <w:t>-3</w:t>
            </w:r>
            <w:r>
              <w:rPr>
                <w:rFonts w:cs="Times New Roman"/>
                <w:sz w:val="21"/>
                <w:szCs w:val="21"/>
              </w:rPr>
              <w:t>L</w:t>
            </w:r>
          </w:p>
        </w:tc>
        <w:tc>
          <w:tcPr>
            <w:tcW w:w="992" w:type="dxa"/>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≤0.01</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8</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镉</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0.5×10</w:t>
            </w:r>
            <w:r>
              <w:rPr>
                <w:rFonts w:cs="Times New Roman"/>
                <w:sz w:val="21"/>
                <w:szCs w:val="21"/>
                <w:vertAlign w:val="superscript"/>
              </w:rPr>
              <w:t>-3</w:t>
            </w:r>
            <w:r>
              <w:rPr>
                <w:rFonts w:cs="Times New Roman"/>
                <w:sz w:val="21"/>
                <w:szCs w:val="21"/>
              </w:rPr>
              <w:t>L</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0.5×10</w:t>
            </w:r>
            <w:r>
              <w:rPr>
                <w:rFonts w:cs="Times New Roman"/>
                <w:sz w:val="21"/>
                <w:szCs w:val="21"/>
                <w:vertAlign w:val="superscript"/>
              </w:rPr>
              <w:t>-3</w:t>
            </w:r>
            <w:r>
              <w:rPr>
                <w:rFonts w:cs="Times New Roman"/>
                <w:sz w:val="21"/>
                <w:szCs w:val="21"/>
              </w:rPr>
              <w:t>L</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0.5×10</w:t>
            </w:r>
            <w:r>
              <w:rPr>
                <w:rFonts w:cs="Times New Roman"/>
                <w:sz w:val="21"/>
                <w:szCs w:val="21"/>
                <w:vertAlign w:val="superscript"/>
              </w:rPr>
              <w:t>-3</w:t>
            </w:r>
            <w:r>
              <w:rPr>
                <w:rFonts w:cs="Times New Roman"/>
                <w:sz w:val="21"/>
                <w:szCs w:val="21"/>
              </w:rPr>
              <w:t>L</w:t>
            </w:r>
          </w:p>
        </w:tc>
        <w:tc>
          <w:tcPr>
            <w:tcW w:w="992" w:type="dxa"/>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≤0.005</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9</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铅</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2.5×10</w:t>
            </w:r>
            <w:r>
              <w:rPr>
                <w:rFonts w:cs="Times New Roman"/>
                <w:sz w:val="21"/>
                <w:szCs w:val="21"/>
                <w:vertAlign w:val="superscript"/>
              </w:rPr>
              <w:t>-3</w:t>
            </w:r>
            <w:r>
              <w:rPr>
                <w:rFonts w:cs="Times New Roman"/>
                <w:sz w:val="21"/>
                <w:szCs w:val="21"/>
              </w:rPr>
              <w:t>L</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2.5×10</w:t>
            </w:r>
            <w:r>
              <w:rPr>
                <w:rFonts w:cs="Times New Roman"/>
                <w:sz w:val="21"/>
                <w:szCs w:val="21"/>
                <w:vertAlign w:val="superscript"/>
              </w:rPr>
              <w:t>-3</w:t>
            </w:r>
            <w:r>
              <w:rPr>
                <w:rFonts w:cs="Times New Roman"/>
                <w:sz w:val="21"/>
                <w:szCs w:val="21"/>
              </w:rPr>
              <w:t>L</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2.5×10</w:t>
            </w:r>
            <w:r>
              <w:rPr>
                <w:rFonts w:cs="Times New Roman"/>
                <w:sz w:val="21"/>
                <w:szCs w:val="21"/>
                <w:vertAlign w:val="superscript"/>
              </w:rPr>
              <w:t>-3</w:t>
            </w:r>
            <w:r>
              <w:rPr>
                <w:rFonts w:cs="Times New Roman"/>
                <w:sz w:val="21"/>
                <w:szCs w:val="21"/>
              </w:rPr>
              <w:t>L</w:t>
            </w:r>
          </w:p>
        </w:tc>
        <w:tc>
          <w:tcPr>
            <w:tcW w:w="992" w:type="dxa"/>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≤0.01</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六价铬</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0.004L</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0.004L</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0.004L</w:t>
            </w:r>
          </w:p>
        </w:tc>
        <w:tc>
          <w:tcPr>
            <w:tcW w:w="992" w:type="dxa"/>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≤0.05</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11</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K</w:t>
            </w:r>
            <w:r>
              <w:rPr>
                <w:rFonts w:cs="Times New Roman"/>
                <w:sz w:val="21"/>
                <w:szCs w:val="21"/>
                <w:vertAlign w:val="superscript"/>
              </w:rPr>
              <w:t>+</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2.63</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2.59</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2.45</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12</w:t>
            </w:r>
          </w:p>
        </w:tc>
        <w:tc>
          <w:tcPr>
            <w:tcW w:w="1681" w:type="dxa"/>
            <w:vAlign w:val="center"/>
          </w:tcPr>
          <w:p>
            <w:pPr>
              <w:widowControl/>
              <w:spacing w:line="240" w:lineRule="auto"/>
              <w:ind w:firstLine="0" w:firstLineChars="0"/>
              <w:jc w:val="center"/>
              <w:textAlignment w:val="center"/>
              <w:rPr>
                <w:rFonts w:cs="Times New Roman"/>
                <w:kern w:val="0"/>
                <w:sz w:val="21"/>
                <w:szCs w:val="21"/>
              </w:rPr>
            </w:pPr>
            <w:r>
              <w:rPr>
                <w:rFonts w:cs="Times New Roman"/>
                <w:kern w:val="0"/>
                <w:sz w:val="21"/>
                <w:szCs w:val="21"/>
              </w:rPr>
              <w:t>Na+</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2.63</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2.55</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2.59</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13</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Ca</w:t>
            </w:r>
            <w:r>
              <w:rPr>
                <w:rFonts w:cs="Times New Roman"/>
                <w:sz w:val="21"/>
                <w:szCs w:val="21"/>
                <w:vertAlign w:val="superscript"/>
              </w:rPr>
              <w:t>2+</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8.89</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8.95</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8.78</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14</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Mg</w:t>
            </w:r>
            <w:r>
              <w:rPr>
                <w:rFonts w:cs="Times New Roman"/>
                <w:sz w:val="21"/>
                <w:szCs w:val="21"/>
                <w:vertAlign w:val="superscript"/>
              </w:rPr>
              <w:t>2+</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2.31</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2.32</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2.29</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15</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CO</w:t>
            </w:r>
            <w:r>
              <w:rPr>
                <w:rFonts w:cs="Times New Roman"/>
                <w:sz w:val="21"/>
                <w:szCs w:val="21"/>
                <w:vertAlign w:val="subscript"/>
              </w:rPr>
              <w:t>3</w:t>
            </w:r>
            <w:r>
              <w:rPr>
                <w:rFonts w:cs="Times New Roman"/>
                <w:sz w:val="21"/>
                <w:szCs w:val="21"/>
                <w:vertAlign w:val="superscript"/>
              </w:rPr>
              <w:t>2-</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0</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0</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16</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HCO</w:t>
            </w:r>
            <w:r>
              <w:rPr>
                <w:rFonts w:cs="Times New Roman"/>
                <w:sz w:val="21"/>
                <w:szCs w:val="21"/>
                <w:vertAlign w:val="subscript"/>
              </w:rPr>
              <w:t>3</w:t>
            </w:r>
            <w:r>
              <w:rPr>
                <w:rFonts w:cs="Times New Roman"/>
                <w:sz w:val="21"/>
                <w:szCs w:val="21"/>
                <w:vertAlign w:val="superscript"/>
              </w:rPr>
              <w:t>-</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1.65</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1.61</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1.55</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17</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Cl</w:t>
            </w:r>
            <w:r>
              <w:rPr>
                <w:rFonts w:cs="Times New Roman"/>
                <w:sz w:val="21"/>
                <w:szCs w:val="21"/>
                <w:vertAlign w:val="superscript"/>
              </w:rPr>
              <w:t>-</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12.8</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14.6</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17.1</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dxa"/>
            <w:vAlign w:val="center"/>
          </w:tcPr>
          <w:p>
            <w:pPr>
              <w:spacing w:line="240" w:lineRule="auto"/>
              <w:ind w:firstLine="0" w:firstLineChars="0"/>
              <w:jc w:val="center"/>
              <w:rPr>
                <w:rFonts w:cs="Times New Roman"/>
                <w:sz w:val="21"/>
                <w:szCs w:val="21"/>
              </w:rPr>
            </w:pPr>
            <w:r>
              <w:rPr>
                <w:rFonts w:cs="Times New Roman"/>
                <w:sz w:val="21"/>
                <w:szCs w:val="21"/>
              </w:rPr>
              <w:t>18</w:t>
            </w:r>
          </w:p>
        </w:tc>
        <w:tc>
          <w:tcPr>
            <w:tcW w:w="1681"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SO</w:t>
            </w:r>
            <w:r>
              <w:rPr>
                <w:rFonts w:cs="Times New Roman"/>
                <w:sz w:val="21"/>
                <w:szCs w:val="21"/>
                <w:vertAlign w:val="subscript"/>
              </w:rPr>
              <w:t>4</w:t>
            </w:r>
            <w:r>
              <w:rPr>
                <w:rFonts w:cs="Times New Roman"/>
                <w:sz w:val="21"/>
                <w:szCs w:val="21"/>
                <w:vertAlign w:val="superscript"/>
              </w:rPr>
              <w:t>2-</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20.4</w:t>
            </w:r>
          </w:p>
        </w:tc>
        <w:tc>
          <w:tcPr>
            <w:tcW w:w="1391" w:type="dxa"/>
            <w:vAlign w:val="center"/>
          </w:tcPr>
          <w:p>
            <w:pPr>
              <w:spacing w:line="240" w:lineRule="auto"/>
              <w:ind w:firstLine="0" w:firstLineChars="0"/>
              <w:jc w:val="center"/>
              <w:rPr>
                <w:rFonts w:cs="Times New Roman"/>
                <w:sz w:val="21"/>
                <w:szCs w:val="21"/>
              </w:rPr>
            </w:pPr>
            <w:r>
              <w:rPr>
                <w:rFonts w:cs="Times New Roman"/>
                <w:sz w:val="21"/>
                <w:szCs w:val="21"/>
              </w:rPr>
              <w:t>31.2</w:t>
            </w:r>
          </w:p>
        </w:tc>
        <w:tc>
          <w:tcPr>
            <w:tcW w:w="1159" w:type="dxa"/>
            <w:vAlign w:val="center"/>
          </w:tcPr>
          <w:p>
            <w:pPr>
              <w:spacing w:line="240" w:lineRule="auto"/>
              <w:ind w:firstLine="0" w:firstLineChars="0"/>
              <w:jc w:val="center"/>
              <w:rPr>
                <w:rFonts w:cs="Times New Roman"/>
                <w:sz w:val="21"/>
                <w:szCs w:val="21"/>
              </w:rPr>
            </w:pPr>
            <w:r>
              <w:rPr>
                <w:rFonts w:cs="Times New Roman"/>
                <w:sz w:val="21"/>
                <w:szCs w:val="21"/>
              </w:rPr>
              <w:t>23.5</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190" w:type="dxa"/>
            <w:vAlign w:val="center"/>
          </w:tcPr>
          <w:p>
            <w:pPr>
              <w:spacing w:line="240" w:lineRule="auto"/>
              <w:ind w:firstLine="0" w:firstLineChars="0"/>
              <w:jc w:val="center"/>
              <w:rPr>
                <w:rFonts w:cs="Times New Roman"/>
                <w:sz w:val="21"/>
                <w:szCs w:val="21"/>
              </w:rPr>
            </w:pPr>
            <w:r>
              <w:rPr>
                <w:rFonts w:cs="Times New Roman"/>
                <w:sz w:val="21"/>
                <w:szCs w:val="21"/>
              </w:rPr>
              <w:t>/</w:t>
            </w:r>
          </w:p>
        </w:tc>
      </w:tr>
    </w:tbl>
    <w:p>
      <w:pPr>
        <w:ind w:firstLine="480"/>
        <w:rPr>
          <w:rFonts w:cs="Times New Roman"/>
        </w:rPr>
      </w:pPr>
      <w:r>
        <w:rPr>
          <w:rFonts w:cs="Times New Roman"/>
        </w:rPr>
        <w:t>由上表可知，项目所在区域三个地下水监测点位各项监测因子均符合《地下水环境质量标准》（GB/T14848-2017）中的Ⅲ类水质标准，评价区域地下水质量状况良好。</w:t>
      </w:r>
    </w:p>
    <w:p>
      <w:pPr>
        <w:pStyle w:val="4"/>
        <w:rPr>
          <w:rFonts w:cs="Times New Roman"/>
        </w:rPr>
      </w:pPr>
      <w:bookmarkStart w:id="121" w:name="_Toc86611294"/>
      <w:r>
        <w:rPr>
          <w:rFonts w:cs="Times New Roman"/>
        </w:rPr>
        <w:t>4.8.2 地下水水位监测</w:t>
      </w:r>
      <w:bookmarkEnd w:id="121"/>
    </w:p>
    <w:p>
      <w:pPr>
        <w:adjustRightInd w:val="0"/>
        <w:snapToGrid w:val="0"/>
        <w:ind w:firstLine="480"/>
        <w:rPr>
          <w:rFonts w:cs="Times New Roman"/>
        </w:rPr>
      </w:pPr>
      <w:r>
        <w:rPr>
          <w:rFonts w:cs="Times New Roman"/>
        </w:rPr>
        <w:t>本次地下水环境质量现状评价引用了湖南将军新型建材有限公司委托湖南精博监测科技有限公司的监测数据，选取了6个点位进行了地下水水位测量，并根据测量结果初步判定区域地下水流场为自东北向西南。地下水水位测量点位及结果见表4.8-2。</w:t>
      </w:r>
    </w:p>
    <w:p>
      <w:pPr>
        <w:adjustRightInd w:val="0"/>
        <w:snapToGrid w:val="0"/>
        <w:spacing w:before="163" w:beforeLines="50"/>
        <w:ind w:firstLine="482"/>
        <w:jc w:val="center"/>
        <w:rPr>
          <w:rFonts w:cs="Times New Roman"/>
          <w:b/>
          <w:kern w:val="0"/>
          <w:szCs w:val="21"/>
        </w:rPr>
      </w:pPr>
      <w:r>
        <w:rPr>
          <w:rFonts w:cs="Times New Roman"/>
          <w:b/>
          <w:kern w:val="0"/>
          <w:szCs w:val="21"/>
        </w:rPr>
        <w:t>表4.8-2  地下水水位现状监测结果</w:t>
      </w:r>
    </w:p>
    <w:tbl>
      <w:tblPr>
        <w:tblStyle w:val="4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47"/>
        <w:gridCol w:w="1520"/>
        <w:gridCol w:w="1382"/>
        <w:gridCol w:w="2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3547" w:type="dxa"/>
            <w:vAlign w:val="center"/>
          </w:tcPr>
          <w:p>
            <w:pPr>
              <w:spacing w:line="240" w:lineRule="auto"/>
              <w:ind w:firstLine="0" w:firstLineChars="0"/>
              <w:jc w:val="center"/>
              <w:rPr>
                <w:rFonts w:cs="Times New Roman"/>
                <w:b/>
                <w:sz w:val="21"/>
                <w:szCs w:val="18"/>
              </w:rPr>
            </w:pPr>
            <w:r>
              <w:rPr>
                <w:rFonts w:cs="Times New Roman"/>
                <w:b/>
                <w:sz w:val="21"/>
                <w:szCs w:val="18"/>
              </w:rPr>
              <w:t>监测点位</w:t>
            </w:r>
          </w:p>
        </w:tc>
        <w:tc>
          <w:tcPr>
            <w:tcW w:w="1520" w:type="dxa"/>
            <w:vAlign w:val="center"/>
          </w:tcPr>
          <w:p>
            <w:pPr>
              <w:spacing w:line="240" w:lineRule="auto"/>
              <w:ind w:firstLine="0" w:firstLineChars="0"/>
              <w:jc w:val="center"/>
              <w:rPr>
                <w:rFonts w:cs="Times New Roman"/>
                <w:b/>
                <w:sz w:val="21"/>
                <w:szCs w:val="18"/>
              </w:rPr>
            </w:pPr>
            <w:r>
              <w:rPr>
                <w:rFonts w:cs="Times New Roman"/>
                <w:b/>
                <w:sz w:val="21"/>
                <w:szCs w:val="18"/>
              </w:rPr>
              <w:t>埋深（m）</w:t>
            </w:r>
          </w:p>
        </w:tc>
        <w:tc>
          <w:tcPr>
            <w:tcW w:w="1382" w:type="dxa"/>
            <w:vAlign w:val="center"/>
          </w:tcPr>
          <w:p>
            <w:pPr>
              <w:spacing w:line="240" w:lineRule="auto"/>
              <w:ind w:firstLine="0" w:firstLineChars="0"/>
              <w:jc w:val="center"/>
              <w:rPr>
                <w:rFonts w:cs="Times New Roman"/>
                <w:b/>
                <w:sz w:val="21"/>
                <w:szCs w:val="18"/>
              </w:rPr>
            </w:pPr>
            <w:r>
              <w:rPr>
                <w:rFonts w:cs="Times New Roman"/>
                <w:b/>
                <w:sz w:val="21"/>
                <w:szCs w:val="18"/>
              </w:rPr>
              <w:t>标高（m）</w:t>
            </w:r>
          </w:p>
        </w:tc>
        <w:tc>
          <w:tcPr>
            <w:tcW w:w="2073" w:type="dxa"/>
            <w:vAlign w:val="center"/>
          </w:tcPr>
          <w:p>
            <w:pPr>
              <w:spacing w:line="240" w:lineRule="auto"/>
              <w:ind w:firstLine="0" w:firstLineChars="0"/>
              <w:jc w:val="center"/>
              <w:rPr>
                <w:rFonts w:cs="Times New Roman"/>
                <w:b/>
                <w:sz w:val="21"/>
                <w:szCs w:val="18"/>
              </w:rPr>
            </w:pPr>
            <w:r>
              <w:rPr>
                <w:rFonts w:cs="Times New Roman"/>
                <w:b/>
                <w:sz w:val="21"/>
                <w:szCs w:val="18"/>
              </w:rPr>
              <w:t>观测日期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47" w:type="dxa"/>
            <w:vAlign w:val="center"/>
          </w:tcPr>
          <w:p>
            <w:pPr>
              <w:spacing w:line="240" w:lineRule="auto"/>
              <w:ind w:firstLine="0" w:firstLineChars="0"/>
              <w:jc w:val="center"/>
              <w:rPr>
                <w:rFonts w:cs="Times New Roman"/>
                <w:sz w:val="21"/>
                <w:szCs w:val="18"/>
              </w:rPr>
            </w:pPr>
            <w:r>
              <w:rPr>
                <w:rFonts w:cs="Times New Roman"/>
                <w:sz w:val="21"/>
                <w:szCs w:val="18"/>
              </w:rPr>
              <w:t>D1项目东北面蔡老屋居民点水井</w:t>
            </w:r>
          </w:p>
        </w:tc>
        <w:tc>
          <w:tcPr>
            <w:tcW w:w="1520" w:type="dxa"/>
            <w:vAlign w:val="center"/>
          </w:tcPr>
          <w:p>
            <w:pPr>
              <w:spacing w:line="240" w:lineRule="auto"/>
              <w:ind w:firstLine="0" w:firstLineChars="0"/>
              <w:jc w:val="center"/>
              <w:rPr>
                <w:rFonts w:cs="Times New Roman"/>
                <w:sz w:val="21"/>
                <w:szCs w:val="18"/>
              </w:rPr>
            </w:pPr>
            <w:r>
              <w:rPr>
                <w:rFonts w:cs="Times New Roman"/>
                <w:sz w:val="21"/>
                <w:szCs w:val="18"/>
              </w:rPr>
              <w:t>4.12</w:t>
            </w:r>
          </w:p>
        </w:tc>
        <w:tc>
          <w:tcPr>
            <w:tcW w:w="1382" w:type="dxa"/>
            <w:vAlign w:val="center"/>
          </w:tcPr>
          <w:p>
            <w:pPr>
              <w:spacing w:line="240" w:lineRule="auto"/>
              <w:ind w:firstLine="0" w:firstLineChars="0"/>
              <w:jc w:val="center"/>
              <w:rPr>
                <w:rFonts w:cs="Times New Roman"/>
                <w:sz w:val="21"/>
                <w:szCs w:val="18"/>
              </w:rPr>
            </w:pPr>
            <w:r>
              <w:rPr>
                <w:rFonts w:cs="Times New Roman"/>
                <w:sz w:val="21"/>
                <w:szCs w:val="18"/>
              </w:rPr>
              <w:t>102.93</w:t>
            </w:r>
          </w:p>
        </w:tc>
        <w:tc>
          <w:tcPr>
            <w:tcW w:w="2073" w:type="dxa"/>
            <w:vMerge w:val="restart"/>
            <w:vAlign w:val="center"/>
          </w:tcPr>
          <w:p>
            <w:pPr>
              <w:spacing w:line="240" w:lineRule="auto"/>
              <w:ind w:firstLine="0" w:firstLineChars="0"/>
              <w:jc w:val="center"/>
              <w:rPr>
                <w:rFonts w:cs="Times New Roman"/>
                <w:sz w:val="21"/>
                <w:szCs w:val="18"/>
              </w:rPr>
            </w:pPr>
            <w:r>
              <w:rPr>
                <w:rFonts w:cs="Times New Roman"/>
                <w:sz w:val="21"/>
                <w:szCs w:val="18"/>
              </w:rPr>
              <w:t>2019.7.22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47" w:type="dxa"/>
            <w:vAlign w:val="center"/>
          </w:tcPr>
          <w:p>
            <w:pPr>
              <w:spacing w:line="240" w:lineRule="auto"/>
              <w:ind w:firstLine="0" w:firstLineChars="0"/>
              <w:jc w:val="center"/>
              <w:rPr>
                <w:rFonts w:cs="Times New Roman"/>
                <w:sz w:val="21"/>
                <w:szCs w:val="18"/>
              </w:rPr>
            </w:pPr>
            <w:r>
              <w:rPr>
                <w:rFonts w:cs="Times New Roman"/>
                <w:sz w:val="21"/>
                <w:szCs w:val="18"/>
              </w:rPr>
              <w:t>D2项目南面众拱村居民点水井</w:t>
            </w:r>
          </w:p>
        </w:tc>
        <w:tc>
          <w:tcPr>
            <w:tcW w:w="1520" w:type="dxa"/>
            <w:vAlign w:val="center"/>
          </w:tcPr>
          <w:p>
            <w:pPr>
              <w:spacing w:line="240" w:lineRule="auto"/>
              <w:ind w:firstLine="0" w:firstLineChars="0"/>
              <w:jc w:val="center"/>
              <w:rPr>
                <w:rFonts w:cs="Times New Roman"/>
                <w:sz w:val="21"/>
                <w:szCs w:val="18"/>
              </w:rPr>
            </w:pPr>
            <w:r>
              <w:rPr>
                <w:rFonts w:cs="Times New Roman"/>
                <w:sz w:val="21"/>
                <w:szCs w:val="18"/>
              </w:rPr>
              <w:t>6.13</w:t>
            </w:r>
          </w:p>
        </w:tc>
        <w:tc>
          <w:tcPr>
            <w:tcW w:w="1382" w:type="dxa"/>
            <w:vAlign w:val="center"/>
          </w:tcPr>
          <w:p>
            <w:pPr>
              <w:spacing w:line="240" w:lineRule="auto"/>
              <w:ind w:firstLine="0" w:firstLineChars="0"/>
              <w:jc w:val="center"/>
              <w:rPr>
                <w:rFonts w:cs="Times New Roman"/>
                <w:sz w:val="21"/>
                <w:szCs w:val="18"/>
              </w:rPr>
            </w:pPr>
            <w:r>
              <w:rPr>
                <w:rFonts w:cs="Times New Roman"/>
                <w:sz w:val="21"/>
                <w:szCs w:val="18"/>
              </w:rPr>
              <w:t>119.9</w:t>
            </w:r>
          </w:p>
        </w:tc>
        <w:tc>
          <w:tcPr>
            <w:tcW w:w="2073" w:type="dxa"/>
            <w:vMerge w:val="continue"/>
            <w:vAlign w:val="center"/>
          </w:tcPr>
          <w:p>
            <w:pPr>
              <w:spacing w:line="240" w:lineRule="auto"/>
              <w:ind w:firstLine="0" w:firstLineChars="0"/>
              <w:jc w:val="center"/>
              <w:rPr>
                <w:rFonts w:cs="Times New Roman"/>
                <w:sz w:val="21"/>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47" w:type="dxa"/>
            <w:vAlign w:val="center"/>
          </w:tcPr>
          <w:p>
            <w:pPr>
              <w:spacing w:line="240" w:lineRule="auto"/>
              <w:ind w:firstLine="0" w:firstLineChars="0"/>
              <w:jc w:val="center"/>
              <w:rPr>
                <w:rFonts w:cs="Times New Roman"/>
                <w:sz w:val="21"/>
                <w:szCs w:val="18"/>
              </w:rPr>
            </w:pPr>
            <w:r>
              <w:rPr>
                <w:rFonts w:cs="Times New Roman"/>
                <w:sz w:val="21"/>
                <w:szCs w:val="18"/>
              </w:rPr>
              <w:t>D3项目西南面高碧塘村居民点水井</w:t>
            </w:r>
          </w:p>
        </w:tc>
        <w:tc>
          <w:tcPr>
            <w:tcW w:w="1520" w:type="dxa"/>
            <w:vAlign w:val="center"/>
          </w:tcPr>
          <w:p>
            <w:pPr>
              <w:spacing w:line="240" w:lineRule="auto"/>
              <w:ind w:firstLine="0" w:firstLineChars="0"/>
              <w:jc w:val="center"/>
              <w:rPr>
                <w:rFonts w:cs="Times New Roman"/>
                <w:sz w:val="21"/>
                <w:szCs w:val="18"/>
              </w:rPr>
            </w:pPr>
            <w:r>
              <w:rPr>
                <w:rFonts w:cs="Times New Roman"/>
                <w:sz w:val="21"/>
                <w:szCs w:val="18"/>
              </w:rPr>
              <w:t>6.83</w:t>
            </w:r>
          </w:p>
        </w:tc>
        <w:tc>
          <w:tcPr>
            <w:tcW w:w="1382" w:type="dxa"/>
            <w:vAlign w:val="center"/>
          </w:tcPr>
          <w:p>
            <w:pPr>
              <w:spacing w:line="240" w:lineRule="auto"/>
              <w:ind w:firstLine="0" w:firstLineChars="0"/>
              <w:jc w:val="center"/>
              <w:rPr>
                <w:rFonts w:cs="Times New Roman"/>
                <w:sz w:val="21"/>
                <w:szCs w:val="18"/>
              </w:rPr>
            </w:pPr>
            <w:r>
              <w:rPr>
                <w:rFonts w:cs="Times New Roman"/>
                <w:sz w:val="21"/>
                <w:szCs w:val="18"/>
              </w:rPr>
              <w:t>102</w:t>
            </w:r>
          </w:p>
        </w:tc>
        <w:tc>
          <w:tcPr>
            <w:tcW w:w="2073" w:type="dxa"/>
            <w:vMerge w:val="continue"/>
            <w:vAlign w:val="center"/>
          </w:tcPr>
          <w:p>
            <w:pPr>
              <w:spacing w:line="240" w:lineRule="auto"/>
              <w:ind w:firstLine="0" w:firstLineChars="0"/>
              <w:jc w:val="center"/>
              <w:rPr>
                <w:rFonts w:cs="Times New Roman"/>
                <w:sz w:val="21"/>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47" w:type="dxa"/>
            <w:vAlign w:val="center"/>
          </w:tcPr>
          <w:p>
            <w:pPr>
              <w:spacing w:line="240" w:lineRule="auto"/>
              <w:ind w:firstLine="0" w:firstLineChars="0"/>
              <w:jc w:val="center"/>
              <w:rPr>
                <w:rFonts w:cs="Times New Roman"/>
                <w:sz w:val="21"/>
                <w:szCs w:val="18"/>
              </w:rPr>
            </w:pPr>
            <w:r>
              <w:rPr>
                <w:rFonts w:cs="Times New Roman"/>
                <w:sz w:val="21"/>
                <w:szCs w:val="18"/>
              </w:rPr>
              <w:t>D4项目北面太清村居民点水井</w:t>
            </w:r>
          </w:p>
        </w:tc>
        <w:tc>
          <w:tcPr>
            <w:tcW w:w="1520" w:type="dxa"/>
            <w:vAlign w:val="center"/>
          </w:tcPr>
          <w:p>
            <w:pPr>
              <w:spacing w:line="240" w:lineRule="auto"/>
              <w:ind w:firstLine="0" w:firstLineChars="0"/>
              <w:jc w:val="center"/>
              <w:rPr>
                <w:rFonts w:cs="Times New Roman"/>
                <w:sz w:val="21"/>
                <w:szCs w:val="18"/>
              </w:rPr>
            </w:pPr>
            <w:r>
              <w:rPr>
                <w:rFonts w:cs="Times New Roman"/>
                <w:sz w:val="21"/>
                <w:szCs w:val="18"/>
              </w:rPr>
              <w:t>5.76</w:t>
            </w:r>
          </w:p>
        </w:tc>
        <w:tc>
          <w:tcPr>
            <w:tcW w:w="1382" w:type="dxa"/>
            <w:vAlign w:val="center"/>
          </w:tcPr>
          <w:p>
            <w:pPr>
              <w:spacing w:line="240" w:lineRule="auto"/>
              <w:ind w:firstLine="0" w:firstLineChars="0"/>
              <w:jc w:val="center"/>
              <w:rPr>
                <w:rFonts w:cs="Times New Roman"/>
                <w:sz w:val="21"/>
                <w:szCs w:val="18"/>
              </w:rPr>
            </w:pPr>
            <w:r>
              <w:rPr>
                <w:rFonts w:cs="Times New Roman"/>
                <w:sz w:val="21"/>
                <w:szCs w:val="18"/>
              </w:rPr>
              <w:t>107.14</w:t>
            </w:r>
          </w:p>
        </w:tc>
        <w:tc>
          <w:tcPr>
            <w:tcW w:w="2073" w:type="dxa"/>
            <w:vMerge w:val="continue"/>
            <w:vAlign w:val="center"/>
          </w:tcPr>
          <w:p>
            <w:pPr>
              <w:spacing w:line="240" w:lineRule="auto"/>
              <w:ind w:firstLine="0" w:firstLineChars="0"/>
              <w:jc w:val="center"/>
              <w:rPr>
                <w:rFonts w:cs="Times New Roman"/>
                <w:sz w:val="21"/>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47" w:type="dxa"/>
            <w:vAlign w:val="center"/>
          </w:tcPr>
          <w:p>
            <w:pPr>
              <w:spacing w:line="240" w:lineRule="auto"/>
              <w:ind w:firstLine="0" w:firstLineChars="0"/>
              <w:jc w:val="center"/>
              <w:rPr>
                <w:rFonts w:cs="Times New Roman"/>
                <w:sz w:val="21"/>
                <w:szCs w:val="18"/>
              </w:rPr>
            </w:pPr>
            <w:r>
              <w:rPr>
                <w:rFonts w:cs="Times New Roman"/>
                <w:sz w:val="21"/>
                <w:szCs w:val="18"/>
              </w:rPr>
              <w:t>D5项目东南面荷雅堂村居民点水井</w:t>
            </w:r>
          </w:p>
        </w:tc>
        <w:tc>
          <w:tcPr>
            <w:tcW w:w="1520" w:type="dxa"/>
            <w:vAlign w:val="center"/>
          </w:tcPr>
          <w:p>
            <w:pPr>
              <w:spacing w:line="240" w:lineRule="auto"/>
              <w:ind w:firstLine="0" w:firstLineChars="0"/>
              <w:jc w:val="center"/>
              <w:rPr>
                <w:rFonts w:cs="Times New Roman"/>
                <w:sz w:val="21"/>
                <w:szCs w:val="18"/>
              </w:rPr>
            </w:pPr>
            <w:r>
              <w:rPr>
                <w:rFonts w:cs="Times New Roman"/>
                <w:sz w:val="21"/>
                <w:szCs w:val="18"/>
              </w:rPr>
              <w:t>8.25</w:t>
            </w:r>
          </w:p>
        </w:tc>
        <w:tc>
          <w:tcPr>
            <w:tcW w:w="1382" w:type="dxa"/>
            <w:vAlign w:val="center"/>
          </w:tcPr>
          <w:p>
            <w:pPr>
              <w:spacing w:line="240" w:lineRule="auto"/>
              <w:ind w:firstLine="0" w:firstLineChars="0"/>
              <w:jc w:val="center"/>
              <w:rPr>
                <w:rFonts w:cs="Times New Roman"/>
                <w:sz w:val="21"/>
                <w:szCs w:val="18"/>
              </w:rPr>
            </w:pPr>
            <w:r>
              <w:rPr>
                <w:rFonts w:cs="Times New Roman"/>
                <w:sz w:val="21"/>
                <w:szCs w:val="18"/>
              </w:rPr>
              <w:t>141.57</w:t>
            </w:r>
          </w:p>
        </w:tc>
        <w:tc>
          <w:tcPr>
            <w:tcW w:w="2073" w:type="dxa"/>
            <w:vMerge w:val="continue"/>
            <w:vAlign w:val="center"/>
          </w:tcPr>
          <w:p>
            <w:pPr>
              <w:spacing w:line="240" w:lineRule="auto"/>
              <w:ind w:firstLine="0" w:firstLineChars="0"/>
              <w:jc w:val="center"/>
              <w:rPr>
                <w:rFonts w:cs="Times New Roman"/>
                <w:sz w:val="21"/>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47" w:type="dxa"/>
            <w:vAlign w:val="center"/>
          </w:tcPr>
          <w:p>
            <w:pPr>
              <w:spacing w:line="240" w:lineRule="auto"/>
              <w:ind w:firstLine="0" w:firstLineChars="0"/>
              <w:jc w:val="center"/>
              <w:rPr>
                <w:rFonts w:cs="Times New Roman"/>
                <w:sz w:val="21"/>
                <w:szCs w:val="18"/>
              </w:rPr>
            </w:pPr>
            <w:r>
              <w:rPr>
                <w:rFonts w:cs="Times New Roman"/>
                <w:sz w:val="21"/>
                <w:szCs w:val="18"/>
              </w:rPr>
              <w:t>D6项目西面松丫塘村居民点水井</w:t>
            </w:r>
          </w:p>
        </w:tc>
        <w:tc>
          <w:tcPr>
            <w:tcW w:w="1520" w:type="dxa"/>
            <w:vAlign w:val="center"/>
          </w:tcPr>
          <w:p>
            <w:pPr>
              <w:spacing w:line="240" w:lineRule="auto"/>
              <w:ind w:firstLine="0" w:firstLineChars="0"/>
              <w:jc w:val="center"/>
              <w:rPr>
                <w:rFonts w:cs="Times New Roman"/>
                <w:sz w:val="21"/>
                <w:szCs w:val="18"/>
              </w:rPr>
            </w:pPr>
            <w:r>
              <w:rPr>
                <w:rFonts w:cs="Times New Roman"/>
                <w:sz w:val="21"/>
                <w:szCs w:val="18"/>
              </w:rPr>
              <w:t>5.44</w:t>
            </w:r>
          </w:p>
        </w:tc>
        <w:tc>
          <w:tcPr>
            <w:tcW w:w="1382" w:type="dxa"/>
            <w:vAlign w:val="center"/>
          </w:tcPr>
          <w:p>
            <w:pPr>
              <w:spacing w:line="240" w:lineRule="auto"/>
              <w:ind w:firstLine="0" w:firstLineChars="0"/>
              <w:jc w:val="center"/>
              <w:rPr>
                <w:rFonts w:cs="Times New Roman"/>
                <w:sz w:val="21"/>
                <w:szCs w:val="18"/>
              </w:rPr>
            </w:pPr>
            <w:r>
              <w:rPr>
                <w:rFonts w:cs="Times New Roman"/>
                <w:sz w:val="21"/>
                <w:szCs w:val="18"/>
              </w:rPr>
              <w:t>102</w:t>
            </w:r>
          </w:p>
        </w:tc>
        <w:tc>
          <w:tcPr>
            <w:tcW w:w="2073" w:type="dxa"/>
            <w:vMerge w:val="continue"/>
            <w:vAlign w:val="center"/>
          </w:tcPr>
          <w:p>
            <w:pPr>
              <w:spacing w:line="240" w:lineRule="auto"/>
              <w:ind w:firstLine="0" w:firstLineChars="0"/>
              <w:jc w:val="center"/>
              <w:rPr>
                <w:rFonts w:cs="Times New Roman"/>
                <w:sz w:val="21"/>
                <w:szCs w:val="18"/>
              </w:rPr>
            </w:pPr>
          </w:p>
        </w:tc>
      </w:tr>
    </w:tbl>
    <w:p>
      <w:pPr>
        <w:pStyle w:val="3"/>
        <w:rPr>
          <w:rFonts w:cs="Times New Roman"/>
        </w:rPr>
      </w:pPr>
      <w:bookmarkStart w:id="122" w:name="_Toc86611295"/>
      <w:r>
        <w:rPr>
          <w:rFonts w:cs="Times New Roman"/>
        </w:rPr>
        <w:t>4.9声环境质量现状调查与评价</w:t>
      </w:r>
      <w:bookmarkEnd w:id="122"/>
    </w:p>
    <w:p>
      <w:pPr>
        <w:ind w:firstLine="480"/>
        <w:rPr>
          <w:rFonts w:cs="Times New Roman"/>
        </w:rPr>
      </w:pPr>
      <w:r>
        <w:rPr>
          <w:rFonts w:cs="Times New Roman"/>
        </w:rPr>
        <w:t>本次评价委托湖南精博监测科技有限公司于2019年1月18日-1月19日对本项目评价区域的声环境质量进行现状监测。</w:t>
      </w:r>
    </w:p>
    <w:p>
      <w:pPr>
        <w:ind w:firstLine="482"/>
        <w:rPr>
          <w:rFonts w:cs="Times New Roman"/>
          <w:b/>
        </w:rPr>
      </w:pPr>
      <w:r>
        <w:rPr>
          <w:rFonts w:cs="Times New Roman"/>
          <w:b/>
        </w:rPr>
        <w:t>1、监测布点</w:t>
      </w:r>
    </w:p>
    <w:p>
      <w:pPr>
        <w:ind w:firstLine="480"/>
        <w:rPr>
          <w:rFonts w:cs="Times New Roman"/>
        </w:rPr>
      </w:pPr>
      <w:r>
        <w:rPr>
          <w:rFonts w:cs="Times New Roman"/>
        </w:rPr>
        <w:t>在评价区域内共布设8个声环境质量现状监测点，监测点位置见</w:t>
      </w:r>
      <w:r>
        <w:rPr>
          <w:rFonts w:hint="eastAsia" w:cs="Times New Roman"/>
          <w:szCs w:val="28"/>
        </w:rPr>
        <w:t>表</w:t>
      </w:r>
      <w:r>
        <w:rPr>
          <w:rFonts w:cs="Times New Roman"/>
        </w:rPr>
        <w:t>4.9-1。</w:t>
      </w:r>
    </w:p>
    <w:p>
      <w:pPr>
        <w:adjustRightInd w:val="0"/>
        <w:snapToGrid w:val="0"/>
        <w:spacing w:before="163" w:beforeLines="50"/>
        <w:ind w:firstLine="482"/>
        <w:jc w:val="center"/>
        <w:rPr>
          <w:rFonts w:cs="Times New Roman"/>
          <w:b/>
          <w:kern w:val="0"/>
          <w:szCs w:val="21"/>
        </w:rPr>
      </w:pPr>
      <w:r>
        <w:rPr>
          <w:rFonts w:cs="Times New Roman"/>
          <w:b/>
          <w:kern w:val="0"/>
          <w:szCs w:val="21"/>
        </w:rPr>
        <w:t>表4.9-1  声环境质量现状监测布点表</w:t>
      </w:r>
    </w:p>
    <w:tbl>
      <w:tblPr>
        <w:tblStyle w:val="4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5"/>
        <w:gridCol w:w="3025"/>
        <w:gridCol w:w="3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5" w:type="dxa"/>
            <w:vAlign w:val="center"/>
          </w:tcPr>
          <w:p>
            <w:pPr>
              <w:spacing w:line="240" w:lineRule="auto"/>
              <w:ind w:firstLine="0" w:firstLineChars="0"/>
              <w:jc w:val="center"/>
              <w:rPr>
                <w:rFonts w:cs="Times New Roman"/>
                <w:b/>
                <w:sz w:val="21"/>
                <w:szCs w:val="18"/>
              </w:rPr>
            </w:pPr>
            <w:r>
              <w:rPr>
                <w:rFonts w:cs="Times New Roman"/>
                <w:b/>
                <w:sz w:val="21"/>
                <w:szCs w:val="18"/>
              </w:rPr>
              <w:t>监测点号</w:t>
            </w:r>
          </w:p>
        </w:tc>
        <w:tc>
          <w:tcPr>
            <w:tcW w:w="3025" w:type="dxa"/>
            <w:vAlign w:val="center"/>
          </w:tcPr>
          <w:p>
            <w:pPr>
              <w:spacing w:line="240" w:lineRule="auto"/>
              <w:ind w:firstLine="0" w:firstLineChars="0"/>
              <w:jc w:val="center"/>
              <w:rPr>
                <w:rFonts w:cs="Times New Roman"/>
                <w:b/>
                <w:sz w:val="21"/>
                <w:szCs w:val="18"/>
              </w:rPr>
            </w:pPr>
            <w:r>
              <w:rPr>
                <w:rFonts w:cs="Times New Roman"/>
                <w:b/>
                <w:sz w:val="21"/>
                <w:szCs w:val="18"/>
              </w:rPr>
              <w:t>监测点名称</w:t>
            </w:r>
          </w:p>
        </w:tc>
        <w:tc>
          <w:tcPr>
            <w:tcW w:w="3642" w:type="dxa"/>
            <w:vAlign w:val="center"/>
          </w:tcPr>
          <w:p>
            <w:pPr>
              <w:spacing w:line="240" w:lineRule="auto"/>
              <w:ind w:firstLine="0" w:firstLineChars="0"/>
              <w:jc w:val="center"/>
              <w:rPr>
                <w:rFonts w:cs="Times New Roman"/>
                <w:b/>
                <w:sz w:val="21"/>
                <w:szCs w:val="18"/>
              </w:rPr>
            </w:pPr>
            <w:r>
              <w:rPr>
                <w:rFonts w:cs="Times New Roman"/>
                <w:b/>
                <w:sz w:val="21"/>
                <w:szCs w:val="18"/>
              </w:rPr>
              <w:t>功能性质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855" w:type="dxa"/>
            <w:vAlign w:val="center"/>
          </w:tcPr>
          <w:p>
            <w:pPr>
              <w:spacing w:line="240" w:lineRule="auto"/>
              <w:ind w:firstLine="0" w:firstLineChars="0"/>
              <w:jc w:val="center"/>
              <w:rPr>
                <w:rFonts w:cs="Times New Roman"/>
                <w:sz w:val="21"/>
                <w:szCs w:val="18"/>
              </w:rPr>
            </w:pPr>
            <w:r>
              <w:rPr>
                <w:rFonts w:cs="Times New Roman"/>
                <w:sz w:val="21"/>
                <w:szCs w:val="18"/>
              </w:rPr>
              <w:t>N1</w:t>
            </w:r>
          </w:p>
        </w:tc>
        <w:tc>
          <w:tcPr>
            <w:tcW w:w="3025" w:type="dxa"/>
            <w:vAlign w:val="center"/>
          </w:tcPr>
          <w:p>
            <w:pPr>
              <w:spacing w:line="240" w:lineRule="auto"/>
              <w:ind w:firstLine="0" w:firstLineChars="0"/>
              <w:jc w:val="center"/>
              <w:rPr>
                <w:rFonts w:cs="Times New Roman"/>
                <w:sz w:val="21"/>
                <w:szCs w:val="18"/>
              </w:rPr>
            </w:pPr>
            <w:r>
              <w:rPr>
                <w:rFonts w:cs="Times New Roman"/>
                <w:sz w:val="21"/>
                <w:szCs w:val="18"/>
              </w:rPr>
              <w:t>项目东边界外1m处</w:t>
            </w:r>
          </w:p>
        </w:tc>
        <w:tc>
          <w:tcPr>
            <w:tcW w:w="3642" w:type="dxa"/>
            <w:vAlign w:val="center"/>
          </w:tcPr>
          <w:p>
            <w:pPr>
              <w:spacing w:line="240" w:lineRule="auto"/>
              <w:ind w:firstLine="0" w:firstLineChars="0"/>
              <w:jc w:val="center"/>
              <w:rPr>
                <w:rFonts w:cs="Times New Roman"/>
                <w:sz w:val="21"/>
                <w:szCs w:val="18"/>
              </w:rPr>
            </w:pPr>
            <w:r>
              <w:rPr>
                <w:rFonts w:cs="Times New Roman"/>
                <w:sz w:val="21"/>
                <w:szCs w:val="18"/>
              </w:rPr>
              <w:t>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855" w:type="dxa"/>
            <w:vAlign w:val="center"/>
          </w:tcPr>
          <w:p>
            <w:pPr>
              <w:spacing w:line="240" w:lineRule="auto"/>
              <w:ind w:firstLine="0" w:firstLineChars="0"/>
              <w:jc w:val="center"/>
              <w:rPr>
                <w:rFonts w:cs="Times New Roman"/>
                <w:sz w:val="21"/>
                <w:szCs w:val="18"/>
              </w:rPr>
            </w:pPr>
            <w:r>
              <w:rPr>
                <w:rFonts w:cs="Times New Roman"/>
                <w:sz w:val="21"/>
                <w:szCs w:val="18"/>
              </w:rPr>
              <w:t>N2</w:t>
            </w:r>
          </w:p>
        </w:tc>
        <w:tc>
          <w:tcPr>
            <w:tcW w:w="3025" w:type="dxa"/>
            <w:vAlign w:val="center"/>
          </w:tcPr>
          <w:p>
            <w:pPr>
              <w:spacing w:line="240" w:lineRule="auto"/>
              <w:ind w:firstLine="0" w:firstLineChars="0"/>
              <w:jc w:val="center"/>
              <w:rPr>
                <w:rFonts w:cs="Times New Roman"/>
                <w:sz w:val="21"/>
                <w:szCs w:val="18"/>
              </w:rPr>
            </w:pPr>
            <w:r>
              <w:rPr>
                <w:rFonts w:cs="Times New Roman"/>
                <w:sz w:val="21"/>
                <w:szCs w:val="18"/>
              </w:rPr>
              <w:t>项目南边界外1m处</w:t>
            </w:r>
          </w:p>
        </w:tc>
        <w:tc>
          <w:tcPr>
            <w:tcW w:w="3642" w:type="dxa"/>
            <w:vAlign w:val="center"/>
          </w:tcPr>
          <w:p>
            <w:pPr>
              <w:spacing w:line="240" w:lineRule="auto"/>
              <w:ind w:firstLine="0" w:firstLineChars="0"/>
              <w:jc w:val="center"/>
              <w:rPr>
                <w:rFonts w:cs="Times New Roman"/>
                <w:sz w:val="21"/>
                <w:szCs w:val="18"/>
              </w:rPr>
            </w:pPr>
            <w:r>
              <w:rPr>
                <w:rFonts w:cs="Times New Roman"/>
                <w:sz w:val="21"/>
                <w:szCs w:val="18"/>
              </w:rPr>
              <w:t>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855" w:type="dxa"/>
            <w:vAlign w:val="center"/>
          </w:tcPr>
          <w:p>
            <w:pPr>
              <w:spacing w:line="240" w:lineRule="auto"/>
              <w:ind w:firstLine="0" w:firstLineChars="0"/>
              <w:jc w:val="center"/>
              <w:rPr>
                <w:rFonts w:cs="Times New Roman"/>
                <w:sz w:val="21"/>
                <w:szCs w:val="18"/>
              </w:rPr>
            </w:pPr>
            <w:r>
              <w:rPr>
                <w:rFonts w:cs="Times New Roman"/>
                <w:sz w:val="21"/>
                <w:szCs w:val="18"/>
              </w:rPr>
              <w:t>N3</w:t>
            </w:r>
          </w:p>
        </w:tc>
        <w:tc>
          <w:tcPr>
            <w:tcW w:w="3025" w:type="dxa"/>
            <w:vAlign w:val="center"/>
          </w:tcPr>
          <w:p>
            <w:pPr>
              <w:spacing w:line="240" w:lineRule="auto"/>
              <w:ind w:firstLine="0" w:firstLineChars="0"/>
              <w:jc w:val="center"/>
              <w:rPr>
                <w:rFonts w:cs="Times New Roman"/>
                <w:sz w:val="21"/>
                <w:szCs w:val="18"/>
              </w:rPr>
            </w:pPr>
            <w:r>
              <w:rPr>
                <w:rFonts w:cs="Times New Roman"/>
                <w:sz w:val="21"/>
                <w:szCs w:val="18"/>
              </w:rPr>
              <w:t>项目西边界外1m处</w:t>
            </w:r>
          </w:p>
        </w:tc>
        <w:tc>
          <w:tcPr>
            <w:tcW w:w="3642" w:type="dxa"/>
            <w:vAlign w:val="center"/>
          </w:tcPr>
          <w:p>
            <w:pPr>
              <w:spacing w:line="240" w:lineRule="auto"/>
              <w:ind w:firstLine="0" w:firstLineChars="0"/>
              <w:jc w:val="center"/>
              <w:rPr>
                <w:rFonts w:cs="Times New Roman"/>
                <w:sz w:val="21"/>
                <w:szCs w:val="18"/>
              </w:rPr>
            </w:pPr>
            <w:r>
              <w:rPr>
                <w:rFonts w:cs="Times New Roman"/>
                <w:sz w:val="21"/>
                <w:szCs w:val="18"/>
              </w:rPr>
              <w:t>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855" w:type="dxa"/>
            <w:vAlign w:val="center"/>
          </w:tcPr>
          <w:p>
            <w:pPr>
              <w:spacing w:line="240" w:lineRule="auto"/>
              <w:ind w:firstLine="0" w:firstLineChars="0"/>
              <w:jc w:val="center"/>
              <w:rPr>
                <w:rFonts w:cs="Times New Roman"/>
                <w:sz w:val="21"/>
                <w:szCs w:val="18"/>
              </w:rPr>
            </w:pPr>
            <w:r>
              <w:rPr>
                <w:rFonts w:cs="Times New Roman"/>
                <w:sz w:val="21"/>
                <w:szCs w:val="18"/>
              </w:rPr>
              <w:t>N4</w:t>
            </w:r>
          </w:p>
        </w:tc>
        <w:tc>
          <w:tcPr>
            <w:tcW w:w="3025" w:type="dxa"/>
            <w:vAlign w:val="center"/>
          </w:tcPr>
          <w:p>
            <w:pPr>
              <w:spacing w:line="240" w:lineRule="auto"/>
              <w:ind w:firstLine="0" w:firstLineChars="0"/>
              <w:jc w:val="center"/>
              <w:rPr>
                <w:rFonts w:cs="Times New Roman"/>
                <w:sz w:val="21"/>
                <w:szCs w:val="18"/>
              </w:rPr>
            </w:pPr>
            <w:r>
              <w:rPr>
                <w:rFonts w:cs="Times New Roman"/>
                <w:sz w:val="21"/>
                <w:szCs w:val="18"/>
              </w:rPr>
              <w:t>项目北边界外1m处</w:t>
            </w:r>
          </w:p>
        </w:tc>
        <w:tc>
          <w:tcPr>
            <w:tcW w:w="3642" w:type="dxa"/>
            <w:vAlign w:val="center"/>
          </w:tcPr>
          <w:p>
            <w:pPr>
              <w:spacing w:line="240" w:lineRule="auto"/>
              <w:ind w:firstLine="0" w:firstLineChars="0"/>
              <w:jc w:val="center"/>
              <w:rPr>
                <w:rFonts w:cs="Times New Roman"/>
                <w:sz w:val="21"/>
                <w:szCs w:val="18"/>
              </w:rPr>
            </w:pPr>
            <w:r>
              <w:rPr>
                <w:rFonts w:cs="Times New Roman"/>
                <w:sz w:val="21"/>
                <w:szCs w:val="18"/>
              </w:rPr>
              <w:t>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855" w:type="dxa"/>
            <w:vAlign w:val="center"/>
          </w:tcPr>
          <w:p>
            <w:pPr>
              <w:spacing w:line="240" w:lineRule="auto"/>
              <w:ind w:firstLine="0" w:firstLineChars="0"/>
              <w:jc w:val="center"/>
              <w:rPr>
                <w:rFonts w:cs="Times New Roman"/>
                <w:sz w:val="21"/>
                <w:szCs w:val="18"/>
              </w:rPr>
            </w:pPr>
            <w:r>
              <w:rPr>
                <w:rFonts w:cs="Times New Roman"/>
                <w:sz w:val="21"/>
                <w:szCs w:val="18"/>
              </w:rPr>
              <w:t>N5</w:t>
            </w:r>
          </w:p>
        </w:tc>
        <w:tc>
          <w:tcPr>
            <w:tcW w:w="3025" w:type="dxa"/>
            <w:vAlign w:val="center"/>
          </w:tcPr>
          <w:p>
            <w:pPr>
              <w:spacing w:line="240" w:lineRule="auto"/>
              <w:ind w:firstLine="0" w:firstLineChars="0"/>
              <w:jc w:val="center"/>
              <w:rPr>
                <w:rFonts w:cs="Times New Roman"/>
                <w:sz w:val="21"/>
                <w:szCs w:val="18"/>
              </w:rPr>
            </w:pPr>
            <w:r>
              <w:rPr>
                <w:rFonts w:cs="Times New Roman"/>
                <w:sz w:val="21"/>
                <w:szCs w:val="18"/>
              </w:rPr>
              <w:t>项目西侧居民点</w:t>
            </w:r>
          </w:p>
        </w:tc>
        <w:tc>
          <w:tcPr>
            <w:tcW w:w="3642" w:type="dxa"/>
            <w:vAlign w:val="center"/>
          </w:tcPr>
          <w:p>
            <w:pPr>
              <w:spacing w:line="240" w:lineRule="auto"/>
              <w:ind w:firstLine="0" w:firstLineChars="0"/>
              <w:jc w:val="center"/>
              <w:rPr>
                <w:rFonts w:cs="Times New Roman"/>
                <w:sz w:val="21"/>
                <w:szCs w:val="18"/>
              </w:rPr>
            </w:pPr>
            <w:r>
              <w:rPr>
                <w:rFonts w:cs="Times New Roman"/>
                <w:sz w:val="21"/>
                <w:szCs w:val="18"/>
              </w:rPr>
              <w:t>环境敏感点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855" w:type="dxa"/>
            <w:vAlign w:val="center"/>
          </w:tcPr>
          <w:p>
            <w:pPr>
              <w:spacing w:line="240" w:lineRule="auto"/>
              <w:ind w:firstLine="0" w:firstLineChars="0"/>
              <w:jc w:val="center"/>
              <w:rPr>
                <w:rFonts w:cs="Times New Roman"/>
                <w:sz w:val="21"/>
                <w:szCs w:val="18"/>
              </w:rPr>
            </w:pPr>
            <w:r>
              <w:rPr>
                <w:rFonts w:cs="Times New Roman"/>
                <w:sz w:val="21"/>
                <w:szCs w:val="18"/>
              </w:rPr>
              <w:t>N6</w:t>
            </w:r>
          </w:p>
        </w:tc>
        <w:tc>
          <w:tcPr>
            <w:tcW w:w="3025" w:type="dxa"/>
            <w:vAlign w:val="center"/>
          </w:tcPr>
          <w:p>
            <w:pPr>
              <w:spacing w:line="240" w:lineRule="auto"/>
              <w:ind w:firstLine="0" w:firstLineChars="0"/>
              <w:jc w:val="center"/>
              <w:rPr>
                <w:rFonts w:cs="Times New Roman"/>
                <w:sz w:val="21"/>
                <w:szCs w:val="18"/>
              </w:rPr>
            </w:pPr>
            <w:r>
              <w:rPr>
                <w:rFonts w:cs="Times New Roman"/>
                <w:sz w:val="21"/>
                <w:szCs w:val="18"/>
              </w:rPr>
              <w:t>项目北侧居民点</w:t>
            </w:r>
          </w:p>
        </w:tc>
        <w:tc>
          <w:tcPr>
            <w:tcW w:w="3642" w:type="dxa"/>
            <w:vAlign w:val="center"/>
          </w:tcPr>
          <w:p>
            <w:pPr>
              <w:spacing w:line="240" w:lineRule="auto"/>
              <w:ind w:firstLine="0" w:firstLineChars="0"/>
              <w:jc w:val="center"/>
              <w:rPr>
                <w:rFonts w:cs="Times New Roman"/>
                <w:sz w:val="21"/>
                <w:szCs w:val="18"/>
              </w:rPr>
            </w:pPr>
            <w:r>
              <w:rPr>
                <w:rFonts w:cs="Times New Roman"/>
                <w:sz w:val="21"/>
                <w:szCs w:val="18"/>
              </w:rPr>
              <w:t>环境敏感点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855" w:type="dxa"/>
            <w:vAlign w:val="center"/>
          </w:tcPr>
          <w:p>
            <w:pPr>
              <w:spacing w:line="240" w:lineRule="auto"/>
              <w:ind w:firstLine="0" w:firstLineChars="0"/>
              <w:jc w:val="center"/>
              <w:rPr>
                <w:rFonts w:cs="Times New Roman"/>
                <w:sz w:val="21"/>
                <w:szCs w:val="18"/>
              </w:rPr>
            </w:pPr>
            <w:r>
              <w:rPr>
                <w:rFonts w:cs="Times New Roman"/>
                <w:sz w:val="21"/>
                <w:szCs w:val="18"/>
              </w:rPr>
              <w:t>N7</w:t>
            </w:r>
          </w:p>
        </w:tc>
        <w:tc>
          <w:tcPr>
            <w:tcW w:w="3025" w:type="dxa"/>
            <w:vAlign w:val="center"/>
          </w:tcPr>
          <w:p>
            <w:pPr>
              <w:spacing w:line="240" w:lineRule="auto"/>
              <w:ind w:firstLine="0" w:firstLineChars="0"/>
              <w:jc w:val="center"/>
              <w:rPr>
                <w:rFonts w:cs="Times New Roman"/>
                <w:sz w:val="21"/>
                <w:szCs w:val="18"/>
              </w:rPr>
            </w:pPr>
            <w:r>
              <w:rPr>
                <w:rFonts w:cs="Times New Roman"/>
                <w:sz w:val="21"/>
                <w:szCs w:val="18"/>
              </w:rPr>
              <w:t>项目东北侧居民点</w:t>
            </w:r>
          </w:p>
        </w:tc>
        <w:tc>
          <w:tcPr>
            <w:tcW w:w="3642" w:type="dxa"/>
            <w:vAlign w:val="center"/>
          </w:tcPr>
          <w:p>
            <w:pPr>
              <w:spacing w:line="240" w:lineRule="auto"/>
              <w:ind w:firstLine="0" w:firstLineChars="0"/>
              <w:jc w:val="center"/>
              <w:rPr>
                <w:rFonts w:cs="Times New Roman"/>
                <w:sz w:val="21"/>
                <w:szCs w:val="18"/>
              </w:rPr>
            </w:pPr>
            <w:r>
              <w:rPr>
                <w:rFonts w:cs="Times New Roman"/>
                <w:sz w:val="21"/>
                <w:szCs w:val="18"/>
              </w:rPr>
              <w:t>环境敏感点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855" w:type="dxa"/>
            <w:vAlign w:val="center"/>
          </w:tcPr>
          <w:p>
            <w:pPr>
              <w:spacing w:line="240" w:lineRule="auto"/>
              <w:ind w:firstLine="0" w:firstLineChars="0"/>
              <w:jc w:val="center"/>
              <w:rPr>
                <w:rFonts w:cs="Times New Roman"/>
                <w:sz w:val="21"/>
                <w:szCs w:val="18"/>
              </w:rPr>
            </w:pPr>
            <w:r>
              <w:rPr>
                <w:rFonts w:cs="Times New Roman"/>
                <w:sz w:val="21"/>
                <w:szCs w:val="18"/>
              </w:rPr>
              <w:t>N8</w:t>
            </w:r>
          </w:p>
        </w:tc>
        <w:tc>
          <w:tcPr>
            <w:tcW w:w="3025" w:type="dxa"/>
            <w:vAlign w:val="center"/>
          </w:tcPr>
          <w:p>
            <w:pPr>
              <w:spacing w:line="240" w:lineRule="auto"/>
              <w:ind w:firstLine="0" w:firstLineChars="0"/>
              <w:jc w:val="center"/>
              <w:rPr>
                <w:rFonts w:cs="Times New Roman"/>
                <w:sz w:val="21"/>
                <w:szCs w:val="18"/>
              </w:rPr>
            </w:pPr>
            <w:r>
              <w:rPr>
                <w:rFonts w:cs="Times New Roman"/>
                <w:sz w:val="21"/>
                <w:szCs w:val="18"/>
              </w:rPr>
              <w:t>项目东侧居民点</w:t>
            </w:r>
          </w:p>
        </w:tc>
        <w:tc>
          <w:tcPr>
            <w:tcW w:w="3642" w:type="dxa"/>
            <w:vAlign w:val="center"/>
          </w:tcPr>
          <w:p>
            <w:pPr>
              <w:spacing w:line="240" w:lineRule="auto"/>
              <w:ind w:firstLine="0" w:firstLineChars="0"/>
              <w:jc w:val="center"/>
              <w:rPr>
                <w:rFonts w:cs="Times New Roman"/>
                <w:sz w:val="21"/>
                <w:szCs w:val="18"/>
              </w:rPr>
            </w:pPr>
            <w:r>
              <w:rPr>
                <w:rFonts w:cs="Times New Roman"/>
                <w:sz w:val="21"/>
                <w:szCs w:val="18"/>
              </w:rPr>
              <w:t>环境敏感点</w:t>
            </w:r>
          </w:p>
        </w:tc>
      </w:tr>
    </w:tbl>
    <w:p>
      <w:pPr>
        <w:ind w:firstLine="482"/>
        <w:rPr>
          <w:rFonts w:cs="Times New Roman"/>
          <w:b/>
        </w:rPr>
      </w:pPr>
      <w:r>
        <w:rPr>
          <w:rFonts w:cs="Times New Roman"/>
          <w:b/>
        </w:rPr>
        <w:t>2、监测项目：</w:t>
      </w:r>
    </w:p>
    <w:p>
      <w:pPr>
        <w:ind w:firstLine="480"/>
        <w:rPr>
          <w:rFonts w:cs="Times New Roman"/>
        </w:rPr>
      </w:pPr>
      <w:r>
        <w:rPr>
          <w:rFonts w:cs="Times New Roman"/>
        </w:rPr>
        <w:t>等效连续A声级（L</w:t>
      </w:r>
      <w:r>
        <w:rPr>
          <w:rFonts w:cs="Times New Roman"/>
          <w:vertAlign w:val="subscript"/>
        </w:rPr>
        <w:t>eq</w:t>
      </w:r>
      <w:r>
        <w:rPr>
          <w:rFonts w:cs="Times New Roman"/>
        </w:rPr>
        <w:t>）。</w:t>
      </w:r>
    </w:p>
    <w:p>
      <w:pPr>
        <w:ind w:firstLine="482"/>
        <w:rPr>
          <w:rFonts w:cs="Times New Roman"/>
        </w:rPr>
      </w:pPr>
      <w:r>
        <w:rPr>
          <w:rFonts w:cs="Times New Roman"/>
          <w:b/>
        </w:rPr>
        <w:t>3、监测时间及监测频率：</w:t>
      </w:r>
    </w:p>
    <w:p>
      <w:pPr>
        <w:ind w:firstLine="480"/>
        <w:rPr>
          <w:rFonts w:cs="Times New Roman"/>
        </w:rPr>
      </w:pPr>
      <w:r>
        <w:rPr>
          <w:rFonts w:cs="Times New Roman"/>
        </w:rPr>
        <w:t>2019年7月22日-7月23日，连续监测2日，分昼间及夜间各一次。</w:t>
      </w:r>
    </w:p>
    <w:p>
      <w:pPr>
        <w:ind w:firstLine="482"/>
        <w:rPr>
          <w:rFonts w:cs="Times New Roman"/>
        </w:rPr>
      </w:pPr>
      <w:r>
        <w:rPr>
          <w:rFonts w:cs="Times New Roman"/>
          <w:b/>
        </w:rPr>
        <w:t>4、监测结果：</w:t>
      </w:r>
    </w:p>
    <w:p>
      <w:pPr>
        <w:ind w:firstLine="480"/>
        <w:rPr>
          <w:rFonts w:cs="Times New Roman"/>
        </w:rPr>
      </w:pPr>
      <w:r>
        <w:rPr>
          <w:rFonts w:cs="Times New Roman"/>
        </w:rPr>
        <w:t>监测结果见</w:t>
      </w:r>
      <w:r>
        <w:rPr>
          <w:rFonts w:hint="eastAsia" w:cs="Times New Roman"/>
        </w:rPr>
        <w:t>表</w:t>
      </w:r>
      <w:r>
        <w:rPr>
          <w:rFonts w:cs="Times New Roman"/>
        </w:rPr>
        <w:t>4.9-2。</w:t>
      </w:r>
    </w:p>
    <w:p>
      <w:pPr>
        <w:adjustRightInd w:val="0"/>
        <w:snapToGrid w:val="0"/>
        <w:spacing w:before="163" w:beforeLines="50"/>
        <w:ind w:firstLine="482"/>
        <w:jc w:val="center"/>
        <w:rPr>
          <w:rFonts w:cs="Times New Roman"/>
          <w:b/>
          <w:bCs/>
          <w:kern w:val="0"/>
          <w:szCs w:val="21"/>
        </w:rPr>
      </w:pPr>
      <w:r>
        <w:rPr>
          <w:rFonts w:cs="Times New Roman"/>
          <w:b/>
          <w:bCs/>
          <w:kern w:val="0"/>
          <w:szCs w:val="21"/>
        </w:rPr>
        <w:t>表4.9-2  声环境监测结果</w:t>
      </w:r>
      <w:r>
        <w:rPr>
          <w:rFonts w:cs="Times New Roman"/>
          <w:b/>
          <w:kern w:val="0"/>
          <w:szCs w:val="21"/>
        </w:rPr>
        <w:t>统计表</w:t>
      </w:r>
    </w:p>
    <w:tbl>
      <w:tblPr>
        <w:tblStyle w:val="4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0"/>
        <w:gridCol w:w="1116"/>
        <w:gridCol w:w="1115"/>
        <w:gridCol w:w="1116"/>
        <w:gridCol w:w="1035"/>
        <w:gridCol w:w="992"/>
        <w:gridCol w:w="2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6" w:type="dxa"/>
            <w:gridSpan w:val="2"/>
            <w:vMerge w:val="restart"/>
            <w:vAlign w:val="center"/>
          </w:tcPr>
          <w:p>
            <w:pPr>
              <w:spacing w:line="240" w:lineRule="auto"/>
              <w:ind w:firstLine="0" w:firstLineChars="0"/>
              <w:jc w:val="center"/>
              <w:rPr>
                <w:rFonts w:cs="Times New Roman"/>
                <w:b/>
                <w:sz w:val="21"/>
                <w:szCs w:val="21"/>
              </w:rPr>
            </w:pPr>
            <w:r>
              <w:rPr>
                <w:rFonts w:cs="Times New Roman"/>
                <w:b/>
                <w:sz w:val="21"/>
                <w:szCs w:val="21"/>
              </w:rPr>
              <w:t>监测点位</w:t>
            </w:r>
          </w:p>
        </w:tc>
        <w:tc>
          <w:tcPr>
            <w:tcW w:w="2231" w:type="dxa"/>
            <w:gridSpan w:val="2"/>
            <w:vAlign w:val="center"/>
          </w:tcPr>
          <w:p>
            <w:pPr>
              <w:spacing w:line="240" w:lineRule="auto"/>
              <w:ind w:firstLine="0" w:firstLineChars="0"/>
              <w:jc w:val="center"/>
              <w:rPr>
                <w:rFonts w:cs="Times New Roman"/>
                <w:b/>
                <w:sz w:val="21"/>
                <w:szCs w:val="21"/>
              </w:rPr>
            </w:pPr>
            <w:r>
              <w:rPr>
                <w:rFonts w:cs="Times New Roman"/>
                <w:b/>
                <w:sz w:val="21"/>
                <w:szCs w:val="21"/>
              </w:rPr>
              <w:t>监测结果</w:t>
            </w:r>
          </w:p>
        </w:tc>
        <w:tc>
          <w:tcPr>
            <w:tcW w:w="2027" w:type="dxa"/>
            <w:gridSpan w:val="2"/>
            <w:vAlign w:val="center"/>
          </w:tcPr>
          <w:p>
            <w:pPr>
              <w:spacing w:line="240" w:lineRule="auto"/>
              <w:ind w:firstLine="0" w:firstLineChars="0"/>
              <w:jc w:val="center"/>
              <w:rPr>
                <w:rFonts w:cs="Times New Roman"/>
                <w:b/>
                <w:sz w:val="21"/>
                <w:szCs w:val="21"/>
              </w:rPr>
            </w:pPr>
            <w:r>
              <w:rPr>
                <w:rFonts w:cs="Times New Roman"/>
                <w:b/>
                <w:sz w:val="21"/>
                <w:szCs w:val="21"/>
              </w:rPr>
              <w:t>标准值</w:t>
            </w:r>
          </w:p>
        </w:tc>
        <w:tc>
          <w:tcPr>
            <w:tcW w:w="2038" w:type="dxa"/>
            <w:vMerge w:val="restart"/>
            <w:vAlign w:val="center"/>
          </w:tcPr>
          <w:p>
            <w:pPr>
              <w:spacing w:line="240" w:lineRule="auto"/>
              <w:ind w:firstLine="0" w:firstLineChars="0"/>
              <w:jc w:val="center"/>
              <w:rPr>
                <w:rFonts w:cs="Times New Roman"/>
                <w:b/>
                <w:sz w:val="21"/>
                <w:szCs w:val="21"/>
              </w:rPr>
            </w:pPr>
            <w:r>
              <w:rPr>
                <w:rFonts w:cs="Times New Roman"/>
                <w:b/>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6" w:type="dxa"/>
            <w:gridSpan w:val="2"/>
            <w:vMerge w:val="continue"/>
            <w:vAlign w:val="center"/>
          </w:tcPr>
          <w:p>
            <w:pPr>
              <w:spacing w:line="240" w:lineRule="auto"/>
              <w:ind w:firstLine="0" w:firstLineChars="0"/>
              <w:jc w:val="center"/>
              <w:rPr>
                <w:rFonts w:cs="Times New Roman"/>
                <w:b/>
                <w:sz w:val="21"/>
                <w:szCs w:val="21"/>
              </w:rPr>
            </w:pPr>
          </w:p>
        </w:tc>
        <w:tc>
          <w:tcPr>
            <w:tcW w:w="1115" w:type="dxa"/>
            <w:vAlign w:val="center"/>
          </w:tcPr>
          <w:p>
            <w:pPr>
              <w:spacing w:line="240" w:lineRule="auto"/>
              <w:ind w:firstLine="0" w:firstLineChars="0"/>
              <w:jc w:val="center"/>
              <w:rPr>
                <w:rFonts w:cs="Times New Roman"/>
                <w:b/>
                <w:sz w:val="21"/>
                <w:szCs w:val="21"/>
              </w:rPr>
            </w:pPr>
            <w:r>
              <w:rPr>
                <w:rFonts w:cs="Times New Roman"/>
                <w:b/>
                <w:sz w:val="21"/>
                <w:szCs w:val="21"/>
              </w:rPr>
              <w:t>昼间</w:t>
            </w:r>
          </w:p>
        </w:tc>
        <w:tc>
          <w:tcPr>
            <w:tcW w:w="1116" w:type="dxa"/>
            <w:vAlign w:val="center"/>
          </w:tcPr>
          <w:p>
            <w:pPr>
              <w:spacing w:line="240" w:lineRule="auto"/>
              <w:ind w:firstLine="0" w:firstLineChars="0"/>
              <w:jc w:val="center"/>
              <w:rPr>
                <w:rFonts w:cs="Times New Roman"/>
                <w:b/>
                <w:sz w:val="21"/>
                <w:szCs w:val="21"/>
              </w:rPr>
            </w:pPr>
            <w:r>
              <w:rPr>
                <w:rFonts w:cs="Times New Roman"/>
                <w:b/>
                <w:sz w:val="21"/>
                <w:szCs w:val="21"/>
              </w:rPr>
              <w:t>夜间</w:t>
            </w:r>
          </w:p>
        </w:tc>
        <w:tc>
          <w:tcPr>
            <w:tcW w:w="1035" w:type="dxa"/>
            <w:vAlign w:val="center"/>
          </w:tcPr>
          <w:p>
            <w:pPr>
              <w:spacing w:line="240" w:lineRule="auto"/>
              <w:ind w:firstLine="0" w:firstLineChars="0"/>
              <w:jc w:val="center"/>
              <w:rPr>
                <w:rFonts w:cs="Times New Roman"/>
                <w:b/>
                <w:sz w:val="21"/>
                <w:szCs w:val="21"/>
              </w:rPr>
            </w:pPr>
            <w:r>
              <w:rPr>
                <w:rFonts w:cs="Times New Roman"/>
                <w:b/>
                <w:sz w:val="21"/>
                <w:szCs w:val="21"/>
              </w:rPr>
              <w:t>昼间</w:t>
            </w:r>
          </w:p>
        </w:tc>
        <w:tc>
          <w:tcPr>
            <w:tcW w:w="992" w:type="dxa"/>
            <w:vAlign w:val="center"/>
          </w:tcPr>
          <w:p>
            <w:pPr>
              <w:spacing w:line="240" w:lineRule="auto"/>
              <w:ind w:firstLine="0" w:firstLineChars="0"/>
              <w:jc w:val="center"/>
              <w:rPr>
                <w:rFonts w:cs="Times New Roman"/>
                <w:b/>
                <w:sz w:val="21"/>
                <w:szCs w:val="21"/>
              </w:rPr>
            </w:pPr>
            <w:r>
              <w:rPr>
                <w:rFonts w:cs="Times New Roman"/>
                <w:b/>
                <w:sz w:val="21"/>
                <w:szCs w:val="21"/>
              </w:rPr>
              <w:t>夜间</w:t>
            </w:r>
          </w:p>
        </w:tc>
        <w:tc>
          <w:tcPr>
            <w:tcW w:w="2038" w:type="dxa"/>
            <w:vMerge w:val="continue"/>
            <w:vAlign w:val="center"/>
          </w:tcPr>
          <w:p>
            <w:pPr>
              <w:spacing w:line="240" w:lineRule="auto"/>
              <w:ind w:firstLine="0" w:firstLineChars="0"/>
              <w:jc w:val="center"/>
              <w:rPr>
                <w:rFonts w:cs="Times New Roman"/>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restart"/>
            <w:vAlign w:val="center"/>
          </w:tcPr>
          <w:p>
            <w:pPr>
              <w:spacing w:line="240" w:lineRule="auto"/>
              <w:ind w:firstLine="0" w:firstLineChars="0"/>
              <w:jc w:val="center"/>
              <w:rPr>
                <w:rFonts w:cs="Times New Roman"/>
                <w:sz w:val="21"/>
                <w:szCs w:val="21"/>
              </w:rPr>
            </w:pPr>
            <w:r>
              <w:rPr>
                <w:rFonts w:cs="Times New Roman"/>
                <w:sz w:val="21"/>
                <w:szCs w:val="21"/>
              </w:rPr>
              <w:t>N1</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2019.7.22</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55.7</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45.5</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65</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2038" w:type="dxa"/>
            <w:vMerge w:val="restart"/>
            <w:vAlign w:val="center"/>
          </w:tcPr>
          <w:p>
            <w:pPr>
              <w:spacing w:line="240" w:lineRule="auto"/>
              <w:ind w:firstLine="0" w:firstLineChars="0"/>
              <w:jc w:val="center"/>
              <w:rPr>
                <w:rFonts w:cs="Times New Roman"/>
                <w:sz w:val="21"/>
                <w:szCs w:val="21"/>
              </w:rPr>
            </w:pPr>
            <w:r>
              <w:rPr>
                <w:rFonts w:cs="Times New Roman"/>
                <w:sz w:val="21"/>
                <w:szCs w:val="21"/>
              </w:rPr>
              <w:t>《声环境质量标准》（GB3096-2008）3类标准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continue"/>
            <w:vAlign w:val="center"/>
          </w:tcPr>
          <w:p>
            <w:pPr>
              <w:spacing w:line="240" w:lineRule="auto"/>
              <w:ind w:firstLine="0" w:firstLineChars="0"/>
              <w:jc w:val="center"/>
              <w:rPr>
                <w:rFonts w:cs="Times New Roman"/>
                <w:sz w:val="21"/>
                <w:szCs w:val="21"/>
              </w:rPr>
            </w:pP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2019.7.23</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56.6</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45.8</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65</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restart"/>
            <w:vAlign w:val="center"/>
          </w:tcPr>
          <w:p>
            <w:pPr>
              <w:spacing w:line="240" w:lineRule="auto"/>
              <w:ind w:firstLine="0" w:firstLineChars="0"/>
              <w:jc w:val="center"/>
              <w:rPr>
                <w:rFonts w:cs="Times New Roman"/>
                <w:sz w:val="21"/>
                <w:szCs w:val="21"/>
              </w:rPr>
            </w:pPr>
            <w:r>
              <w:rPr>
                <w:rFonts w:cs="Times New Roman"/>
                <w:sz w:val="21"/>
                <w:szCs w:val="21"/>
              </w:rPr>
              <w:t>N2</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2019.7.22</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52.2</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43.0</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65</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continue"/>
            <w:vAlign w:val="center"/>
          </w:tcPr>
          <w:p>
            <w:pPr>
              <w:spacing w:line="240" w:lineRule="auto"/>
              <w:ind w:firstLine="0" w:firstLineChars="0"/>
              <w:jc w:val="center"/>
              <w:rPr>
                <w:rFonts w:cs="Times New Roman"/>
                <w:sz w:val="21"/>
                <w:szCs w:val="21"/>
              </w:rPr>
            </w:pP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2019.7.23</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52.4</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44.8</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65</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restart"/>
            <w:vAlign w:val="center"/>
          </w:tcPr>
          <w:p>
            <w:pPr>
              <w:spacing w:line="240" w:lineRule="auto"/>
              <w:ind w:firstLine="0" w:firstLineChars="0"/>
              <w:jc w:val="center"/>
              <w:rPr>
                <w:rFonts w:cs="Times New Roman"/>
                <w:sz w:val="21"/>
                <w:szCs w:val="21"/>
              </w:rPr>
            </w:pPr>
            <w:r>
              <w:rPr>
                <w:rFonts w:cs="Times New Roman"/>
                <w:sz w:val="21"/>
                <w:szCs w:val="21"/>
              </w:rPr>
              <w:t>N3</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2019.7.22</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54.0</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44.6</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65</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continue"/>
            <w:vAlign w:val="center"/>
          </w:tcPr>
          <w:p>
            <w:pPr>
              <w:spacing w:line="240" w:lineRule="auto"/>
              <w:ind w:firstLine="0" w:firstLineChars="0"/>
              <w:jc w:val="center"/>
              <w:rPr>
                <w:rFonts w:cs="Times New Roman"/>
                <w:sz w:val="21"/>
                <w:szCs w:val="21"/>
              </w:rPr>
            </w:pP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2019.7.23</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54.8</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46.0</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65</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restart"/>
            <w:vAlign w:val="center"/>
          </w:tcPr>
          <w:p>
            <w:pPr>
              <w:spacing w:line="240" w:lineRule="auto"/>
              <w:ind w:firstLine="0" w:firstLineChars="0"/>
              <w:jc w:val="center"/>
              <w:rPr>
                <w:rFonts w:cs="Times New Roman"/>
                <w:sz w:val="21"/>
                <w:szCs w:val="21"/>
              </w:rPr>
            </w:pPr>
            <w:r>
              <w:rPr>
                <w:rFonts w:cs="Times New Roman"/>
                <w:sz w:val="21"/>
                <w:szCs w:val="21"/>
              </w:rPr>
              <w:t>N4</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2019.7.22</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57.3</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43.5</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65</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continue"/>
            <w:vAlign w:val="center"/>
          </w:tcPr>
          <w:p>
            <w:pPr>
              <w:spacing w:line="240" w:lineRule="auto"/>
              <w:ind w:firstLine="0" w:firstLineChars="0"/>
              <w:jc w:val="center"/>
              <w:rPr>
                <w:rFonts w:cs="Times New Roman"/>
                <w:sz w:val="21"/>
                <w:szCs w:val="21"/>
              </w:rPr>
            </w:pP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2019.7.23</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56.3</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42.6</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65</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restart"/>
            <w:vAlign w:val="center"/>
          </w:tcPr>
          <w:p>
            <w:pPr>
              <w:spacing w:line="240" w:lineRule="auto"/>
              <w:ind w:firstLine="0" w:firstLineChars="0"/>
              <w:jc w:val="center"/>
              <w:rPr>
                <w:rFonts w:cs="Times New Roman"/>
                <w:sz w:val="21"/>
                <w:szCs w:val="21"/>
              </w:rPr>
            </w:pPr>
            <w:r>
              <w:rPr>
                <w:rFonts w:cs="Times New Roman"/>
                <w:sz w:val="21"/>
                <w:szCs w:val="21"/>
              </w:rPr>
              <w:t>N5</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2019.7.22</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55.5</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45.6</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60</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50</w:t>
            </w:r>
          </w:p>
        </w:tc>
        <w:tc>
          <w:tcPr>
            <w:tcW w:w="2038" w:type="dxa"/>
            <w:vMerge w:val="restart"/>
            <w:vAlign w:val="center"/>
          </w:tcPr>
          <w:p>
            <w:pPr>
              <w:spacing w:line="240" w:lineRule="auto"/>
              <w:ind w:firstLine="0" w:firstLineChars="0"/>
              <w:jc w:val="center"/>
              <w:rPr>
                <w:rFonts w:cs="Times New Roman"/>
                <w:sz w:val="21"/>
                <w:szCs w:val="21"/>
              </w:rPr>
            </w:pPr>
            <w:r>
              <w:rPr>
                <w:rFonts w:cs="Times New Roman"/>
                <w:sz w:val="21"/>
                <w:szCs w:val="21"/>
              </w:rPr>
              <w:t>《声环境质量标准》（GB3096-2008）2类标准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continue"/>
            <w:vAlign w:val="center"/>
          </w:tcPr>
          <w:p>
            <w:pPr>
              <w:spacing w:line="240" w:lineRule="auto"/>
              <w:ind w:firstLine="0" w:firstLineChars="0"/>
              <w:jc w:val="center"/>
              <w:rPr>
                <w:rFonts w:cs="Times New Roman"/>
                <w:sz w:val="21"/>
                <w:szCs w:val="21"/>
              </w:rPr>
            </w:pP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2019.7.23</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57.3</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45.6</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60</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50</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restart"/>
            <w:vAlign w:val="center"/>
          </w:tcPr>
          <w:p>
            <w:pPr>
              <w:spacing w:line="240" w:lineRule="auto"/>
              <w:ind w:firstLine="0" w:firstLineChars="0"/>
              <w:jc w:val="center"/>
              <w:rPr>
                <w:rFonts w:cs="Times New Roman"/>
                <w:sz w:val="21"/>
                <w:szCs w:val="21"/>
              </w:rPr>
            </w:pPr>
            <w:r>
              <w:rPr>
                <w:rFonts w:cs="Times New Roman"/>
                <w:sz w:val="21"/>
                <w:szCs w:val="21"/>
              </w:rPr>
              <w:t>N6</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2019.7.22</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54.4</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41.6</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60</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50</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continue"/>
            <w:vAlign w:val="center"/>
          </w:tcPr>
          <w:p>
            <w:pPr>
              <w:spacing w:line="240" w:lineRule="auto"/>
              <w:ind w:firstLine="0" w:firstLineChars="0"/>
              <w:jc w:val="center"/>
              <w:rPr>
                <w:rFonts w:cs="Times New Roman"/>
                <w:sz w:val="21"/>
                <w:szCs w:val="21"/>
              </w:rPr>
            </w:pP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2019.7.23</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52.4</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41.1</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60</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50</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restart"/>
            <w:vAlign w:val="center"/>
          </w:tcPr>
          <w:p>
            <w:pPr>
              <w:spacing w:line="240" w:lineRule="auto"/>
              <w:ind w:firstLine="0" w:firstLineChars="0"/>
              <w:jc w:val="center"/>
              <w:rPr>
                <w:rFonts w:cs="Times New Roman"/>
                <w:sz w:val="21"/>
                <w:szCs w:val="21"/>
              </w:rPr>
            </w:pPr>
            <w:r>
              <w:rPr>
                <w:rFonts w:cs="Times New Roman"/>
                <w:sz w:val="21"/>
                <w:szCs w:val="21"/>
              </w:rPr>
              <w:t>N7</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2019.7.22</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56.1</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45.9</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60</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50</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continue"/>
            <w:vAlign w:val="center"/>
          </w:tcPr>
          <w:p>
            <w:pPr>
              <w:spacing w:line="240" w:lineRule="auto"/>
              <w:ind w:firstLine="0" w:firstLineChars="0"/>
              <w:jc w:val="center"/>
              <w:rPr>
                <w:rFonts w:cs="Times New Roman"/>
                <w:sz w:val="21"/>
                <w:szCs w:val="21"/>
              </w:rPr>
            </w:pP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2019.7.23</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56.3</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45.3</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60</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50</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restart"/>
            <w:vAlign w:val="center"/>
          </w:tcPr>
          <w:p>
            <w:pPr>
              <w:spacing w:line="240" w:lineRule="auto"/>
              <w:ind w:firstLine="0" w:firstLineChars="0"/>
              <w:jc w:val="center"/>
              <w:rPr>
                <w:rFonts w:cs="Times New Roman"/>
                <w:sz w:val="21"/>
                <w:szCs w:val="21"/>
              </w:rPr>
            </w:pPr>
            <w:r>
              <w:rPr>
                <w:rFonts w:cs="Times New Roman"/>
                <w:sz w:val="21"/>
                <w:szCs w:val="21"/>
              </w:rPr>
              <w:t>N8</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2019.7.22</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56.1</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45.3</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60</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50</w:t>
            </w:r>
          </w:p>
        </w:tc>
        <w:tc>
          <w:tcPr>
            <w:tcW w:w="2038" w:type="dxa"/>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vMerge w:val="continue"/>
            <w:vAlign w:val="center"/>
          </w:tcPr>
          <w:p>
            <w:pPr>
              <w:spacing w:line="240" w:lineRule="auto"/>
              <w:ind w:firstLine="0" w:firstLineChars="0"/>
              <w:jc w:val="center"/>
              <w:rPr>
                <w:rFonts w:cs="Times New Roman"/>
                <w:sz w:val="21"/>
                <w:szCs w:val="21"/>
              </w:rPr>
            </w:pP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2019.7.23</w:t>
            </w:r>
          </w:p>
        </w:tc>
        <w:tc>
          <w:tcPr>
            <w:tcW w:w="1115" w:type="dxa"/>
            <w:vAlign w:val="center"/>
          </w:tcPr>
          <w:p>
            <w:pPr>
              <w:spacing w:line="240" w:lineRule="auto"/>
              <w:ind w:firstLine="0" w:firstLineChars="0"/>
              <w:jc w:val="center"/>
              <w:rPr>
                <w:rFonts w:cs="Times New Roman"/>
                <w:sz w:val="21"/>
                <w:szCs w:val="21"/>
              </w:rPr>
            </w:pPr>
            <w:r>
              <w:rPr>
                <w:rFonts w:cs="Times New Roman"/>
                <w:sz w:val="21"/>
                <w:szCs w:val="21"/>
              </w:rPr>
              <w:t>55.4</w:t>
            </w:r>
          </w:p>
        </w:tc>
        <w:tc>
          <w:tcPr>
            <w:tcW w:w="1116" w:type="dxa"/>
            <w:vAlign w:val="center"/>
          </w:tcPr>
          <w:p>
            <w:pPr>
              <w:spacing w:line="240" w:lineRule="auto"/>
              <w:ind w:firstLine="0" w:firstLineChars="0"/>
              <w:jc w:val="center"/>
              <w:rPr>
                <w:rFonts w:cs="Times New Roman"/>
                <w:sz w:val="21"/>
                <w:szCs w:val="21"/>
              </w:rPr>
            </w:pPr>
            <w:r>
              <w:rPr>
                <w:rFonts w:cs="Times New Roman"/>
                <w:sz w:val="21"/>
                <w:szCs w:val="21"/>
              </w:rPr>
              <w:t>45.6</w:t>
            </w:r>
          </w:p>
        </w:tc>
        <w:tc>
          <w:tcPr>
            <w:tcW w:w="1035" w:type="dxa"/>
            <w:vAlign w:val="center"/>
          </w:tcPr>
          <w:p>
            <w:pPr>
              <w:spacing w:line="240" w:lineRule="auto"/>
              <w:ind w:firstLine="0" w:firstLineChars="0"/>
              <w:jc w:val="center"/>
              <w:rPr>
                <w:rFonts w:cs="Times New Roman"/>
                <w:sz w:val="21"/>
                <w:szCs w:val="21"/>
              </w:rPr>
            </w:pPr>
            <w:r>
              <w:rPr>
                <w:rFonts w:cs="Times New Roman"/>
                <w:sz w:val="21"/>
                <w:szCs w:val="21"/>
              </w:rPr>
              <w:t>60</w:t>
            </w:r>
          </w:p>
        </w:tc>
        <w:tc>
          <w:tcPr>
            <w:tcW w:w="992" w:type="dxa"/>
            <w:vAlign w:val="center"/>
          </w:tcPr>
          <w:p>
            <w:pPr>
              <w:spacing w:line="240" w:lineRule="auto"/>
              <w:ind w:firstLine="0" w:firstLineChars="0"/>
              <w:jc w:val="center"/>
              <w:rPr>
                <w:rFonts w:cs="Times New Roman"/>
                <w:sz w:val="21"/>
                <w:szCs w:val="21"/>
              </w:rPr>
            </w:pPr>
            <w:r>
              <w:rPr>
                <w:rFonts w:cs="Times New Roman"/>
                <w:sz w:val="21"/>
                <w:szCs w:val="21"/>
              </w:rPr>
              <w:t>50</w:t>
            </w:r>
          </w:p>
        </w:tc>
        <w:tc>
          <w:tcPr>
            <w:tcW w:w="2038" w:type="dxa"/>
            <w:vMerge w:val="continue"/>
            <w:vAlign w:val="center"/>
          </w:tcPr>
          <w:p>
            <w:pPr>
              <w:spacing w:line="240" w:lineRule="auto"/>
              <w:ind w:firstLine="0" w:firstLineChars="0"/>
              <w:jc w:val="center"/>
              <w:rPr>
                <w:rFonts w:cs="Times New Roman"/>
                <w:sz w:val="21"/>
                <w:szCs w:val="21"/>
              </w:rPr>
            </w:pPr>
          </w:p>
        </w:tc>
      </w:tr>
    </w:tbl>
    <w:p>
      <w:pPr>
        <w:ind w:firstLine="482"/>
        <w:rPr>
          <w:rFonts w:cs="Times New Roman"/>
          <w:b/>
        </w:rPr>
      </w:pPr>
      <w:r>
        <w:rPr>
          <w:rFonts w:cs="Times New Roman"/>
          <w:b/>
        </w:rPr>
        <w:t>5、评价结果分析</w:t>
      </w:r>
    </w:p>
    <w:p>
      <w:pPr>
        <w:ind w:firstLine="480"/>
        <w:rPr>
          <w:rFonts w:cs="Times New Roman"/>
        </w:rPr>
      </w:pPr>
      <w:r>
        <w:rPr>
          <w:rFonts w:cs="Times New Roman"/>
        </w:rPr>
        <w:t>根据</w:t>
      </w:r>
      <w:r>
        <w:rPr>
          <w:rFonts w:hint="eastAsia" w:cs="Times New Roman"/>
          <w:szCs w:val="28"/>
        </w:rPr>
        <w:t>表</w:t>
      </w:r>
      <w:r>
        <w:rPr>
          <w:rFonts w:cs="Times New Roman"/>
        </w:rPr>
        <w:t>4.9-2可知，项目东、北厂界及湖南将军新型建材有限公司南、西厂界昼夜间噪声监测值能满足《声环境质量标准》（GB3096-2008）3类标准，周边居民点昼夜间噪声监测值能满足《声环境质量标准》（GB3096-2008）2类标准。</w:t>
      </w:r>
    </w:p>
    <w:p>
      <w:pPr>
        <w:pStyle w:val="3"/>
        <w:rPr>
          <w:rFonts w:cs="Times New Roman"/>
        </w:rPr>
      </w:pPr>
      <w:bookmarkStart w:id="123" w:name="_Toc86611296"/>
      <w:r>
        <w:rPr>
          <w:rFonts w:cs="Times New Roman"/>
        </w:rPr>
        <w:t>4.10土壤环境质量现状调查与评价</w:t>
      </w:r>
      <w:bookmarkEnd w:id="123"/>
    </w:p>
    <w:p>
      <w:pPr>
        <w:ind w:firstLine="480"/>
        <w:rPr>
          <w:rFonts w:cs="Times New Roman"/>
        </w:rPr>
      </w:pPr>
      <w:r>
        <w:rPr>
          <w:rFonts w:cs="Times New Roman"/>
        </w:rPr>
        <w:t>本次评价委托湖南精博监测科技有限公司于2019年7月22日对区域的土壤环境质量进行现状监测。</w:t>
      </w:r>
    </w:p>
    <w:p>
      <w:pPr>
        <w:ind w:firstLine="482"/>
        <w:rPr>
          <w:rFonts w:cs="Times New Roman"/>
          <w:b/>
        </w:rPr>
      </w:pPr>
      <w:r>
        <w:rPr>
          <w:rFonts w:cs="Times New Roman"/>
          <w:b/>
        </w:rPr>
        <w:t>1、监测布点</w:t>
      </w:r>
    </w:p>
    <w:p>
      <w:pPr>
        <w:ind w:firstLine="480"/>
        <w:rPr>
          <w:rFonts w:cs="Times New Roman"/>
        </w:rPr>
      </w:pPr>
      <w:r>
        <w:rPr>
          <w:rFonts w:cs="Times New Roman"/>
        </w:rPr>
        <w:t>在评价区域内共布设5个土壤环境质量现状监测点，监测点位置见表</w:t>
      </w:r>
      <w:r>
        <w:rPr>
          <w:rFonts w:cs="Times New Roman"/>
          <w:sz w:val="21"/>
        </w:rPr>
        <w:fldChar w:fldCharType="begin"/>
      </w:r>
      <w:r>
        <w:rPr>
          <w:rFonts w:cs="Times New Roman"/>
        </w:rPr>
        <w:instrText xml:space="preserve"> REF _Ref476907825 \h  \* MERGEFORMAT </w:instrText>
      </w:r>
      <w:r>
        <w:rPr>
          <w:rFonts w:cs="Times New Roman"/>
          <w:sz w:val="21"/>
        </w:rPr>
        <w:fldChar w:fldCharType="separate"/>
      </w:r>
      <w:r>
        <w:rPr>
          <w:rFonts w:hint="eastAsia" w:cs="Times New Roman"/>
          <w:b/>
          <w:bCs/>
          <w:sz w:val="21"/>
        </w:rPr>
        <w:t>错误!未找到引用源。</w:t>
      </w:r>
      <w:r>
        <w:rPr>
          <w:rFonts w:cs="Times New Roman"/>
        </w:rPr>
        <w:fldChar w:fldCharType="end"/>
      </w:r>
      <w:r>
        <w:rPr>
          <w:rFonts w:cs="Times New Roman"/>
        </w:rPr>
        <w:t>4.10-1。</w:t>
      </w:r>
    </w:p>
    <w:p>
      <w:pPr>
        <w:adjustRightInd w:val="0"/>
        <w:snapToGrid w:val="0"/>
        <w:spacing w:before="163" w:beforeLines="50"/>
        <w:ind w:firstLine="482"/>
        <w:jc w:val="center"/>
        <w:rPr>
          <w:rFonts w:cs="Times New Roman"/>
          <w:b/>
          <w:kern w:val="0"/>
          <w:szCs w:val="21"/>
        </w:rPr>
      </w:pPr>
      <w:r>
        <w:rPr>
          <w:rFonts w:cs="Times New Roman"/>
          <w:b/>
          <w:kern w:val="0"/>
          <w:szCs w:val="21"/>
        </w:rPr>
        <w:t>表4.10-1  土壤环境质量现状监测布点表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7"/>
        <w:gridCol w:w="2444"/>
        <w:gridCol w:w="1367"/>
        <w:gridCol w:w="3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2" w:type="pct"/>
            <w:vAlign w:val="center"/>
          </w:tcPr>
          <w:p>
            <w:pPr>
              <w:spacing w:line="240" w:lineRule="auto"/>
              <w:ind w:firstLine="0" w:firstLineChars="0"/>
              <w:jc w:val="center"/>
              <w:rPr>
                <w:rFonts w:cs="Times New Roman"/>
                <w:b/>
                <w:sz w:val="21"/>
                <w:szCs w:val="18"/>
              </w:rPr>
            </w:pPr>
            <w:r>
              <w:rPr>
                <w:rFonts w:cs="Times New Roman"/>
                <w:b/>
                <w:sz w:val="21"/>
                <w:szCs w:val="18"/>
              </w:rPr>
              <w:t>监测点号</w:t>
            </w:r>
          </w:p>
        </w:tc>
        <w:tc>
          <w:tcPr>
            <w:tcW w:w="1434" w:type="pct"/>
            <w:vAlign w:val="center"/>
          </w:tcPr>
          <w:p>
            <w:pPr>
              <w:spacing w:line="240" w:lineRule="auto"/>
              <w:ind w:firstLine="0" w:firstLineChars="0"/>
              <w:jc w:val="center"/>
              <w:rPr>
                <w:rFonts w:cs="Times New Roman"/>
                <w:b/>
                <w:sz w:val="21"/>
                <w:szCs w:val="18"/>
              </w:rPr>
            </w:pPr>
            <w:r>
              <w:rPr>
                <w:rFonts w:cs="Times New Roman"/>
                <w:b/>
                <w:sz w:val="21"/>
                <w:szCs w:val="18"/>
              </w:rPr>
              <w:t>采样点位</w:t>
            </w:r>
          </w:p>
        </w:tc>
        <w:tc>
          <w:tcPr>
            <w:tcW w:w="802" w:type="pct"/>
            <w:vAlign w:val="center"/>
          </w:tcPr>
          <w:p>
            <w:pPr>
              <w:spacing w:line="240" w:lineRule="auto"/>
              <w:ind w:firstLine="0" w:firstLineChars="0"/>
              <w:jc w:val="center"/>
              <w:rPr>
                <w:rFonts w:cs="Times New Roman"/>
                <w:b/>
                <w:sz w:val="21"/>
                <w:szCs w:val="18"/>
              </w:rPr>
            </w:pPr>
            <w:r>
              <w:rPr>
                <w:rFonts w:cs="Times New Roman"/>
                <w:b/>
                <w:sz w:val="21"/>
                <w:szCs w:val="18"/>
              </w:rPr>
              <w:t>土壤性质</w:t>
            </w:r>
          </w:p>
        </w:tc>
        <w:tc>
          <w:tcPr>
            <w:tcW w:w="1962" w:type="pct"/>
            <w:vAlign w:val="center"/>
          </w:tcPr>
          <w:p>
            <w:pPr>
              <w:spacing w:line="240" w:lineRule="auto"/>
              <w:ind w:firstLine="0" w:firstLineChars="0"/>
              <w:jc w:val="center"/>
              <w:rPr>
                <w:rFonts w:cs="Times New Roman"/>
                <w:b/>
                <w:sz w:val="21"/>
                <w:szCs w:val="18"/>
              </w:rPr>
            </w:pPr>
            <w:r>
              <w:rPr>
                <w:rFonts w:cs="Times New Roman"/>
                <w:b/>
                <w:sz w:val="21"/>
                <w:szCs w:val="18"/>
              </w:rPr>
              <w:t>采样位置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02" w:type="pct"/>
            <w:vAlign w:val="center"/>
          </w:tcPr>
          <w:p>
            <w:pPr>
              <w:spacing w:line="240" w:lineRule="auto"/>
              <w:ind w:firstLine="0" w:firstLineChars="0"/>
              <w:jc w:val="center"/>
              <w:rPr>
                <w:rFonts w:cs="Times New Roman"/>
                <w:sz w:val="21"/>
                <w:szCs w:val="18"/>
              </w:rPr>
            </w:pPr>
            <w:r>
              <w:rPr>
                <w:rFonts w:cs="Times New Roman"/>
                <w:sz w:val="21"/>
                <w:szCs w:val="18"/>
              </w:rPr>
              <w:t>T1</w:t>
            </w:r>
          </w:p>
        </w:tc>
        <w:tc>
          <w:tcPr>
            <w:tcW w:w="1434" w:type="pct"/>
            <w:vAlign w:val="center"/>
          </w:tcPr>
          <w:p>
            <w:pPr>
              <w:spacing w:line="240" w:lineRule="auto"/>
              <w:ind w:firstLine="0" w:firstLineChars="0"/>
              <w:jc w:val="center"/>
              <w:rPr>
                <w:rFonts w:cs="Times New Roman"/>
                <w:sz w:val="21"/>
                <w:szCs w:val="18"/>
              </w:rPr>
            </w:pPr>
            <w:r>
              <w:rPr>
                <w:rFonts w:cs="Times New Roman"/>
                <w:sz w:val="21"/>
                <w:szCs w:val="18"/>
              </w:rPr>
              <w:t>项目中部</w:t>
            </w:r>
          </w:p>
        </w:tc>
        <w:tc>
          <w:tcPr>
            <w:tcW w:w="802" w:type="pct"/>
            <w:vAlign w:val="center"/>
          </w:tcPr>
          <w:p>
            <w:pPr>
              <w:spacing w:line="240" w:lineRule="auto"/>
              <w:ind w:firstLine="0" w:firstLineChars="0"/>
              <w:jc w:val="center"/>
              <w:rPr>
                <w:rFonts w:cs="Times New Roman"/>
                <w:sz w:val="21"/>
                <w:szCs w:val="18"/>
              </w:rPr>
            </w:pPr>
            <w:r>
              <w:rPr>
                <w:rFonts w:cs="Times New Roman"/>
                <w:sz w:val="21"/>
                <w:szCs w:val="18"/>
              </w:rPr>
              <w:t>建设用地</w:t>
            </w:r>
          </w:p>
        </w:tc>
        <w:tc>
          <w:tcPr>
            <w:tcW w:w="1962" w:type="pct"/>
            <w:vAlign w:val="center"/>
          </w:tcPr>
          <w:p>
            <w:pPr>
              <w:spacing w:line="240" w:lineRule="auto"/>
              <w:ind w:firstLine="0" w:firstLineChars="0"/>
              <w:jc w:val="center"/>
              <w:rPr>
                <w:rFonts w:cs="Times New Roman"/>
                <w:sz w:val="21"/>
                <w:szCs w:val="18"/>
              </w:rPr>
            </w:pPr>
            <w:r>
              <w:rPr>
                <w:rFonts w:cs="Times New Roman"/>
                <w:sz w:val="21"/>
                <w:szCs w:val="18"/>
              </w:rPr>
              <w:t>表层样点（0~0.2m取样）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02" w:type="pct"/>
            <w:vAlign w:val="center"/>
          </w:tcPr>
          <w:p>
            <w:pPr>
              <w:spacing w:line="240" w:lineRule="auto"/>
              <w:ind w:firstLine="0" w:firstLineChars="0"/>
              <w:jc w:val="center"/>
              <w:rPr>
                <w:rFonts w:cs="Times New Roman"/>
                <w:sz w:val="21"/>
                <w:szCs w:val="18"/>
              </w:rPr>
            </w:pPr>
            <w:r>
              <w:rPr>
                <w:rFonts w:cs="Times New Roman"/>
                <w:sz w:val="21"/>
                <w:szCs w:val="18"/>
              </w:rPr>
              <w:t>T2</w:t>
            </w:r>
          </w:p>
        </w:tc>
        <w:tc>
          <w:tcPr>
            <w:tcW w:w="1434" w:type="pct"/>
            <w:vAlign w:val="center"/>
          </w:tcPr>
          <w:p>
            <w:pPr>
              <w:spacing w:line="240" w:lineRule="auto"/>
              <w:ind w:firstLine="0" w:firstLineChars="0"/>
              <w:jc w:val="center"/>
              <w:rPr>
                <w:rFonts w:cs="Times New Roman"/>
                <w:sz w:val="21"/>
                <w:szCs w:val="18"/>
              </w:rPr>
            </w:pPr>
            <w:r>
              <w:rPr>
                <w:rFonts w:cs="Times New Roman"/>
                <w:sz w:val="21"/>
                <w:szCs w:val="18"/>
              </w:rPr>
              <w:t>项目西部</w:t>
            </w:r>
          </w:p>
        </w:tc>
        <w:tc>
          <w:tcPr>
            <w:tcW w:w="802" w:type="pct"/>
            <w:vAlign w:val="center"/>
          </w:tcPr>
          <w:p>
            <w:pPr>
              <w:spacing w:line="240" w:lineRule="auto"/>
              <w:ind w:firstLine="0" w:firstLineChars="0"/>
              <w:jc w:val="center"/>
              <w:rPr>
                <w:rFonts w:cs="Times New Roman"/>
                <w:sz w:val="21"/>
                <w:szCs w:val="18"/>
              </w:rPr>
            </w:pPr>
            <w:r>
              <w:rPr>
                <w:rFonts w:cs="Times New Roman"/>
                <w:sz w:val="21"/>
                <w:szCs w:val="18"/>
              </w:rPr>
              <w:t>建设用地</w:t>
            </w:r>
          </w:p>
        </w:tc>
        <w:tc>
          <w:tcPr>
            <w:tcW w:w="1962" w:type="pct"/>
            <w:vAlign w:val="center"/>
          </w:tcPr>
          <w:p>
            <w:pPr>
              <w:spacing w:line="240" w:lineRule="auto"/>
              <w:ind w:firstLine="0" w:firstLineChars="0"/>
              <w:jc w:val="center"/>
              <w:rPr>
                <w:rFonts w:cs="Times New Roman"/>
                <w:sz w:val="21"/>
                <w:szCs w:val="18"/>
              </w:rPr>
            </w:pPr>
            <w:r>
              <w:rPr>
                <w:rFonts w:cs="Times New Roman"/>
                <w:sz w:val="21"/>
                <w:szCs w:val="18"/>
              </w:rPr>
              <w:t>表层样点（0~0.2m取样）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02" w:type="pct"/>
            <w:vAlign w:val="center"/>
          </w:tcPr>
          <w:p>
            <w:pPr>
              <w:spacing w:line="240" w:lineRule="auto"/>
              <w:ind w:firstLine="0" w:firstLineChars="0"/>
              <w:jc w:val="center"/>
              <w:rPr>
                <w:rFonts w:cs="Times New Roman"/>
                <w:sz w:val="21"/>
                <w:szCs w:val="18"/>
              </w:rPr>
            </w:pPr>
            <w:r>
              <w:rPr>
                <w:rFonts w:cs="Times New Roman"/>
                <w:sz w:val="21"/>
                <w:szCs w:val="18"/>
              </w:rPr>
              <w:t>T3</w:t>
            </w:r>
          </w:p>
        </w:tc>
        <w:tc>
          <w:tcPr>
            <w:tcW w:w="1434" w:type="pct"/>
            <w:vAlign w:val="center"/>
          </w:tcPr>
          <w:p>
            <w:pPr>
              <w:spacing w:line="240" w:lineRule="auto"/>
              <w:ind w:firstLine="0" w:firstLineChars="0"/>
              <w:jc w:val="center"/>
              <w:rPr>
                <w:rFonts w:cs="Times New Roman"/>
                <w:sz w:val="21"/>
                <w:szCs w:val="18"/>
              </w:rPr>
            </w:pPr>
            <w:r>
              <w:rPr>
                <w:rFonts w:cs="Times New Roman"/>
                <w:sz w:val="21"/>
                <w:szCs w:val="18"/>
              </w:rPr>
              <w:t>项目东部</w:t>
            </w:r>
          </w:p>
        </w:tc>
        <w:tc>
          <w:tcPr>
            <w:tcW w:w="802" w:type="pct"/>
            <w:vAlign w:val="center"/>
          </w:tcPr>
          <w:p>
            <w:pPr>
              <w:spacing w:line="240" w:lineRule="auto"/>
              <w:ind w:firstLine="0" w:firstLineChars="0"/>
              <w:jc w:val="center"/>
              <w:rPr>
                <w:rFonts w:cs="Times New Roman"/>
                <w:sz w:val="21"/>
                <w:szCs w:val="18"/>
              </w:rPr>
            </w:pPr>
            <w:r>
              <w:rPr>
                <w:rFonts w:cs="Times New Roman"/>
                <w:sz w:val="21"/>
                <w:szCs w:val="18"/>
              </w:rPr>
              <w:t>建设用地</w:t>
            </w:r>
          </w:p>
        </w:tc>
        <w:tc>
          <w:tcPr>
            <w:tcW w:w="1962" w:type="pct"/>
            <w:vAlign w:val="center"/>
          </w:tcPr>
          <w:p>
            <w:pPr>
              <w:spacing w:line="240" w:lineRule="auto"/>
              <w:ind w:firstLine="0" w:firstLineChars="0"/>
              <w:jc w:val="center"/>
              <w:rPr>
                <w:rFonts w:cs="Times New Roman"/>
                <w:sz w:val="21"/>
                <w:szCs w:val="18"/>
              </w:rPr>
            </w:pPr>
            <w:r>
              <w:rPr>
                <w:rFonts w:cs="Times New Roman"/>
                <w:sz w:val="21"/>
                <w:szCs w:val="18"/>
              </w:rPr>
              <w:t>表层样点（0~0.2m取样）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02" w:type="pct"/>
            <w:vAlign w:val="center"/>
          </w:tcPr>
          <w:p>
            <w:pPr>
              <w:spacing w:line="240" w:lineRule="auto"/>
              <w:ind w:firstLine="0" w:firstLineChars="0"/>
              <w:jc w:val="center"/>
              <w:rPr>
                <w:rFonts w:cs="Times New Roman"/>
                <w:sz w:val="21"/>
                <w:szCs w:val="18"/>
              </w:rPr>
            </w:pPr>
            <w:r>
              <w:rPr>
                <w:rFonts w:cs="Times New Roman"/>
                <w:sz w:val="21"/>
                <w:szCs w:val="18"/>
              </w:rPr>
              <w:t>T4</w:t>
            </w:r>
          </w:p>
        </w:tc>
        <w:tc>
          <w:tcPr>
            <w:tcW w:w="1434" w:type="pct"/>
            <w:vAlign w:val="center"/>
          </w:tcPr>
          <w:p>
            <w:pPr>
              <w:spacing w:line="240" w:lineRule="auto"/>
              <w:ind w:firstLine="0" w:firstLineChars="0"/>
              <w:jc w:val="center"/>
              <w:rPr>
                <w:rFonts w:cs="Times New Roman"/>
                <w:sz w:val="21"/>
                <w:szCs w:val="18"/>
              </w:rPr>
            </w:pPr>
            <w:r>
              <w:rPr>
                <w:rFonts w:cs="Times New Roman"/>
                <w:sz w:val="21"/>
                <w:szCs w:val="18"/>
              </w:rPr>
              <w:t>项目场外北面农田</w:t>
            </w:r>
          </w:p>
        </w:tc>
        <w:tc>
          <w:tcPr>
            <w:tcW w:w="802" w:type="pct"/>
            <w:vAlign w:val="center"/>
          </w:tcPr>
          <w:p>
            <w:pPr>
              <w:spacing w:line="240" w:lineRule="auto"/>
              <w:ind w:firstLine="0" w:firstLineChars="0"/>
              <w:jc w:val="center"/>
              <w:rPr>
                <w:rFonts w:cs="Times New Roman"/>
                <w:sz w:val="21"/>
                <w:szCs w:val="18"/>
              </w:rPr>
            </w:pPr>
            <w:r>
              <w:rPr>
                <w:rFonts w:cs="Times New Roman"/>
                <w:sz w:val="21"/>
                <w:szCs w:val="18"/>
              </w:rPr>
              <w:t>农用地</w:t>
            </w:r>
          </w:p>
        </w:tc>
        <w:tc>
          <w:tcPr>
            <w:tcW w:w="1962" w:type="pct"/>
            <w:vAlign w:val="center"/>
          </w:tcPr>
          <w:p>
            <w:pPr>
              <w:spacing w:line="240" w:lineRule="auto"/>
              <w:ind w:firstLine="0" w:firstLineChars="0"/>
              <w:jc w:val="center"/>
              <w:rPr>
                <w:rFonts w:cs="Times New Roman"/>
                <w:sz w:val="21"/>
                <w:szCs w:val="18"/>
              </w:rPr>
            </w:pPr>
            <w:r>
              <w:rPr>
                <w:rFonts w:cs="Times New Roman"/>
                <w:sz w:val="21"/>
                <w:szCs w:val="18"/>
              </w:rPr>
              <w:t>表层样点（0~0.2m取样）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02" w:type="pct"/>
            <w:vAlign w:val="center"/>
          </w:tcPr>
          <w:p>
            <w:pPr>
              <w:spacing w:line="240" w:lineRule="auto"/>
              <w:ind w:firstLine="0" w:firstLineChars="0"/>
              <w:jc w:val="center"/>
              <w:rPr>
                <w:rFonts w:cs="Times New Roman"/>
                <w:sz w:val="21"/>
                <w:szCs w:val="18"/>
              </w:rPr>
            </w:pPr>
            <w:r>
              <w:rPr>
                <w:rFonts w:cs="Times New Roman"/>
                <w:sz w:val="21"/>
                <w:szCs w:val="18"/>
              </w:rPr>
              <w:t>T5</w:t>
            </w:r>
          </w:p>
        </w:tc>
        <w:tc>
          <w:tcPr>
            <w:tcW w:w="1434" w:type="pct"/>
            <w:vAlign w:val="center"/>
          </w:tcPr>
          <w:p>
            <w:pPr>
              <w:spacing w:line="240" w:lineRule="auto"/>
              <w:ind w:firstLine="0" w:firstLineChars="0"/>
              <w:jc w:val="center"/>
              <w:rPr>
                <w:rFonts w:cs="Times New Roman"/>
                <w:sz w:val="21"/>
                <w:szCs w:val="18"/>
              </w:rPr>
            </w:pPr>
            <w:r>
              <w:rPr>
                <w:rFonts w:cs="Times New Roman"/>
                <w:sz w:val="21"/>
                <w:szCs w:val="18"/>
              </w:rPr>
              <w:t>项目场外南面农田</w:t>
            </w:r>
          </w:p>
        </w:tc>
        <w:tc>
          <w:tcPr>
            <w:tcW w:w="802" w:type="pct"/>
            <w:vAlign w:val="center"/>
          </w:tcPr>
          <w:p>
            <w:pPr>
              <w:spacing w:line="240" w:lineRule="auto"/>
              <w:ind w:firstLine="0" w:firstLineChars="0"/>
              <w:jc w:val="center"/>
              <w:rPr>
                <w:rFonts w:cs="Times New Roman"/>
                <w:sz w:val="21"/>
                <w:szCs w:val="18"/>
              </w:rPr>
            </w:pPr>
            <w:r>
              <w:rPr>
                <w:rFonts w:cs="Times New Roman"/>
                <w:sz w:val="21"/>
                <w:szCs w:val="18"/>
              </w:rPr>
              <w:t>农用地</w:t>
            </w:r>
          </w:p>
        </w:tc>
        <w:tc>
          <w:tcPr>
            <w:tcW w:w="1962" w:type="pct"/>
            <w:vAlign w:val="center"/>
          </w:tcPr>
          <w:p>
            <w:pPr>
              <w:spacing w:line="240" w:lineRule="auto"/>
              <w:ind w:firstLine="0" w:firstLineChars="0"/>
              <w:jc w:val="center"/>
              <w:rPr>
                <w:rFonts w:cs="Times New Roman"/>
                <w:sz w:val="21"/>
                <w:szCs w:val="18"/>
              </w:rPr>
            </w:pPr>
            <w:r>
              <w:rPr>
                <w:rFonts w:cs="Times New Roman"/>
                <w:sz w:val="21"/>
                <w:szCs w:val="18"/>
              </w:rPr>
              <w:t>表层样点（0~0.2m取样）</w:t>
            </w:r>
          </w:p>
        </w:tc>
      </w:tr>
    </w:tbl>
    <w:p>
      <w:pPr>
        <w:ind w:firstLine="482"/>
        <w:rPr>
          <w:rFonts w:cs="Times New Roman"/>
          <w:b/>
        </w:rPr>
      </w:pPr>
      <w:r>
        <w:rPr>
          <w:rFonts w:cs="Times New Roman"/>
          <w:b/>
        </w:rPr>
        <w:t>2、监测项目</w:t>
      </w:r>
    </w:p>
    <w:p>
      <w:pPr>
        <w:adjustRightInd w:val="0"/>
        <w:snapToGrid w:val="0"/>
        <w:ind w:left="-120" w:leftChars="-50" w:firstLine="480"/>
        <w:jc w:val="left"/>
        <w:rPr>
          <w:rFonts w:cs="Times New Roman"/>
          <w:kern w:val="0"/>
        </w:rPr>
      </w:pPr>
      <w:r>
        <w:rPr>
          <w:rFonts w:cs="Times New Roman"/>
          <w:kern w:val="0"/>
        </w:rPr>
        <w:t>T1监测项目为：砷、镉、铬（六价）、铜、铅、汞、镍、四氯化碳、氯仿、氯甲烷、1，1-二氯乙烷、1，2-二氯乙烷、1，1-二氯乙烯、顺-1，2-二氯乙烯、反-1，2-二氯乙烯、二氯甲烷、1，2-二氯丙烷、1，1，1，2-四氯乙烷、1，1，2，2-四氯乙烯、四氯乙烷、1，1，1-三氯乙烷、1，1，2-三氯乙烷、三氯乙烯1，2，3-三氯丙烷、氯乙烯、苯、氯苯、1，2-二氯苯、1，4-二氯苯、乙苯、苯乙烯、甲苯、间二甲苯+对二甲苯、邻二甲苯、硝基苯、苯胺、2-氯酚、苯并[a]蒽、苯并[a]芘、苯并[b]荧蒽、苯并[k]荧蒽、䓛、二苯并[a，h]蒽、茚并[1，2，3-cd]芘、萘共计45项。</w:t>
      </w:r>
    </w:p>
    <w:p>
      <w:pPr>
        <w:adjustRightInd w:val="0"/>
        <w:snapToGrid w:val="0"/>
        <w:ind w:left="-120" w:leftChars="-50" w:firstLine="480"/>
        <w:jc w:val="left"/>
        <w:rPr>
          <w:rFonts w:cs="Times New Roman"/>
          <w:kern w:val="0"/>
        </w:rPr>
      </w:pPr>
      <w:r>
        <w:rPr>
          <w:rFonts w:cs="Times New Roman"/>
          <w:kern w:val="0"/>
        </w:rPr>
        <w:t>T2、T3监测项目：砷、镉、铬（六价）、铜、铅、汞、镍共7项。</w:t>
      </w:r>
    </w:p>
    <w:p>
      <w:pPr>
        <w:adjustRightInd w:val="0"/>
        <w:snapToGrid w:val="0"/>
        <w:ind w:left="-120" w:leftChars="-50" w:firstLine="480"/>
        <w:jc w:val="left"/>
        <w:rPr>
          <w:rFonts w:cs="Times New Roman"/>
          <w:kern w:val="0"/>
        </w:rPr>
      </w:pPr>
      <w:r>
        <w:rPr>
          <w:rFonts w:cs="Times New Roman"/>
          <w:kern w:val="0"/>
        </w:rPr>
        <w:t>T4、T5监测项目为：镉、汞、砷、铅、铬、铜、镍、锌共8项。</w:t>
      </w:r>
    </w:p>
    <w:p>
      <w:pPr>
        <w:adjustRightInd w:val="0"/>
        <w:snapToGrid w:val="0"/>
        <w:spacing w:line="300" w:lineRule="auto"/>
        <w:ind w:left="-120" w:leftChars="-50" w:firstLine="482"/>
        <w:jc w:val="left"/>
        <w:rPr>
          <w:rFonts w:cs="Times New Roman"/>
          <w:b/>
          <w:kern w:val="0"/>
        </w:rPr>
      </w:pPr>
      <w:r>
        <w:rPr>
          <w:rFonts w:cs="Times New Roman"/>
          <w:b/>
          <w:kern w:val="0"/>
        </w:rPr>
        <w:t>3、监测频次</w:t>
      </w:r>
    </w:p>
    <w:p>
      <w:pPr>
        <w:adjustRightInd w:val="0"/>
        <w:snapToGrid w:val="0"/>
        <w:spacing w:line="300" w:lineRule="auto"/>
        <w:ind w:left="-120" w:leftChars="-50" w:firstLine="480"/>
        <w:jc w:val="left"/>
        <w:rPr>
          <w:rFonts w:cs="Times New Roman"/>
          <w:kern w:val="0"/>
        </w:rPr>
      </w:pPr>
      <w:r>
        <w:rPr>
          <w:rFonts w:cs="Times New Roman"/>
          <w:kern w:val="0"/>
        </w:rPr>
        <w:t>采样一次。</w:t>
      </w:r>
    </w:p>
    <w:p>
      <w:pPr>
        <w:adjustRightInd w:val="0"/>
        <w:snapToGrid w:val="0"/>
        <w:spacing w:line="300" w:lineRule="auto"/>
        <w:ind w:left="-120" w:leftChars="-50" w:firstLine="482"/>
        <w:jc w:val="left"/>
        <w:rPr>
          <w:rFonts w:cs="Times New Roman"/>
          <w:b/>
          <w:kern w:val="0"/>
        </w:rPr>
      </w:pPr>
      <w:r>
        <w:rPr>
          <w:rFonts w:cs="Times New Roman"/>
          <w:b/>
          <w:kern w:val="0"/>
        </w:rPr>
        <w:t>4、监测结果</w:t>
      </w:r>
    </w:p>
    <w:p>
      <w:pPr>
        <w:adjustRightInd w:val="0"/>
        <w:snapToGrid w:val="0"/>
        <w:spacing w:line="300" w:lineRule="auto"/>
        <w:ind w:left="-120" w:leftChars="-50" w:firstLine="480"/>
        <w:jc w:val="left"/>
        <w:rPr>
          <w:rFonts w:cs="Times New Roman"/>
          <w:kern w:val="0"/>
        </w:rPr>
      </w:pPr>
      <w:r>
        <w:rPr>
          <w:rFonts w:cs="Times New Roman"/>
          <w:kern w:val="0"/>
        </w:rPr>
        <w:t>监测结果见</w:t>
      </w:r>
      <w:r>
        <w:rPr>
          <w:rFonts w:hint="eastAsia" w:cs="Times New Roman"/>
          <w:kern w:val="0"/>
          <w:szCs w:val="20"/>
        </w:rPr>
        <w:t>表</w:t>
      </w:r>
      <w:r>
        <w:rPr>
          <w:rFonts w:cs="Times New Roman"/>
          <w:kern w:val="0"/>
        </w:rPr>
        <w:t>4.10-2。</w:t>
      </w:r>
    </w:p>
    <w:p>
      <w:pPr>
        <w:adjustRightInd w:val="0"/>
        <w:snapToGrid w:val="0"/>
        <w:spacing w:before="163" w:beforeLines="50"/>
        <w:ind w:firstLine="482"/>
        <w:jc w:val="center"/>
        <w:rPr>
          <w:rFonts w:cs="Times New Roman"/>
          <w:b/>
          <w:bCs/>
          <w:kern w:val="0"/>
          <w:szCs w:val="21"/>
        </w:rPr>
      </w:pPr>
      <w:r>
        <w:rPr>
          <w:rFonts w:cs="Times New Roman"/>
          <w:b/>
          <w:bCs/>
          <w:kern w:val="0"/>
          <w:szCs w:val="21"/>
        </w:rPr>
        <w:t>表4.10-2  建设用地土壤环境监测结果</w:t>
      </w:r>
      <w:r>
        <w:rPr>
          <w:rFonts w:cs="Times New Roman"/>
          <w:b/>
          <w:kern w:val="0"/>
          <w:szCs w:val="21"/>
        </w:rPr>
        <w:t>统计表  单位：mg/kg，pH无纲量</w:t>
      </w: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2"/>
        <w:gridCol w:w="1350"/>
        <w:gridCol w:w="2550"/>
        <w:gridCol w:w="1275"/>
        <w:gridCol w:w="1207"/>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b/>
                <w:sz w:val="21"/>
                <w:szCs w:val="21"/>
              </w:rPr>
            </w:pPr>
            <w:r>
              <w:rPr>
                <w:rFonts w:cs="Times New Roman"/>
                <w:b/>
                <w:sz w:val="21"/>
                <w:szCs w:val="21"/>
              </w:rPr>
              <w:t>序号</w:t>
            </w:r>
          </w:p>
        </w:tc>
        <w:tc>
          <w:tcPr>
            <w:tcW w:w="1350" w:type="dxa"/>
            <w:vAlign w:val="center"/>
          </w:tcPr>
          <w:p>
            <w:pPr>
              <w:spacing w:line="240" w:lineRule="auto"/>
              <w:ind w:firstLine="0" w:firstLineChars="0"/>
              <w:jc w:val="center"/>
              <w:rPr>
                <w:rFonts w:cs="Times New Roman"/>
                <w:b/>
                <w:sz w:val="21"/>
                <w:szCs w:val="21"/>
              </w:rPr>
            </w:pPr>
            <w:r>
              <w:rPr>
                <w:rFonts w:cs="Times New Roman"/>
                <w:b/>
                <w:sz w:val="21"/>
                <w:szCs w:val="21"/>
              </w:rPr>
              <w:t>监测点位</w:t>
            </w:r>
          </w:p>
        </w:tc>
        <w:tc>
          <w:tcPr>
            <w:tcW w:w="2550" w:type="dxa"/>
            <w:vAlign w:val="center"/>
          </w:tcPr>
          <w:p>
            <w:pPr>
              <w:spacing w:line="240" w:lineRule="auto"/>
              <w:ind w:firstLine="0" w:firstLineChars="0"/>
              <w:jc w:val="center"/>
              <w:rPr>
                <w:rFonts w:cs="Times New Roman"/>
                <w:b/>
                <w:sz w:val="21"/>
                <w:szCs w:val="21"/>
              </w:rPr>
            </w:pPr>
            <w:r>
              <w:rPr>
                <w:rFonts w:cs="Times New Roman"/>
                <w:b/>
                <w:sz w:val="21"/>
                <w:szCs w:val="21"/>
              </w:rPr>
              <w:t>检验项目</w:t>
            </w:r>
          </w:p>
        </w:tc>
        <w:tc>
          <w:tcPr>
            <w:tcW w:w="1275" w:type="dxa"/>
            <w:vAlign w:val="center"/>
          </w:tcPr>
          <w:p>
            <w:pPr>
              <w:spacing w:line="240" w:lineRule="auto"/>
              <w:ind w:firstLine="0" w:firstLineChars="0"/>
              <w:jc w:val="center"/>
              <w:rPr>
                <w:rFonts w:cs="Times New Roman"/>
                <w:b/>
                <w:sz w:val="21"/>
                <w:szCs w:val="21"/>
              </w:rPr>
            </w:pPr>
            <w:r>
              <w:rPr>
                <w:rFonts w:cs="Times New Roman"/>
                <w:b/>
                <w:sz w:val="21"/>
                <w:szCs w:val="21"/>
              </w:rPr>
              <w:t>监测结果</w:t>
            </w:r>
          </w:p>
        </w:tc>
        <w:tc>
          <w:tcPr>
            <w:tcW w:w="1207" w:type="dxa"/>
            <w:vAlign w:val="center"/>
          </w:tcPr>
          <w:p>
            <w:pPr>
              <w:spacing w:line="240" w:lineRule="auto"/>
              <w:ind w:firstLine="0" w:firstLineChars="0"/>
              <w:jc w:val="center"/>
              <w:rPr>
                <w:rFonts w:cs="Times New Roman"/>
                <w:b/>
                <w:sz w:val="21"/>
                <w:szCs w:val="21"/>
              </w:rPr>
            </w:pPr>
            <w:r>
              <w:rPr>
                <w:rFonts w:cs="Times New Roman"/>
                <w:b/>
                <w:sz w:val="21"/>
                <w:szCs w:val="21"/>
              </w:rPr>
              <w:t>筛选值（第二类用地）</w:t>
            </w:r>
          </w:p>
        </w:tc>
        <w:tc>
          <w:tcPr>
            <w:tcW w:w="1258" w:type="dxa"/>
            <w:vAlign w:val="center"/>
          </w:tcPr>
          <w:p>
            <w:pPr>
              <w:spacing w:line="240" w:lineRule="auto"/>
              <w:ind w:firstLine="0" w:firstLineChars="0"/>
              <w:jc w:val="center"/>
              <w:rPr>
                <w:rFonts w:cs="Times New Roman"/>
                <w:b/>
                <w:sz w:val="21"/>
                <w:szCs w:val="21"/>
              </w:rPr>
            </w:pPr>
            <w:r>
              <w:rPr>
                <w:rFonts w:cs="Times New Roman"/>
                <w:b/>
                <w:sz w:val="21"/>
                <w:szCs w:val="21"/>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w:t>
            </w:r>
          </w:p>
        </w:tc>
        <w:tc>
          <w:tcPr>
            <w:tcW w:w="1350" w:type="dxa"/>
            <w:vMerge w:val="restar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T1项目与湖南将军新型建材有限公司交界处中部</w:t>
            </w: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pH</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7.02</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12.2</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60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汞</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0.123</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38</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4</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六价铬</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5.7</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5</w:t>
            </w:r>
          </w:p>
        </w:tc>
        <w:tc>
          <w:tcPr>
            <w:tcW w:w="1350" w:type="dxa"/>
            <w:vMerge w:val="continue"/>
            <w:vAlign w:val="center"/>
          </w:tcPr>
          <w:p>
            <w:pPr>
              <w:widowControl/>
              <w:spacing w:line="240" w:lineRule="auto"/>
              <w:ind w:firstLine="0" w:firstLineChars="0"/>
              <w:jc w:val="center"/>
              <w:textAlignment w:val="center"/>
              <w:rPr>
                <w:rFonts w:cs="Times New Roman"/>
                <w:kern w:val="0"/>
                <w:sz w:val="21"/>
                <w:szCs w:val="21"/>
              </w:rPr>
            </w:pPr>
          </w:p>
        </w:tc>
        <w:tc>
          <w:tcPr>
            <w:tcW w:w="2550" w:type="dxa"/>
            <w:vAlign w:val="center"/>
          </w:tcPr>
          <w:p>
            <w:pPr>
              <w:widowControl/>
              <w:spacing w:line="240" w:lineRule="auto"/>
              <w:ind w:firstLine="0" w:firstLineChars="0"/>
              <w:jc w:val="center"/>
              <w:textAlignment w:val="center"/>
              <w:rPr>
                <w:rFonts w:cs="Times New Roman"/>
                <w:kern w:val="0"/>
                <w:sz w:val="21"/>
                <w:szCs w:val="21"/>
              </w:rPr>
            </w:pPr>
            <w:r>
              <w:rPr>
                <w:rFonts w:cs="Times New Roman"/>
                <w:kern w:val="0"/>
                <w:sz w:val="21"/>
                <w:szCs w:val="21"/>
              </w:rPr>
              <w:t>镉</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0.43</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65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6</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铜</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47</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18000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7</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铅</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61</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800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8</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镍</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36</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900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9</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四氯化碳</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1.3×10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2.8</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氯仿</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1.1×10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0.9</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11</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氯甲烷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1.0×10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37</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12</w:t>
            </w:r>
          </w:p>
        </w:tc>
        <w:tc>
          <w:tcPr>
            <w:tcW w:w="1350" w:type="dxa"/>
            <w:vMerge w:val="continue"/>
            <w:vAlign w:val="center"/>
          </w:tcPr>
          <w:p>
            <w:pPr>
              <w:widowControl/>
              <w:spacing w:line="240" w:lineRule="auto"/>
              <w:ind w:firstLine="0" w:firstLineChars="0"/>
              <w:jc w:val="center"/>
              <w:textAlignment w:val="center"/>
              <w:rPr>
                <w:rFonts w:cs="Times New Roman"/>
                <w:kern w:val="0"/>
                <w:sz w:val="21"/>
                <w:szCs w:val="21"/>
              </w:rPr>
            </w:pPr>
          </w:p>
        </w:tc>
        <w:tc>
          <w:tcPr>
            <w:tcW w:w="2550" w:type="dxa"/>
            <w:vAlign w:val="center"/>
          </w:tcPr>
          <w:p>
            <w:pPr>
              <w:widowControl/>
              <w:spacing w:line="240" w:lineRule="auto"/>
              <w:ind w:firstLine="0" w:firstLineChars="0"/>
              <w:jc w:val="center"/>
              <w:textAlignment w:val="center"/>
              <w:rPr>
                <w:rFonts w:cs="Times New Roman"/>
                <w:kern w:val="0"/>
                <w:sz w:val="21"/>
                <w:szCs w:val="21"/>
              </w:rPr>
            </w:pPr>
            <w:r>
              <w:rPr>
                <w:rFonts w:cs="Times New Roman"/>
                <w:sz w:val="21"/>
                <w:szCs w:val="21"/>
              </w:rPr>
              <w:t>1，1-二氯乙烷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9</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13</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1，2-二氯乙烷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1.3×10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14</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1，1-二氯乙烯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1.0×10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66</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15</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顺-1，2-二氯乙烯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1.3×10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596</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16</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反-1，2-二氯乙烯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1.4×10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54</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17</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二氯甲烷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1.5×10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616</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18</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1，2-二氯丙烷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1.1×10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19</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1，1，1，2-四氯乙烷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20</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1，1，2，2-四氯乙烯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6.8</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21</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四氯乙烷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1.4×10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53</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22</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1，1，1-三氯乙烷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1.3×10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840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23</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1，1，2-三氯乙烷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2.8</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24</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三氯乙烯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2.8</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25</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1，2，3-三氯丙烷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0.5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26</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氯乙烯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1.0×10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0.43</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27</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1.9×10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4</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28</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氯苯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270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29</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1，2-二氯苯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1.5×10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560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30</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1，4-二氯苯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1.5×10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20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31</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乙苯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28</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32</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苯乙烯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1.1×10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1290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33</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甲苯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1.3×10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1290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34</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间二甲苯+对二甲苯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570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35</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邻二甲苯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1.2×10</w:t>
            </w:r>
            <w:r>
              <w:rPr>
                <w:rFonts w:cs="Times New Roman"/>
                <w:sz w:val="21"/>
                <w:szCs w:val="21"/>
                <w:vertAlign w:val="superscript"/>
              </w:rPr>
              <w:t>-3</w:t>
            </w:r>
            <w:r>
              <w:rPr>
                <w:rFonts w:cs="Times New Roman"/>
                <w:sz w:val="21"/>
                <w:szCs w:val="21"/>
              </w:rPr>
              <w:t>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640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36</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硝基苯</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0.09L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76</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37</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苯胺</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0.05L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260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38</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2-氯酚</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0.04L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2256</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39</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苯并[a]蒽</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0.12L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40</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苯并[a]芘</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0.17L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41</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苯并[b]荧蒽</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0.17L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42</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苯并[k]荧蒽</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0.11L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151</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43</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䓛</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0.14L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1293</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44</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二苯并[a，h]蒽</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0.13L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45</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茚并[1，2，3-cd]芘</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0.13L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46</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萘</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0.09L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w:t>
            </w:r>
          </w:p>
        </w:tc>
        <w:tc>
          <w:tcPr>
            <w:tcW w:w="1350" w:type="dxa"/>
            <w:vMerge w:val="restar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T2项目与湖南将军新型建材有限公司交界处西部</w:t>
            </w: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pH</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6.93</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15.3</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60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汞</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0.083</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38</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4</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六价铬</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5.7</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5</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spacing w:line="240" w:lineRule="auto"/>
              <w:ind w:firstLine="0" w:firstLineChars="0"/>
              <w:jc w:val="center"/>
              <w:textAlignment w:val="center"/>
              <w:rPr>
                <w:rFonts w:cs="Times New Roman"/>
                <w:kern w:val="0"/>
                <w:sz w:val="21"/>
                <w:szCs w:val="21"/>
              </w:rPr>
            </w:pPr>
            <w:r>
              <w:rPr>
                <w:rFonts w:cs="Times New Roman"/>
                <w:kern w:val="0"/>
                <w:sz w:val="21"/>
                <w:szCs w:val="21"/>
              </w:rPr>
              <w:t>镉</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0.22</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65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6</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铜</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35</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18000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7</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铅</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44</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800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8</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镍</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28</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900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1</w:t>
            </w:r>
          </w:p>
        </w:tc>
        <w:tc>
          <w:tcPr>
            <w:tcW w:w="1350" w:type="dxa"/>
            <w:vMerge w:val="restar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T3项目与湖南将军新型建材有限公司交界处东部</w:t>
            </w: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pH</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7.05</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2</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12.4</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60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3</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汞</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0.092</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38</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4</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六价铬</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2L</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5.7</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5</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spacing w:line="240" w:lineRule="auto"/>
              <w:ind w:firstLine="0" w:firstLineChars="0"/>
              <w:jc w:val="center"/>
              <w:textAlignment w:val="center"/>
              <w:rPr>
                <w:rFonts w:cs="Times New Roman"/>
                <w:kern w:val="0"/>
                <w:sz w:val="21"/>
                <w:szCs w:val="21"/>
              </w:rPr>
            </w:pPr>
            <w:r>
              <w:rPr>
                <w:rFonts w:cs="Times New Roman"/>
                <w:kern w:val="0"/>
                <w:sz w:val="21"/>
                <w:szCs w:val="21"/>
              </w:rPr>
              <w:t>镉</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0.15</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65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6</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铜</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37</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18000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7</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铅</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39</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800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882" w:type="dxa"/>
            <w:vAlign w:val="center"/>
          </w:tcPr>
          <w:p>
            <w:pPr>
              <w:spacing w:line="240" w:lineRule="auto"/>
              <w:ind w:firstLine="0" w:firstLineChars="0"/>
              <w:jc w:val="center"/>
              <w:rPr>
                <w:rFonts w:cs="Times New Roman"/>
                <w:sz w:val="21"/>
                <w:szCs w:val="21"/>
              </w:rPr>
            </w:pPr>
            <w:r>
              <w:rPr>
                <w:rFonts w:cs="Times New Roman"/>
                <w:sz w:val="21"/>
                <w:szCs w:val="21"/>
              </w:rPr>
              <w:t>8</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2550"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镍</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32</w:t>
            </w:r>
          </w:p>
        </w:tc>
        <w:tc>
          <w:tcPr>
            <w:tcW w:w="1207" w:type="dxa"/>
            <w:vAlign w:val="center"/>
          </w:tcPr>
          <w:p>
            <w:pPr>
              <w:spacing w:line="240" w:lineRule="auto"/>
              <w:ind w:firstLine="0" w:firstLineChars="0"/>
              <w:jc w:val="center"/>
              <w:rPr>
                <w:rFonts w:cs="Times New Roman"/>
                <w:sz w:val="21"/>
                <w:szCs w:val="21"/>
              </w:rPr>
            </w:pPr>
            <w:r>
              <w:rPr>
                <w:rFonts w:cs="Times New Roman"/>
                <w:sz w:val="21"/>
                <w:szCs w:val="21"/>
              </w:rPr>
              <w:t>900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bl>
    <w:p>
      <w:pPr>
        <w:autoSpaceDE w:val="0"/>
        <w:autoSpaceDN w:val="0"/>
        <w:adjustRightInd w:val="0"/>
        <w:ind w:firstLine="480"/>
        <w:rPr>
          <w:rFonts w:cs="Times New Roman"/>
          <w:kern w:val="0"/>
          <w:lang w:val="zh-CN"/>
        </w:rPr>
      </w:pPr>
      <w:r>
        <w:rPr>
          <w:rFonts w:cs="Times New Roman"/>
          <w:kern w:val="0"/>
          <w:lang w:val="zh-CN"/>
        </w:rPr>
        <w:t>从上表可见，评价区域建设用地土壤符合《土壤环境质量  建设用地土壤污染风险管控标准（试行）》（GB36600-2018）中表1第二类用地的筛选值。</w:t>
      </w:r>
    </w:p>
    <w:p>
      <w:pPr>
        <w:autoSpaceDE w:val="0"/>
        <w:autoSpaceDN w:val="0"/>
        <w:adjustRightInd w:val="0"/>
        <w:ind w:firstLine="480"/>
        <w:rPr>
          <w:rFonts w:cs="Times New Roman"/>
          <w:kern w:val="0"/>
          <w:lang w:val="zh-CN"/>
        </w:rPr>
      </w:pPr>
    </w:p>
    <w:p>
      <w:pPr>
        <w:adjustRightInd w:val="0"/>
        <w:snapToGrid w:val="0"/>
        <w:spacing w:before="163" w:beforeLines="50"/>
        <w:ind w:firstLine="0" w:firstLineChars="0"/>
        <w:jc w:val="center"/>
        <w:rPr>
          <w:rFonts w:cs="Times New Roman"/>
          <w:b/>
          <w:bCs/>
          <w:kern w:val="0"/>
          <w:szCs w:val="21"/>
        </w:rPr>
      </w:pPr>
      <w:r>
        <w:rPr>
          <w:rFonts w:cs="Times New Roman"/>
          <w:b/>
          <w:bCs/>
          <w:kern w:val="0"/>
          <w:szCs w:val="21"/>
        </w:rPr>
        <w:t>表4.10-3  农用地用地土壤环境监测结果</w:t>
      </w:r>
      <w:r>
        <w:rPr>
          <w:rFonts w:cs="Times New Roman"/>
          <w:b/>
          <w:kern w:val="0"/>
          <w:szCs w:val="21"/>
        </w:rPr>
        <w:t>统计表  单位：mg/kg，pH无纲量</w:t>
      </w:r>
    </w:p>
    <w:tbl>
      <w:tblPr>
        <w:tblStyle w:val="4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4"/>
        <w:gridCol w:w="1350"/>
        <w:gridCol w:w="1558"/>
        <w:gridCol w:w="1275"/>
        <w:gridCol w:w="2197"/>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b/>
                <w:sz w:val="21"/>
                <w:szCs w:val="21"/>
              </w:rPr>
            </w:pPr>
            <w:r>
              <w:rPr>
                <w:rFonts w:cs="Times New Roman"/>
                <w:b/>
                <w:sz w:val="21"/>
                <w:szCs w:val="21"/>
              </w:rPr>
              <w:t>序号</w:t>
            </w:r>
          </w:p>
        </w:tc>
        <w:tc>
          <w:tcPr>
            <w:tcW w:w="1350" w:type="dxa"/>
            <w:vAlign w:val="center"/>
          </w:tcPr>
          <w:p>
            <w:pPr>
              <w:spacing w:line="240" w:lineRule="auto"/>
              <w:ind w:firstLine="0" w:firstLineChars="0"/>
              <w:jc w:val="center"/>
              <w:rPr>
                <w:rFonts w:cs="Times New Roman"/>
                <w:b/>
                <w:sz w:val="21"/>
                <w:szCs w:val="21"/>
              </w:rPr>
            </w:pPr>
            <w:r>
              <w:rPr>
                <w:rFonts w:cs="Times New Roman"/>
                <w:b/>
                <w:sz w:val="21"/>
                <w:szCs w:val="21"/>
              </w:rPr>
              <w:t>监测点位</w:t>
            </w:r>
          </w:p>
        </w:tc>
        <w:tc>
          <w:tcPr>
            <w:tcW w:w="1558" w:type="dxa"/>
            <w:vAlign w:val="center"/>
          </w:tcPr>
          <w:p>
            <w:pPr>
              <w:spacing w:line="240" w:lineRule="auto"/>
              <w:ind w:firstLine="0" w:firstLineChars="0"/>
              <w:jc w:val="center"/>
              <w:rPr>
                <w:rFonts w:cs="Times New Roman"/>
                <w:b/>
                <w:sz w:val="21"/>
                <w:szCs w:val="21"/>
              </w:rPr>
            </w:pPr>
            <w:r>
              <w:rPr>
                <w:rFonts w:cs="Times New Roman"/>
                <w:b/>
                <w:sz w:val="21"/>
                <w:szCs w:val="21"/>
              </w:rPr>
              <w:t>检验项目</w:t>
            </w:r>
          </w:p>
        </w:tc>
        <w:tc>
          <w:tcPr>
            <w:tcW w:w="1275" w:type="dxa"/>
            <w:vAlign w:val="center"/>
          </w:tcPr>
          <w:p>
            <w:pPr>
              <w:spacing w:line="240" w:lineRule="auto"/>
              <w:ind w:firstLine="0" w:firstLineChars="0"/>
              <w:jc w:val="center"/>
              <w:rPr>
                <w:rFonts w:cs="Times New Roman"/>
                <w:b/>
                <w:sz w:val="21"/>
                <w:szCs w:val="21"/>
              </w:rPr>
            </w:pPr>
            <w:r>
              <w:rPr>
                <w:rFonts w:cs="Times New Roman"/>
                <w:b/>
                <w:sz w:val="21"/>
                <w:szCs w:val="21"/>
              </w:rPr>
              <w:t>监测结果</w:t>
            </w:r>
          </w:p>
        </w:tc>
        <w:tc>
          <w:tcPr>
            <w:tcW w:w="2197" w:type="dxa"/>
            <w:vAlign w:val="center"/>
          </w:tcPr>
          <w:p>
            <w:pPr>
              <w:spacing w:line="240" w:lineRule="auto"/>
              <w:ind w:firstLine="0" w:firstLineChars="0"/>
              <w:jc w:val="center"/>
              <w:rPr>
                <w:rFonts w:cs="Times New Roman"/>
                <w:b/>
                <w:sz w:val="21"/>
                <w:szCs w:val="21"/>
              </w:rPr>
            </w:pPr>
            <w:r>
              <w:rPr>
                <w:rFonts w:cs="Times New Roman"/>
                <w:b/>
                <w:sz w:val="21"/>
                <w:szCs w:val="21"/>
              </w:rPr>
              <w:t>风险筛选值（6.5＜pH≤7.5）</w:t>
            </w:r>
          </w:p>
        </w:tc>
        <w:tc>
          <w:tcPr>
            <w:tcW w:w="1258" w:type="dxa"/>
            <w:vAlign w:val="center"/>
          </w:tcPr>
          <w:p>
            <w:pPr>
              <w:spacing w:line="240" w:lineRule="auto"/>
              <w:ind w:firstLine="0" w:firstLineChars="0"/>
              <w:jc w:val="center"/>
              <w:rPr>
                <w:rFonts w:cs="Times New Roman"/>
                <w:b/>
                <w:sz w:val="21"/>
                <w:szCs w:val="21"/>
              </w:rPr>
            </w:pPr>
            <w:r>
              <w:rPr>
                <w:rFonts w:cs="Times New Roman"/>
                <w:b/>
                <w:sz w:val="21"/>
                <w:szCs w:val="21"/>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1</w:t>
            </w:r>
          </w:p>
        </w:tc>
        <w:tc>
          <w:tcPr>
            <w:tcW w:w="1350" w:type="dxa"/>
            <w:vMerge w:val="restart"/>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T4项目场外北侧农田</w:t>
            </w: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pH</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6.84</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2</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13.4</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25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3</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镉</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0.23</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0.6</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4</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镍</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28</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100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5</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spacing w:line="240" w:lineRule="auto"/>
              <w:ind w:firstLine="0" w:firstLineChars="0"/>
              <w:jc w:val="center"/>
              <w:textAlignment w:val="center"/>
              <w:rPr>
                <w:rFonts w:cs="Times New Roman"/>
                <w:kern w:val="0"/>
                <w:sz w:val="21"/>
                <w:szCs w:val="21"/>
              </w:rPr>
            </w:pPr>
            <w:r>
              <w:rPr>
                <w:rFonts w:cs="Times New Roman"/>
                <w:kern w:val="0"/>
                <w:sz w:val="21"/>
                <w:szCs w:val="21"/>
              </w:rPr>
              <w:t>铬</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25</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300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6</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铜</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36</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100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7</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铅</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15</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140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8</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汞</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0.033</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0.6</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9</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锌</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42</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250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1</w:t>
            </w:r>
          </w:p>
        </w:tc>
        <w:tc>
          <w:tcPr>
            <w:tcW w:w="1350" w:type="dxa"/>
            <w:vMerge w:val="restart"/>
            <w:vAlign w:val="center"/>
          </w:tcPr>
          <w:p>
            <w:pPr>
              <w:tabs>
                <w:tab w:val="left" w:pos="480"/>
              </w:tabs>
              <w:spacing w:line="240" w:lineRule="auto"/>
              <w:ind w:firstLine="0" w:firstLineChars="0"/>
              <w:jc w:val="center"/>
              <w:rPr>
                <w:rFonts w:cs="Times New Roman"/>
                <w:sz w:val="21"/>
                <w:szCs w:val="21"/>
              </w:rPr>
            </w:pPr>
            <w:r>
              <w:rPr>
                <w:rFonts w:cs="Times New Roman"/>
                <w:sz w:val="21"/>
                <w:szCs w:val="21"/>
              </w:rPr>
              <w:t>T5项目场外南侧农田</w:t>
            </w: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pH</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6.93</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2</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砷</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15.0</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25</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3</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镉</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0.18</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0.6</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4</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镍</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35</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100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5</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spacing w:line="240" w:lineRule="auto"/>
              <w:ind w:firstLine="0" w:firstLineChars="0"/>
              <w:jc w:val="center"/>
              <w:textAlignment w:val="center"/>
              <w:rPr>
                <w:rFonts w:cs="Times New Roman"/>
                <w:kern w:val="0"/>
                <w:sz w:val="21"/>
                <w:szCs w:val="21"/>
              </w:rPr>
            </w:pPr>
            <w:r>
              <w:rPr>
                <w:rFonts w:cs="Times New Roman"/>
                <w:kern w:val="0"/>
                <w:sz w:val="21"/>
                <w:szCs w:val="21"/>
              </w:rPr>
              <w:t>铬</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33</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300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6</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铜</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41</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100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7</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铅</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20</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140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8</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汞</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0.041</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0.6</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4" w:type="dxa"/>
            <w:vAlign w:val="center"/>
          </w:tcPr>
          <w:p>
            <w:pPr>
              <w:spacing w:line="240" w:lineRule="auto"/>
              <w:ind w:firstLine="0" w:firstLineChars="0"/>
              <w:jc w:val="center"/>
              <w:rPr>
                <w:rFonts w:cs="Times New Roman"/>
                <w:sz w:val="21"/>
                <w:szCs w:val="21"/>
              </w:rPr>
            </w:pPr>
            <w:r>
              <w:rPr>
                <w:rFonts w:cs="Times New Roman"/>
                <w:sz w:val="21"/>
                <w:szCs w:val="21"/>
              </w:rPr>
              <w:t>9</w:t>
            </w:r>
          </w:p>
        </w:tc>
        <w:tc>
          <w:tcPr>
            <w:tcW w:w="1350" w:type="dxa"/>
            <w:vMerge w:val="continue"/>
            <w:vAlign w:val="center"/>
          </w:tcPr>
          <w:p>
            <w:pPr>
              <w:widowControl/>
              <w:tabs>
                <w:tab w:val="left" w:pos="480"/>
              </w:tabs>
              <w:spacing w:line="240" w:lineRule="auto"/>
              <w:ind w:firstLine="0" w:firstLineChars="0"/>
              <w:jc w:val="center"/>
              <w:rPr>
                <w:rFonts w:cs="Times New Roman"/>
                <w:sz w:val="21"/>
                <w:szCs w:val="21"/>
              </w:rPr>
            </w:pPr>
          </w:p>
        </w:tc>
        <w:tc>
          <w:tcPr>
            <w:tcW w:w="1558" w:type="dxa"/>
            <w:vAlign w:val="center"/>
          </w:tcPr>
          <w:p>
            <w:pPr>
              <w:widowControl/>
              <w:tabs>
                <w:tab w:val="left" w:pos="480"/>
              </w:tabs>
              <w:spacing w:line="240" w:lineRule="auto"/>
              <w:ind w:firstLine="0" w:firstLineChars="0"/>
              <w:jc w:val="center"/>
              <w:rPr>
                <w:rFonts w:cs="Times New Roman"/>
                <w:sz w:val="21"/>
                <w:szCs w:val="21"/>
              </w:rPr>
            </w:pPr>
            <w:r>
              <w:rPr>
                <w:rFonts w:cs="Times New Roman"/>
                <w:sz w:val="21"/>
                <w:szCs w:val="21"/>
              </w:rPr>
              <w:t>锌</w:t>
            </w:r>
          </w:p>
        </w:tc>
        <w:tc>
          <w:tcPr>
            <w:tcW w:w="1275" w:type="dxa"/>
            <w:vAlign w:val="center"/>
          </w:tcPr>
          <w:p>
            <w:pPr>
              <w:spacing w:line="240" w:lineRule="auto"/>
              <w:ind w:firstLine="0" w:firstLineChars="0"/>
              <w:jc w:val="center"/>
              <w:rPr>
                <w:rFonts w:cs="Times New Roman"/>
                <w:sz w:val="21"/>
                <w:szCs w:val="21"/>
              </w:rPr>
            </w:pPr>
            <w:r>
              <w:rPr>
                <w:rFonts w:cs="Times New Roman"/>
                <w:sz w:val="21"/>
                <w:szCs w:val="21"/>
              </w:rPr>
              <w:t>45</w:t>
            </w:r>
          </w:p>
        </w:tc>
        <w:tc>
          <w:tcPr>
            <w:tcW w:w="2197" w:type="dxa"/>
            <w:vAlign w:val="center"/>
          </w:tcPr>
          <w:p>
            <w:pPr>
              <w:spacing w:line="240" w:lineRule="auto"/>
              <w:ind w:firstLine="0" w:firstLineChars="0"/>
              <w:jc w:val="center"/>
              <w:rPr>
                <w:rFonts w:cs="Times New Roman"/>
                <w:sz w:val="21"/>
                <w:szCs w:val="21"/>
              </w:rPr>
            </w:pPr>
            <w:r>
              <w:rPr>
                <w:rFonts w:cs="Times New Roman"/>
                <w:sz w:val="21"/>
                <w:szCs w:val="21"/>
              </w:rPr>
              <w:t>250</w:t>
            </w:r>
          </w:p>
        </w:tc>
        <w:tc>
          <w:tcPr>
            <w:tcW w:w="1258" w:type="dxa"/>
            <w:vAlign w:val="center"/>
          </w:tcPr>
          <w:p>
            <w:pPr>
              <w:spacing w:line="240" w:lineRule="auto"/>
              <w:ind w:firstLine="0" w:firstLineChars="0"/>
              <w:jc w:val="center"/>
              <w:rPr>
                <w:rFonts w:cs="Times New Roman"/>
                <w:sz w:val="21"/>
                <w:szCs w:val="21"/>
              </w:rPr>
            </w:pPr>
            <w:r>
              <w:rPr>
                <w:rFonts w:cs="Times New Roman"/>
                <w:sz w:val="21"/>
                <w:szCs w:val="21"/>
              </w:rPr>
              <w:t>是</w:t>
            </w:r>
          </w:p>
        </w:tc>
      </w:tr>
    </w:tbl>
    <w:p>
      <w:pPr>
        <w:ind w:firstLine="480"/>
        <w:rPr>
          <w:rFonts w:cs="Times New Roman"/>
          <w:kern w:val="0"/>
          <w:lang w:val="zh-CN"/>
        </w:rPr>
      </w:pPr>
      <w:r>
        <w:rPr>
          <w:rFonts w:cs="Times New Roman"/>
          <w:kern w:val="0"/>
          <w:lang w:val="zh-CN"/>
        </w:rPr>
        <w:t>从上表可见，评价区域农用地土壤符合《土壤环境质量  农用地土壤污染风险管控标准（试行）》（GB15618-2018）中表1风险筛选值。</w:t>
      </w:r>
    </w:p>
    <w:p>
      <w:pPr>
        <w:pStyle w:val="3"/>
        <w:rPr>
          <w:rFonts w:cs="Times New Roman"/>
        </w:rPr>
      </w:pPr>
      <w:bookmarkStart w:id="124" w:name="_Toc86611297"/>
      <w:r>
        <w:rPr>
          <w:rFonts w:cs="Times New Roman"/>
        </w:rPr>
        <w:t>4.11生态环境现状调查与评价</w:t>
      </w:r>
      <w:bookmarkEnd w:id="124"/>
    </w:p>
    <w:p>
      <w:pPr>
        <w:ind w:firstLine="482"/>
        <w:rPr>
          <w:rFonts w:cs="Times New Roman"/>
          <w:b/>
        </w:rPr>
      </w:pPr>
      <w:r>
        <w:rPr>
          <w:rFonts w:cs="Times New Roman"/>
          <w:b/>
        </w:rPr>
        <w:t>1、植被资源</w:t>
      </w:r>
    </w:p>
    <w:p>
      <w:pPr>
        <w:ind w:firstLine="480"/>
        <w:rPr>
          <w:rFonts w:cs="Times New Roman"/>
        </w:rPr>
      </w:pPr>
      <w:r>
        <w:rPr>
          <w:rFonts w:cs="Times New Roman"/>
        </w:rPr>
        <w:t>本项目所在区域属于低缓丘陵地貌，区域内植被属中亚热带常绿阔叶林北部地带类型，受人类活动影响，原始植被已被破坏，现只存在次生植被和人工植被。区域内主要的植被类型是针叶林间杂针阔混交林以及农田植被，植被类型比较简单，异质化程度不高，主要有以下几种类型：</w:t>
      </w:r>
      <w:r>
        <w:rPr>
          <w:rFonts w:hint="eastAsia" w:ascii="宋体" w:hAnsi="宋体" w:cs="宋体"/>
        </w:rPr>
        <w:t>①</w:t>
      </w:r>
      <w:r>
        <w:rPr>
          <w:rFonts w:cs="Times New Roman"/>
        </w:rPr>
        <w:t>针叶林与针叶阔叶混交林：主要为人工种植，是区内优势植被类型，主要物种有松树、杉树、樟树、杂木等；</w:t>
      </w:r>
      <w:r>
        <w:rPr>
          <w:rFonts w:hint="eastAsia" w:ascii="宋体" w:hAnsi="宋体" w:cs="宋体"/>
        </w:rPr>
        <w:t>②</w:t>
      </w:r>
      <w:r>
        <w:rPr>
          <w:rFonts w:cs="Times New Roman"/>
        </w:rPr>
        <w:t>小乔木与灌木林：林地植被破坏之后逐渐演替而成，植物种类主要有冬青、卫茅、大叶荨麻等；</w:t>
      </w:r>
      <w:r>
        <w:rPr>
          <w:rFonts w:hint="eastAsia" w:ascii="宋体" w:hAnsi="宋体" w:cs="宋体"/>
        </w:rPr>
        <w:t>③</w:t>
      </w:r>
      <w:r>
        <w:rPr>
          <w:rFonts w:cs="Times New Roman"/>
        </w:rPr>
        <w:t>草从：林地植被破坏之后形成的，间杂分布于山坡上。植物种类主要有芒草、狗尾草、狗牙根、蕨类等，将逐渐演替为灌丛；</w:t>
      </w:r>
      <w:r>
        <w:rPr>
          <w:rFonts w:hint="eastAsia" w:ascii="宋体" w:hAnsi="宋体" w:cs="宋体"/>
        </w:rPr>
        <w:t>④</w:t>
      </w:r>
      <w:r>
        <w:rPr>
          <w:rFonts w:cs="Times New Roman"/>
        </w:rPr>
        <w:t>农田植被：主要为农作物，有水稻、旱作、各类蔬菜等交替分布，农闲时，植被以杂草为主；</w:t>
      </w:r>
      <w:r>
        <w:rPr>
          <w:rFonts w:hint="eastAsia" w:ascii="宋体" w:hAnsi="宋体" w:cs="宋体"/>
        </w:rPr>
        <w:t>⑤</w:t>
      </w:r>
      <w:r>
        <w:rPr>
          <w:rFonts w:cs="Times New Roman"/>
        </w:rPr>
        <w:t>果园植被：主要为桔园、油茶林及少量桃树、李树等。评价区域内尚未发现珍稀植物和古树名木。区域典型植被类型图如下：</w:t>
      </w:r>
    </w:p>
    <w:p>
      <w:pPr>
        <w:ind w:firstLine="480"/>
        <w:rPr>
          <w:rFonts w:cs="Times New Roman"/>
        </w:rPr>
      </w:pPr>
      <w:r>
        <w:rPr>
          <w:rFonts w:cs="Times New Roman"/>
        </w:rPr>
        <w:drawing>
          <wp:inline distT="0" distB="0" distL="0" distR="0">
            <wp:extent cx="5276850" cy="3971925"/>
            <wp:effectExtent l="0" t="0" r="0" b="9525"/>
            <wp:docPr id="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
                    <pic:cNvPicPr>
                      <a:picLocks noChangeAspect="1" noChangeArrowheads="1"/>
                    </pic:cNvPicPr>
                  </pic:nvPicPr>
                  <pic:blipFill>
                    <a:blip r:embed="rId56"/>
                    <a:srcRect/>
                    <a:stretch>
                      <a:fillRect/>
                    </a:stretch>
                  </pic:blipFill>
                  <pic:spPr>
                    <a:xfrm>
                      <a:off x="0" y="0"/>
                      <a:ext cx="5276850" cy="3971925"/>
                    </a:xfrm>
                    <a:prstGeom prst="rect">
                      <a:avLst/>
                    </a:prstGeom>
                    <a:noFill/>
                    <a:ln w="9525">
                      <a:noFill/>
                      <a:miter lim="800000"/>
                      <a:headEnd/>
                      <a:tailEnd/>
                    </a:ln>
                  </pic:spPr>
                </pic:pic>
              </a:graphicData>
            </a:graphic>
          </wp:inline>
        </w:drawing>
      </w:r>
    </w:p>
    <w:p>
      <w:pPr>
        <w:ind w:firstLine="482"/>
        <w:jc w:val="center"/>
        <w:rPr>
          <w:rFonts w:cs="Times New Roman"/>
          <w:b/>
          <w:szCs w:val="21"/>
        </w:rPr>
      </w:pPr>
      <w:r>
        <w:rPr>
          <w:rFonts w:cs="Times New Roman"/>
          <w:b/>
          <w:szCs w:val="21"/>
        </w:rPr>
        <w:t>图4.11-1  区域典型植被图</w:t>
      </w:r>
    </w:p>
    <w:p>
      <w:pPr>
        <w:autoSpaceDE w:val="0"/>
        <w:autoSpaceDN w:val="0"/>
        <w:adjustRightInd w:val="0"/>
        <w:ind w:firstLine="480"/>
        <w:rPr>
          <w:rFonts w:cs="Times New Roman"/>
          <w:kern w:val="0"/>
          <w:lang w:val="zh-CN"/>
        </w:rPr>
      </w:pPr>
      <w:r>
        <w:rPr>
          <w:rFonts w:cs="Times New Roman"/>
          <w:kern w:val="0"/>
          <w:lang w:val="zh-CN"/>
        </w:rPr>
        <w:t>根据现场踏勘调查情况来看，园区内尚未进行大规模的开发建设，区内已有的企业和居民点有明显的人类干扰的痕迹，植被和动植物的数量锐减，主要为农业植被为主；</w:t>
      </w:r>
    </w:p>
    <w:p>
      <w:pPr>
        <w:autoSpaceDE w:val="0"/>
        <w:autoSpaceDN w:val="0"/>
        <w:adjustRightInd w:val="0"/>
        <w:ind w:firstLine="480"/>
        <w:rPr>
          <w:rFonts w:cs="Times New Roman"/>
          <w:kern w:val="0"/>
          <w:lang w:val="zh-CN"/>
        </w:rPr>
      </w:pPr>
      <w:r>
        <w:rPr>
          <w:rFonts w:cs="Times New Roman"/>
          <w:kern w:val="0"/>
          <w:lang w:val="zh-CN"/>
        </w:rPr>
        <w:t>而未开发的园区范围内植被情况基本保持原貌，呈现出两种不同的景观。可以看出工业园区已有的开发建设在一定程度上破坏了自然资源的分布和物种的多样性。</w:t>
      </w:r>
    </w:p>
    <w:p>
      <w:pPr>
        <w:autoSpaceDE w:val="0"/>
        <w:autoSpaceDN w:val="0"/>
        <w:adjustRightInd w:val="0"/>
        <w:ind w:firstLine="482"/>
        <w:rPr>
          <w:rFonts w:cs="Times New Roman"/>
          <w:b/>
          <w:kern w:val="0"/>
          <w:lang w:val="zh-CN"/>
        </w:rPr>
      </w:pPr>
      <w:r>
        <w:rPr>
          <w:rFonts w:cs="Times New Roman"/>
          <w:b/>
          <w:kern w:val="0"/>
          <w:lang w:val="zh-CN"/>
        </w:rPr>
        <w:t>2、区域野生动物现状调查</w:t>
      </w:r>
    </w:p>
    <w:p>
      <w:pPr>
        <w:autoSpaceDE w:val="0"/>
        <w:autoSpaceDN w:val="0"/>
        <w:adjustRightInd w:val="0"/>
        <w:ind w:firstLine="480"/>
        <w:rPr>
          <w:rFonts w:cs="Times New Roman"/>
          <w:kern w:val="0"/>
          <w:lang w:val="zh-CN"/>
        </w:rPr>
      </w:pPr>
      <w:r>
        <w:rPr>
          <w:rFonts w:cs="Times New Roman"/>
          <w:kern w:val="0"/>
          <w:lang w:val="zh-CN"/>
        </w:rPr>
        <w:t>由于园区内人为活动频繁，野生动物失去较适宜的栖息繁衍场所，大型野生动物较少，以农田动物类群为主，多为常见的野兔、黄鼠狼、蛇、鼠、麻雀等，养殖业主要有牲猪、鱼、鸭等，水生鱼类资源主要有草鱼、鲤鱼、鲫鱼、鳍鱼、链鱼等。区内未发现珍稀濒危野生动植物种类和文物古迹保护单位。</w:t>
      </w:r>
    </w:p>
    <w:p>
      <w:pPr>
        <w:ind w:firstLine="480"/>
        <w:rPr>
          <w:rFonts w:cs="Times New Roman"/>
          <w:kern w:val="0"/>
          <w:lang w:val="zh-CN"/>
        </w:rPr>
        <w:sectPr>
          <w:pgSz w:w="11906" w:h="16838"/>
          <w:pgMar w:top="1440" w:right="1800" w:bottom="1440" w:left="1800" w:header="851" w:footer="992" w:gutter="0"/>
          <w:cols w:space="425" w:num="1"/>
          <w:docGrid w:type="lines" w:linePitch="326" w:charSpace="0"/>
        </w:sectPr>
      </w:pPr>
      <w:r>
        <w:rPr>
          <w:rFonts w:cs="Times New Roman"/>
          <w:kern w:val="0"/>
          <w:lang w:val="zh-CN"/>
        </w:rPr>
        <w:t>区域内主要生态系统类型有林地、农田、小溪、水塘、村落生态系统等，具有一定的生态系统多样性。区域内生态系统较为稳定，生态环境质量较好。</w:t>
      </w:r>
    </w:p>
    <w:p>
      <w:pPr>
        <w:pStyle w:val="2"/>
        <w:rPr>
          <w:rFonts w:cs="Times New Roman"/>
        </w:rPr>
      </w:pPr>
      <w:bookmarkStart w:id="125" w:name="_Toc86611298"/>
      <w:r>
        <w:rPr>
          <w:rFonts w:cs="Times New Roman"/>
        </w:rPr>
        <w:t>5环境影响预测与评价</w:t>
      </w:r>
      <w:bookmarkEnd w:id="125"/>
    </w:p>
    <w:p>
      <w:pPr>
        <w:pStyle w:val="3"/>
        <w:rPr>
          <w:rFonts w:cs="Times New Roman"/>
        </w:rPr>
      </w:pPr>
      <w:bookmarkStart w:id="126" w:name="_Toc86611299"/>
      <w:bookmarkStart w:id="127" w:name="_Toc12834"/>
      <w:r>
        <w:rPr>
          <w:rFonts w:cs="Times New Roman"/>
        </w:rPr>
        <w:t>5.1 施工期环境影响分析</w:t>
      </w:r>
      <w:bookmarkEnd w:id="126"/>
      <w:bookmarkEnd w:id="127"/>
    </w:p>
    <w:p>
      <w:pPr>
        <w:pStyle w:val="4"/>
        <w:rPr>
          <w:rFonts w:cs="Times New Roman"/>
        </w:rPr>
      </w:pPr>
      <w:bookmarkStart w:id="128" w:name="_Toc86611300"/>
      <w:r>
        <w:rPr>
          <w:rFonts w:cs="Times New Roman"/>
        </w:rPr>
        <w:t>5.1.1 施工期地表水环境影响分析</w:t>
      </w:r>
      <w:bookmarkEnd w:id="128"/>
    </w:p>
    <w:p>
      <w:pPr>
        <w:ind w:firstLine="480"/>
        <w:rPr>
          <w:rFonts w:cs="Times New Roman"/>
        </w:rPr>
      </w:pPr>
      <w:r>
        <w:rPr>
          <w:rFonts w:cs="Times New Roman"/>
        </w:rPr>
        <w:t>施工期主要水污染源为施工废水及少量施工人员日常生活污水，施工中混凝土的养护、场地冲洗等过程产生的施工废水，其产生量与工程的规模、建构筑物结构、施工进度及方式等有关。施工人员就餐依靠外面配送，营地不设食堂。生活废水主要来自建筑施工人员及管理人员的清洁水，施工人员总的按100人计，根据工程分析，每天污水排放量为0.44m</w:t>
      </w:r>
      <w:r>
        <w:rPr>
          <w:rFonts w:cs="Times New Roman"/>
          <w:vertAlign w:val="superscript"/>
        </w:rPr>
        <w:t>3</w:t>
      </w:r>
      <w:r>
        <w:rPr>
          <w:rFonts w:cs="Times New Roman"/>
        </w:rPr>
        <w:t>/d，施工期为12个月，施工期共产生生活废水158.4m</w:t>
      </w:r>
      <w:r>
        <w:rPr>
          <w:rFonts w:cs="Times New Roman"/>
          <w:vertAlign w:val="superscript"/>
        </w:rPr>
        <w:t>3</w:t>
      </w:r>
      <w:r>
        <w:rPr>
          <w:rFonts w:cs="Times New Roman"/>
        </w:rPr>
        <w:t>/d，仅为少量洗手废水，与其他施工废水一并沉淀处理后回用于施工场地酒水降尘；厕所为建设单位自建的临时环保旱厕，临时环保旱厕粪便由周边村民定期清掏作为农家肥使用，待施工结束后进行清掏并卫生填埋。</w:t>
      </w:r>
    </w:p>
    <w:p>
      <w:pPr>
        <w:ind w:firstLine="480"/>
        <w:rPr>
          <w:rFonts w:cs="Times New Roman"/>
        </w:rPr>
      </w:pPr>
      <w:r>
        <w:rPr>
          <w:rFonts w:cs="Times New Roman"/>
        </w:rPr>
        <w:t>由于废水产生量较小，无固定排放源，不会形成地表径流，少量通过蒸发、渗透等方式就地消纳。施工期考虑在项目区内设施工临时沉淀池，将产生的污废水均排入沉淀池，沉淀后的污水用于砼搅拌，砂浆用水等，天睛还可作为道路、堆场洒水降尘，减少施工场地的粉尘量。</w:t>
      </w:r>
    </w:p>
    <w:p>
      <w:pPr>
        <w:ind w:firstLine="480"/>
        <w:rPr>
          <w:rFonts w:cs="Times New Roman"/>
        </w:rPr>
      </w:pPr>
      <w:r>
        <w:rPr>
          <w:rFonts w:cs="Times New Roman"/>
        </w:rPr>
        <w:t>（1）施工废水对地表水环境的影响通过采取上述措施后，项目施工期进入地表水体的污染物较少，且施工时间短，该部分废水不会对地表水体产生大的影响。</w:t>
      </w:r>
    </w:p>
    <w:p>
      <w:pPr>
        <w:ind w:firstLine="480"/>
        <w:rPr>
          <w:rFonts w:cs="Times New Roman"/>
        </w:rPr>
      </w:pPr>
      <w:r>
        <w:rPr>
          <w:rFonts w:cs="Times New Roman"/>
        </w:rPr>
        <w:t>（2）施工期生活污水对地下水环境的影响项目施工营地仅设值班人员，其它施工人员不在工地住宿，因此，生活污水产生量小，临时沉淀后回用于洒水降尘，不外排，对周围地下水体影响甚微。</w:t>
      </w:r>
    </w:p>
    <w:p>
      <w:pPr>
        <w:pStyle w:val="4"/>
        <w:adjustRightInd w:val="0"/>
        <w:snapToGrid w:val="0"/>
        <w:jc w:val="left"/>
        <w:rPr>
          <w:rFonts w:cs="Times New Roman"/>
          <w:szCs w:val="24"/>
        </w:rPr>
      </w:pPr>
      <w:bookmarkStart w:id="129" w:name="_Toc23804"/>
      <w:bookmarkStart w:id="130" w:name="_Toc26425"/>
      <w:bookmarkStart w:id="131" w:name="_Toc517522307"/>
      <w:bookmarkStart w:id="132" w:name="_Toc11321"/>
      <w:bookmarkStart w:id="133" w:name="_Toc18069"/>
      <w:bookmarkStart w:id="134" w:name="_Toc5232"/>
      <w:bookmarkStart w:id="135" w:name="_Toc14349"/>
      <w:bookmarkStart w:id="136" w:name="_Toc86611301"/>
      <w:r>
        <w:rPr>
          <w:rFonts w:cs="Times New Roman"/>
          <w:szCs w:val="24"/>
        </w:rPr>
        <w:t>5.1.2 施工期大气环境影响分析</w:t>
      </w:r>
      <w:bookmarkEnd w:id="129"/>
      <w:bookmarkEnd w:id="130"/>
      <w:bookmarkEnd w:id="131"/>
      <w:bookmarkEnd w:id="132"/>
      <w:bookmarkEnd w:id="133"/>
      <w:bookmarkEnd w:id="134"/>
      <w:bookmarkEnd w:id="135"/>
      <w:bookmarkEnd w:id="136"/>
    </w:p>
    <w:p>
      <w:pPr>
        <w:ind w:firstLine="480"/>
        <w:rPr>
          <w:rFonts w:cs="Times New Roman"/>
        </w:rPr>
      </w:pPr>
      <w:r>
        <w:rPr>
          <w:rFonts w:cs="Times New Roman"/>
        </w:rPr>
        <w:t>施工期的污染有：建筑构物基础开挖、主要设备基础建设、建筑物建造、施工车辆及设备进出引起的扬尘污染、汽车尾气污染等。土建施工期，将使施工现场的TSP短时间内超标，工业场地周围地势开阔，施工现场起大风时会产生弥漫性扬尘，也会对周围环境造成一定影响。</w:t>
      </w:r>
    </w:p>
    <w:p>
      <w:pPr>
        <w:ind w:firstLine="480"/>
        <w:rPr>
          <w:rFonts w:cs="Times New Roman"/>
        </w:rPr>
      </w:pPr>
      <w:r>
        <w:rPr>
          <w:rFonts w:cs="Times New Roman"/>
        </w:rPr>
        <w:t>经计算本项目施工期，洒水降尘后的扬尘量约为7.38t。另外大量施工机械、车辆排放的尾气也会使施工地周围大气质量变差。据类似工地调查，施工作业场地近地面粉尘影响一般在下风向200m内，本项目距离最近的居民点为东南面50m处的芳玉堂村，位于侧风向，下风向最近居民点为480m以外的众拱村，因此项目施工期对关心点影响较小。</w:t>
      </w:r>
    </w:p>
    <w:p>
      <w:pPr>
        <w:ind w:firstLine="480"/>
        <w:rPr>
          <w:rFonts w:cs="Times New Roman"/>
        </w:rPr>
      </w:pPr>
      <w:r>
        <w:rPr>
          <w:rFonts w:cs="Times New Roman"/>
        </w:rPr>
        <w:t>为防止和减少施工期间扬尘和废气对周围环境空气造成污染，施工单位应统一、严格、规范管理制度和措施，将环保工作纳入本单位管理程序。采取如下具体措施：</w:t>
      </w:r>
    </w:p>
    <w:p>
      <w:pPr>
        <w:ind w:firstLine="480"/>
        <w:rPr>
          <w:rFonts w:cs="Times New Roman"/>
        </w:rPr>
      </w:pPr>
      <w:r>
        <w:rPr>
          <w:rFonts w:cs="Times New Roman"/>
        </w:rPr>
        <w:t>（1）施工期中严格按照文明施工的相关条款执行。施工粉尘污染环境的时间与程度都是有限的，其中适时洒水降尘可使粉尘量减少80%，因此洒水是最主要的治理措施。</w:t>
      </w:r>
    </w:p>
    <w:p>
      <w:pPr>
        <w:ind w:firstLine="480"/>
        <w:rPr>
          <w:rFonts w:cs="Times New Roman"/>
        </w:rPr>
      </w:pPr>
      <w:r>
        <w:rPr>
          <w:rFonts w:cs="Times New Roman"/>
        </w:rPr>
        <w:t>（2）进行现场搅拌砂浆、混凝土时，尽量做到不洒、不漏、不剩、不倒；对施工现场实行合理化管理，使砂石料统一堆放，堆料场设置规范且地坪硬化处理以减少砂石料的流失，并尽量减少搬运环节。</w:t>
      </w:r>
    </w:p>
    <w:p>
      <w:pPr>
        <w:ind w:firstLine="480"/>
        <w:rPr>
          <w:rFonts w:cs="Times New Roman"/>
        </w:rPr>
      </w:pPr>
      <w:r>
        <w:rPr>
          <w:rFonts w:cs="Times New Roman"/>
        </w:rPr>
        <w:t>（3）基础开挖时，对作业面和土堆适当喷水，使其保持一定湿度，以减少扬尘量，而且开挖的泥土和建筑垃圾要及时处理或运走，以防长期堆放表面干燥而起尘或被雨水冲刷。</w:t>
      </w:r>
    </w:p>
    <w:p>
      <w:pPr>
        <w:ind w:firstLine="480"/>
        <w:rPr>
          <w:rFonts w:cs="Times New Roman"/>
        </w:rPr>
      </w:pPr>
      <w:r>
        <w:rPr>
          <w:rFonts w:cs="Times New Roman"/>
        </w:rPr>
        <w:t>（4）运输车辆应完好，不超载，并尽量采取遮盖、密闭措施，减少沿途抛酒，并及时清扫散落在路面上的泥土和建筑材料，冲洗轮胎，定时洒水降尘，以减少运输过程中的扬尘。</w:t>
      </w:r>
    </w:p>
    <w:p>
      <w:pPr>
        <w:ind w:firstLine="480"/>
        <w:rPr>
          <w:rFonts w:cs="Times New Roman"/>
        </w:rPr>
      </w:pPr>
      <w:r>
        <w:rPr>
          <w:rFonts w:cs="Times New Roman"/>
        </w:rPr>
        <w:t>（5）加强对施工人员的环保教育，提高全体施工人员的环保意识，坚持文明施工科学施工。</w:t>
      </w:r>
    </w:p>
    <w:p>
      <w:pPr>
        <w:ind w:firstLine="480"/>
        <w:rPr>
          <w:rFonts w:cs="Times New Roman"/>
        </w:rPr>
      </w:pPr>
      <w:r>
        <w:rPr>
          <w:rFonts w:cs="Times New Roman"/>
        </w:rPr>
        <w:t>项目在施工期对空气环境的影响还有施工机械在运行过程中产生的机械烟尘，运输车辆在运输过程中产生的废气，该项目施工期产生的烟尘和废气量不大，其影响范围和程度有限。且施工周期不长，周围无特殊环境敏感点，随着施工期结束，其对环境空气的影响也将随之终止，不会对周围大气环境造成大的影响。</w:t>
      </w:r>
    </w:p>
    <w:p>
      <w:pPr>
        <w:pStyle w:val="4"/>
        <w:adjustRightInd w:val="0"/>
        <w:snapToGrid w:val="0"/>
        <w:jc w:val="left"/>
        <w:rPr>
          <w:rFonts w:cs="Times New Roman"/>
          <w:szCs w:val="24"/>
        </w:rPr>
      </w:pPr>
      <w:bookmarkStart w:id="137" w:name="_Toc21843"/>
      <w:bookmarkStart w:id="138" w:name="_Toc6153"/>
      <w:bookmarkStart w:id="139" w:name="_Toc2664"/>
      <w:bookmarkStart w:id="140" w:name="_Toc3653"/>
      <w:bookmarkStart w:id="141" w:name="_Toc30269"/>
      <w:bookmarkStart w:id="142" w:name="_Toc3357"/>
      <w:bookmarkStart w:id="143" w:name="_Toc517522308"/>
      <w:bookmarkStart w:id="144" w:name="_Toc86611302"/>
      <w:r>
        <w:rPr>
          <w:rFonts w:cs="Times New Roman"/>
          <w:szCs w:val="24"/>
        </w:rPr>
        <w:t>5.1.3 施工期声环境影响分析</w:t>
      </w:r>
      <w:bookmarkEnd w:id="137"/>
      <w:bookmarkEnd w:id="138"/>
      <w:bookmarkEnd w:id="139"/>
      <w:bookmarkEnd w:id="140"/>
      <w:bookmarkEnd w:id="141"/>
      <w:bookmarkEnd w:id="142"/>
      <w:bookmarkEnd w:id="143"/>
      <w:bookmarkEnd w:id="144"/>
    </w:p>
    <w:p>
      <w:pPr>
        <w:ind w:firstLine="482"/>
        <w:rPr>
          <w:rFonts w:cs="Times New Roman"/>
          <w:b/>
        </w:rPr>
      </w:pPr>
      <w:r>
        <w:rPr>
          <w:rFonts w:cs="Times New Roman"/>
          <w:b/>
        </w:rPr>
        <w:t>1、施工机械噪声影响分析</w:t>
      </w:r>
    </w:p>
    <w:p>
      <w:pPr>
        <w:ind w:firstLine="480"/>
        <w:rPr>
          <w:rFonts w:cs="Times New Roman"/>
        </w:rPr>
      </w:pPr>
      <w:r>
        <w:rPr>
          <w:rFonts w:cs="Times New Roman"/>
        </w:rPr>
        <w:t>项目在建设过程中各施工阶段的主要噪声源声级大小均不一样，其噪声值也不一样，本项目鉴于施工噪声的复杂性和施工噪声影响的区域性和阶段性，本评价根据国家《建筑施工场界环境噪声排放标准》（GB12523-2011），针对不同施工阶段计算出不同施工设备的噪声影响范围，以便施工单位在施工时结合实际情况采取适当的噪声污染防治措施。</w:t>
      </w:r>
    </w:p>
    <w:p>
      <w:pPr>
        <w:ind w:firstLine="480"/>
        <w:rPr>
          <w:rFonts w:cs="Times New Roman"/>
        </w:rPr>
      </w:pPr>
      <w:r>
        <w:rPr>
          <w:rFonts w:cs="Times New Roman"/>
        </w:rPr>
        <w:t>施工设备噪声源均按点声源计，其噪声预测模式为：</w:t>
      </w:r>
    </w:p>
    <w:p>
      <w:pPr>
        <w:ind w:firstLine="480"/>
        <w:jc w:val="center"/>
        <w:rPr>
          <w:rFonts w:cs="Times New Roman"/>
        </w:rPr>
      </w:pPr>
      <m:oMathPara>
        <m:oMath>
          <m:sSub>
            <m:sSubPr>
              <m:ctrlPr>
                <w:rPr>
                  <w:rFonts w:ascii="Cambria Math" w:hAnsi="Cambria Math" w:cs="Times New Roman"/>
                </w:rPr>
              </m:ctrlPr>
            </m:sSubPr>
            <m:e>
              <m:r>
                <m:rPr>
                  <m:sty m:val="p"/>
                </m:rPr>
                <w:rPr>
                  <w:rFonts w:ascii="Cambria Math" w:hAnsi="Cambria Math" w:cs="Times New Roman"/>
                </w:rPr>
                <m:t>L</m:t>
              </m:r>
              <m:ctrlPr>
                <w:rPr>
                  <w:rFonts w:ascii="Cambria Math" w:hAnsi="Cambria Math" w:cs="Times New Roman"/>
                </w:rPr>
              </m:ctrlPr>
            </m:e>
            <m:sub>
              <m:r>
                <m:rPr>
                  <m:sty m:val="p"/>
                </m:rPr>
                <w:rPr>
                  <w:rFonts w:ascii="Cambria Math" w:hAnsi="Cambria Math" w:cs="Times New Roman"/>
                </w:rPr>
                <m:t>i</m:t>
              </m:r>
              <m:ctrlPr>
                <w:rPr>
                  <w:rFonts w:ascii="Cambria Math" w:hAnsi="Cambria Math" w:cs="Times New Roman"/>
                </w:rPr>
              </m:ctrlP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L</m:t>
              </m:r>
              <m:ctrlPr>
                <w:rPr>
                  <w:rFonts w:ascii="Cambria Math" w:hAnsi="Cambria Math" w:cs="Times New Roman"/>
                </w:rPr>
              </m:ctrlPr>
            </m:e>
            <m:sub>
              <m:r>
                <m:rPr>
                  <m:sty m:val="p"/>
                </m:rPr>
                <w:rPr>
                  <w:rFonts w:ascii="Cambria Math" w:hAnsi="Cambria Math" w:cs="Times New Roman"/>
                </w:rPr>
                <m:t>0</m:t>
              </m:r>
              <m:ctrlPr>
                <w:rPr>
                  <w:rFonts w:ascii="Cambria Math" w:hAnsi="Cambria Math" w:cs="Times New Roman"/>
                </w:rPr>
              </m:ctrlPr>
            </m:sub>
          </m:sSub>
          <m:r>
            <m:rPr>
              <m:sty m:val="p"/>
            </m:rPr>
            <w:rPr>
              <w:rFonts w:ascii="Cambria Math" w:hAnsi="Cambria Math" w:cs="Times New Roman"/>
            </w:rPr>
            <m:t>−20lg</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R</m:t>
                  </m:r>
                  <m:ctrlPr>
                    <w:rPr>
                      <w:rFonts w:ascii="Cambria Math" w:hAnsi="Cambria Math" w:cs="Times New Roman"/>
                    </w:rPr>
                  </m:ctrlPr>
                </m:e>
                <m:sub>
                  <m:r>
                    <m:rPr>
                      <m:sty m:val="p"/>
                    </m:rPr>
                    <w:rPr>
                      <w:rFonts w:ascii="Cambria Math" w:hAnsi="Cambria Math" w:cs="Times New Roman"/>
                    </w:rPr>
                    <m:t>i</m:t>
                  </m:r>
                  <m:ctrlPr>
                    <w:rPr>
                      <w:rFonts w:ascii="Cambria Math" w:hAnsi="Cambria Math" w:cs="Times New Roman"/>
                    </w:rPr>
                  </m:ctrlPr>
                </m:sub>
              </m:sSub>
              <m:ctrlPr>
                <w:rPr>
                  <w:rFonts w:ascii="Cambria Math" w:hAnsi="Cambria Math" w:cs="Times New Roman"/>
                </w:rPr>
              </m:ctrlPr>
            </m:num>
            <m:den>
              <m:sSub>
                <m:sSubPr>
                  <m:ctrlPr>
                    <w:rPr>
                      <w:rFonts w:ascii="Cambria Math" w:hAnsi="Cambria Math" w:cs="Times New Roman"/>
                    </w:rPr>
                  </m:ctrlPr>
                </m:sSubPr>
                <m:e>
                  <m:r>
                    <m:rPr>
                      <m:sty m:val="p"/>
                    </m:rPr>
                    <w:rPr>
                      <w:rFonts w:ascii="Cambria Math" w:hAnsi="Cambria Math" w:cs="Times New Roman"/>
                    </w:rPr>
                    <m:t>R</m:t>
                  </m:r>
                  <m:ctrlPr>
                    <w:rPr>
                      <w:rFonts w:ascii="Cambria Math" w:hAnsi="Cambria Math" w:cs="Times New Roman"/>
                    </w:rPr>
                  </m:ctrlPr>
                </m:e>
                <m:sub>
                  <m:r>
                    <m:rPr>
                      <m:sty m:val="p"/>
                    </m:rPr>
                    <w:rPr>
                      <w:rFonts w:ascii="Cambria Math" w:hAnsi="Cambria Math" w:cs="Times New Roman"/>
                    </w:rPr>
                    <m:t>0</m:t>
                  </m:r>
                  <m:ctrlPr>
                    <w:rPr>
                      <w:rFonts w:ascii="Cambria Math" w:hAnsi="Cambria Math" w:cs="Times New Roman"/>
                    </w:rPr>
                  </m:ctrlPr>
                </m:sub>
              </m:sSub>
              <m:ctrlPr>
                <w:rPr>
                  <w:rFonts w:ascii="Cambria Math" w:hAnsi="Cambria Math" w:cs="Times New Roman"/>
                </w:rPr>
              </m:ctrlPr>
            </m:den>
          </m:f>
          <m:r>
            <m:rPr>
              <m:sty m:val="p"/>
            </m:rPr>
            <w:rPr>
              <w:rFonts w:ascii="Cambria Math" w:hAnsi="Cambria Math" w:cs="Times New Roman"/>
            </w:rPr>
            <m:t>−△L</m:t>
          </m:r>
        </m:oMath>
      </m:oMathPara>
    </w:p>
    <w:p>
      <w:pPr>
        <w:ind w:firstLine="480"/>
        <w:rPr>
          <w:rFonts w:cs="Times New Roman"/>
        </w:rPr>
      </w:pPr>
      <w:r>
        <w:rPr>
          <w:rFonts w:cs="Times New Roman"/>
        </w:rPr>
        <w:t>式中：L</w:t>
      </w:r>
      <w:r>
        <w:rPr>
          <w:rFonts w:cs="Times New Roman"/>
          <w:vertAlign w:val="subscript"/>
        </w:rPr>
        <w:t>i</w:t>
      </w:r>
      <w:r>
        <w:rPr>
          <w:rFonts w:cs="Times New Roman"/>
        </w:rPr>
        <w:t>和L</w:t>
      </w:r>
      <w:r>
        <w:rPr>
          <w:rFonts w:cs="Times New Roman"/>
          <w:vertAlign w:val="subscript"/>
        </w:rPr>
        <w:t>0</w:t>
      </w:r>
      <w:r>
        <w:rPr>
          <w:rFonts w:cs="Times New Roman"/>
        </w:rPr>
        <w:t>—分别为距离设备R</w:t>
      </w:r>
      <w:r>
        <w:rPr>
          <w:rFonts w:cs="Times New Roman"/>
          <w:vertAlign w:val="subscript"/>
        </w:rPr>
        <w:t>i</w:t>
      </w:r>
      <w:r>
        <w:rPr>
          <w:rFonts w:cs="Times New Roman"/>
        </w:rPr>
        <w:t>和R</w:t>
      </w:r>
      <w:r>
        <w:rPr>
          <w:rFonts w:cs="Times New Roman"/>
          <w:vertAlign w:val="subscript"/>
        </w:rPr>
        <w:t>0</w:t>
      </w:r>
      <w:r>
        <w:rPr>
          <w:rFonts w:cs="Times New Roman"/>
        </w:rPr>
        <w:t>处的设备噪声级；</w:t>
      </w:r>
      <w:r>
        <w:rPr>
          <w:rFonts w:hint="eastAsia" w:ascii="宋体" w:hAnsi="宋体" w:cs="宋体"/>
        </w:rPr>
        <w:t>△</w:t>
      </w:r>
      <w:r>
        <w:rPr>
          <w:rFonts w:cs="Times New Roman"/>
        </w:rPr>
        <w:t>L为障碍物、植被、空气等产生的附加衰减量。</w:t>
      </w:r>
    </w:p>
    <w:p>
      <w:pPr>
        <w:ind w:firstLine="480"/>
        <w:rPr>
          <w:rFonts w:cs="Times New Roman"/>
        </w:rPr>
      </w:pPr>
      <w:r>
        <w:rPr>
          <w:rFonts w:cs="Times New Roman"/>
        </w:rPr>
        <w:t>对于多台施工机械对某个预测点的影响，应进行声级叠加：</w:t>
      </w:r>
    </w:p>
    <w:p>
      <w:pPr>
        <w:ind w:firstLine="480"/>
        <w:jc w:val="center"/>
        <w:rPr>
          <w:rFonts w:cs="Times New Roman"/>
        </w:rPr>
      </w:pPr>
      <m:oMathPara>
        <m:oMath>
          <m:r>
            <m:rPr>
              <m:sty m:val="p"/>
            </m:rPr>
            <w:rPr>
              <w:rFonts w:ascii="Cambria Math" w:hAnsi="Cambria Math" w:cs="Times New Roman"/>
            </w:rPr>
            <m:t>L=10lg</m:t>
          </m:r>
          <m:nary>
            <m:naryPr>
              <m:chr m:val="∑"/>
              <m:limLoc m:val="undOvr"/>
              <m:subHide m:val="1"/>
              <m:supHide m:val="1"/>
              <m:ctrlPr>
                <w:rPr>
                  <w:rFonts w:ascii="Cambria Math" w:hAnsi="Cambria Math" w:cs="Times New Roman"/>
                </w:rPr>
              </m:ctrlPr>
            </m:naryPr>
            <m:sub>
              <m:ctrlPr>
                <w:rPr>
                  <w:rFonts w:ascii="Cambria Math" w:hAnsi="Cambria Math" w:cs="Times New Roman"/>
                </w:rPr>
              </m:ctrlPr>
            </m:sub>
            <m:sup>
              <m:ctrlPr>
                <w:rPr>
                  <w:rFonts w:ascii="Cambria Math" w:hAnsi="Cambria Math" w:cs="Times New Roman"/>
                </w:rPr>
              </m:ctrlPr>
            </m:sup>
            <m:e>
              <m:sSup>
                <m:sSupPr>
                  <m:ctrlPr>
                    <w:rPr>
                      <w:rFonts w:ascii="Cambria Math" w:hAnsi="Cambria Math" w:cs="Times New Roman"/>
                    </w:rPr>
                  </m:ctrlPr>
                </m:sSupPr>
                <m:e>
                  <m:r>
                    <m:rPr>
                      <m:sty m:val="p"/>
                    </m:rPr>
                    <w:rPr>
                      <w:rFonts w:ascii="Cambria Math" w:hAnsi="Cambria Math" w:cs="Times New Roman"/>
                    </w:rPr>
                    <m:t>10</m:t>
                  </m:r>
                  <m:ctrlPr>
                    <w:rPr>
                      <w:rFonts w:ascii="Cambria Math" w:hAnsi="Cambria Math" w:cs="Times New Roman"/>
                    </w:rPr>
                  </m:ctrlPr>
                </m:e>
                <m:sup>
                  <m:r>
                    <m:rPr>
                      <m:sty m:val="p"/>
                    </m:rPr>
                    <w:rPr>
                      <w:rFonts w:ascii="Cambria Math" w:hAnsi="Cambria Math" w:cs="Times New Roman"/>
                    </w:rPr>
                    <m:t>0.1</m:t>
                  </m:r>
                  <m:sSub>
                    <m:sSubPr>
                      <m:ctrlPr>
                        <w:rPr>
                          <w:rFonts w:ascii="Cambria Math" w:hAnsi="Cambria Math" w:cs="Times New Roman"/>
                        </w:rPr>
                      </m:ctrlPr>
                    </m:sSubPr>
                    <m:e>
                      <m:r>
                        <m:rPr>
                          <m:sty m:val="p"/>
                        </m:rPr>
                        <w:rPr>
                          <w:rFonts w:ascii="Cambria Math" w:hAnsi="Cambria Math" w:cs="Times New Roman"/>
                        </w:rPr>
                        <m:t>L</m:t>
                      </m:r>
                      <m:ctrlPr>
                        <w:rPr>
                          <w:rFonts w:ascii="Cambria Math" w:hAnsi="Cambria Math" w:cs="Times New Roman"/>
                        </w:rPr>
                      </m:ctrlPr>
                    </m:e>
                    <m:sub>
                      <m:r>
                        <m:rPr>
                          <m:sty m:val="p"/>
                        </m:rPr>
                        <w:rPr>
                          <w:rFonts w:ascii="Cambria Math" w:hAnsi="Cambria Math" w:cs="Times New Roman"/>
                        </w:rPr>
                        <m:t>i</m:t>
                      </m:r>
                      <m:ctrlPr>
                        <w:rPr>
                          <w:rFonts w:ascii="Cambria Math" w:hAnsi="Cambria Math" w:cs="Times New Roman"/>
                        </w:rPr>
                      </m:ctrlPr>
                    </m:sub>
                  </m:sSub>
                  <m:ctrlPr>
                    <w:rPr>
                      <w:rFonts w:ascii="Cambria Math" w:hAnsi="Cambria Math" w:cs="Times New Roman"/>
                    </w:rPr>
                  </m:ctrlPr>
                </m:sup>
              </m:sSup>
              <m:ctrlPr>
                <w:rPr>
                  <w:rFonts w:ascii="Cambria Math" w:hAnsi="Cambria Math" w:cs="Times New Roman"/>
                </w:rPr>
              </m:ctrlPr>
            </m:e>
          </m:nary>
        </m:oMath>
      </m:oMathPara>
    </w:p>
    <w:p>
      <w:pPr>
        <w:ind w:firstLine="480"/>
        <w:rPr>
          <w:rFonts w:cs="Times New Roman"/>
        </w:rPr>
      </w:pPr>
      <w:r>
        <w:rPr>
          <w:rFonts w:cs="Times New Roman"/>
        </w:rPr>
        <w:t>根据前述的预测方法和预测模式，对施工过程中各种设备噪声进行计算，得到其不同距离下的噪声级见表5.1-3，各种设备的影响范围见表5.1-4。</w:t>
      </w:r>
    </w:p>
    <w:p>
      <w:pPr>
        <w:pStyle w:val="43"/>
        <w:adjustRightInd w:val="0"/>
        <w:snapToGrid w:val="0"/>
        <w:spacing w:before="163" w:beforeLines="50" w:after="0"/>
        <w:ind w:firstLine="0" w:firstLineChars="0"/>
        <w:jc w:val="center"/>
        <w:rPr>
          <w:rFonts w:ascii="Times New Roman" w:hAnsi="Times New Roman"/>
          <w:b/>
        </w:rPr>
      </w:pPr>
      <w:r>
        <w:rPr>
          <w:rFonts w:ascii="Times New Roman" w:hAnsi="Times New Roman"/>
          <w:b/>
        </w:rPr>
        <w:t>表5.1-3  主要施工机械不同距离处的噪声级  单位：</w:t>
      </w:r>
      <w:r>
        <w:rPr>
          <w:rFonts w:ascii="Times New Roman" w:hAnsi="Times New Roman"/>
          <w:b/>
          <w:bCs/>
        </w:rPr>
        <w:t>dB（A）</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7"/>
        <w:gridCol w:w="1197"/>
        <w:gridCol w:w="752"/>
        <w:gridCol w:w="752"/>
        <w:gridCol w:w="752"/>
        <w:gridCol w:w="853"/>
        <w:gridCol w:w="853"/>
        <w:gridCol w:w="853"/>
        <w:gridCol w:w="853"/>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restart"/>
            <w:vAlign w:val="center"/>
          </w:tcPr>
          <w:p>
            <w:pPr>
              <w:spacing w:line="240" w:lineRule="auto"/>
              <w:ind w:firstLine="0" w:firstLineChars="0"/>
              <w:jc w:val="center"/>
              <w:rPr>
                <w:rFonts w:cs="Times New Roman"/>
                <w:b/>
                <w:bCs/>
                <w:sz w:val="21"/>
                <w:szCs w:val="21"/>
              </w:rPr>
            </w:pPr>
            <w:r>
              <w:rPr>
                <w:rFonts w:cs="Times New Roman"/>
                <w:b/>
                <w:bCs/>
                <w:sz w:val="21"/>
                <w:szCs w:val="21"/>
              </w:rPr>
              <w:t>施工阶段</w:t>
            </w:r>
          </w:p>
        </w:tc>
        <w:tc>
          <w:tcPr>
            <w:tcW w:w="1197" w:type="dxa"/>
            <w:vMerge w:val="restart"/>
            <w:vAlign w:val="center"/>
          </w:tcPr>
          <w:p>
            <w:pPr>
              <w:spacing w:line="240" w:lineRule="auto"/>
              <w:ind w:firstLine="0" w:firstLineChars="0"/>
              <w:jc w:val="center"/>
              <w:rPr>
                <w:rFonts w:cs="Times New Roman"/>
                <w:b/>
                <w:bCs/>
                <w:sz w:val="21"/>
                <w:szCs w:val="21"/>
              </w:rPr>
            </w:pPr>
            <w:r>
              <w:rPr>
                <w:rFonts w:cs="Times New Roman"/>
                <w:b/>
                <w:bCs/>
                <w:sz w:val="21"/>
                <w:szCs w:val="21"/>
              </w:rPr>
              <w:t>设备名称</w:t>
            </w:r>
          </w:p>
        </w:tc>
        <w:tc>
          <w:tcPr>
            <w:tcW w:w="6524" w:type="dxa"/>
            <w:gridSpan w:val="8"/>
            <w:vAlign w:val="center"/>
          </w:tcPr>
          <w:p>
            <w:pPr>
              <w:spacing w:line="240" w:lineRule="auto"/>
              <w:ind w:firstLine="0" w:firstLineChars="0"/>
              <w:jc w:val="center"/>
              <w:rPr>
                <w:rFonts w:cs="Times New Roman"/>
                <w:b/>
                <w:bCs/>
                <w:sz w:val="21"/>
                <w:szCs w:val="21"/>
              </w:rPr>
            </w:pPr>
            <w:r>
              <w:rPr>
                <w:rFonts w:cs="Times New Roman"/>
                <w:b/>
                <w:bCs/>
                <w:sz w:val="21"/>
                <w:szCs w:val="21"/>
              </w:rPr>
              <w:t>不同距离处噪声贡献值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continue"/>
            <w:vAlign w:val="center"/>
          </w:tcPr>
          <w:p>
            <w:pPr>
              <w:widowControl/>
              <w:spacing w:line="240" w:lineRule="auto"/>
              <w:ind w:firstLine="0" w:firstLineChars="0"/>
              <w:jc w:val="center"/>
              <w:rPr>
                <w:rFonts w:cs="Times New Roman"/>
                <w:b/>
                <w:bCs/>
                <w:sz w:val="21"/>
                <w:szCs w:val="21"/>
              </w:rPr>
            </w:pPr>
          </w:p>
        </w:tc>
        <w:tc>
          <w:tcPr>
            <w:tcW w:w="1197" w:type="dxa"/>
            <w:vMerge w:val="continue"/>
            <w:vAlign w:val="center"/>
          </w:tcPr>
          <w:p>
            <w:pPr>
              <w:widowControl/>
              <w:spacing w:line="240" w:lineRule="auto"/>
              <w:ind w:firstLine="0" w:firstLineChars="0"/>
              <w:jc w:val="center"/>
              <w:rPr>
                <w:rFonts w:cs="Times New Roman"/>
                <w:b/>
                <w:bCs/>
                <w:sz w:val="21"/>
                <w:szCs w:val="21"/>
              </w:rPr>
            </w:pPr>
          </w:p>
        </w:tc>
        <w:tc>
          <w:tcPr>
            <w:tcW w:w="752" w:type="dxa"/>
            <w:vAlign w:val="center"/>
          </w:tcPr>
          <w:p>
            <w:pPr>
              <w:spacing w:line="240" w:lineRule="auto"/>
              <w:ind w:firstLine="0" w:firstLineChars="0"/>
              <w:jc w:val="center"/>
              <w:rPr>
                <w:rFonts w:cs="Times New Roman"/>
                <w:b/>
                <w:sz w:val="21"/>
                <w:szCs w:val="21"/>
              </w:rPr>
            </w:pPr>
            <w:r>
              <w:rPr>
                <w:rFonts w:cs="Times New Roman"/>
                <w:b/>
                <w:sz w:val="21"/>
                <w:szCs w:val="21"/>
              </w:rPr>
              <w:t>20m</w:t>
            </w:r>
          </w:p>
        </w:tc>
        <w:tc>
          <w:tcPr>
            <w:tcW w:w="752" w:type="dxa"/>
            <w:vAlign w:val="center"/>
          </w:tcPr>
          <w:p>
            <w:pPr>
              <w:spacing w:line="240" w:lineRule="auto"/>
              <w:ind w:firstLine="0" w:firstLineChars="0"/>
              <w:jc w:val="center"/>
              <w:rPr>
                <w:rFonts w:cs="Times New Roman"/>
                <w:b/>
                <w:sz w:val="21"/>
                <w:szCs w:val="21"/>
              </w:rPr>
            </w:pPr>
            <w:r>
              <w:rPr>
                <w:rFonts w:cs="Times New Roman"/>
                <w:b/>
                <w:sz w:val="21"/>
                <w:szCs w:val="21"/>
              </w:rPr>
              <w:t>40m</w:t>
            </w:r>
          </w:p>
        </w:tc>
        <w:tc>
          <w:tcPr>
            <w:tcW w:w="752" w:type="dxa"/>
            <w:vAlign w:val="center"/>
          </w:tcPr>
          <w:p>
            <w:pPr>
              <w:spacing w:line="240" w:lineRule="auto"/>
              <w:ind w:firstLine="0" w:firstLineChars="0"/>
              <w:jc w:val="center"/>
              <w:rPr>
                <w:rFonts w:cs="Times New Roman"/>
                <w:b/>
                <w:sz w:val="21"/>
                <w:szCs w:val="21"/>
              </w:rPr>
            </w:pPr>
            <w:r>
              <w:rPr>
                <w:rFonts w:cs="Times New Roman"/>
                <w:b/>
                <w:sz w:val="21"/>
                <w:szCs w:val="21"/>
              </w:rPr>
              <w:t>60m</w:t>
            </w:r>
          </w:p>
        </w:tc>
        <w:tc>
          <w:tcPr>
            <w:tcW w:w="853" w:type="dxa"/>
            <w:vAlign w:val="center"/>
          </w:tcPr>
          <w:p>
            <w:pPr>
              <w:spacing w:line="240" w:lineRule="auto"/>
              <w:ind w:firstLine="0" w:firstLineChars="0"/>
              <w:jc w:val="center"/>
              <w:rPr>
                <w:rFonts w:cs="Times New Roman"/>
                <w:b/>
                <w:sz w:val="21"/>
                <w:szCs w:val="21"/>
              </w:rPr>
            </w:pPr>
            <w:r>
              <w:rPr>
                <w:rFonts w:cs="Times New Roman"/>
                <w:b/>
                <w:sz w:val="21"/>
                <w:szCs w:val="21"/>
              </w:rPr>
              <w:t>80m</w:t>
            </w:r>
          </w:p>
        </w:tc>
        <w:tc>
          <w:tcPr>
            <w:tcW w:w="853" w:type="dxa"/>
            <w:vAlign w:val="center"/>
          </w:tcPr>
          <w:p>
            <w:pPr>
              <w:spacing w:line="240" w:lineRule="auto"/>
              <w:ind w:firstLine="0" w:firstLineChars="0"/>
              <w:jc w:val="center"/>
              <w:rPr>
                <w:rFonts w:cs="Times New Roman"/>
                <w:b/>
                <w:sz w:val="21"/>
                <w:szCs w:val="21"/>
              </w:rPr>
            </w:pPr>
            <w:r>
              <w:rPr>
                <w:rFonts w:cs="Times New Roman"/>
                <w:b/>
                <w:sz w:val="21"/>
                <w:szCs w:val="21"/>
              </w:rPr>
              <w:t>100m</w:t>
            </w:r>
          </w:p>
        </w:tc>
        <w:tc>
          <w:tcPr>
            <w:tcW w:w="853" w:type="dxa"/>
            <w:vAlign w:val="center"/>
          </w:tcPr>
          <w:p>
            <w:pPr>
              <w:spacing w:line="240" w:lineRule="auto"/>
              <w:ind w:firstLine="0" w:firstLineChars="0"/>
              <w:jc w:val="center"/>
              <w:rPr>
                <w:rFonts w:cs="Times New Roman"/>
                <w:b/>
                <w:sz w:val="21"/>
                <w:szCs w:val="21"/>
              </w:rPr>
            </w:pPr>
            <w:r>
              <w:rPr>
                <w:rFonts w:cs="Times New Roman"/>
                <w:b/>
                <w:sz w:val="21"/>
                <w:szCs w:val="21"/>
              </w:rPr>
              <w:t>150m</w:t>
            </w:r>
          </w:p>
        </w:tc>
        <w:tc>
          <w:tcPr>
            <w:tcW w:w="853" w:type="dxa"/>
            <w:vAlign w:val="center"/>
          </w:tcPr>
          <w:p>
            <w:pPr>
              <w:spacing w:line="240" w:lineRule="auto"/>
              <w:ind w:firstLine="0" w:firstLineChars="0"/>
              <w:jc w:val="center"/>
              <w:rPr>
                <w:rFonts w:cs="Times New Roman"/>
                <w:b/>
                <w:sz w:val="21"/>
                <w:szCs w:val="21"/>
              </w:rPr>
            </w:pPr>
            <w:r>
              <w:rPr>
                <w:rFonts w:cs="Times New Roman"/>
                <w:b/>
                <w:sz w:val="21"/>
                <w:szCs w:val="21"/>
              </w:rPr>
              <w:t>200m</w:t>
            </w:r>
          </w:p>
        </w:tc>
        <w:tc>
          <w:tcPr>
            <w:tcW w:w="856" w:type="dxa"/>
            <w:vAlign w:val="center"/>
          </w:tcPr>
          <w:p>
            <w:pPr>
              <w:spacing w:line="240" w:lineRule="auto"/>
              <w:ind w:firstLine="0" w:firstLineChars="0"/>
              <w:jc w:val="center"/>
              <w:rPr>
                <w:rFonts w:cs="Times New Roman"/>
                <w:b/>
                <w:sz w:val="21"/>
                <w:szCs w:val="21"/>
              </w:rPr>
            </w:pPr>
            <w:r>
              <w:rPr>
                <w:rFonts w:cs="Times New Roman"/>
                <w:b/>
                <w:sz w:val="21"/>
                <w:szCs w:val="21"/>
              </w:rPr>
              <w:t>300m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restart"/>
            <w:vAlign w:val="center"/>
          </w:tcPr>
          <w:p>
            <w:pPr>
              <w:spacing w:line="240" w:lineRule="auto"/>
              <w:ind w:firstLine="0" w:firstLineChars="0"/>
              <w:jc w:val="center"/>
              <w:rPr>
                <w:rFonts w:cs="Times New Roman"/>
                <w:bCs/>
                <w:sz w:val="21"/>
                <w:szCs w:val="21"/>
              </w:rPr>
            </w:pPr>
            <w:r>
              <w:rPr>
                <w:rFonts w:cs="Times New Roman"/>
                <w:bCs/>
                <w:sz w:val="21"/>
                <w:szCs w:val="21"/>
              </w:rPr>
              <w:t>土石方阶段</w:t>
            </w:r>
          </w:p>
        </w:tc>
        <w:tc>
          <w:tcPr>
            <w:tcW w:w="1197" w:type="dxa"/>
            <w:vAlign w:val="center"/>
          </w:tcPr>
          <w:p>
            <w:pPr>
              <w:spacing w:line="240" w:lineRule="auto"/>
              <w:ind w:firstLine="0" w:firstLineChars="0"/>
              <w:jc w:val="center"/>
              <w:rPr>
                <w:rFonts w:cs="Times New Roman"/>
                <w:sz w:val="21"/>
                <w:szCs w:val="21"/>
              </w:rPr>
            </w:pPr>
            <w:r>
              <w:rPr>
                <w:rFonts w:cs="Times New Roman"/>
                <w:sz w:val="21"/>
                <w:szCs w:val="21"/>
              </w:rPr>
              <w:t>推土机</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78.0</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71.9</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68.4</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65.9</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64.0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60.5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58.0</w:t>
            </w:r>
          </w:p>
        </w:tc>
        <w:tc>
          <w:tcPr>
            <w:tcW w:w="856" w:type="dxa"/>
            <w:vAlign w:val="center"/>
          </w:tcPr>
          <w:p>
            <w:pPr>
              <w:spacing w:line="240" w:lineRule="auto"/>
              <w:ind w:firstLine="0" w:firstLineChars="0"/>
              <w:jc w:val="center"/>
              <w:rPr>
                <w:rFonts w:cs="Times New Roman"/>
                <w:sz w:val="21"/>
                <w:szCs w:val="21"/>
              </w:rPr>
            </w:pPr>
            <w:r>
              <w:rPr>
                <w:rFonts w:cs="Times New Roman"/>
                <w:sz w:val="21"/>
                <w:szCs w:val="21"/>
              </w:rPr>
              <w:t>54.4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continue"/>
            <w:vAlign w:val="center"/>
          </w:tcPr>
          <w:p>
            <w:pPr>
              <w:widowControl/>
              <w:spacing w:line="240" w:lineRule="auto"/>
              <w:ind w:firstLine="0" w:firstLineChars="0"/>
              <w:jc w:val="center"/>
              <w:rPr>
                <w:rFonts w:cs="Times New Roman"/>
                <w:bCs/>
                <w:sz w:val="21"/>
                <w:szCs w:val="21"/>
              </w:rPr>
            </w:pPr>
          </w:p>
        </w:tc>
        <w:tc>
          <w:tcPr>
            <w:tcW w:w="1197" w:type="dxa"/>
            <w:vAlign w:val="center"/>
          </w:tcPr>
          <w:p>
            <w:pPr>
              <w:spacing w:line="240" w:lineRule="auto"/>
              <w:ind w:firstLine="0" w:firstLineChars="0"/>
              <w:jc w:val="center"/>
              <w:rPr>
                <w:rFonts w:cs="Times New Roman"/>
                <w:sz w:val="21"/>
                <w:szCs w:val="21"/>
              </w:rPr>
            </w:pPr>
            <w:r>
              <w:rPr>
                <w:rFonts w:cs="Times New Roman"/>
                <w:sz w:val="21"/>
                <w:szCs w:val="21"/>
              </w:rPr>
              <w:t>装载机</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74.0</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67.9</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64.4</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61.9</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60.0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56.5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54.0</w:t>
            </w:r>
          </w:p>
        </w:tc>
        <w:tc>
          <w:tcPr>
            <w:tcW w:w="856" w:type="dxa"/>
            <w:vAlign w:val="center"/>
          </w:tcPr>
          <w:p>
            <w:pPr>
              <w:spacing w:line="240" w:lineRule="auto"/>
              <w:ind w:firstLine="0" w:firstLineChars="0"/>
              <w:jc w:val="center"/>
              <w:rPr>
                <w:rFonts w:cs="Times New Roman"/>
                <w:sz w:val="21"/>
                <w:szCs w:val="21"/>
              </w:rPr>
            </w:pPr>
            <w:r>
              <w:rPr>
                <w:rFonts w:cs="Times New Roman"/>
                <w:sz w:val="21"/>
                <w:szCs w:val="21"/>
              </w:rPr>
              <w:t>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continue"/>
            <w:vAlign w:val="center"/>
          </w:tcPr>
          <w:p>
            <w:pPr>
              <w:widowControl/>
              <w:spacing w:line="240" w:lineRule="auto"/>
              <w:ind w:firstLine="0" w:firstLineChars="0"/>
              <w:jc w:val="center"/>
              <w:rPr>
                <w:rFonts w:cs="Times New Roman"/>
                <w:bCs/>
                <w:sz w:val="21"/>
                <w:szCs w:val="21"/>
              </w:rPr>
            </w:pPr>
          </w:p>
        </w:tc>
        <w:tc>
          <w:tcPr>
            <w:tcW w:w="1197" w:type="dxa"/>
            <w:vAlign w:val="center"/>
          </w:tcPr>
          <w:p>
            <w:pPr>
              <w:spacing w:line="240" w:lineRule="auto"/>
              <w:ind w:firstLine="0" w:firstLineChars="0"/>
              <w:jc w:val="center"/>
              <w:rPr>
                <w:rFonts w:cs="Times New Roman"/>
                <w:sz w:val="21"/>
                <w:szCs w:val="21"/>
              </w:rPr>
            </w:pPr>
            <w:r>
              <w:rPr>
                <w:rFonts w:cs="Times New Roman"/>
                <w:sz w:val="21"/>
                <w:szCs w:val="21"/>
              </w:rPr>
              <w:t>挖掘机</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73.0</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66.9</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63.4</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60.9</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59.0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55.5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53.0</w:t>
            </w:r>
          </w:p>
        </w:tc>
        <w:tc>
          <w:tcPr>
            <w:tcW w:w="856" w:type="dxa"/>
            <w:vAlign w:val="center"/>
          </w:tcPr>
          <w:p>
            <w:pPr>
              <w:spacing w:line="240" w:lineRule="auto"/>
              <w:ind w:firstLine="0" w:firstLineChars="0"/>
              <w:jc w:val="center"/>
              <w:rPr>
                <w:rFonts w:cs="Times New Roman"/>
                <w:sz w:val="21"/>
                <w:szCs w:val="21"/>
              </w:rPr>
            </w:pPr>
            <w:r>
              <w:rPr>
                <w:rFonts w:cs="Times New Roman"/>
                <w:sz w:val="21"/>
                <w:szCs w:val="21"/>
              </w:rPr>
              <w:t>49.4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restart"/>
            <w:vAlign w:val="center"/>
          </w:tcPr>
          <w:p>
            <w:pPr>
              <w:spacing w:line="240" w:lineRule="auto"/>
              <w:ind w:firstLine="0" w:firstLineChars="0"/>
              <w:jc w:val="center"/>
              <w:rPr>
                <w:rFonts w:cs="Times New Roman"/>
                <w:bCs/>
                <w:sz w:val="21"/>
                <w:szCs w:val="21"/>
              </w:rPr>
            </w:pPr>
            <w:r>
              <w:rPr>
                <w:rFonts w:cs="Times New Roman"/>
                <w:bCs/>
                <w:sz w:val="21"/>
                <w:szCs w:val="21"/>
              </w:rPr>
              <w:t>基础施工阶段</w:t>
            </w:r>
          </w:p>
        </w:tc>
        <w:tc>
          <w:tcPr>
            <w:tcW w:w="1197" w:type="dxa"/>
            <w:vAlign w:val="center"/>
          </w:tcPr>
          <w:p>
            <w:pPr>
              <w:spacing w:line="240" w:lineRule="auto"/>
              <w:ind w:firstLine="0" w:firstLineChars="0"/>
              <w:jc w:val="center"/>
              <w:rPr>
                <w:rFonts w:cs="Times New Roman"/>
                <w:sz w:val="21"/>
                <w:szCs w:val="21"/>
              </w:rPr>
            </w:pPr>
            <w:r>
              <w:rPr>
                <w:rFonts w:cs="Times New Roman"/>
                <w:sz w:val="21"/>
                <w:szCs w:val="21"/>
              </w:rPr>
              <w:t>静压式打桩机</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77.5</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71.5</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68.0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65.5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63.5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60.0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57.5</w:t>
            </w:r>
          </w:p>
        </w:tc>
        <w:tc>
          <w:tcPr>
            <w:tcW w:w="856" w:type="dxa"/>
            <w:vAlign w:val="center"/>
          </w:tcPr>
          <w:p>
            <w:pPr>
              <w:spacing w:line="240" w:lineRule="auto"/>
              <w:ind w:firstLine="0" w:firstLineChars="0"/>
              <w:jc w:val="center"/>
              <w:rPr>
                <w:rFonts w:cs="Times New Roman"/>
                <w:sz w:val="21"/>
                <w:szCs w:val="21"/>
              </w:rPr>
            </w:pPr>
            <w:r>
              <w:rPr>
                <w:rFonts w:cs="Times New Roman"/>
                <w:sz w:val="21"/>
                <w:szCs w:val="21"/>
              </w:rPr>
              <w:t>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continue"/>
            <w:vAlign w:val="center"/>
          </w:tcPr>
          <w:p>
            <w:pPr>
              <w:spacing w:line="240" w:lineRule="auto"/>
              <w:ind w:firstLine="0" w:firstLineChars="0"/>
              <w:jc w:val="center"/>
              <w:rPr>
                <w:rFonts w:cs="Times New Roman"/>
                <w:bCs/>
                <w:sz w:val="21"/>
                <w:szCs w:val="21"/>
              </w:rPr>
            </w:pPr>
          </w:p>
        </w:tc>
        <w:tc>
          <w:tcPr>
            <w:tcW w:w="1197" w:type="dxa"/>
            <w:vAlign w:val="center"/>
          </w:tcPr>
          <w:p>
            <w:pPr>
              <w:spacing w:line="240" w:lineRule="auto"/>
              <w:ind w:firstLine="0" w:firstLineChars="0"/>
              <w:jc w:val="center"/>
              <w:rPr>
                <w:rFonts w:cs="Times New Roman"/>
                <w:sz w:val="21"/>
                <w:szCs w:val="21"/>
              </w:rPr>
            </w:pPr>
            <w:r>
              <w:rPr>
                <w:rFonts w:cs="Times New Roman"/>
                <w:sz w:val="21"/>
                <w:szCs w:val="21"/>
              </w:rPr>
              <w:t>钻孔式灌注桩机</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78.5</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72.5</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69.0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66.5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64.5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61.0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58.5</w:t>
            </w:r>
          </w:p>
        </w:tc>
        <w:tc>
          <w:tcPr>
            <w:tcW w:w="856" w:type="dxa"/>
            <w:vAlign w:val="center"/>
          </w:tcPr>
          <w:p>
            <w:pPr>
              <w:spacing w:line="240" w:lineRule="auto"/>
              <w:ind w:firstLine="0" w:firstLineChars="0"/>
              <w:jc w:val="center"/>
              <w:rPr>
                <w:rFonts w:cs="Times New Roman"/>
                <w:sz w:val="21"/>
                <w:szCs w:val="21"/>
              </w:rPr>
            </w:pPr>
            <w:r>
              <w:rPr>
                <w:rFonts w:cs="Times New Roman"/>
                <w:sz w:val="21"/>
                <w:szCs w:val="21"/>
              </w:rPr>
              <w:t>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continue"/>
            <w:vAlign w:val="center"/>
          </w:tcPr>
          <w:p>
            <w:pPr>
              <w:widowControl/>
              <w:spacing w:line="240" w:lineRule="auto"/>
              <w:ind w:firstLine="0" w:firstLineChars="0"/>
              <w:jc w:val="center"/>
              <w:rPr>
                <w:rFonts w:cs="Times New Roman"/>
                <w:bCs/>
                <w:sz w:val="21"/>
                <w:szCs w:val="21"/>
              </w:rPr>
            </w:pPr>
          </w:p>
        </w:tc>
        <w:tc>
          <w:tcPr>
            <w:tcW w:w="1197" w:type="dxa"/>
            <w:vAlign w:val="center"/>
          </w:tcPr>
          <w:p>
            <w:pPr>
              <w:spacing w:line="240" w:lineRule="auto"/>
              <w:ind w:firstLine="0" w:firstLineChars="0"/>
              <w:jc w:val="center"/>
              <w:rPr>
                <w:rFonts w:cs="Times New Roman"/>
                <w:sz w:val="21"/>
                <w:szCs w:val="21"/>
              </w:rPr>
            </w:pPr>
            <w:r>
              <w:rPr>
                <w:rFonts w:cs="Times New Roman"/>
                <w:sz w:val="21"/>
                <w:szCs w:val="21"/>
              </w:rPr>
              <w:t>空压机</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75.5</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69.5</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66.0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63.5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61.5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58.0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55.5</w:t>
            </w:r>
          </w:p>
        </w:tc>
        <w:tc>
          <w:tcPr>
            <w:tcW w:w="856" w:type="dxa"/>
            <w:vAlign w:val="center"/>
          </w:tcPr>
          <w:p>
            <w:pPr>
              <w:spacing w:line="240" w:lineRule="auto"/>
              <w:ind w:firstLine="0" w:firstLineChars="0"/>
              <w:jc w:val="center"/>
              <w:rPr>
                <w:rFonts w:cs="Times New Roman"/>
                <w:sz w:val="21"/>
                <w:szCs w:val="21"/>
              </w:rPr>
            </w:pPr>
            <w:r>
              <w:rPr>
                <w:rFonts w:cs="Times New Roman"/>
                <w:sz w:val="21"/>
                <w:szCs w:val="21"/>
              </w:rPr>
              <w:t>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restart"/>
            <w:vAlign w:val="center"/>
          </w:tcPr>
          <w:p>
            <w:pPr>
              <w:spacing w:line="240" w:lineRule="auto"/>
              <w:ind w:firstLine="0" w:firstLineChars="0"/>
              <w:jc w:val="center"/>
              <w:rPr>
                <w:rFonts w:cs="Times New Roman"/>
                <w:bCs/>
                <w:sz w:val="21"/>
                <w:szCs w:val="21"/>
              </w:rPr>
            </w:pPr>
            <w:r>
              <w:rPr>
                <w:rFonts w:cs="Times New Roman"/>
                <w:bCs/>
                <w:sz w:val="21"/>
                <w:szCs w:val="21"/>
              </w:rPr>
              <w:t>结构施工阶段</w:t>
            </w:r>
          </w:p>
        </w:tc>
        <w:tc>
          <w:tcPr>
            <w:tcW w:w="1197" w:type="dxa"/>
            <w:vAlign w:val="center"/>
          </w:tcPr>
          <w:p>
            <w:pPr>
              <w:spacing w:line="240" w:lineRule="auto"/>
              <w:ind w:firstLine="0" w:firstLineChars="0"/>
              <w:jc w:val="center"/>
              <w:rPr>
                <w:rFonts w:cs="Times New Roman"/>
                <w:sz w:val="21"/>
                <w:szCs w:val="21"/>
              </w:rPr>
            </w:pPr>
            <w:r>
              <w:rPr>
                <w:rFonts w:cs="Times New Roman"/>
                <w:sz w:val="21"/>
                <w:szCs w:val="21"/>
              </w:rPr>
              <w:t>吊车</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70.5</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64.5</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61.0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58.5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56.5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53.0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50.5</w:t>
            </w:r>
          </w:p>
        </w:tc>
        <w:tc>
          <w:tcPr>
            <w:tcW w:w="856" w:type="dxa"/>
            <w:vAlign w:val="center"/>
          </w:tcPr>
          <w:p>
            <w:pPr>
              <w:spacing w:line="240" w:lineRule="auto"/>
              <w:ind w:firstLine="0" w:firstLineChars="0"/>
              <w:jc w:val="center"/>
              <w:rPr>
                <w:rFonts w:cs="Times New Roman"/>
                <w:sz w:val="21"/>
                <w:szCs w:val="21"/>
              </w:rPr>
            </w:pPr>
            <w:r>
              <w:rPr>
                <w:rFonts w:cs="Times New Roman"/>
                <w:sz w:val="21"/>
                <w:szCs w:val="21"/>
              </w:rPr>
              <w:t>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continue"/>
            <w:vAlign w:val="center"/>
          </w:tcPr>
          <w:p>
            <w:pPr>
              <w:widowControl/>
              <w:spacing w:line="240" w:lineRule="auto"/>
              <w:ind w:firstLine="0" w:firstLineChars="0"/>
              <w:jc w:val="center"/>
              <w:rPr>
                <w:rFonts w:cs="Times New Roman"/>
                <w:bCs/>
                <w:sz w:val="21"/>
                <w:szCs w:val="21"/>
              </w:rPr>
            </w:pPr>
          </w:p>
        </w:tc>
        <w:tc>
          <w:tcPr>
            <w:tcW w:w="1197" w:type="dxa"/>
            <w:vAlign w:val="center"/>
          </w:tcPr>
          <w:p>
            <w:pPr>
              <w:spacing w:line="240" w:lineRule="auto"/>
              <w:ind w:firstLine="0" w:firstLineChars="0"/>
              <w:jc w:val="center"/>
              <w:rPr>
                <w:rFonts w:cs="Times New Roman"/>
                <w:sz w:val="21"/>
                <w:szCs w:val="21"/>
              </w:rPr>
            </w:pPr>
            <w:r>
              <w:rPr>
                <w:rFonts w:cs="Times New Roman"/>
                <w:sz w:val="21"/>
                <w:szCs w:val="21"/>
              </w:rPr>
              <w:t>振捣棒</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67.0</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61.0</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57.4</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54.9</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53.0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49.5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47.0</w:t>
            </w:r>
          </w:p>
        </w:tc>
        <w:tc>
          <w:tcPr>
            <w:tcW w:w="856" w:type="dxa"/>
            <w:vAlign w:val="center"/>
          </w:tcPr>
          <w:p>
            <w:pPr>
              <w:spacing w:line="240" w:lineRule="auto"/>
              <w:ind w:firstLine="0" w:firstLineChars="0"/>
              <w:jc w:val="center"/>
              <w:rPr>
                <w:rFonts w:cs="Times New Roman"/>
                <w:sz w:val="21"/>
                <w:szCs w:val="21"/>
              </w:rPr>
            </w:pPr>
            <w:r>
              <w:rPr>
                <w:rFonts w:cs="Times New Roman"/>
                <w:sz w:val="21"/>
                <w:szCs w:val="21"/>
              </w:rPr>
              <w:t>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restart"/>
            <w:vAlign w:val="center"/>
          </w:tcPr>
          <w:p>
            <w:pPr>
              <w:spacing w:line="240" w:lineRule="auto"/>
              <w:ind w:firstLine="0" w:firstLineChars="0"/>
              <w:jc w:val="center"/>
              <w:rPr>
                <w:rFonts w:cs="Times New Roman"/>
                <w:bCs/>
                <w:sz w:val="21"/>
                <w:szCs w:val="21"/>
              </w:rPr>
            </w:pPr>
            <w:r>
              <w:rPr>
                <w:rFonts w:cs="Times New Roman"/>
                <w:bCs/>
                <w:sz w:val="21"/>
                <w:szCs w:val="21"/>
              </w:rPr>
              <w:t>装修阶段</w:t>
            </w:r>
          </w:p>
        </w:tc>
        <w:tc>
          <w:tcPr>
            <w:tcW w:w="1197" w:type="dxa"/>
            <w:vAlign w:val="center"/>
          </w:tcPr>
          <w:p>
            <w:pPr>
              <w:spacing w:line="240" w:lineRule="auto"/>
              <w:ind w:firstLine="0" w:firstLineChars="0"/>
              <w:jc w:val="center"/>
              <w:rPr>
                <w:rFonts w:cs="Times New Roman"/>
                <w:sz w:val="21"/>
                <w:szCs w:val="21"/>
              </w:rPr>
            </w:pPr>
            <w:r>
              <w:rPr>
                <w:rFonts w:cs="Times New Roman"/>
                <w:sz w:val="21"/>
                <w:szCs w:val="21"/>
              </w:rPr>
              <w:t>电锯</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77.0</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71.0</w:t>
            </w:r>
          </w:p>
        </w:tc>
        <w:tc>
          <w:tcPr>
            <w:tcW w:w="752" w:type="dxa"/>
            <w:vAlign w:val="center"/>
          </w:tcPr>
          <w:p>
            <w:pPr>
              <w:spacing w:line="240" w:lineRule="auto"/>
              <w:ind w:firstLine="0" w:firstLineChars="0"/>
              <w:jc w:val="center"/>
              <w:rPr>
                <w:rFonts w:cs="Times New Roman"/>
                <w:sz w:val="21"/>
                <w:szCs w:val="21"/>
              </w:rPr>
            </w:pPr>
            <w:r>
              <w:rPr>
                <w:rFonts w:cs="Times New Roman"/>
                <w:sz w:val="21"/>
                <w:szCs w:val="21"/>
              </w:rPr>
              <w:t>67.4</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64.9</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63.0</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59.5</w:t>
            </w:r>
          </w:p>
        </w:tc>
        <w:tc>
          <w:tcPr>
            <w:tcW w:w="853" w:type="dxa"/>
            <w:vAlign w:val="center"/>
          </w:tcPr>
          <w:p>
            <w:pPr>
              <w:spacing w:line="240" w:lineRule="auto"/>
              <w:ind w:firstLine="0" w:firstLineChars="0"/>
              <w:jc w:val="center"/>
              <w:rPr>
                <w:rFonts w:cs="Times New Roman"/>
                <w:sz w:val="21"/>
                <w:szCs w:val="21"/>
              </w:rPr>
            </w:pPr>
            <w:r>
              <w:rPr>
                <w:rFonts w:cs="Times New Roman"/>
                <w:sz w:val="21"/>
                <w:szCs w:val="21"/>
              </w:rPr>
              <w:t>57.0</w:t>
            </w:r>
          </w:p>
        </w:tc>
        <w:tc>
          <w:tcPr>
            <w:tcW w:w="856" w:type="dxa"/>
            <w:vAlign w:val="center"/>
          </w:tcPr>
          <w:p>
            <w:pPr>
              <w:spacing w:line="240" w:lineRule="auto"/>
              <w:ind w:firstLine="0" w:firstLineChars="0"/>
              <w:jc w:val="center"/>
              <w:rPr>
                <w:rFonts w:cs="Times New Roman"/>
                <w:sz w:val="21"/>
                <w:szCs w:val="21"/>
              </w:rPr>
            </w:pPr>
            <w:r>
              <w:rPr>
                <w:rFonts w:cs="Times New Roman"/>
                <w:sz w:val="21"/>
                <w:szCs w:val="21"/>
              </w:rPr>
              <w:t>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continue"/>
            <w:vAlign w:val="center"/>
          </w:tcPr>
          <w:p>
            <w:pPr>
              <w:widowControl/>
              <w:spacing w:line="240" w:lineRule="auto"/>
              <w:ind w:firstLine="0" w:firstLineChars="0"/>
              <w:jc w:val="center"/>
              <w:rPr>
                <w:rFonts w:cs="Times New Roman"/>
                <w:bCs/>
                <w:sz w:val="21"/>
                <w:szCs w:val="21"/>
              </w:rPr>
            </w:pPr>
          </w:p>
        </w:tc>
        <w:tc>
          <w:tcPr>
            <w:tcW w:w="1197" w:type="dxa"/>
            <w:vAlign w:val="center"/>
          </w:tcPr>
          <w:p>
            <w:pPr>
              <w:spacing w:line="240" w:lineRule="auto"/>
              <w:ind w:firstLine="0" w:firstLineChars="0"/>
              <w:jc w:val="center"/>
              <w:rPr>
                <w:rFonts w:cs="Times New Roman"/>
                <w:bCs/>
                <w:sz w:val="21"/>
                <w:szCs w:val="21"/>
              </w:rPr>
            </w:pPr>
            <w:r>
              <w:rPr>
                <w:rFonts w:cs="Times New Roman"/>
                <w:bCs/>
                <w:sz w:val="21"/>
                <w:szCs w:val="21"/>
              </w:rPr>
              <w:t>无齿锯</w:t>
            </w:r>
          </w:p>
        </w:tc>
        <w:tc>
          <w:tcPr>
            <w:tcW w:w="752" w:type="dxa"/>
            <w:vAlign w:val="center"/>
          </w:tcPr>
          <w:p>
            <w:pPr>
              <w:spacing w:line="240" w:lineRule="auto"/>
              <w:ind w:firstLine="0" w:firstLineChars="0"/>
              <w:jc w:val="center"/>
              <w:rPr>
                <w:rFonts w:cs="Times New Roman"/>
                <w:bCs/>
                <w:sz w:val="21"/>
                <w:szCs w:val="21"/>
              </w:rPr>
            </w:pPr>
            <w:r>
              <w:rPr>
                <w:rFonts w:cs="Times New Roman"/>
                <w:bCs/>
                <w:sz w:val="21"/>
                <w:szCs w:val="21"/>
              </w:rPr>
              <w:t>70.5</w:t>
            </w:r>
          </w:p>
        </w:tc>
        <w:tc>
          <w:tcPr>
            <w:tcW w:w="752" w:type="dxa"/>
            <w:vAlign w:val="center"/>
          </w:tcPr>
          <w:p>
            <w:pPr>
              <w:spacing w:line="240" w:lineRule="auto"/>
              <w:ind w:firstLine="0" w:firstLineChars="0"/>
              <w:jc w:val="center"/>
              <w:rPr>
                <w:rFonts w:cs="Times New Roman"/>
                <w:bCs/>
                <w:sz w:val="21"/>
                <w:szCs w:val="21"/>
              </w:rPr>
            </w:pPr>
            <w:r>
              <w:rPr>
                <w:rFonts w:cs="Times New Roman"/>
                <w:bCs/>
                <w:sz w:val="21"/>
                <w:szCs w:val="21"/>
              </w:rPr>
              <w:t>64.5</w:t>
            </w:r>
          </w:p>
        </w:tc>
        <w:tc>
          <w:tcPr>
            <w:tcW w:w="752" w:type="dxa"/>
            <w:vAlign w:val="center"/>
          </w:tcPr>
          <w:p>
            <w:pPr>
              <w:spacing w:line="240" w:lineRule="auto"/>
              <w:ind w:firstLine="0" w:firstLineChars="0"/>
              <w:jc w:val="center"/>
              <w:rPr>
                <w:rFonts w:cs="Times New Roman"/>
                <w:bCs/>
                <w:sz w:val="21"/>
                <w:szCs w:val="21"/>
              </w:rPr>
            </w:pPr>
            <w:r>
              <w:rPr>
                <w:rFonts w:cs="Times New Roman"/>
                <w:bCs/>
                <w:sz w:val="21"/>
                <w:szCs w:val="21"/>
              </w:rPr>
              <w:t>61.0</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58.5</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56.5</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53.0</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50.5</w:t>
            </w:r>
          </w:p>
        </w:tc>
        <w:tc>
          <w:tcPr>
            <w:tcW w:w="856" w:type="dxa"/>
            <w:vAlign w:val="center"/>
          </w:tcPr>
          <w:p>
            <w:pPr>
              <w:spacing w:line="240" w:lineRule="auto"/>
              <w:ind w:firstLine="0" w:firstLineChars="0"/>
              <w:jc w:val="center"/>
              <w:rPr>
                <w:rFonts w:cs="Times New Roman"/>
                <w:bCs/>
                <w:sz w:val="21"/>
                <w:szCs w:val="21"/>
              </w:rPr>
            </w:pPr>
            <w:r>
              <w:rPr>
                <w:rFonts w:cs="Times New Roman"/>
                <w:bCs/>
                <w:sz w:val="21"/>
                <w:szCs w:val="21"/>
              </w:rPr>
              <w:t>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Merge w:val="continue"/>
            <w:vAlign w:val="center"/>
          </w:tcPr>
          <w:p>
            <w:pPr>
              <w:widowControl/>
              <w:spacing w:line="240" w:lineRule="auto"/>
              <w:ind w:firstLine="0" w:firstLineChars="0"/>
              <w:jc w:val="center"/>
              <w:rPr>
                <w:rFonts w:cs="Times New Roman"/>
                <w:bCs/>
                <w:sz w:val="21"/>
                <w:szCs w:val="21"/>
              </w:rPr>
            </w:pPr>
          </w:p>
        </w:tc>
        <w:tc>
          <w:tcPr>
            <w:tcW w:w="1197" w:type="dxa"/>
            <w:vAlign w:val="center"/>
          </w:tcPr>
          <w:p>
            <w:pPr>
              <w:spacing w:line="240" w:lineRule="auto"/>
              <w:ind w:firstLine="0" w:firstLineChars="0"/>
              <w:jc w:val="center"/>
              <w:rPr>
                <w:rFonts w:cs="Times New Roman"/>
                <w:bCs/>
                <w:sz w:val="21"/>
                <w:szCs w:val="21"/>
              </w:rPr>
            </w:pPr>
            <w:r>
              <w:rPr>
                <w:rFonts w:cs="Times New Roman"/>
                <w:bCs/>
                <w:sz w:val="21"/>
                <w:szCs w:val="21"/>
              </w:rPr>
              <w:t>手工钻</w:t>
            </w:r>
          </w:p>
        </w:tc>
        <w:tc>
          <w:tcPr>
            <w:tcW w:w="752" w:type="dxa"/>
            <w:vAlign w:val="center"/>
          </w:tcPr>
          <w:p>
            <w:pPr>
              <w:spacing w:line="240" w:lineRule="auto"/>
              <w:ind w:firstLine="0" w:firstLineChars="0"/>
              <w:jc w:val="center"/>
              <w:rPr>
                <w:rFonts w:cs="Times New Roman"/>
                <w:bCs/>
                <w:sz w:val="21"/>
                <w:szCs w:val="21"/>
              </w:rPr>
            </w:pPr>
            <w:r>
              <w:rPr>
                <w:rFonts w:cs="Times New Roman"/>
                <w:bCs/>
                <w:sz w:val="21"/>
                <w:szCs w:val="21"/>
              </w:rPr>
              <w:t>77.0</w:t>
            </w:r>
          </w:p>
        </w:tc>
        <w:tc>
          <w:tcPr>
            <w:tcW w:w="752" w:type="dxa"/>
            <w:vAlign w:val="center"/>
          </w:tcPr>
          <w:p>
            <w:pPr>
              <w:spacing w:line="240" w:lineRule="auto"/>
              <w:ind w:firstLine="0" w:firstLineChars="0"/>
              <w:jc w:val="center"/>
              <w:rPr>
                <w:rFonts w:cs="Times New Roman"/>
                <w:bCs/>
                <w:sz w:val="21"/>
                <w:szCs w:val="21"/>
              </w:rPr>
            </w:pPr>
            <w:r>
              <w:rPr>
                <w:rFonts w:cs="Times New Roman"/>
                <w:bCs/>
                <w:sz w:val="21"/>
                <w:szCs w:val="21"/>
              </w:rPr>
              <w:t>71.0</w:t>
            </w:r>
          </w:p>
        </w:tc>
        <w:tc>
          <w:tcPr>
            <w:tcW w:w="752" w:type="dxa"/>
            <w:vAlign w:val="center"/>
          </w:tcPr>
          <w:p>
            <w:pPr>
              <w:spacing w:line="240" w:lineRule="auto"/>
              <w:ind w:firstLine="0" w:firstLineChars="0"/>
              <w:jc w:val="center"/>
              <w:rPr>
                <w:rFonts w:cs="Times New Roman"/>
                <w:bCs/>
                <w:sz w:val="21"/>
                <w:szCs w:val="21"/>
              </w:rPr>
            </w:pPr>
            <w:r>
              <w:rPr>
                <w:rFonts w:cs="Times New Roman"/>
                <w:bCs/>
                <w:sz w:val="21"/>
                <w:szCs w:val="21"/>
              </w:rPr>
              <w:t>67.4</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64.9</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63.0</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59.5</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57.0</w:t>
            </w:r>
          </w:p>
        </w:tc>
        <w:tc>
          <w:tcPr>
            <w:tcW w:w="856" w:type="dxa"/>
            <w:vAlign w:val="center"/>
          </w:tcPr>
          <w:p>
            <w:pPr>
              <w:spacing w:line="240" w:lineRule="auto"/>
              <w:ind w:firstLine="0" w:firstLineChars="0"/>
              <w:jc w:val="center"/>
              <w:rPr>
                <w:rFonts w:cs="Times New Roman"/>
                <w:bCs/>
                <w:sz w:val="21"/>
                <w:szCs w:val="21"/>
              </w:rPr>
            </w:pPr>
            <w:r>
              <w:rPr>
                <w:rFonts w:cs="Times New Roman"/>
                <w:bCs/>
                <w:sz w:val="21"/>
                <w:szCs w:val="21"/>
              </w:rPr>
              <w:t>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dxa"/>
            <w:vAlign w:val="center"/>
          </w:tcPr>
          <w:p>
            <w:pPr>
              <w:widowControl/>
              <w:spacing w:line="240" w:lineRule="auto"/>
              <w:ind w:firstLine="0" w:firstLineChars="0"/>
              <w:jc w:val="center"/>
              <w:rPr>
                <w:rFonts w:cs="Times New Roman"/>
                <w:bCs/>
                <w:sz w:val="21"/>
                <w:szCs w:val="21"/>
              </w:rPr>
            </w:pPr>
            <w:r>
              <w:rPr>
                <w:rFonts w:cs="Times New Roman"/>
                <w:bCs/>
                <w:sz w:val="21"/>
                <w:szCs w:val="21"/>
              </w:rPr>
              <w:t>运输车辆</w:t>
            </w:r>
          </w:p>
        </w:tc>
        <w:tc>
          <w:tcPr>
            <w:tcW w:w="1197" w:type="dxa"/>
            <w:vAlign w:val="center"/>
          </w:tcPr>
          <w:p>
            <w:pPr>
              <w:spacing w:line="240" w:lineRule="auto"/>
              <w:ind w:firstLine="0" w:firstLineChars="0"/>
              <w:jc w:val="center"/>
              <w:rPr>
                <w:rFonts w:cs="Times New Roman"/>
                <w:bCs/>
                <w:sz w:val="21"/>
                <w:szCs w:val="21"/>
              </w:rPr>
            </w:pPr>
            <w:r>
              <w:rPr>
                <w:rFonts w:cs="Times New Roman"/>
                <w:bCs/>
                <w:sz w:val="21"/>
                <w:szCs w:val="21"/>
              </w:rPr>
              <w:t>运输车辆</w:t>
            </w:r>
          </w:p>
        </w:tc>
        <w:tc>
          <w:tcPr>
            <w:tcW w:w="752" w:type="dxa"/>
            <w:vAlign w:val="center"/>
          </w:tcPr>
          <w:p>
            <w:pPr>
              <w:spacing w:line="240" w:lineRule="auto"/>
              <w:ind w:firstLine="0" w:firstLineChars="0"/>
              <w:jc w:val="center"/>
              <w:rPr>
                <w:rFonts w:cs="Times New Roman"/>
                <w:bCs/>
                <w:sz w:val="21"/>
                <w:szCs w:val="21"/>
              </w:rPr>
            </w:pPr>
            <w:r>
              <w:rPr>
                <w:rFonts w:cs="Times New Roman"/>
                <w:bCs/>
                <w:sz w:val="21"/>
                <w:szCs w:val="21"/>
              </w:rPr>
              <w:t>68.0</w:t>
            </w:r>
          </w:p>
        </w:tc>
        <w:tc>
          <w:tcPr>
            <w:tcW w:w="752" w:type="dxa"/>
            <w:vAlign w:val="center"/>
          </w:tcPr>
          <w:p>
            <w:pPr>
              <w:spacing w:line="240" w:lineRule="auto"/>
              <w:ind w:firstLine="0" w:firstLineChars="0"/>
              <w:jc w:val="center"/>
              <w:rPr>
                <w:rFonts w:cs="Times New Roman"/>
                <w:bCs/>
                <w:sz w:val="21"/>
                <w:szCs w:val="21"/>
              </w:rPr>
            </w:pPr>
            <w:r>
              <w:rPr>
                <w:rFonts w:cs="Times New Roman"/>
                <w:bCs/>
                <w:sz w:val="21"/>
                <w:szCs w:val="21"/>
              </w:rPr>
              <w:t>62.0</w:t>
            </w:r>
          </w:p>
        </w:tc>
        <w:tc>
          <w:tcPr>
            <w:tcW w:w="752" w:type="dxa"/>
            <w:vAlign w:val="center"/>
          </w:tcPr>
          <w:p>
            <w:pPr>
              <w:spacing w:line="240" w:lineRule="auto"/>
              <w:ind w:firstLine="0" w:firstLineChars="0"/>
              <w:jc w:val="center"/>
              <w:rPr>
                <w:rFonts w:cs="Times New Roman"/>
                <w:bCs/>
                <w:sz w:val="21"/>
                <w:szCs w:val="21"/>
              </w:rPr>
            </w:pPr>
            <w:r>
              <w:rPr>
                <w:rFonts w:cs="Times New Roman"/>
                <w:bCs/>
                <w:sz w:val="21"/>
                <w:szCs w:val="21"/>
              </w:rPr>
              <w:t>58.5</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56.0</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54.0</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50.5</w:t>
            </w:r>
          </w:p>
        </w:tc>
        <w:tc>
          <w:tcPr>
            <w:tcW w:w="853" w:type="dxa"/>
            <w:vAlign w:val="center"/>
          </w:tcPr>
          <w:p>
            <w:pPr>
              <w:spacing w:line="240" w:lineRule="auto"/>
              <w:ind w:firstLine="0" w:firstLineChars="0"/>
              <w:jc w:val="center"/>
              <w:rPr>
                <w:rFonts w:cs="Times New Roman"/>
                <w:bCs/>
                <w:sz w:val="21"/>
                <w:szCs w:val="21"/>
              </w:rPr>
            </w:pPr>
            <w:r>
              <w:rPr>
                <w:rFonts w:cs="Times New Roman"/>
                <w:bCs/>
                <w:sz w:val="21"/>
                <w:szCs w:val="21"/>
              </w:rPr>
              <w:t>48.0</w:t>
            </w:r>
          </w:p>
        </w:tc>
        <w:tc>
          <w:tcPr>
            <w:tcW w:w="856" w:type="dxa"/>
            <w:vAlign w:val="center"/>
          </w:tcPr>
          <w:p>
            <w:pPr>
              <w:spacing w:line="240" w:lineRule="auto"/>
              <w:ind w:firstLine="0" w:firstLineChars="0"/>
              <w:jc w:val="center"/>
              <w:rPr>
                <w:rFonts w:cs="Times New Roman"/>
                <w:bCs/>
                <w:sz w:val="21"/>
                <w:szCs w:val="21"/>
              </w:rPr>
            </w:pPr>
            <w:r>
              <w:rPr>
                <w:rFonts w:cs="Times New Roman"/>
                <w:bCs/>
                <w:sz w:val="21"/>
                <w:szCs w:val="21"/>
              </w:rPr>
              <w:t>44.5</w:t>
            </w:r>
          </w:p>
        </w:tc>
      </w:tr>
    </w:tbl>
    <w:p>
      <w:pPr>
        <w:pStyle w:val="43"/>
        <w:adjustRightInd w:val="0"/>
        <w:snapToGrid w:val="0"/>
        <w:spacing w:before="163" w:beforeLines="50" w:after="0"/>
        <w:ind w:firstLine="0" w:firstLineChars="0"/>
        <w:jc w:val="center"/>
        <w:rPr>
          <w:rFonts w:ascii="Times New Roman" w:hAnsi="Times New Roman"/>
          <w:b/>
          <w:sz w:val="24"/>
          <w:szCs w:val="36"/>
        </w:rPr>
      </w:pPr>
    </w:p>
    <w:p>
      <w:pPr>
        <w:pStyle w:val="43"/>
        <w:adjustRightInd w:val="0"/>
        <w:snapToGrid w:val="0"/>
        <w:spacing w:before="163" w:beforeLines="50" w:after="0"/>
        <w:ind w:firstLine="0" w:firstLineChars="0"/>
        <w:jc w:val="center"/>
        <w:rPr>
          <w:rFonts w:ascii="Times New Roman" w:hAnsi="Times New Roman"/>
          <w:b/>
          <w:sz w:val="24"/>
          <w:szCs w:val="36"/>
        </w:rPr>
      </w:pPr>
    </w:p>
    <w:p>
      <w:pPr>
        <w:pStyle w:val="43"/>
        <w:adjustRightInd w:val="0"/>
        <w:snapToGrid w:val="0"/>
        <w:spacing w:before="163" w:beforeLines="50" w:after="0"/>
        <w:ind w:firstLine="0" w:firstLineChars="0"/>
        <w:jc w:val="center"/>
        <w:rPr>
          <w:rFonts w:ascii="Times New Roman" w:hAnsi="Times New Roman"/>
          <w:b/>
          <w:sz w:val="24"/>
          <w:szCs w:val="36"/>
        </w:rPr>
      </w:pPr>
      <w:r>
        <w:rPr>
          <w:rFonts w:ascii="Times New Roman" w:hAnsi="Times New Roman"/>
          <w:b/>
          <w:sz w:val="24"/>
          <w:szCs w:val="36"/>
        </w:rPr>
        <w:t>表5.1-4  主要施工机械和车辆的噪声影响范围</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0"/>
        <w:gridCol w:w="1997"/>
        <w:gridCol w:w="1254"/>
        <w:gridCol w:w="1177"/>
        <w:gridCol w:w="1329"/>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restart"/>
            <w:vAlign w:val="center"/>
          </w:tcPr>
          <w:p>
            <w:pPr>
              <w:spacing w:line="240" w:lineRule="auto"/>
              <w:ind w:firstLine="0" w:firstLineChars="0"/>
              <w:jc w:val="center"/>
              <w:rPr>
                <w:rFonts w:cs="Times New Roman"/>
                <w:b/>
                <w:bCs/>
                <w:sz w:val="21"/>
                <w:szCs w:val="21"/>
              </w:rPr>
            </w:pPr>
            <w:r>
              <w:rPr>
                <w:rFonts w:cs="Times New Roman"/>
                <w:b/>
                <w:bCs/>
                <w:sz w:val="21"/>
                <w:szCs w:val="21"/>
              </w:rPr>
              <w:t>施工阶段</w:t>
            </w:r>
          </w:p>
        </w:tc>
        <w:tc>
          <w:tcPr>
            <w:tcW w:w="1997" w:type="dxa"/>
            <w:vMerge w:val="restart"/>
            <w:vAlign w:val="center"/>
          </w:tcPr>
          <w:p>
            <w:pPr>
              <w:spacing w:line="240" w:lineRule="auto"/>
              <w:ind w:firstLine="0" w:firstLineChars="0"/>
              <w:jc w:val="center"/>
              <w:rPr>
                <w:rFonts w:cs="Times New Roman"/>
                <w:b/>
                <w:bCs/>
                <w:sz w:val="21"/>
                <w:szCs w:val="21"/>
              </w:rPr>
            </w:pPr>
            <w:r>
              <w:rPr>
                <w:rFonts w:cs="Times New Roman"/>
                <w:b/>
                <w:bCs/>
                <w:sz w:val="21"/>
                <w:szCs w:val="21"/>
              </w:rPr>
              <w:t>设备名称</w:t>
            </w:r>
          </w:p>
        </w:tc>
        <w:tc>
          <w:tcPr>
            <w:tcW w:w="2431" w:type="dxa"/>
            <w:gridSpan w:val="2"/>
            <w:vAlign w:val="center"/>
          </w:tcPr>
          <w:p>
            <w:pPr>
              <w:spacing w:line="240" w:lineRule="auto"/>
              <w:ind w:firstLine="0" w:firstLineChars="0"/>
              <w:jc w:val="center"/>
              <w:rPr>
                <w:rFonts w:cs="Times New Roman"/>
                <w:b/>
                <w:bCs/>
                <w:sz w:val="21"/>
                <w:szCs w:val="21"/>
              </w:rPr>
            </w:pPr>
            <w:r>
              <w:rPr>
                <w:rFonts w:cs="Times New Roman"/>
                <w:b/>
                <w:bCs/>
                <w:sz w:val="21"/>
                <w:szCs w:val="21"/>
              </w:rPr>
              <w:t>限值标准（dB）</w:t>
            </w:r>
          </w:p>
        </w:tc>
        <w:tc>
          <w:tcPr>
            <w:tcW w:w="2750" w:type="dxa"/>
            <w:gridSpan w:val="2"/>
            <w:vAlign w:val="center"/>
          </w:tcPr>
          <w:p>
            <w:pPr>
              <w:spacing w:line="240" w:lineRule="auto"/>
              <w:ind w:firstLine="0" w:firstLineChars="0"/>
              <w:jc w:val="center"/>
              <w:rPr>
                <w:rFonts w:cs="Times New Roman"/>
                <w:b/>
                <w:bCs/>
                <w:sz w:val="21"/>
                <w:szCs w:val="21"/>
              </w:rPr>
            </w:pPr>
            <w:r>
              <w:rPr>
                <w:rFonts w:cs="Times New Roman"/>
                <w:b/>
                <w:bCs/>
                <w:sz w:val="21"/>
                <w:szCs w:val="21"/>
              </w:rPr>
              <w:t>影响范围（m）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continue"/>
            <w:vAlign w:val="center"/>
          </w:tcPr>
          <w:p>
            <w:pPr>
              <w:widowControl/>
              <w:spacing w:line="240" w:lineRule="auto"/>
              <w:ind w:firstLine="0" w:firstLineChars="0"/>
              <w:jc w:val="center"/>
              <w:rPr>
                <w:rFonts w:cs="Times New Roman"/>
                <w:b/>
                <w:bCs/>
                <w:sz w:val="21"/>
                <w:szCs w:val="21"/>
              </w:rPr>
            </w:pPr>
          </w:p>
        </w:tc>
        <w:tc>
          <w:tcPr>
            <w:tcW w:w="1997" w:type="dxa"/>
            <w:vMerge w:val="continue"/>
            <w:vAlign w:val="center"/>
          </w:tcPr>
          <w:p>
            <w:pPr>
              <w:widowControl/>
              <w:spacing w:line="240" w:lineRule="auto"/>
              <w:ind w:firstLine="0" w:firstLineChars="0"/>
              <w:jc w:val="center"/>
              <w:rPr>
                <w:rFonts w:cs="Times New Roman"/>
                <w:b/>
                <w:bCs/>
                <w:sz w:val="21"/>
                <w:szCs w:val="21"/>
              </w:rPr>
            </w:pPr>
          </w:p>
        </w:tc>
        <w:tc>
          <w:tcPr>
            <w:tcW w:w="1254" w:type="dxa"/>
            <w:vAlign w:val="center"/>
          </w:tcPr>
          <w:p>
            <w:pPr>
              <w:spacing w:line="240" w:lineRule="auto"/>
              <w:ind w:firstLine="0" w:firstLineChars="0"/>
              <w:jc w:val="center"/>
              <w:rPr>
                <w:rFonts w:cs="Times New Roman"/>
                <w:b/>
                <w:sz w:val="21"/>
                <w:szCs w:val="21"/>
              </w:rPr>
            </w:pPr>
            <w:r>
              <w:rPr>
                <w:rFonts w:cs="Times New Roman"/>
                <w:b/>
                <w:sz w:val="21"/>
                <w:szCs w:val="21"/>
              </w:rPr>
              <w:t>昼间</w:t>
            </w:r>
          </w:p>
        </w:tc>
        <w:tc>
          <w:tcPr>
            <w:tcW w:w="1177" w:type="dxa"/>
            <w:vAlign w:val="center"/>
          </w:tcPr>
          <w:p>
            <w:pPr>
              <w:spacing w:line="240" w:lineRule="auto"/>
              <w:ind w:firstLine="0" w:firstLineChars="0"/>
              <w:jc w:val="center"/>
              <w:rPr>
                <w:rFonts w:cs="Times New Roman"/>
                <w:b/>
                <w:sz w:val="21"/>
                <w:szCs w:val="21"/>
              </w:rPr>
            </w:pPr>
            <w:r>
              <w:rPr>
                <w:rFonts w:cs="Times New Roman"/>
                <w:b/>
                <w:sz w:val="21"/>
                <w:szCs w:val="21"/>
              </w:rPr>
              <w:t>夜间</w:t>
            </w:r>
          </w:p>
        </w:tc>
        <w:tc>
          <w:tcPr>
            <w:tcW w:w="1329" w:type="dxa"/>
            <w:vAlign w:val="center"/>
          </w:tcPr>
          <w:p>
            <w:pPr>
              <w:spacing w:line="240" w:lineRule="auto"/>
              <w:ind w:firstLine="0" w:firstLineChars="0"/>
              <w:jc w:val="center"/>
              <w:rPr>
                <w:rFonts w:cs="Times New Roman"/>
                <w:b/>
                <w:sz w:val="21"/>
                <w:szCs w:val="21"/>
              </w:rPr>
            </w:pPr>
            <w:r>
              <w:rPr>
                <w:rFonts w:cs="Times New Roman"/>
                <w:b/>
                <w:sz w:val="21"/>
                <w:szCs w:val="21"/>
              </w:rPr>
              <w:t>昼间</w:t>
            </w:r>
          </w:p>
        </w:tc>
        <w:tc>
          <w:tcPr>
            <w:tcW w:w="1421" w:type="dxa"/>
            <w:vAlign w:val="center"/>
          </w:tcPr>
          <w:p>
            <w:pPr>
              <w:spacing w:line="240" w:lineRule="auto"/>
              <w:ind w:firstLine="0" w:firstLineChars="0"/>
              <w:jc w:val="center"/>
              <w:rPr>
                <w:rFonts w:cs="Times New Roman"/>
                <w:b/>
                <w:sz w:val="21"/>
                <w:szCs w:val="21"/>
              </w:rPr>
            </w:pPr>
            <w:r>
              <w:rPr>
                <w:rFonts w:cs="Times New Roman"/>
                <w:b/>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restart"/>
            <w:vAlign w:val="center"/>
          </w:tcPr>
          <w:p>
            <w:pPr>
              <w:spacing w:line="240" w:lineRule="auto"/>
              <w:ind w:firstLine="0" w:firstLineChars="0"/>
              <w:jc w:val="center"/>
              <w:rPr>
                <w:rFonts w:cs="Times New Roman"/>
                <w:bCs/>
                <w:sz w:val="21"/>
                <w:szCs w:val="21"/>
              </w:rPr>
            </w:pPr>
            <w:r>
              <w:rPr>
                <w:rFonts w:cs="Times New Roman"/>
                <w:bCs/>
                <w:sz w:val="21"/>
                <w:szCs w:val="21"/>
              </w:rPr>
              <w:t>土石方阶段</w:t>
            </w:r>
          </w:p>
        </w:tc>
        <w:tc>
          <w:tcPr>
            <w:tcW w:w="1997" w:type="dxa"/>
            <w:vAlign w:val="center"/>
          </w:tcPr>
          <w:p>
            <w:pPr>
              <w:spacing w:line="240" w:lineRule="auto"/>
              <w:ind w:firstLine="0" w:firstLineChars="0"/>
              <w:jc w:val="center"/>
              <w:rPr>
                <w:rFonts w:cs="Times New Roman"/>
                <w:sz w:val="21"/>
                <w:szCs w:val="21"/>
              </w:rPr>
            </w:pPr>
            <w:r>
              <w:rPr>
                <w:rFonts w:cs="Times New Roman"/>
                <w:sz w:val="21"/>
                <w:szCs w:val="21"/>
              </w:rPr>
              <w:t>推土机</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sz w:val="21"/>
                <w:szCs w:val="21"/>
              </w:rPr>
            </w:pPr>
            <w:r>
              <w:rPr>
                <w:rFonts w:cs="Times New Roman"/>
                <w:sz w:val="21"/>
                <w:szCs w:val="21"/>
              </w:rPr>
              <w:t>50</w:t>
            </w:r>
          </w:p>
        </w:tc>
        <w:tc>
          <w:tcPr>
            <w:tcW w:w="1421" w:type="dxa"/>
            <w:vAlign w:val="center"/>
          </w:tcPr>
          <w:p>
            <w:pPr>
              <w:spacing w:line="240" w:lineRule="auto"/>
              <w:ind w:firstLine="0" w:firstLineChars="0"/>
              <w:jc w:val="center"/>
              <w:rPr>
                <w:rFonts w:cs="Times New Roman"/>
                <w:sz w:val="21"/>
                <w:szCs w:val="21"/>
              </w:rPr>
            </w:pPr>
            <w:r>
              <w:rPr>
                <w:rFonts w:cs="Times New Roman"/>
                <w:sz w:val="21"/>
                <w:szCs w:val="21"/>
              </w:rPr>
              <w:t>281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continue"/>
            <w:vAlign w:val="center"/>
          </w:tcPr>
          <w:p>
            <w:pPr>
              <w:widowControl/>
              <w:spacing w:line="240" w:lineRule="auto"/>
              <w:ind w:firstLine="0" w:firstLineChars="0"/>
              <w:jc w:val="center"/>
              <w:rPr>
                <w:rFonts w:cs="Times New Roman"/>
                <w:bCs/>
                <w:sz w:val="21"/>
                <w:szCs w:val="21"/>
              </w:rPr>
            </w:pPr>
          </w:p>
        </w:tc>
        <w:tc>
          <w:tcPr>
            <w:tcW w:w="1997" w:type="dxa"/>
            <w:vAlign w:val="center"/>
          </w:tcPr>
          <w:p>
            <w:pPr>
              <w:spacing w:line="240" w:lineRule="auto"/>
              <w:ind w:firstLine="0" w:firstLineChars="0"/>
              <w:jc w:val="center"/>
              <w:rPr>
                <w:rFonts w:cs="Times New Roman"/>
                <w:sz w:val="21"/>
                <w:szCs w:val="21"/>
              </w:rPr>
            </w:pPr>
            <w:r>
              <w:rPr>
                <w:rFonts w:cs="Times New Roman"/>
                <w:sz w:val="21"/>
                <w:szCs w:val="21"/>
              </w:rPr>
              <w:t>装载机</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sz w:val="21"/>
                <w:szCs w:val="21"/>
              </w:rPr>
            </w:pPr>
            <w:r>
              <w:rPr>
                <w:rFonts w:cs="Times New Roman"/>
                <w:sz w:val="21"/>
                <w:szCs w:val="21"/>
              </w:rPr>
              <w:t>32</w:t>
            </w:r>
          </w:p>
        </w:tc>
        <w:tc>
          <w:tcPr>
            <w:tcW w:w="1421" w:type="dxa"/>
            <w:vAlign w:val="center"/>
          </w:tcPr>
          <w:p>
            <w:pPr>
              <w:spacing w:line="240" w:lineRule="auto"/>
              <w:ind w:firstLine="0" w:firstLineChars="0"/>
              <w:jc w:val="center"/>
              <w:rPr>
                <w:rFonts w:cs="Times New Roman"/>
                <w:sz w:val="21"/>
                <w:szCs w:val="21"/>
              </w:rPr>
            </w:pPr>
            <w:r>
              <w:rPr>
                <w:rFonts w:cs="Times New Roman"/>
                <w:sz w:val="21"/>
                <w:szCs w:val="21"/>
              </w:rPr>
              <w:t>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continue"/>
            <w:vAlign w:val="center"/>
          </w:tcPr>
          <w:p>
            <w:pPr>
              <w:widowControl/>
              <w:spacing w:line="240" w:lineRule="auto"/>
              <w:ind w:firstLine="0" w:firstLineChars="0"/>
              <w:jc w:val="center"/>
              <w:rPr>
                <w:rFonts w:cs="Times New Roman"/>
                <w:bCs/>
                <w:sz w:val="21"/>
                <w:szCs w:val="21"/>
              </w:rPr>
            </w:pPr>
          </w:p>
        </w:tc>
        <w:tc>
          <w:tcPr>
            <w:tcW w:w="1997" w:type="dxa"/>
            <w:vAlign w:val="center"/>
          </w:tcPr>
          <w:p>
            <w:pPr>
              <w:spacing w:line="240" w:lineRule="auto"/>
              <w:ind w:firstLine="0" w:firstLineChars="0"/>
              <w:jc w:val="center"/>
              <w:rPr>
                <w:rFonts w:cs="Times New Roman"/>
                <w:sz w:val="21"/>
                <w:szCs w:val="21"/>
              </w:rPr>
            </w:pPr>
            <w:r>
              <w:rPr>
                <w:rFonts w:cs="Times New Roman"/>
                <w:sz w:val="21"/>
                <w:szCs w:val="21"/>
              </w:rPr>
              <w:t>挖掘机</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sz w:val="21"/>
                <w:szCs w:val="21"/>
              </w:rPr>
            </w:pPr>
            <w:r>
              <w:rPr>
                <w:rFonts w:cs="Times New Roman"/>
                <w:sz w:val="21"/>
                <w:szCs w:val="21"/>
              </w:rPr>
              <w:t>28</w:t>
            </w:r>
          </w:p>
        </w:tc>
        <w:tc>
          <w:tcPr>
            <w:tcW w:w="1421" w:type="dxa"/>
            <w:vAlign w:val="center"/>
          </w:tcPr>
          <w:p>
            <w:pPr>
              <w:spacing w:line="240" w:lineRule="auto"/>
              <w:ind w:firstLine="0" w:firstLineChars="0"/>
              <w:jc w:val="center"/>
              <w:rPr>
                <w:rFonts w:cs="Times New Roman"/>
                <w:sz w:val="21"/>
                <w:szCs w:val="21"/>
              </w:rPr>
            </w:pPr>
            <w:r>
              <w:rPr>
                <w:rFonts w:cs="Times New Roman"/>
                <w:sz w:val="21"/>
                <w:szCs w:val="21"/>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restart"/>
            <w:vAlign w:val="center"/>
          </w:tcPr>
          <w:p>
            <w:pPr>
              <w:spacing w:line="240" w:lineRule="auto"/>
              <w:ind w:firstLine="0" w:firstLineChars="0"/>
              <w:jc w:val="center"/>
              <w:rPr>
                <w:rFonts w:cs="Times New Roman"/>
                <w:bCs/>
                <w:sz w:val="21"/>
                <w:szCs w:val="21"/>
              </w:rPr>
            </w:pPr>
            <w:r>
              <w:rPr>
                <w:rFonts w:cs="Times New Roman"/>
                <w:bCs/>
                <w:sz w:val="21"/>
                <w:szCs w:val="21"/>
              </w:rPr>
              <w:t>基础施工阶段</w:t>
            </w:r>
          </w:p>
        </w:tc>
        <w:tc>
          <w:tcPr>
            <w:tcW w:w="1997" w:type="dxa"/>
            <w:vAlign w:val="center"/>
          </w:tcPr>
          <w:p>
            <w:pPr>
              <w:spacing w:line="240" w:lineRule="auto"/>
              <w:ind w:firstLine="0" w:firstLineChars="0"/>
              <w:jc w:val="center"/>
              <w:rPr>
                <w:rFonts w:cs="Times New Roman"/>
                <w:sz w:val="21"/>
                <w:szCs w:val="21"/>
              </w:rPr>
            </w:pPr>
            <w:r>
              <w:rPr>
                <w:rFonts w:cs="Times New Roman"/>
                <w:sz w:val="21"/>
                <w:szCs w:val="21"/>
              </w:rPr>
              <w:t>静压式打桩机</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sz w:val="21"/>
                <w:szCs w:val="21"/>
              </w:rPr>
            </w:pPr>
            <w:r>
              <w:rPr>
                <w:rFonts w:cs="Times New Roman"/>
                <w:sz w:val="21"/>
                <w:szCs w:val="21"/>
              </w:rPr>
              <w:t>47</w:t>
            </w:r>
          </w:p>
        </w:tc>
        <w:tc>
          <w:tcPr>
            <w:tcW w:w="1421" w:type="dxa"/>
            <w:vAlign w:val="center"/>
          </w:tcPr>
          <w:p>
            <w:pPr>
              <w:spacing w:line="240" w:lineRule="auto"/>
              <w:ind w:firstLine="0" w:firstLineChars="0"/>
              <w:jc w:val="center"/>
              <w:rPr>
                <w:rFonts w:cs="Times New Roman"/>
                <w:sz w:val="21"/>
                <w:szCs w:val="21"/>
              </w:rPr>
            </w:pPr>
            <w:r>
              <w:rPr>
                <w:rFonts w:cs="Times New Roman"/>
                <w:sz w:val="21"/>
                <w:szCs w:val="21"/>
              </w:rPr>
              <w:t>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continue"/>
            <w:vAlign w:val="center"/>
          </w:tcPr>
          <w:p>
            <w:pPr>
              <w:spacing w:line="240" w:lineRule="auto"/>
              <w:ind w:firstLine="0" w:firstLineChars="0"/>
              <w:jc w:val="center"/>
              <w:rPr>
                <w:rFonts w:cs="Times New Roman"/>
                <w:bCs/>
                <w:sz w:val="21"/>
                <w:szCs w:val="21"/>
              </w:rPr>
            </w:pPr>
          </w:p>
        </w:tc>
        <w:tc>
          <w:tcPr>
            <w:tcW w:w="1997" w:type="dxa"/>
            <w:vAlign w:val="center"/>
          </w:tcPr>
          <w:p>
            <w:pPr>
              <w:spacing w:line="240" w:lineRule="auto"/>
              <w:ind w:firstLine="0" w:firstLineChars="0"/>
              <w:jc w:val="center"/>
              <w:rPr>
                <w:rFonts w:cs="Times New Roman"/>
                <w:sz w:val="21"/>
                <w:szCs w:val="21"/>
              </w:rPr>
            </w:pPr>
            <w:r>
              <w:rPr>
                <w:rFonts w:cs="Times New Roman"/>
                <w:sz w:val="21"/>
                <w:szCs w:val="21"/>
              </w:rPr>
              <w:t>钻孔式灌注桩机</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sz w:val="21"/>
                <w:szCs w:val="21"/>
              </w:rPr>
            </w:pPr>
            <w:r>
              <w:rPr>
                <w:rFonts w:cs="Times New Roman"/>
                <w:sz w:val="21"/>
                <w:szCs w:val="21"/>
              </w:rPr>
              <w:t>48</w:t>
            </w:r>
          </w:p>
        </w:tc>
        <w:tc>
          <w:tcPr>
            <w:tcW w:w="1421" w:type="dxa"/>
            <w:vAlign w:val="center"/>
          </w:tcPr>
          <w:p>
            <w:pPr>
              <w:spacing w:line="240" w:lineRule="auto"/>
              <w:ind w:firstLine="0" w:firstLineChars="0"/>
              <w:jc w:val="center"/>
              <w:rPr>
                <w:rFonts w:cs="Times New Roman"/>
                <w:sz w:val="21"/>
                <w:szCs w:val="21"/>
              </w:rPr>
            </w:pPr>
            <w:r>
              <w:rPr>
                <w:rFonts w:cs="Times New Roman"/>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continue"/>
            <w:vAlign w:val="center"/>
          </w:tcPr>
          <w:p>
            <w:pPr>
              <w:widowControl/>
              <w:spacing w:line="240" w:lineRule="auto"/>
              <w:ind w:firstLine="0" w:firstLineChars="0"/>
              <w:jc w:val="center"/>
              <w:rPr>
                <w:rFonts w:cs="Times New Roman"/>
                <w:bCs/>
                <w:sz w:val="21"/>
                <w:szCs w:val="21"/>
              </w:rPr>
            </w:pPr>
          </w:p>
        </w:tc>
        <w:tc>
          <w:tcPr>
            <w:tcW w:w="1997" w:type="dxa"/>
            <w:vAlign w:val="center"/>
          </w:tcPr>
          <w:p>
            <w:pPr>
              <w:spacing w:line="240" w:lineRule="auto"/>
              <w:ind w:firstLine="0" w:firstLineChars="0"/>
              <w:jc w:val="center"/>
              <w:rPr>
                <w:rFonts w:cs="Times New Roman"/>
                <w:sz w:val="21"/>
                <w:szCs w:val="21"/>
              </w:rPr>
            </w:pPr>
            <w:r>
              <w:rPr>
                <w:rFonts w:cs="Times New Roman"/>
                <w:sz w:val="21"/>
                <w:szCs w:val="21"/>
              </w:rPr>
              <w:t>空压机</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sz w:val="21"/>
                <w:szCs w:val="21"/>
              </w:rPr>
            </w:pPr>
            <w:r>
              <w:rPr>
                <w:rFonts w:cs="Times New Roman"/>
                <w:sz w:val="21"/>
                <w:szCs w:val="21"/>
              </w:rPr>
              <w:t>38</w:t>
            </w:r>
          </w:p>
        </w:tc>
        <w:tc>
          <w:tcPr>
            <w:tcW w:w="1421" w:type="dxa"/>
            <w:vAlign w:val="center"/>
          </w:tcPr>
          <w:p>
            <w:pPr>
              <w:spacing w:line="240" w:lineRule="auto"/>
              <w:ind w:firstLine="0" w:firstLineChars="0"/>
              <w:jc w:val="center"/>
              <w:rPr>
                <w:rFonts w:cs="Times New Roman"/>
                <w:sz w:val="21"/>
                <w:szCs w:val="21"/>
              </w:rPr>
            </w:pPr>
            <w:r>
              <w:rPr>
                <w:rFonts w:cs="Times New Roman"/>
                <w:sz w:val="21"/>
                <w:szCs w:val="21"/>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restart"/>
            <w:vAlign w:val="center"/>
          </w:tcPr>
          <w:p>
            <w:pPr>
              <w:spacing w:line="240" w:lineRule="auto"/>
              <w:ind w:firstLine="0" w:firstLineChars="0"/>
              <w:jc w:val="center"/>
              <w:rPr>
                <w:rFonts w:cs="Times New Roman"/>
                <w:bCs/>
                <w:sz w:val="21"/>
                <w:szCs w:val="21"/>
              </w:rPr>
            </w:pPr>
            <w:r>
              <w:rPr>
                <w:rFonts w:cs="Times New Roman"/>
                <w:bCs/>
                <w:sz w:val="21"/>
                <w:szCs w:val="21"/>
              </w:rPr>
              <w:t>结构施工阶段</w:t>
            </w:r>
          </w:p>
        </w:tc>
        <w:tc>
          <w:tcPr>
            <w:tcW w:w="1997" w:type="dxa"/>
            <w:vAlign w:val="center"/>
          </w:tcPr>
          <w:p>
            <w:pPr>
              <w:spacing w:line="240" w:lineRule="auto"/>
              <w:ind w:firstLine="0" w:firstLineChars="0"/>
              <w:jc w:val="center"/>
              <w:rPr>
                <w:rFonts w:cs="Times New Roman"/>
                <w:sz w:val="21"/>
                <w:szCs w:val="21"/>
              </w:rPr>
            </w:pPr>
            <w:r>
              <w:rPr>
                <w:rFonts w:cs="Times New Roman"/>
                <w:sz w:val="21"/>
                <w:szCs w:val="21"/>
              </w:rPr>
              <w:t>吊车</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sz w:val="21"/>
                <w:szCs w:val="21"/>
              </w:rPr>
            </w:pPr>
            <w:r>
              <w:rPr>
                <w:rFonts w:cs="Times New Roman"/>
                <w:sz w:val="21"/>
                <w:szCs w:val="21"/>
              </w:rPr>
              <w:t>21</w:t>
            </w:r>
          </w:p>
        </w:tc>
        <w:tc>
          <w:tcPr>
            <w:tcW w:w="1421" w:type="dxa"/>
            <w:vAlign w:val="center"/>
          </w:tcPr>
          <w:p>
            <w:pPr>
              <w:spacing w:line="240" w:lineRule="auto"/>
              <w:ind w:firstLine="0" w:firstLineChars="0"/>
              <w:jc w:val="center"/>
              <w:rPr>
                <w:rFonts w:cs="Times New Roman"/>
                <w:sz w:val="21"/>
                <w:szCs w:val="21"/>
              </w:rPr>
            </w:pPr>
            <w:r>
              <w:rPr>
                <w:rFonts w:cs="Times New Roman"/>
                <w:sz w:val="21"/>
                <w:szCs w:val="21"/>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continue"/>
            <w:vAlign w:val="center"/>
          </w:tcPr>
          <w:p>
            <w:pPr>
              <w:widowControl/>
              <w:spacing w:line="240" w:lineRule="auto"/>
              <w:ind w:firstLine="0" w:firstLineChars="0"/>
              <w:jc w:val="center"/>
              <w:rPr>
                <w:rFonts w:cs="Times New Roman"/>
                <w:bCs/>
                <w:sz w:val="21"/>
                <w:szCs w:val="21"/>
              </w:rPr>
            </w:pPr>
          </w:p>
        </w:tc>
        <w:tc>
          <w:tcPr>
            <w:tcW w:w="1997" w:type="dxa"/>
            <w:vAlign w:val="center"/>
          </w:tcPr>
          <w:p>
            <w:pPr>
              <w:spacing w:line="240" w:lineRule="auto"/>
              <w:ind w:firstLine="0" w:firstLineChars="0"/>
              <w:jc w:val="center"/>
              <w:rPr>
                <w:rFonts w:cs="Times New Roman"/>
                <w:sz w:val="21"/>
                <w:szCs w:val="21"/>
              </w:rPr>
            </w:pPr>
            <w:r>
              <w:rPr>
                <w:rFonts w:cs="Times New Roman"/>
                <w:sz w:val="21"/>
                <w:szCs w:val="21"/>
              </w:rPr>
              <w:t>振捣棒</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sz w:val="21"/>
                <w:szCs w:val="21"/>
              </w:rPr>
            </w:pPr>
            <w:r>
              <w:rPr>
                <w:rFonts w:cs="Times New Roman"/>
                <w:sz w:val="21"/>
                <w:szCs w:val="21"/>
              </w:rPr>
              <w:t>14</w:t>
            </w:r>
          </w:p>
        </w:tc>
        <w:tc>
          <w:tcPr>
            <w:tcW w:w="1421" w:type="dxa"/>
            <w:vAlign w:val="center"/>
          </w:tcPr>
          <w:p>
            <w:pPr>
              <w:spacing w:line="240" w:lineRule="auto"/>
              <w:ind w:firstLine="0" w:firstLineChars="0"/>
              <w:jc w:val="center"/>
              <w:rPr>
                <w:rFonts w:cs="Times New Roman"/>
                <w:sz w:val="21"/>
                <w:szCs w:val="21"/>
              </w:rPr>
            </w:pPr>
            <w:r>
              <w:rPr>
                <w:rFonts w:cs="Times New Roman"/>
                <w:sz w:val="21"/>
                <w:szCs w:val="21"/>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restart"/>
            <w:vAlign w:val="center"/>
          </w:tcPr>
          <w:p>
            <w:pPr>
              <w:spacing w:line="240" w:lineRule="auto"/>
              <w:ind w:firstLine="0" w:firstLineChars="0"/>
              <w:jc w:val="center"/>
              <w:rPr>
                <w:rFonts w:cs="Times New Roman"/>
                <w:bCs/>
                <w:sz w:val="21"/>
                <w:szCs w:val="21"/>
              </w:rPr>
            </w:pPr>
            <w:r>
              <w:rPr>
                <w:rFonts w:cs="Times New Roman"/>
                <w:bCs/>
                <w:sz w:val="21"/>
                <w:szCs w:val="21"/>
              </w:rPr>
              <w:t>装修阶段</w:t>
            </w:r>
          </w:p>
        </w:tc>
        <w:tc>
          <w:tcPr>
            <w:tcW w:w="1997" w:type="dxa"/>
            <w:vAlign w:val="center"/>
          </w:tcPr>
          <w:p>
            <w:pPr>
              <w:spacing w:line="240" w:lineRule="auto"/>
              <w:ind w:firstLine="0" w:firstLineChars="0"/>
              <w:jc w:val="center"/>
              <w:rPr>
                <w:rFonts w:cs="Times New Roman"/>
                <w:sz w:val="21"/>
                <w:szCs w:val="21"/>
              </w:rPr>
            </w:pPr>
            <w:r>
              <w:rPr>
                <w:rFonts w:cs="Times New Roman"/>
                <w:sz w:val="21"/>
                <w:szCs w:val="21"/>
              </w:rPr>
              <w:t>电锯</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sz w:val="21"/>
                <w:szCs w:val="21"/>
              </w:rPr>
            </w:pPr>
            <w:r>
              <w:rPr>
                <w:rFonts w:cs="Times New Roman"/>
                <w:sz w:val="21"/>
                <w:szCs w:val="21"/>
              </w:rPr>
              <w:t>45</w:t>
            </w:r>
          </w:p>
        </w:tc>
        <w:tc>
          <w:tcPr>
            <w:tcW w:w="1421" w:type="dxa"/>
            <w:vAlign w:val="center"/>
          </w:tcPr>
          <w:p>
            <w:pPr>
              <w:spacing w:line="240" w:lineRule="auto"/>
              <w:ind w:firstLine="0" w:firstLineChars="0"/>
              <w:jc w:val="center"/>
              <w:rPr>
                <w:rFonts w:cs="Times New Roman"/>
                <w:sz w:val="21"/>
                <w:szCs w:val="21"/>
              </w:rPr>
            </w:pPr>
            <w:r>
              <w:rPr>
                <w:rFonts w:cs="Times New Roman"/>
                <w:sz w:val="21"/>
                <w:szCs w:val="21"/>
              </w:rPr>
              <w:t>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continue"/>
            <w:vAlign w:val="center"/>
          </w:tcPr>
          <w:p>
            <w:pPr>
              <w:widowControl/>
              <w:spacing w:line="240" w:lineRule="auto"/>
              <w:ind w:firstLine="0" w:firstLineChars="0"/>
              <w:jc w:val="center"/>
              <w:rPr>
                <w:rFonts w:cs="Times New Roman"/>
                <w:bCs/>
                <w:sz w:val="21"/>
                <w:szCs w:val="21"/>
              </w:rPr>
            </w:pPr>
          </w:p>
        </w:tc>
        <w:tc>
          <w:tcPr>
            <w:tcW w:w="1997" w:type="dxa"/>
            <w:vAlign w:val="center"/>
          </w:tcPr>
          <w:p>
            <w:pPr>
              <w:spacing w:line="240" w:lineRule="auto"/>
              <w:ind w:firstLine="0" w:firstLineChars="0"/>
              <w:jc w:val="center"/>
              <w:rPr>
                <w:rFonts w:cs="Times New Roman"/>
                <w:bCs/>
                <w:sz w:val="21"/>
                <w:szCs w:val="21"/>
              </w:rPr>
            </w:pPr>
            <w:r>
              <w:rPr>
                <w:rFonts w:cs="Times New Roman"/>
                <w:bCs/>
                <w:sz w:val="21"/>
                <w:szCs w:val="21"/>
              </w:rPr>
              <w:t>无齿锯</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bCs/>
                <w:sz w:val="21"/>
                <w:szCs w:val="21"/>
              </w:rPr>
            </w:pPr>
            <w:r>
              <w:rPr>
                <w:rFonts w:cs="Times New Roman"/>
                <w:bCs/>
                <w:sz w:val="21"/>
                <w:szCs w:val="21"/>
              </w:rPr>
              <w:t>21</w:t>
            </w:r>
          </w:p>
        </w:tc>
        <w:tc>
          <w:tcPr>
            <w:tcW w:w="1421" w:type="dxa"/>
            <w:vAlign w:val="center"/>
          </w:tcPr>
          <w:p>
            <w:pPr>
              <w:spacing w:line="240" w:lineRule="auto"/>
              <w:ind w:firstLine="0" w:firstLineChars="0"/>
              <w:jc w:val="center"/>
              <w:rPr>
                <w:rFonts w:cs="Times New Roman"/>
                <w:bCs/>
                <w:sz w:val="21"/>
                <w:szCs w:val="21"/>
              </w:rPr>
            </w:pPr>
            <w:r>
              <w:rPr>
                <w:rFonts w:cs="Times New Roman"/>
                <w:bCs/>
                <w:sz w:val="21"/>
                <w:szCs w:val="21"/>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Merge w:val="continue"/>
            <w:vAlign w:val="center"/>
          </w:tcPr>
          <w:p>
            <w:pPr>
              <w:widowControl/>
              <w:spacing w:line="240" w:lineRule="auto"/>
              <w:ind w:firstLine="0" w:firstLineChars="0"/>
              <w:jc w:val="center"/>
              <w:rPr>
                <w:rFonts w:cs="Times New Roman"/>
                <w:bCs/>
                <w:sz w:val="21"/>
                <w:szCs w:val="21"/>
              </w:rPr>
            </w:pPr>
          </w:p>
        </w:tc>
        <w:tc>
          <w:tcPr>
            <w:tcW w:w="1997" w:type="dxa"/>
            <w:vAlign w:val="center"/>
          </w:tcPr>
          <w:p>
            <w:pPr>
              <w:spacing w:line="240" w:lineRule="auto"/>
              <w:ind w:firstLine="0" w:firstLineChars="0"/>
              <w:jc w:val="center"/>
              <w:rPr>
                <w:rFonts w:cs="Times New Roman"/>
                <w:bCs/>
                <w:sz w:val="21"/>
                <w:szCs w:val="21"/>
              </w:rPr>
            </w:pPr>
            <w:r>
              <w:rPr>
                <w:rFonts w:cs="Times New Roman"/>
                <w:bCs/>
                <w:sz w:val="21"/>
                <w:szCs w:val="21"/>
              </w:rPr>
              <w:t>手工钻</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bCs/>
                <w:sz w:val="21"/>
                <w:szCs w:val="21"/>
              </w:rPr>
            </w:pPr>
            <w:r>
              <w:rPr>
                <w:rFonts w:cs="Times New Roman"/>
                <w:bCs/>
                <w:sz w:val="21"/>
                <w:szCs w:val="21"/>
              </w:rPr>
              <w:t>45</w:t>
            </w:r>
          </w:p>
        </w:tc>
        <w:tc>
          <w:tcPr>
            <w:tcW w:w="1421" w:type="dxa"/>
            <w:vAlign w:val="center"/>
          </w:tcPr>
          <w:p>
            <w:pPr>
              <w:spacing w:line="240" w:lineRule="auto"/>
              <w:ind w:firstLine="0" w:firstLineChars="0"/>
              <w:jc w:val="center"/>
              <w:rPr>
                <w:rFonts w:cs="Times New Roman"/>
                <w:bCs/>
                <w:sz w:val="21"/>
                <w:szCs w:val="21"/>
              </w:rPr>
            </w:pPr>
            <w:r>
              <w:rPr>
                <w:rFonts w:cs="Times New Roman"/>
                <w:bCs/>
                <w:sz w:val="21"/>
                <w:szCs w:val="21"/>
              </w:rPr>
              <w:t>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0" w:type="dxa"/>
            <w:vAlign w:val="center"/>
          </w:tcPr>
          <w:p>
            <w:pPr>
              <w:widowControl/>
              <w:spacing w:line="240" w:lineRule="auto"/>
              <w:ind w:firstLine="0" w:firstLineChars="0"/>
              <w:jc w:val="center"/>
              <w:rPr>
                <w:rFonts w:cs="Times New Roman"/>
                <w:bCs/>
                <w:sz w:val="21"/>
                <w:szCs w:val="21"/>
              </w:rPr>
            </w:pPr>
            <w:r>
              <w:rPr>
                <w:rFonts w:cs="Times New Roman"/>
                <w:bCs/>
                <w:sz w:val="21"/>
                <w:szCs w:val="21"/>
              </w:rPr>
              <w:t>运输车辆</w:t>
            </w:r>
          </w:p>
        </w:tc>
        <w:tc>
          <w:tcPr>
            <w:tcW w:w="1997" w:type="dxa"/>
            <w:vAlign w:val="center"/>
          </w:tcPr>
          <w:p>
            <w:pPr>
              <w:spacing w:line="240" w:lineRule="auto"/>
              <w:ind w:firstLine="0" w:firstLineChars="0"/>
              <w:jc w:val="center"/>
              <w:rPr>
                <w:rFonts w:cs="Times New Roman"/>
                <w:bCs/>
                <w:sz w:val="21"/>
                <w:szCs w:val="21"/>
              </w:rPr>
            </w:pPr>
            <w:r>
              <w:rPr>
                <w:rFonts w:cs="Times New Roman"/>
                <w:bCs/>
                <w:sz w:val="21"/>
                <w:szCs w:val="21"/>
              </w:rPr>
              <w:t>运输车辆</w:t>
            </w:r>
          </w:p>
        </w:tc>
        <w:tc>
          <w:tcPr>
            <w:tcW w:w="1254" w:type="dxa"/>
            <w:vAlign w:val="center"/>
          </w:tcPr>
          <w:p>
            <w:pPr>
              <w:spacing w:line="240" w:lineRule="auto"/>
              <w:ind w:firstLine="0" w:firstLineChars="0"/>
              <w:jc w:val="center"/>
              <w:rPr>
                <w:rFonts w:cs="Times New Roman"/>
                <w:sz w:val="21"/>
                <w:szCs w:val="21"/>
              </w:rPr>
            </w:pPr>
            <w:r>
              <w:rPr>
                <w:rFonts w:cs="Times New Roman"/>
                <w:sz w:val="21"/>
                <w:szCs w:val="21"/>
              </w:rPr>
              <w:t>70</w:t>
            </w:r>
          </w:p>
        </w:tc>
        <w:tc>
          <w:tcPr>
            <w:tcW w:w="1177" w:type="dxa"/>
            <w:vAlign w:val="center"/>
          </w:tcPr>
          <w:p>
            <w:pPr>
              <w:spacing w:line="240" w:lineRule="auto"/>
              <w:ind w:firstLine="0" w:firstLineChars="0"/>
              <w:jc w:val="center"/>
              <w:rPr>
                <w:rFonts w:cs="Times New Roman"/>
                <w:sz w:val="21"/>
                <w:szCs w:val="21"/>
              </w:rPr>
            </w:pPr>
            <w:r>
              <w:rPr>
                <w:rFonts w:cs="Times New Roman"/>
                <w:sz w:val="21"/>
                <w:szCs w:val="21"/>
              </w:rPr>
              <w:t>55</w:t>
            </w:r>
          </w:p>
        </w:tc>
        <w:tc>
          <w:tcPr>
            <w:tcW w:w="1329" w:type="dxa"/>
            <w:vAlign w:val="center"/>
          </w:tcPr>
          <w:p>
            <w:pPr>
              <w:spacing w:line="240" w:lineRule="auto"/>
              <w:ind w:firstLine="0" w:firstLineChars="0"/>
              <w:jc w:val="center"/>
              <w:rPr>
                <w:rFonts w:cs="Times New Roman"/>
                <w:bCs/>
                <w:sz w:val="21"/>
                <w:szCs w:val="21"/>
              </w:rPr>
            </w:pPr>
            <w:r>
              <w:rPr>
                <w:rFonts w:cs="Times New Roman"/>
                <w:bCs/>
                <w:sz w:val="21"/>
                <w:szCs w:val="21"/>
              </w:rPr>
              <w:t>16</w:t>
            </w:r>
          </w:p>
        </w:tc>
        <w:tc>
          <w:tcPr>
            <w:tcW w:w="1421" w:type="dxa"/>
            <w:vAlign w:val="center"/>
          </w:tcPr>
          <w:p>
            <w:pPr>
              <w:spacing w:line="240" w:lineRule="auto"/>
              <w:ind w:firstLine="0" w:firstLineChars="0"/>
              <w:jc w:val="center"/>
              <w:rPr>
                <w:rFonts w:cs="Times New Roman"/>
                <w:bCs/>
                <w:sz w:val="21"/>
                <w:szCs w:val="21"/>
              </w:rPr>
            </w:pPr>
            <w:r>
              <w:rPr>
                <w:rFonts w:cs="Times New Roman"/>
                <w:bCs/>
                <w:sz w:val="21"/>
                <w:szCs w:val="21"/>
              </w:rPr>
              <w:t>89</w:t>
            </w:r>
          </w:p>
        </w:tc>
      </w:tr>
    </w:tbl>
    <w:p>
      <w:pPr>
        <w:ind w:firstLine="480"/>
        <w:rPr>
          <w:rFonts w:cs="Times New Roman"/>
          <w:kern w:val="0"/>
        </w:rPr>
      </w:pPr>
      <w:r>
        <w:rPr>
          <w:rFonts w:cs="Times New Roman"/>
        </w:rPr>
        <w:t>由上表可看出：</w:t>
      </w:r>
    </w:p>
    <w:p>
      <w:pPr>
        <w:ind w:firstLine="480"/>
        <w:rPr>
          <w:rFonts w:cs="Times New Roman"/>
          <w:kern w:val="0"/>
        </w:rPr>
      </w:pPr>
      <w:r>
        <w:rPr>
          <w:rFonts w:hint="eastAsia" w:ascii="宋体" w:hAnsi="宋体" w:cs="宋体"/>
          <w:kern w:val="0"/>
        </w:rPr>
        <w:t>①</w:t>
      </w:r>
      <w:r>
        <w:rPr>
          <w:rFonts w:cs="Times New Roman"/>
          <w:kern w:val="0"/>
        </w:rPr>
        <w:t>施工噪声因不同的施工机械影响的范围相差很大，夜间施工噪声的影响范围比昼间大得多。在实际施工过程中可能出现多台施工机械同时在一起作业，则此时施工噪声的影响范围比预测值大。</w:t>
      </w:r>
    </w:p>
    <w:p>
      <w:pPr>
        <w:ind w:firstLine="480"/>
        <w:rPr>
          <w:rFonts w:cs="Times New Roman"/>
        </w:rPr>
      </w:pPr>
      <w:r>
        <w:rPr>
          <w:rFonts w:hint="eastAsia" w:ascii="宋体" w:hAnsi="宋体" w:cs="宋体"/>
        </w:rPr>
        <w:t>②</w:t>
      </w:r>
      <w:r>
        <w:rPr>
          <w:rFonts w:cs="Times New Roman"/>
        </w:rPr>
        <w:t>施工噪声将对周围声环境质量产生一定的影响，其中钻孔式灌注桩机影响最大，施工设备昼间影响主要出现在距施工场地50m的范围内，夜间将出现在距施工场地300m的范围内。材料运输造成车辆交通噪声在昼间道路两16m以外可基本达到标准限值，夜间在89m处基本达到标准限值。</w:t>
      </w:r>
    </w:p>
    <w:p>
      <w:pPr>
        <w:ind w:firstLine="480"/>
        <w:rPr>
          <w:rFonts w:cs="Times New Roman"/>
        </w:rPr>
      </w:pPr>
      <w:r>
        <w:rPr>
          <w:rFonts w:cs="Times New Roman"/>
        </w:rPr>
        <w:t>从噪声源衰减特征可以看出，施工机械对不同距离的声环境有一定影响，施工场地边界达标距离将超出施工道路宽度范围，特别是夜间，影响范围更大。</w:t>
      </w:r>
    </w:p>
    <w:p>
      <w:pPr>
        <w:ind w:firstLine="480"/>
        <w:rPr>
          <w:rFonts w:cs="Times New Roman"/>
        </w:rPr>
      </w:pPr>
      <w:r>
        <w:rPr>
          <w:rFonts w:cs="Times New Roman"/>
        </w:rPr>
        <w:t>结合预测计算结果和类比监测调查，由于施工机械一般都布置在施工场地内远离周边敏感点一侧并距离场界15~40m地段，施工场界昼间噪声值一般可以达标，但部分施工机械运行时，如推土机、打桩机、电锯产生的噪声将会导致土方阶段、基础阶段和结构阶段昼间场界超标；夜间施工时，场界噪声大部分都将出现超标现象；为此工程应严格控制高噪声设备的运行时段，严禁夜间施工（夜间22:00~06:00），避免夜间施工产生扰民现象。</w:t>
      </w:r>
    </w:p>
    <w:p>
      <w:pPr>
        <w:ind w:firstLine="480"/>
        <w:rPr>
          <w:rFonts w:cs="Times New Roman"/>
        </w:rPr>
      </w:pPr>
      <w:r>
        <w:rPr>
          <w:rFonts w:cs="Times New Roman"/>
        </w:rPr>
        <w:t>根据现状调查，距离项目最近的敏感目标为项目区东南面50m处的芳玉堂村，项目施工期间采用低噪声设备，尽量避免了对居民区的影响。为了能够尽量降低施工中施工机械噪声对居住区的影响，施工单位应合理安排好施工计划，高噪声设备布置尽量远离敏感目标，同时尽量避免在同一地点布置多个高噪声设备，严格控制高噪声设备的运行时段；夜间22时~凌晨06时禁止施工，避开午休时间动用高噪声设备，避免夜间施工产生扰民现象，并尽可能缩短施工周期把噪声污染控制到最小，随着施工期的结束其噪声影响将会消失。</w:t>
      </w:r>
    </w:p>
    <w:p>
      <w:pPr>
        <w:ind w:firstLine="482"/>
        <w:rPr>
          <w:rFonts w:cs="Times New Roman"/>
          <w:b/>
        </w:rPr>
      </w:pPr>
      <w:r>
        <w:rPr>
          <w:rFonts w:cs="Times New Roman"/>
          <w:b/>
        </w:rPr>
        <w:t>2、交通噪声影响分析</w:t>
      </w:r>
    </w:p>
    <w:p>
      <w:pPr>
        <w:ind w:firstLine="480"/>
        <w:rPr>
          <w:rFonts w:cs="Times New Roman"/>
        </w:rPr>
      </w:pPr>
      <w:r>
        <w:rPr>
          <w:rFonts w:cs="Times New Roman"/>
        </w:rPr>
        <w:t>施工期建筑材料、施工弃土、建筑垃圾的运输会加重沿线交通噪声污染，运输车辆噪声级一般为75~90dB（A）。由于项目运输量有限，加上车辆禁止夜间、午休时间鸣笛，因此施工期产生的交通噪声污染是暂时的，不会对沿线居民生活造成大的影响。</w:t>
      </w:r>
    </w:p>
    <w:p>
      <w:pPr>
        <w:pStyle w:val="4"/>
        <w:adjustRightInd w:val="0"/>
        <w:snapToGrid w:val="0"/>
        <w:jc w:val="left"/>
        <w:rPr>
          <w:rFonts w:cs="Times New Roman"/>
          <w:szCs w:val="24"/>
        </w:rPr>
      </w:pPr>
      <w:bookmarkStart w:id="145" w:name="_Toc17758"/>
      <w:bookmarkStart w:id="146" w:name="_Toc9205"/>
      <w:bookmarkStart w:id="147" w:name="_Toc30729"/>
      <w:bookmarkStart w:id="148" w:name="_Toc9544"/>
      <w:bookmarkStart w:id="149" w:name="_Toc30287"/>
      <w:bookmarkStart w:id="150" w:name="_Toc517522309"/>
      <w:bookmarkStart w:id="151" w:name="_Toc6182"/>
      <w:bookmarkStart w:id="152" w:name="_Toc86611303"/>
      <w:r>
        <w:rPr>
          <w:rFonts w:cs="Times New Roman"/>
          <w:szCs w:val="24"/>
        </w:rPr>
        <w:t>5.1.4 施工期固体废物影响分析</w:t>
      </w:r>
      <w:bookmarkEnd w:id="145"/>
      <w:bookmarkEnd w:id="146"/>
      <w:bookmarkEnd w:id="147"/>
      <w:bookmarkEnd w:id="148"/>
      <w:bookmarkEnd w:id="149"/>
      <w:bookmarkEnd w:id="150"/>
      <w:bookmarkEnd w:id="151"/>
      <w:bookmarkEnd w:id="152"/>
    </w:p>
    <w:p>
      <w:pPr>
        <w:ind w:firstLine="480"/>
        <w:rPr>
          <w:rFonts w:cs="Times New Roman"/>
        </w:rPr>
      </w:pPr>
      <w:r>
        <w:rPr>
          <w:rFonts w:cs="Times New Roman"/>
        </w:rPr>
        <w:t>施工期产生的固体废弃物主要为废石土方、建筑圾垃和施工人员生活垃圾。</w:t>
      </w:r>
    </w:p>
    <w:p>
      <w:pPr>
        <w:ind w:firstLine="480"/>
        <w:rPr>
          <w:rFonts w:cs="Times New Roman"/>
        </w:rPr>
      </w:pPr>
      <w:r>
        <w:rPr>
          <w:rFonts w:cs="Times New Roman"/>
        </w:rPr>
        <w:t>本项目土石方通过内部土石方调配平衡，土石方平衡后无永久弃渣产生。</w:t>
      </w:r>
    </w:p>
    <w:p>
      <w:pPr>
        <w:ind w:firstLine="480"/>
        <w:rPr>
          <w:rFonts w:cs="Times New Roman"/>
        </w:rPr>
      </w:pPr>
      <w:r>
        <w:rPr>
          <w:rFonts w:cs="Times New Roman"/>
        </w:rPr>
        <w:t>建筑施工中还会产生少量的建筑垃圾如碎砖块、混凝土、砂浆、桩头、水泥、铁屑、包装材料等，施工中尽量综合利用，实行有组织、有安排的分类处置。由于建筑施工中废料处于建设工地现场，碎砖块、混凝土、砂浆、水泥等建筑施工废料完全可以回收利用，回收利用建筑施工废料既减少了建筑材料的购买量，又减少了建筑垃圾的清运量，经济效益十分明显。不能回收利用的废料分类收集，严格按照当地环卫部门要求处置。为了更好的实现施工期建筑垃圾的综合利用，建议采用以下综合利用措施：</w:t>
      </w:r>
    </w:p>
    <w:p>
      <w:pPr>
        <w:ind w:firstLine="480"/>
        <w:rPr>
          <w:rFonts w:cs="Times New Roman"/>
        </w:rPr>
      </w:pPr>
      <w:r>
        <w:rPr>
          <w:rFonts w:cs="Times New Roman"/>
        </w:rPr>
        <w:t>（1）对于施工中散落的砂浆、混凝土，还原为水泥浆、石子和砂加以利用。</w:t>
      </w:r>
    </w:p>
    <w:p>
      <w:pPr>
        <w:ind w:firstLine="480"/>
        <w:rPr>
          <w:rFonts w:cs="Times New Roman"/>
        </w:rPr>
      </w:pPr>
      <w:r>
        <w:rPr>
          <w:rFonts w:cs="Times New Roman"/>
        </w:rPr>
        <w:t>（2）凝固的砂浆、混凝土经破碎后可作为碎石直接用于地基加固等。</w:t>
      </w:r>
    </w:p>
    <w:p>
      <w:pPr>
        <w:ind w:firstLine="480"/>
        <w:rPr>
          <w:rFonts w:cs="Times New Roman"/>
        </w:rPr>
      </w:pPr>
      <w:r>
        <w:rPr>
          <w:rFonts w:cs="Times New Roman"/>
        </w:rPr>
        <w:t>（3）碎砖块可以作为粗骨料拌制混凝土，也可作为地基处理的材料。</w:t>
      </w:r>
    </w:p>
    <w:p>
      <w:pPr>
        <w:ind w:firstLine="480"/>
        <w:rPr>
          <w:rFonts w:cs="Times New Roman"/>
        </w:rPr>
      </w:pPr>
      <w:r>
        <w:rPr>
          <w:rFonts w:cs="Times New Roman"/>
        </w:rPr>
        <w:t>施工期的建筑垃圾产生量不大，经过综合处理后，大部分都得以回收利用，小部分严格按照当地环卫部门要求处置，对周围环境影响不大。</w:t>
      </w:r>
    </w:p>
    <w:p>
      <w:pPr>
        <w:ind w:firstLine="480"/>
        <w:rPr>
          <w:rFonts w:cs="Times New Roman"/>
        </w:rPr>
      </w:pPr>
      <w:r>
        <w:rPr>
          <w:rFonts w:cs="Times New Roman"/>
        </w:rPr>
        <w:t>施工期间施工人员将产生生活垃圾27t，其主要成分为纸屑、餐盒、残余剩余物、包装袋等。建设中产生的少量生活垃圾统一收集委托当地环卫部门处置。</w:t>
      </w:r>
    </w:p>
    <w:p>
      <w:pPr>
        <w:ind w:firstLine="480"/>
        <w:rPr>
          <w:rFonts w:cs="Times New Roman"/>
        </w:rPr>
      </w:pPr>
      <w:r>
        <w:rPr>
          <w:rFonts w:cs="Times New Roman"/>
        </w:rPr>
        <w:t>施工期固体废弃物均得到合理妥善的处置，处置率100%，对周围环境的影响不大。</w:t>
      </w:r>
    </w:p>
    <w:p>
      <w:pPr>
        <w:pStyle w:val="4"/>
        <w:adjustRightInd w:val="0"/>
        <w:snapToGrid w:val="0"/>
        <w:jc w:val="left"/>
        <w:rPr>
          <w:rFonts w:cs="Times New Roman"/>
          <w:szCs w:val="24"/>
        </w:rPr>
      </w:pPr>
      <w:bookmarkStart w:id="153" w:name="_Toc86611304"/>
      <w:r>
        <w:rPr>
          <w:rFonts w:cs="Times New Roman"/>
          <w:szCs w:val="24"/>
        </w:rPr>
        <w:t>5.1.5 施工期水土流失环境影响分析</w:t>
      </w:r>
      <w:bookmarkEnd w:id="153"/>
    </w:p>
    <w:p>
      <w:pPr>
        <w:ind w:firstLine="482"/>
        <w:rPr>
          <w:rFonts w:cs="Times New Roman"/>
          <w:b/>
        </w:rPr>
      </w:pPr>
      <w:r>
        <w:rPr>
          <w:rFonts w:cs="Times New Roman"/>
          <w:b/>
        </w:rPr>
        <w:t>1、水土流失分析</w:t>
      </w:r>
    </w:p>
    <w:p>
      <w:pPr>
        <w:ind w:firstLine="480"/>
        <w:rPr>
          <w:rFonts w:cs="Times New Roman"/>
        </w:rPr>
      </w:pPr>
      <w:r>
        <w:rPr>
          <w:rFonts w:cs="Times New Roman"/>
        </w:rPr>
        <w:t>施工期可能导致水土流失的主要原因是降雨、地表开挖和弃土堆放等。楼宇、道路的土建施工是引起水土流失的工程因素。在施工过程中，突然暴露在雨、风和其他的干扰中，另外，大量的土方挖填和弃土的堆放，都会使土壤暴露情况加剧。施工过程中，泥土转运装卸过程中和堆放时，都可能出现散落和水土流失。</w:t>
      </w:r>
    </w:p>
    <w:p>
      <w:pPr>
        <w:ind w:firstLine="480"/>
        <w:rPr>
          <w:rFonts w:cs="Times New Roman"/>
        </w:rPr>
      </w:pPr>
      <w:r>
        <w:rPr>
          <w:rFonts w:cs="Times New Roman"/>
        </w:rPr>
        <w:t>根据前文工程分析，项目施工期水土流失量约为845.4t，其土壤侵蚀和流失的程度般，若不采取水土保持措施，裸露的开挖面、松散的弃土弃渣遭遇暴雨、径流的冲蚀，很容易对土地资源、项目区及周边生态环境及项目的建设和运营等造成不利影响。</w:t>
      </w:r>
    </w:p>
    <w:p>
      <w:pPr>
        <w:ind w:firstLine="480"/>
        <w:rPr>
          <w:rFonts w:cs="Times New Roman"/>
        </w:rPr>
      </w:pPr>
      <w:r>
        <w:rPr>
          <w:rFonts w:cs="Times New Roman"/>
        </w:rPr>
        <w:t>根据主体工程设计，按开发建设项目正常的设计功能，无水土保持工程条件下，将产生土壤流失量，并由此对周边生态环境造成危害。项目建设施工区的水土流失是由于工程施工中挖损破坏以及占压地表，使施工区地形地貌、植被、土壤发生巨大的变化而引起的，属于人为因素的加速侵蚀，具有流失面积集中、流失形式多样等特点，并主要集中在工程施工期间。</w:t>
      </w:r>
    </w:p>
    <w:p>
      <w:pPr>
        <w:ind w:firstLine="480"/>
        <w:rPr>
          <w:rFonts w:cs="Times New Roman"/>
        </w:rPr>
      </w:pPr>
      <w:r>
        <w:rPr>
          <w:rFonts w:cs="Times New Roman"/>
        </w:rPr>
        <w:t>在工程建设期间，项目区各个功能区均有一定量的土石方工程。虽然各处产生的土石方工程基本上能够在建设区内调运进行内部平衡，但在场地在平整活动中，改变了原地貌形态和地表士层结构，同时损坏了植被层，产生大量的裸露地面和疏松土体，使土壤抗蚀抗冲能力下降。因而在项目建设期内，因为地表的扰动，将会产生不同程度的水土流失。</w:t>
      </w:r>
    </w:p>
    <w:p>
      <w:pPr>
        <w:ind w:firstLine="480"/>
        <w:rPr>
          <w:rFonts w:cs="Times New Roman"/>
        </w:rPr>
      </w:pPr>
      <w:r>
        <w:rPr>
          <w:rFonts w:cs="Times New Roman"/>
        </w:rPr>
        <w:t>（1）对土地资源的破坏</w:t>
      </w:r>
    </w:p>
    <w:p>
      <w:pPr>
        <w:ind w:firstLine="480"/>
        <w:rPr>
          <w:rFonts w:cs="Times New Roman"/>
        </w:rPr>
      </w:pPr>
      <w:r>
        <w:rPr>
          <w:rFonts w:cs="Times New Roman"/>
        </w:rPr>
        <w:t>项目建设区施工活动损坏原自然地表、地表植被，形成大面积裸露地表，改变土壤结构，降低或丧失水土保持功能。施工结束后，土地生产力的基础一土壤丧失殆尽，尤其项日区内的红壤区域，扰动后随着侵蚀强度增大，土壤中的N、P、K等有机养分流失量相应加大，使区域土壤日趋贫瘠，严重区域可能产生石漠化。</w:t>
      </w:r>
    </w:p>
    <w:p>
      <w:pPr>
        <w:ind w:firstLine="480"/>
        <w:rPr>
          <w:rFonts w:cs="Times New Roman"/>
        </w:rPr>
      </w:pPr>
      <w:r>
        <w:rPr>
          <w:rFonts w:cs="Times New Roman"/>
        </w:rPr>
        <w:t>（2）对工程区及周边地区生态环境的破坏</w:t>
      </w:r>
    </w:p>
    <w:p>
      <w:pPr>
        <w:ind w:firstLine="480"/>
        <w:rPr>
          <w:rFonts w:cs="Times New Roman"/>
        </w:rPr>
      </w:pPr>
      <w:r>
        <w:rPr>
          <w:rFonts w:cs="Times New Roman"/>
        </w:rPr>
        <w:t>项目开工后，这些林草将遭到严重破坏，导致区域林草覆盖率降低，一些物种数量减少，生物多样性降低，生态系统抵御和抗干扰能力下降，生态环境稳定性降低，工程建设扰动后，土壤侵蚀模数往往是原来的几倍甚至几十倍，加之当地降雨量较集中，如不采取有效的水土保持措施，在水力侵蚀和重力侵蚀的双重作用下，极易造成严重的水土流失及危害。</w:t>
      </w:r>
    </w:p>
    <w:p>
      <w:pPr>
        <w:ind w:firstLine="480"/>
        <w:rPr>
          <w:rFonts w:cs="Times New Roman"/>
        </w:rPr>
      </w:pPr>
      <w:r>
        <w:rPr>
          <w:rFonts w:cs="Times New Roman"/>
        </w:rPr>
        <w:t>（3）对项目建设和运营安全的影响</w:t>
      </w:r>
    </w:p>
    <w:p>
      <w:pPr>
        <w:ind w:firstLine="480"/>
        <w:rPr>
          <w:rFonts w:cs="Times New Roman"/>
        </w:rPr>
      </w:pPr>
      <w:r>
        <w:rPr>
          <w:rFonts w:cs="Times New Roman"/>
        </w:rPr>
        <w:t>工程建设可能导致的水土流失与项目区建设的安全息息相关。建设扰动地表可能诱发的水土流失，若得不到有效防治，必将对项目建设和运行期的安全生产造成很大影响。尤其值得注意的是，若得不到及时、有效防治而诱发大量水土流失的发生。</w:t>
      </w:r>
    </w:p>
    <w:p>
      <w:pPr>
        <w:ind w:firstLine="480"/>
        <w:rPr>
          <w:rFonts w:cs="Times New Roman"/>
        </w:rPr>
      </w:pPr>
      <w:r>
        <w:rPr>
          <w:rFonts w:cs="Times New Roman"/>
        </w:rPr>
        <w:t>（4）对当地社会经济活动的影响</w:t>
      </w:r>
    </w:p>
    <w:p>
      <w:pPr>
        <w:ind w:firstLine="480"/>
        <w:rPr>
          <w:rFonts w:cs="Times New Roman"/>
        </w:rPr>
      </w:pPr>
      <w:r>
        <w:rPr>
          <w:rFonts w:cs="Times New Roman"/>
        </w:rPr>
        <w:t>项目的建设为促进地区社会经济发展具有重要意义。若建设过程中产生的水土流失得不到有效防治，必将使建设区现有水土流失加剧，危及周边农田、下游的河流、公路等，不仅给建设区周边居民和企业生产生活带来不利影响，也直接影响整个地区的开发与发展。</w:t>
      </w:r>
    </w:p>
    <w:p>
      <w:pPr>
        <w:ind w:firstLine="480"/>
        <w:rPr>
          <w:rFonts w:cs="Times New Roman"/>
        </w:rPr>
      </w:pPr>
      <w:r>
        <w:rPr>
          <w:rFonts w:cs="Times New Roman"/>
        </w:rPr>
        <w:t>（5）对项目区周边河流水系的影响</w:t>
      </w:r>
    </w:p>
    <w:p>
      <w:pPr>
        <w:ind w:firstLine="480"/>
        <w:rPr>
          <w:rFonts w:cs="Times New Roman"/>
        </w:rPr>
      </w:pPr>
      <w:r>
        <w:rPr>
          <w:rFonts w:cs="Times New Roman"/>
        </w:rPr>
        <w:t>项目区在建设过程中产生的渣量较大，如果无有效的措施进行全面防护，在雨季时会使大量弃方被雨水冲入项目区周边的河流、水库中，一方面对水体造成一定污染，另一方面造成渠道淤塞、影响行洪，最终导致水质下降，威胁到渠道周边区域的农田灌溉，造成直接经济损失。</w:t>
      </w:r>
    </w:p>
    <w:p>
      <w:pPr>
        <w:ind w:firstLine="480"/>
        <w:rPr>
          <w:rFonts w:cs="Times New Roman"/>
        </w:rPr>
      </w:pPr>
      <w:r>
        <w:rPr>
          <w:rFonts w:cs="Times New Roman"/>
        </w:rPr>
        <w:t>总体上，项目区施工阶段的水土流失影响主要集中于生产区及生活区施工期前期，工期较长。另外因项目建设所造成的水士流失的负面影响是短暂和可控的，而项目建成后可大幅度降低项目区的水土流失，其正面影响是相对长期的。因此需要在项目施工过程中采取相应的水土保持措施，可以在施工区设置临时分区围拦设施，减少水土流失的形成面积，另外特别注意加强挖填土阶段的施工环境管理，固定土方的堆放场地，禁止土方在场外的乱堆乱放，防止运输抛洒等，通过以上措施的采取，可将施工造成的水土流失进行有效控制，防止施工的泥土随地表径流流入项目周边农灌渠。</w:t>
      </w:r>
    </w:p>
    <w:p>
      <w:pPr>
        <w:ind w:firstLine="482"/>
        <w:rPr>
          <w:rFonts w:cs="Times New Roman"/>
          <w:b/>
        </w:rPr>
      </w:pPr>
      <w:r>
        <w:rPr>
          <w:rFonts w:cs="Times New Roman"/>
          <w:b/>
        </w:rPr>
        <w:t>2、生态环境影响分析</w:t>
      </w:r>
    </w:p>
    <w:p>
      <w:pPr>
        <w:ind w:firstLine="480"/>
        <w:rPr>
          <w:rFonts w:cs="Times New Roman"/>
        </w:rPr>
      </w:pPr>
      <w:r>
        <w:rPr>
          <w:rFonts w:cs="Times New Roman"/>
        </w:rPr>
        <w:t>在施工期因土方开挖，铲除地表植被，局部改变区域地形地貌，使原已斑驳的地表大面积显露出人工开挖的痕迹，使区域的景观进一步受到破坏。与施工前相比较，施工场地的景观与项目周边的景色愈加不协调，加上地面扬尘和场地上的施工机械，正在建设的建构筑物，给周围居民造成视觉污染，即施工期将使区域的景观进一步恶化。但是由于项目施工期对景观的不利影响不可避免，只有在施工后期项目区已初具规模，裸露的地表得覆盖，项目区绿化完成后，不利影响才会逐渐减缓和消失。</w:t>
      </w:r>
    </w:p>
    <w:p>
      <w:pPr>
        <w:ind w:firstLine="480"/>
        <w:rPr>
          <w:rFonts w:cs="Times New Roman"/>
        </w:rPr>
      </w:pPr>
      <w:r>
        <w:rPr>
          <w:rFonts w:cs="Times New Roman"/>
        </w:rPr>
        <w:t>在项目运营期，因施工破坏的局部地形地貌得到修复和恢复，裸露的地表进行了绿化，施工形成的临时凹坑和堆体得到了恢复和防护，构建筑物的施工已结束并进行了装修，使用初期对景观的破坏可以得到恢复。待项目运营一段时间后，项目绿化工程得到效益，景观还会进一步改善。</w:t>
      </w:r>
    </w:p>
    <w:p>
      <w:pPr>
        <w:pStyle w:val="4"/>
        <w:adjustRightInd w:val="0"/>
        <w:snapToGrid w:val="0"/>
        <w:jc w:val="left"/>
        <w:rPr>
          <w:rFonts w:cs="Times New Roman"/>
          <w:szCs w:val="24"/>
        </w:rPr>
      </w:pPr>
      <w:bookmarkStart w:id="154" w:name="_Toc21071"/>
      <w:bookmarkStart w:id="155" w:name="_Toc2838"/>
      <w:bookmarkStart w:id="156" w:name="_Toc11926"/>
      <w:bookmarkStart w:id="157" w:name="_Toc13935"/>
      <w:bookmarkStart w:id="158" w:name="_Toc23602"/>
      <w:bookmarkStart w:id="159" w:name="_Toc517522311"/>
      <w:bookmarkStart w:id="160" w:name="_Toc13346"/>
      <w:bookmarkStart w:id="161" w:name="_Toc86611305"/>
      <w:r>
        <w:rPr>
          <w:rFonts w:cs="Times New Roman"/>
          <w:szCs w:val="24"/>
        </w:rPr>
        <w:t>5.1.6 施工期环境影响小结</w:t>
      </w:r>
      <w:bookmarkEnd w:id="154"/>
      <w:bookmarkEnd w:id="155"/>
      <w:bookmarkEnd w:id="156"/>
      <w:bookmarkEnd w:id="157"/>
      <w:bookmarkEnd w:id="158"/>
      <w:bookmarkEnd w:id="159"/>
      <w:bookmarkEnd w:id="160"/>
      <w:bookmarkEnd w:id="161"/>
    </w:p>
    <w:p>
      <w:pPr>
        <w:autoSpaceDE w:val="0"/>
        <w:autoSpaceDN w:val="0"/>
        <w:adjustRightInd w:val="0"/>
        <w:ind w:firstLine="480"/>
        <w:rPr>
          <w:rFonts w:cs="Times New Roman"/>
          <w:kern w:val="0"/>
        </w:rPr>
      </w:pPr>
      <w:r>
        <w:rPr>
          <w:rFonts w:cs="Times New Roman"/>
          <w:kern w:val="0"/>
        </w:rPr>
        <w:t>通过以上预测分析，为了把施工噪声、扬尘对环境敏感点的影响降至最低，在施工期，由施工单位负责场地环境管理，并接受当地环保部门监督、管理。项目建设过程中涉及到地基开挖，在施工中，若发现未勘探到的地下文物，应及时上报有关文物管理部门。</w:t>
      </w:r>
    </w:p>
    <w:p>
      <w:pPr>
        <w:ind w:firstLine="480"/>
        <w:rPr>
          <w:rFonts w:cs="Times New Roman"/>
          <w:kern w:val="0"/>
        </w:rPr>
        <w:sectPr>
          <w:pgSz w:w="11906" w:h="16838"/>
          <w:pgMar w:top="1440" w:right="1800" w:bottom="1440" w:left="1800" w:header="851" w:footer="992" w:gutter="0"/>
          <w:cols w:space="425" w:num="1"/>
          <w:docGrid w:type="lines" w:linePitch="326" w:charSpace="0"/>
        </w:sectPr>
      </w:pPr>
      <w:r>
        <w:rPr>
          <w:rFonts w:cs="Times New Roman"/>
          <w:kern w:val="0"/>
        </w:rPr>
        <w:t>环境管理工作应根据国家有关法律法规及地方环保部门的要求建立一套“环境污染控制管理方案”，并利用其中的“运行控制程序”进行严格管理，以便做到文明施工，把对周围环境造成的污染影响降至最低。</w:t>
      </w:r>
    </w:p>
    <w:p>
      <w:pPr>
        <w:pStyle w:val="3"/>
        <w:rPr>
          <w:rFonts w:cs="Times New Roman"/>
        </w:rPr>
      </w:pPr>
      <w:bookmarkStart w:id="162" w:name="_Toc86611306"/>
      <w:r>
        <w:rPr>
          <w:rFonts w:cs="Times New Roman"/>
        </w:rPr>
        <w:t>5.2营运期环境影响预测与评价</w:t>
      </w:r>
      <w:bookmarkEnd w:id="162"/>
    </w:p>
    <w:p>
      <w:pPr>
        <w:pStyle w:val="4"/>
        <w:adjustRightInd w:val="0"/>
        <w:snapToGrid w:val="0"/>
        <w:jc w:val="left"/>
        <w:rPr>
          <w:rFonts w:cs="Times New Roman"/>
          <w:szCs w:val="24"/>
        </w:rPr>
      </w:pPr>
      <w:bookmarkStart w:id="163" w:name="_Toc86611307"/>
      <w:r>
        <w:rPr>
          <w:rFonts w:cs="Times New Roman"/>
          <w:szCs w:val="24"/>
        </w:rPr>
        <w:t>5.2.1 气象资料的适用性分析</w:t>
      </w:r>
      <w:bookmarkEnd w:id="163"/>
    </w:p>
    <w:p>
      <w:pPr>
        <w:autoSpaceDE w:val="0"/>
        <w:autoSpaceDN w:val="0"/>
        <w:adjustRightInd w:val="0"/>
        <w:ind w:firstLine="480"/>
        <w:rPr>
          <w:rFonts w:cs="Times New Roman"/>
          <w:kern w:val="0"/>
        </w:rPr>
      </w:pPr>
      <w:r>
        <w:rPr>
          <w:rFonts w:cs="Times New Roman"/>
          <w:kern w:val="0"/>
        </w:rPr>
        <w:t>针对拟建项目尚未设置专业气象站的项目，气象参证站的选择主要是从距离和地形地貌两方面考虑。项目</w:t>
      </w:r>
      <w:r>
        <w:rPr>
          <w:rFonts w:cs="Times New Roman"/>
        </w:rPr>
        <w:t>中心地理坐标为：</w:t>
      </w:r>
      <w:r>
        <w:rPr>
          <w:rFonts w:cs="Times New Roman"/>
          <w:kern w:val="0"/>
        </w:rPr>
        <w:t>东经112°29′55.37″，北纬27°11′08.82″，距离最近的气象站为衡阳县气象站（东经112°21′54″，北纬26°58′41″），距离约25.96km。本项目采用湖南省气象局2020年审查提供的衡阳县气象站统计结果。据调查，该气象站周围地理环境和气候条件与项目周围基本一致，而且项目空气污染物排放连续稳定，该气象站资料具有较好的适用性。</w:t>
      </w:r>
    </w:p>
    <w:p>
      <w:pPr>
        <w:pStyle w:val="4"/>
        <w:adjustRightInd w:val="0"/>
        <w:snapToGrid w:val="0"/>
        <w:jc w:val="left"/>
        <w:rPr>
          <w:rFonts w:cs="Times New Roman"/>
          <w:szCs w:val="24"/>
        </w:rPr>
      </w:pPr>
      <w:bookmarkStart w:id="164" w:name="_Toc86611308"/>
      <w:r>
        <w:rPr>
          <w:rFonts w:cs="Times New Roman"/>
          <w:szCs w:val="24"/>
        </w:rPr>
        <w:t>5.2.2 常规气象资料分析</w:t>
      </w:r>
      <w:bookmarkEnd w:id="164"/>
    </w:p>
    <w:p>
      <w:pPr>
        <w:autoSpaceDE w:val="0"/>
        <w:autoSpaceDN w:val="0"/>
        <w:adjustRightInd w:val="0"/>
        <w:ind w:firstLine="480"/>
        <w:rPr>
          <w:rFonts w:cs="Times New Roman"/>
          <w:kern w:val="0"/>
        </w:rPr>
      </w:pPr>
      <w:r>
        <w:rPr>
          <w:rFonts w:cs="Times New Roman"/>
          <w:kern w:val="0"/>
        </w:rPr>
        <w:t>项目环境空气影响预测采用衡阳县气象站2020年的常规气象观测资料，下面对该资料进行统计分析。</w:t>
      </w:r>
    </w:p>
    <w:p>
      <w:pPr>
        <w:pStyle w:val="69"/>
        <w:ind w:firstLine="0" w:firstLineChars="0"/>
        <w:outlineLvl w:val="3"/>
        <w:rPr>
          <w:b/>
          <w:bCs/>
        </w:rPr>
      </w:pPr>
      <w:r>
        <w:rPr>
          <w:b/>
          <w:bCs/>
        </w:rPr>
        <w:t>5.2.2.1 温度</w:t>
      </w:r>
    </w:p>
    <w:p>
      <w:pPr>
        <w:autoSpaceDE w:val="0"/>
        <w:autoSpaceDN w:val="0"/>
        <w:adjustRightInd w:val="0"/>
        <w:ind w:firstLine="480"/>
        <w:rPr>
          <w:rFonts w:cs="Times New Roman"/>
          <w:kern w:val="0"/>
        </w:rPr>
      </w:pPr>
      <w:r>
        <w:rPr>
          <w:rFonts w:cs="Times New Roman"/>
          <w:kern w:val="0"/>
        </w:rPr>
        <w:t>表5.2-1和图5.2-1给出了衡阳县2020年各月及年平均温度的变化情况。2020年衡阳县年平均温度为18.9℃。</w:t>
      </w:r>
    </w:p>
    <w:p>
      <w:pPr>
        <w:pStyle w:val="14"/>
        <w:spacing w:before="163" w:beforeLines="50"/>
        <w:ind w:firstLine="420"/>
        <w:rPr>
          <w:color w:val="auto"/>
          <w:szCs w:val="24"/>
        </w:rPr>
      </w:pPr>
      <w:r>
        <w:rPr>
          <w:color w:val="auto"/>
          <w:szCs w:val="24"/>
        </w:rPr>
        <w:t>表5.2-1  年平均温度的月变化  单位：℃</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510"/>
        <w:gridCol w:w="600"/>
        <w:gridCol w:w="622"/>
        <w:gridCol w:w="622"/>
        <w:gridCol w:w="622"/>
        <w:gridCol w:w="622"/>
        <w:gridCol w:w="622"/>
        <w:gridCol w:w="622"/>
        <w:gridCol w:w="622"/>
        <w:gridCol w:w="622"/>
        <w:gridCol w:w="623"/>
        <w:gridCol w:w="513"/>
        <w:gridCol w:w="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9" w:type="pct"/>
            <w:vAlign w:val="center"/>
          </w:tcPr>
          <w:p>
            <w:pPr>
              <w:autoSpaceDE w:val="0"/>
              <w:autoSpaceDN w:val="0"/>
              <w:adjustRightInd w:val="0"/>
              <w:spacing w:line="240" w:lineRule="auto"/>
              <w:ind w:firstLine="0" w:firstLineChars="0"/>
              <w:jc w:val="center"/>
              <w:rPr>
                <w:b/>
                <w:sz w:val="21"/>
                <w:szCs w:val="21"/>
              </w:rPr>
            </w:pPr>
            <w:r>
              <w:rPr>
                <w:b/>
                <w:sz w:val="21"/>
                <w:szCs w:val="21"/>
              </w:rPr>
              <w:t>月份</w:t>
            </w:r>
          </w:p>
        </w:tc>
        <w:tc>
          <w:tcPr>
            <w:tcW w:w="299" w:type="pct"/>
            <w:vAlign w:val="center"/>
          </w:tcPr>
          <w:p>
            <w:pPr>
              <w:autoSpaceDE w:val="0"/>
              <w:autoSpaceDN w:val="0"/>
              <w:adjustRightInd w:val="0"/>
              <w:spacing w:line="240" w:lineRule="auto"/>
              <w:ind w:firstLine="0" w:firstLineChars="0"/>
              <w:jc w:val="center"/>
              <w:rPr>
                <w:b/>
                <w:sz w:val="21"/>
                <w:szCs w:val="21"/>
              </w:rPr>
            </w:pPr>
            <w:r>
              <w:rPr>
                <w:b/>
                <w:sz w:val="21"/>
                <w:szCs w:val="21"/>
              </w:rPr>
              <w:t>1</w:t>
            </w:r>
          </w:p>
        </w:tc>
        <w:tc>
          <w:tcPr>
            <w:tcW w:w="352" w:type="pct"/>
            <w:vAlign w:val="center"/>
          </w:tcPr>
          <w:p>
            <w:pPr>
              <w:autoSpaceDE w:val="0"/>
              <w:autoSpaceDN w:val="0"/>
              <w:adjustRightInd w:val="0"/>
              <w:spacing w:line="240" w:lineRule="auto"/>
              <w:ind w:firstLine="0" w:firstLineChars="0"/>
              <w:jc w:val="center"/>
              <w:rPr>
                <w:b/>
                <w:sz w:val="21"/>
                <w:szCs w:val="21"/>
              </w:rPr>
            </w:pPr>
            <w:r>
              <w:rPr>
                <w:b/>
                <w:sz w:val="21"/>
                <w:szCs w:val="21"/>
              </w:rPr>
              <w:t>2</w:t>
            </w:r>
          </w:p>
        </w:tc>
        <w:tc>
          <w:tcPr>
            <w:tcW w:w="365" w:type="pct"/>
            <w:vAlign w:val="center"/>
          </w:tcPr>
          <w:p>
            <w:pPr>
              <w:autoSpaceDE w:val="0"/>
              <w:autoSpaceDN w:val="0"/>
              <w:adjustRightInd w:val="0"/>
              <w:spacing w:line="240" w:lineRule="auto"/>
              <w:ind w:firstLine="0" w:firstLineChars="0"/>
              <w:jc w:val="center"/>
              <w:rPr>
                <w:b/>
                <w:sz w:val="21"/>
                <w:szCs w:val="21"/>
              </w:rPr>
            </w:pPr>
            <w:r>
              <w:rPr>
                <w:b/>
                <w:sz w:val="21"/>
                <w:szCs w:val="21"/>
              </w:rPr>
              <w:t>3</w:t>
            </w:r>
          </w:p>
        </w:tc>
        <w:tc>
          <w:tcPr>
            <w:tcW w:w="365" w:type="pct"/>
            <w:vAlign w:val="center"/>
          </w:tcPr>
          <w:p>
            <w:pPr>
              <w:autoSpaceDE w:val="0"/>
              <w:autoSpaceDN w:val="0"/>
              <w:adjustRightInd w:val="0"/>
              <w:spacing w:line="240" w:lineRule="auto"/>
              <w:ind w:firstLine="0" w:firstLineChars="0"/>
              <w:jc w:val="center"/>
              <w:rPr>
                <w:b/>
                <w:sz w:val="21"/>
                <w:szCs w:val="21"/>
              </w:rPr>
            </w:pPr>
            <w:r>
              <w:rPr>
                <w:b/>
                <w:sz w:val="21"/>
                <w:szCs w:val="21"/>
              </w:rPr>
              <w:t>4</w:t>
            </w:r>
          </w:p>
        </w:tc>
        <w:tc>
          <w:tcPr>
            <w:tcW w:w="365" w:type="pct"/>
            <w:vAlign w:val="center"/>
          </w:tcPr>
          <w:p>
            <w:pPr>
              <w:autoSpaceDE w:val="0"/>
              <w:autoSpaceDN w:val="0"/>
              <w:adjustRightInd w:val="0"/>
              <w:spacing w:line="240" w:lineRule="auto"/>
              <w:ind w:firstLine="0" w:firstLineChars="0"/>
              <w:jc w:val="center"/>
              <w:rPr>
                <w:b/>
                <w:sz w:val="21"/>
                <w:szCs w:val="21"/>
              </w:rPr>
            </w:pPr>
            <w:r>
              <w:rPr>
                <w:b/>
                <w:sz w:val="21"/>
                <w:szCs w:val="21"/>
              </w:rPr>
              <w:t>5</w:t>
            </w:r>
          </w:p>
        </w:tc>
        <w:tc>
          <w:tcPr>
            <w:tcW w:w="365" w:type="pct"/>
            <w:vAlign w:val="center"/>
          </w:tcPr>
          <w:p>
            <w:pPr>
              <w:autoSpaceDE w:val="0"/>
              <w:autoSpaceDN w:val="0"/>
              <w:adjustRightInd w:val="0"/>
              <w:spacing w:line="240" w:lineRule="auto"/>
              <w:ind w:firstLine="0" w:firstLineChars="0"/>
              <w:jc w:val="center"/>
              <w:rPr>
                <w:b/>
                <w:sz w:val="21"/>
                <w:szCs w:val="21"/>
              </w:rPr>
            </w:pPr>
            <w:r>
              <w:rPr>
                <w:b/>
                <w:sz w:val="21"/>
                <w:szCs w:val="21"/>
              </w:rPr>
              <w:t>6</w:t>
            </w:r>
          </w:p>
        </w:tc>
        <w:tc>
          <w:tcPr>
            <w:tcW w:w="365" w:type="pct"/>
            <w:vAlign w:val="center"/>
          </w:tcPr>
          <w:p>
            <w:pPr>
              <w:autoSpaceDE w:val="0"/>
              <w:autoSpaceDN w:val="0"/>
              <w:adjustRightInd w:val="0"/>
              <w:spacing w:line="240" w:lineRule="auto"/>
              <w:ind w:firstLine="0" w:firstLineChars="0"/>
              <w:jc w:val="center"/>
              <w:rPr>
                <w:b/>
                <w:sz w:val="21"/>
                <w:szCs w:val="21"/>
              </w:rPr>
            </w:pPr>
            <w:r>
              <w:rPr>
                <w:b/>
                <w:sz w:val="21"/>
                <w:szCs w:val="21"/>
              </w:rPr>
              <w:t>7</w:t>
            </w:r>
          </w:p>
        </w:tc>
        <w:tc>
          <w:tcPr>
            <w:tcW w:w="365" w:type="pct"/>
            <w:vAlign w:val="center"/>
          </w:tcPr>
          <w:p>
            <w:pPr>
              <w:autoSpaceDE w:val="0"/>
              <w:autoSpaceDN w:val="0"/>
              <w:adjustRightInd w:val="0"/>
              <w:spacing w:line="240" w:lineRule="auto"/>
              <w:ind w:firstLine="0" w:firstLineChars="0"/>
              <w:jc w:val="center"/>
              <w:rPr>
                <w:b/>
                <w:sz w:val="21"/>
                <w:szCs w:val="21"/>
              </w:rPr>
            </w:pPr>
            <w:r>
              <w:rPr>
                <w:b/>
                <w:sz w:val="21"/>
                <w:szCs w:val="21"/>
              </w:rPr>
              <w:t>8</w:t>
            </w:r>
          </w:p>
        </w:tc>
        <w:tc>
          <w:tcPr>
            <w:tcW w:w="365" w:type="pct"/>
            <w:vAlign w:val="center"/>
          </w:tcPr>
          <w:p>
            <w:pPr>
              <w:autoSpaceDE w:val="0"/>
              <w:autoSpaceDN w:val="0"/>
              <w:adjustRightInd w:val="0"/>
              <w:spacing w:line="240" w:lineRule="auto"/>
              <w:ind w:firstLine="0" w:firstLineChars="0"/>
              <w:jc w:val="center"/>
              <w:rPr>
                <w:b/>
                <w:sz w:val="21"/>
                <w:szCs w:val="21"/>
              </w:rPr>
            </w:pPr>
            <w:r>
              <w:rPr>
                <w:b/>
                <w:sz w:val="21"/>
                <w:szCs w:val="21"/>
              </w:rPr>
              <w:t>9</w:t>
            </w:r>
          </w:p>
        </w:tc>
        <w:tc>
          <w:tcPr>
            <w:tcW w:w="365" w:type="pct"/>
            <w:vAlign w:val="center"/>
          </w:tcPr>
          <w:p>
            <w:pPr>
              <w:autoSpaceDE w:val="0"/>
              <w:autoSpaceDN w:val="0"/>
              <w:adjustRightInd w:val="0"/>
              <w:spacing w:line="240" w:lineRule="auto"/>
              <w:ind w:firstLine="0" w:firstLineChars="0"/>
              <w:jc w:val="center"/>
              <w:rPr>
                <w:b/>
                <w:sz w:val="21"/>
                <w:szCs w:val="21"/>
              </w:rPr>
            </w:pPr>
            <w:r>
              <w:rPr>
                <w:b/>
                <w:sz w:val="21"/>
                <w:szCs w:val="21"/>
              </w:rPr>
              <w:t>10</w:t>
            </w:r>
          </w:p>
        </w:tc>
        <w:tc>
          <w:tcPr>
            <w:tcW w:w="365" w:type="pct"/>
            <w:vAlign w:val="center"/>
          </w:tcPr>
          <w:p>
            <w:pPr>
              <w:autoSpaceDE w:val="0"/>
              <w:autoSpaceDN w:val="0"/>
              <w:adjustRightInd w:val="0"/>
              <w:spacing w:line="240" w:lineRule="auto"/>
              <w:ind w:firstLine="0" w:firstLineChars="0"/>
              <w:jc w:val="center"/>
              <w:rPr>
                <w:b/>
                <w:sz w:val="21"/>
                <w:szCs w:val="21"/>
              </w:rPr>
            </w:pPr>
            <w:r>
              <w:rPr>
                <w:b/>
                <w:sz w:val="21"/>
                <w:szCs w:val="21"/>
              </w:rPr>
              <w:t>11</w:t>
            </w:r>
          </w:p>
        </w:tc>
        <w:tc>
          <w:tcPr>
            <w:tcW w:w="300" w:type="pct"/>
            <w:vAlign w:val="center"/>
          </w:tcPr>
          <w:p>
            <w:pPr>
              <w:autoSpaceDE w:val="0"/>
              <w:autoSpaceDN w:val="0"/>
              <w:adjustRightInd w:val="0"/>
              <w:spacing w:line="240" w:lineRule="auto"/>
              <w:ind w:firstLine="0" w:firstLineChars="0"/>
              <w:jc w:val="center"/>
              <w:rPr>
                <w:b/>
                <w:sz w:val="21"/>
                <w:szCs w:val="21"/>
              </w:rPr>
            </w:pPr>
            <w:r>
              <w:rPr>
                <w:b/>
                <w:sz w:val="21"/>
                <w:szCs w:val="21"/>
              </w:rPr>
              <w:t>12</w:t>
            </w:r>
          </w:p>
        </w:tc>
        <w:tc>
          <w:tcPr>
            <w:tcW w:w="363" w:type="pct"/>
            <w:vAlign w:val="center"/>
          </w:tcPr>
          <w:p>
            <w:pPr>
              <w:autoSpaceDE w:val="0"/>
              <w:autoSpaceDN w:val="0"/>
              <w:adjustRightInd w:val="0"/>
              <w:spacing w:line="240" w:lineRule="auto"/>
              <w:ind w:firstLine="0" w:firstLineChars="0"/>
              <w:jc w:val="center"/>
              <w:rPr>
                <w:b/>
                <w:sz w:val="21"/>
                <w:szCs w:val="21"/>
              </w:rPr>
            </w:pPr>
            <w:r>
              <w:rPr>
                <w:b/>
                <w:sz w:val="21"/>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9" w:type="pct"/>
            <w:vAlign w:val="center"/>
          </w:tcPr>
          <w:p>
            <w:pPr>
              <w:autoSpaceDE w:val="0"/>
              <w:autoSpaceDN w:val="0"/>
              <w:adjustRightInd w:val="0"/>
              <w:spacing w:line="240" w:lineRule="auto"/>
              <w:ind w:firstLine="0" w:firstLineChars="0"/>
              <w:jc w:val="center"/>
              <w:rPr>
                <w:sz w:val="21"/>
                <w:szCs w:val="21"/>
              </w:rPr>
            </w:pPr>
            <w:r>
              <w:rPr>
                <w:sz w:val="21"/>
                <w:szCs w:val="21"/>
              </w:rPr>
              <w:t>温度</w:t>
            </w:r>
          </w:p>
        </w:tc>
        <w:tc>
          <w:tcPr>
            <w:tcW w:w="299" w:type="pct"/>
            <w:vAlign w:val="center"/>
          </w:tcPr>
          <w:p>
            <w:pPr>
              <w:autoSpaceDE w:val="0"/>
              <w:autoSpaceDN w:val="0"/>
              <w:adjustRightInd w:val="0"/>
              <w:spacing w:line="240" w:lineRule="auto"/>
              <w:ind w:firstLine="0" w:firstLineChars="0"/>
              <w:jc w:val="center"/>
              <w:rPr>
                <w:sz w:val="21"/>
                <w:szCs w:val="21"/>
              </w:rPr>
            </w:pPr>
            <w:r>
              <w:rPr>
                <w:sz w:val="21"/>
                <w:szCs w:val="21"/>
              </w:rPr>
              <w:t>6.7</w:t>
            </w:r>
          </w:p>
        </w:tc>
        <w:tc>
          <w:tcPr>
            <w:tcW w:w="352" w:type="pct"/>
            <w:vAlign w:val="center"/>
          </w:tcPr>
          <w:p>
            <w:pPr>
              <w:autoSpaceDE w:val="0"/>
              <w:autoSpaceDN w:val="0"/>
              <w:adjustRightInd w:val="0"/>
              <w:spacing w:line="240" w:lineRule="auto"/>
              <w:ind w:firstLine="0" w:firstLineChars="0"/>
              <w:jc w:val="center"/>
              <w:rPr>
                <w:sz w:val="21"/>
                <w:szCs w:val="21"/>
              </w:rPr>
            </w:pPr>
            <w:r>
              <w:rPr>
                <w:sz w:val="21"/>
                <w:szCs w:val="21"/>
              </w:rPr>
              <w:t>11.3</w:t>
            </w:r>
          </w:p>
        </w:tc>
        <w:tc>
          <w:tcPr>
            <w:tcW w:w="365" w:type="pct"/>
            <w:vAlign w:val="center"/>
          </w:tcPr>
          <w:p>
            <w:pPr>
              <w:autoSpaceDE w:val="0"/>
              <w:autoSpaceDN w:val="0"/>
              <w:adjustRightInd w:val="0"/>
              <w:spacing w:line="240" w:lineRule="auto"/>
              <w:ind w:firstLine="0" w:firstLineChars="0"/>
              <w:jc w:val="center"/>
              <w:rPr>
                <w:sz w:val="21"/>
                <w:szCs w:val="21"/>
              </w:rPr>
            </w:pPr>
            <w:r>
              <w:rPr>
                <w:sz w:val="21"/>
                <w:szCs w:val="21"/>
              </w:rPr>
              <w:t>14.3</w:t>
            </w:r>
          </w:p>
        </w:tc>
        <w:tc>
          <w:tcPr>
            <w:tcW w:w="365" w:type="pct"/>
            <w:vAlign w:val="center"/>
          </w:tcPr>
          <w:p>
            <w:pPr>
              <w:autoSpaceDE w:val="0"/>
              <w:autoSpaceDN w:val="0"/>
              <w:adjustRightInd w:val="0"/>
              <w:spacing w:line="240" w:lineRule="auto"/>
              <w:ind w:firstLine="0" w:firstLineChars="0"/>
              <w:jc w:val="center"/>
              <w:rPr>
                <w:sz w:val="21"/>
                <w:szCs w:val="21"/>
              </w:rPr>
            </w:pPr>
            <w:r>
              <w:rPr>
                <w:sz w:val="21"/>
                <w:szCs w:val="21"/>
              </w:rPr>
              <w:t>17.7</w:t>
            </w:r>
          </w:p>
        </w:tc>
        <w:tc>
          <w:tcPr>
            <w:tcW w:w="365" w:type="pct"/>
            <w:vAlign w:val="center"/>
          </w:tcPr>
          <w:p>
            <w:pPr>
              <w:autoSpaceDE w:val="0"/>
              <w:autoSpaceDN w:val="0"/>
              <w:adjustRightInd w:val="0"/>
              <w:spacing w:line="240" w:lineRule="auto"/>
              <w:ind w:firstLine="0" w:firstLineChars="0"/>
              <w:jc w:val="center"/>
              <w:rPr>
                <w:sz w:val="21"/>
                <w:szCs w:val="21"/>
              </w:rPr>
            </w:pPr>
            <w:r>
              <w:rPr>
                <w:sz w:val="21"/>
                <w:szCs w:val="21"/>
              </w:rPr>
              <w:t>25.0</w:t>
            </w:r>
          </w:p>
        </w:tc>
        <w:tc>
          <w:tcPr>
            <w:tcW w:w="365" w:type="pct"/>
            <w:vAlign w:val="center"/>
          </w:tcPr>
          <w:p>
            <w:pPr>
              <w:autoSpaceDE w:val="0"/>
              <w:autoSpaceDN w:val="0"/>
              <w:adjustRightInd w:val="0"/>
              <w:spacing w:line="240" w:lineRule="auto"/>
              <w:ind w:firstLine="0" w:firstLineChars="0"/>
              <w:jc w:val="center"/>
              <w:rPr>
                <w:sz w:val="21"/>
                <w:szCs w:val="21"/>
              </w:rPr>
            </w:pPr>
            <w:r>
              <w:rPr>
                <w:sz w:val="21"/>
                <w:szCs w:val="21"/>
              </w:rPr>
              <w:t>28.5</w:t>
            </w:r>
          </w:p>
        </w:tc>
        <w:tc>
          <w:tcPr>
            <w:tcW w:w="365" w:type="pct"/>
            <w:vAlign w:val="center"/>
          </w:tcPr>
          <w:p>
            <w:pPr>
              <w:autoSpaceDE w:val="0"/>
              <w:autoSpaceDN w:val="0"/>
              <w:adjustRightInd w:val="0"/>
              <w:spacing w:line="240" w:lineRule="auto"/>
              <w:ind w:firstLine="0" w:firstLineChars="0"/>
              <w:jc w:val="center"/>
              <w:rPr>
                <w:sz w:val="21"/>
                <w:szCs w:val="21"/>
              </w:rPr>
            </w:pPr>
            <w:r>
              <w:rPr>
                <w:sz w:val="21"/>
                <w:szCs w:val="21"/>
              </w:rPr>
              <w:t>29.8</w:t>
            </w:r>
          </w:p>
        </w:tc>
        <w:tc>
          <w:tcPr>
            <w:tcW w:w="365" w:type="pct"/>
            <w:vAlign w:val="center"/>
          </w:tcPr>
          <w:p>
            <w:pPr>
              <w:autoSpaceDE w:val="0"/>
              <w:autoSpaceDN w:val="0"/>
              <w:adjustRightInd w:val="0"/>
              <w:spacing w:line="240" w:lineRule="auto"/>
              <w:ind w:firstLine="0" w:firstLineChars="0"/>
              <w:jc w:val="center"/>
              <w:rPr>
                <w:sz w:val="21"/>
                <w:szCs w:val="21"/>
              </w:rPr>
            </w:pPr>
            <w:r>
              <w:rPr>
                <w:sz w:val="21"/>
                <w:szCs w:val="21"/>
              </w:rPr>
              <w:t>30.7</w:t>
            </w:r>
          </w:p>
        </w:tc>
        <w:tc>
          <w:tcPr>
            <w:tcW w:w="365" w:type="pct"/>
            <w:vAlign w:val="center"/>
          </w:tcPr>
          <w:p>
            <w:pPr>
              <w:autoSpaceDE w:val="0"/>
              <w:autoSpaceDN w:val="0"/>
              <w:adjustRightInd w:val="0"/>
              <w:spacing w:line="240" w:lineRule="auto"/>
              <w:ind w:firstLine="0" w:firstLineChars="0"/>
              <w:jc w:val="center"/>
              <w:rPr>
                <w:sz w:val="21"/>
                <w:szCs w:val="21"/>
              </w:rPr>
            </w:pPr>
            <w:r>
              <w:rPr>
                <w:sz w:val="21"/>
                <w:szCs w:val="21"/>
              </w:rPr>
              <w:t>23.2</w:t>
            </w:r>
          </w:p>
        </w:tc>
        <w:tc>
          <w:tcPr>
            <w:tcW w:w="365" w:type="pct"/>
            <w:vAlign w:val="center"/>
          </w:tcPr>
          <w:p>
            <w:pPr>
              <w:autoSpaceDE w:val="0"/>
              <w:autoSpaceDN w:val="0"/>
              <w:adjustRightInd w:val="0"/>
              <w:spacing w:line="240" w:lineRule="auto"/>
              <w:ind w:firstLine="0" w:firstLineChars="0"/>
              <w:jc w:val="center"/>
              <w:rPr>
                <w:sz w:val="21"/>
                <w:szCs w:val="21"/>
              </w:rPr>
            </w:pPr>
            <w:r>
              <w:rPr>
                <w:sz w:val="21"/>
                <w:szCs w:val="21"/>
              </w:rPr>
              <w:t>18.3</w:t>
            </w:r>
          </w:p>
        </w:tc>
        <w:tc>
          <w:tcPr>
            <w:tcW w:w="365" w:type="pct"/>
            <w:vAlign w:val="center"/>
          </w:tcPr>
          <w:p>
            <w:pPr>
              <w:autoSpaceDE w:val="0"/>
              <w:autoSpaceDN w:val="0"/>
              <w:adjustRightInd w:val="0"/>
              <w:spacing w:line="240" w:lineRule="auto"/>
              <w:ind w:firstLine="0" w:firstLineChars="0"/>
              <w:jc w:val="center"/>
              <w:rPr>
                <w:sz w:val="21"/>
                <w:szCs w:val="21"/>
              </w:rPr>
            </w:pPr>
            <w:r>
              <w:rPr>
                <w:sz w:val="21"/>
                <w:szCs w:val="21"/>
              </w:rPr>
              <w:t>14.9</w:t>
            </w:r>
          </w:p>
        </w:tc>
        <w:tc>
          <w:tcPr>
            <w:tcW w:w="300" w:type="pct"/>
            <w:vAlign w:val="center"/>
          </w:tcPr>
          <w:p>
            <w:pPr>
              <w:autoSpaceDE w:val="0"/>
              <w:autoSpaceDN w:val="0"/>
              <w:adjustRightInd w:val="0"/>
              <w:spacing w:line="240" w:lineRule="auto"/>
              <w:ind w:firstLine="0" w:firstLineChars="0"/>
              <w:jc w:val="center"/>
              <w:rPr>
                <w:sz w:val="21"/>
                <w:szCs w:val="21"/>
              </w:rPr>
            </w:pPr>
            <w:r>
              <w:rPr>
                <w:sz w:val="21"/>
                <w:szCs w:val="21"/>
              </w:rPr>
              <w:t>7.2</w:t>
            </w:r>
          </w:p>
        </w:tc>
        <w:tc>
          <w:tcPr>
            <w:tcW w:w="363" w:type="pct"/>
            <w:vAlign w:val="center"/>
          </w:tcPr>
          <w:p>
            <w:pPr>
              <w:autoSpaceDE w:val="0"/>
              <w:autoSpaceDN w:val="0"/>
              <w:adjustRightInd w:val="0"/>
              <w:spacing w:line="240" w:lineRule="auto"/>
              <w:ind w:firstLine="0" w:firstLineChars="0"/>
              <w:jc w:val="center"/>
              <w:rPr>
                <w:sz w:val="21"/>
                <w:szCs w:val="21"/>
              </w:rPr>
            </w:pPr>
            <w:r>
              <w:rPr>
                <w:sz w:val="21"/>
                <w:szCs w:val="21"/>
              </w:rPr>
              <w:t>19.0</w:t>
            </w:r>
          </w:p>
        </w:tc>
      </w:tr>
    </w:tbl>
    <w:p>
      <w:pPr>
        <w:autoSpaceDE w:val="0"/>
        <w:autoSpaceDN w:val="0"/>
        <w:adjustRightInd w:val="0"/>
        <w:ind w:firstLine="480"/>
        <w:jc w:val="center"/>
        <w:rPr>
          <w:rFonts w:cs="Times New Roman"/>
          <w:kern w:val="0"/>
          <w:u w:val="single"/>
        </w:rPr>
      </w:pPr>
      <w:r>
        <w:rPr>
          <w:rFonts w:cs="Times New Roman"/>
        </w:rPr>
        <mc:AlternateContent>
          <mc:Choice Requires="wps">
            <w:drawing>
              <wp:anchor distT="0" distB="0" distL="114300" distR="114300" simplePos="0" relativeHeight="251661312" behindDoc="0" locked="0" layoutInCell="1" allowOverlap="1">
                <wp:simplePos x="0" y="0"/>
                <wp:positionH relativeFrom="column">
                  <wp:posOffset>4527550</wp:posOffset>
                </wp:positionH>
                <wp:positionV relativeFrom="paragraph">
                  <wp:posOffset>2463800</wp:posOffset>
                </wp:positionV>
                <wp:extent cx="844550" cy="4445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844550" cy="444500"/>
                        </a:xfrm>
                        <a:prstGeom prst="rect">
                          <a:avLst/>
                        </a:prstGeom>
                        <a:noFill/>
                        <a:ln w="6350">
                          <a:noFill/>
                        </a:ln>
                      </wps:spPr>
                      <wps:txbx>
                        <w:txbxContent>
                          <w:p>
                            <w:pPr>
                              <w:ind w:firstLine="480"/>
                            </w:pPr>
                            <w:r>
                              <w:rPr>
                                <w:rFonts w:hint="eastAsia"/>
                              </w:rPr>
                              <w:t>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6.5pt;margin-top:194pt;height:35pt;width:66.5pt;z-index:251661312;mso-width-relative:page;mso-height-relative:page;" filled="f" stroked="f" coordsize="21600,21600" o:gfxdata="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vgZTq2wAAAAsBAAAPAAAAAAAAAAEAIAAAACIAAABkcnMv&#10;ZG93bnJldi54bWxQSwECFAAUAAAACACHTuJAhV3NZTkCAABlBAAADgAAAAAAAAABACAAAAAqAQAA&#10;ZHJzL2Uyb0RvYy54bWxQSwUGAAAAAAYABgBZAQAA1QUAAAAA&#10;">
                <v:fill on="f" focussize="0,0"/>
                <v:stroke on="f" weight="0.5pt"/>
                <v:imagedata o:title=""/>
                <o:lock v:ext="edit" aspectratio="f"/>
                <v:textbox>
                  <w:txbxContent>
                    <w:p>
                      <w:pPr>
                        <w:ind w:firstLine="480"/>
                      </w:pPr>
                      <w:r>
                        <w:rPr>
                          <w:rFonts w:hint="eastAsia"/>
                        </w:rPr>
                        <w:t>月</w:t>
                      </w:r>
                    </w:p>
                  </w:txbxContent>
                </v:textbox>
              </v:shape>
            </w:pict>
          </mc:Fallback>
        </mc:AlternateContent>
      </w:r>
      <w:r>
        <w:rPr>
          <w:rFonts w:cs="Times New Roman"/>
        </w:rPr>
        <mc:AlternateContent>
          <mc:Choice Requires="wps">
            <w:drawing>
              <wp:anchor distT="0" distB="0" distL="114300" distR="114300" simplePos="0" relativeHeight="251660288" behindDoc="0" locked="0" layoutInCell="1" allowOverlap="1">
                <wp:simplePos x="0" y="0"/>
                <wp:positionH relativeFrom="column">
                  <wp:posOffset>158750</wp:posOffset>
                </wp:positionH>
                <wp:positionV relativeFrom="paragraph">
                  <wp:posOffset>158750</wp:posOffset>
                </wp:positionV>
                <wp:extent cx="844550" cy="4445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844550" cy="444500"/>
                        </a:xfrm>
                        <a:prstGeom prst="rect">
                          <a:avLst/>
                        </a:prstGeom>
                        <a:noFill/>
                        <a:ln w="6350">
                          <a:noFill/>
                        </a:ln>
                      </wps:spPr>
                      <wps:txbx>
                        <w:txbxContent>
                          <w:p>
                            <w:pPr>
                              <w:ind w:firstLine="480"/>
                            </w:pP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pt;margin-top:12.5pt;height:35pt;width:66.5pt;z-index:251660288;mso-width-relative:page;mso-height-relative:page;" filled="f" stroked="f" coordsize="21600,21600" o:gfxdata="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7Uqy11gAAAAgBAAAPAAAAAAAAAAEAIAAAACIAAABkcnMvZG93bnJl&#10;di54bWxQSwECFAAUAAAACACHTuJAMjDg7TgCAABlBAAADgAAAAAAAAABACAAAAAlAQAAZHJzL2Uy&#10;b0RvYy54bWxQSwUGAAAAAAYABgBZAQAAzwUAAAAA&#10;">
                <v:fill on="f" focussize="0,0"/>
                <v:stroke on="f" weight="0.5pt"/>
                <v:imagedata o:title=""/>
                <o:lock v:ext="edit" aspectratio="f"/>
                <v:textbox>
                  <w:txbxContent>
                    <w:p>
                      <w:pPr>
                        <w:ind w:firstLine="480"/>
                      </w:pPr>
                      <w:r>
                        <w:rPr>
                          <w:rFonts w:hint="eastAsia"/>
                        </w:rPr>
                        <w:t>℃</w:t>
                      </w:r>
                    </w:p>
                  </w:txbxContent>
                </v:textbox>
              </v:shape>
            </w:pict>
          </mc:Fallback>
        </mc:AlternateContent>
      </w:r>
      <w:r>
        <w:rPr>
          <w:rFonts w:cs="Times New Roman"/>
        </w:rPr>
        <w:drawing>
          <wp:inline distT="0" distB="0" distL="0" distR="0">
            <wp:extent cx="4572000" cy="2743200"/>
            <wp:effectExtent l="0" t="0" r="0" b="0"/>
            <wp:docPr id="5"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pPr>
        <w:spacing w:after="163" w:afterLines="50" w:line="240" w:lineRule="auto"/>
        <w:ind w:firstLine="482"/>
        <w:jc w:val="center"/>
        <w:rPr>
          <w:rFonts w:cs="Times New Roman"/>
          <w:b/>
          <w:szCs w:val="24"/>
        </w:rPr>
      </w:pPr>
      <w:r>
        <w:rPr>
          <w:rFonts w:cs="Times New Roman"/>
          <w:b/>
          <w:szCs w:val="24"/>
        </w:rPr>
        <w:t>图5.2-1  衡阳县气象站2020年平均温度的月变化曲线图</w:t>
      </w:r>
    </w:p>
    <w:p>
      <w:pPr>
        <w:pStyle w:val="69"/>
        <w:ind w:firstLine="0" w:firstLineChars="0"/>
        <w:outlineLvl w:val="3"/>
        <w:rPr>
          <w:b/>
          <w:bCs/>
        </w:rPr>
      </w:pPr>
      <w:r>
        <w:rPr>
          <w:b/>
          <w:bCs/>
        </w:rPr>
        <w:t>5.2.2.1 地面风特征分析</w:t>
      </w:r>
    </w:p>
    <w:p>
      <w:pPr>
        <w:autoSpaceDE w:val="0"/>
        <w:autoSpaceDN w:val="0"/>
        <w:adjustRightInd w:val="0"/>
        <w:ind w:firstLine="482"/>
        <w:rPr>
          <w:rFonts w:cs="Times New Roman"/>
          <w:b/>
          <w:kern w:val="0"/>
        </w:rPr>
      </w:pPr>
      <w:r>
        <w:rPr>
          <w:rFonts w:cs="Times New Roman"/>
          <w:b/>
          <w:kern w:val="0"/>
        </w:rPr>
        <w:t>1、风速</w:t>
      </w:r>
    </w:p>
    <w:p>
      <w:pPr>
        <w:autoSpaceDE w:val="0"/>
        <w:autoSpaceDN w:val="0"/>
        <w:adjustRightInd w:val="0"/>
        <w:ind w:firstLine="480"/>
        <w:rPr>
          <w:rFonts w:cs="Times New Roman"/>
          <w:bCs/>
          <w:kern w:val="0"/>
          <w:szCs w:val="20"/>
        </w:rPr>
      </w:pPr>
      <w:r>
        <w:rPr>
          <w:rFonts w:cs="Times New Roman"/>
          <w:bCs/>
          <w:kern w:val="0"/>
          <w:szCs w:val="20"/>
        </w:rPr>
        <w:t>根据衡阳县气象台2020年地面风资料，统计出该地各月及年平均风速和全年及四季与年的小时平均风速变化情况，见表5.2-2、表5.2-3，并绘制成月平均风速变化曲线图（图5.2-2）、小时平均风速的日变化曲线图（图5.2-3）以及风玫瑰图（图5.2-4）。</w:t>
      </w:r>
    </w:p>
    <w:p>
      <w:pPr>
        <w:pStyle w:val="14"/>
        <w:spacing w:before="163" w:beforeLines="50"/>
        <w:ind w:firstLine="420"/>
        <w:rPr>
          <w:color w:val="auto"/>
          <w:szCs w:val="24"/>
        </w:rPr>
      </w:pPr>
      <w:r>
        <w:rPr>
          <w:color w:val="auto"/>
          <w:szCs w:val="24"/>
        </w:rPr>
        <w:t>表5.2-2  年平均风速的月变化</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594"/>
        <w:gridCol w:w="595"/>
        <w:gridCol w:w="595"/>
        <w:gridCol w:w="595"/>
        <w:gridCol w:w="595"/>
        <w:gridCol w:w="595"/>
        <w:gridCol w:w="595"/>
        <w:gridCol w:w="595"/>
        <w:gridCol w:w="595"/>
        <w:gridCol w:w="595"/>
        <w:gridCol w:w="595"/>
        <w:gridCol w:w="595"/>
        <w:gridCol w:w="5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5" w:type="pct"/>
            <w:vAlign w:val="center"/>
          </w:tcPr>
          <w:p>
            <w:pPr>
              <w:autoSpaceDE w:val="0"/>
              <w:autoSpaceDN w:val="0"/>
              <w:adjustRightInd w:val="0"/>
              <w:spacing w:line="240" w:lineRule="auto"/>
              <w:ind w:firstLine="0" w:firstLineChars="0"/>
              <w:jc w:val="center"/>
              <w:rPr>
                <w:b/>
                <w:sz w:val="21"/>
                <w:szCs w:val="18"/>
              </w:rPr>
            </w:pPr>
            <w:r>
              <w:rPr>
                <w:b/>
                <w:sz w:val="21"/>
                <w:szCs w:val="18"/>
              </w:rPr>
              <w:t>月份</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1</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2</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3</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4</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5</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6</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7</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8</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9</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10</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11</w:t>
            </w:r>
          </w:p>
        </w:tc>
        <w:tc>
          <w:tcPr>
            <w:tcW w:w="349" w:type="pct"/>
            <w:vAlign w:val="center"/>
          </w:tcPr>
          <w:p>
            <w:pPr>
              <w:autoSpaceDE w:val="0"/>
              <w:autoSpaceDN w:val="0"/>
              <w:adjustRightInd w:val="0"/>
              <w:spacing w:line="240" w:lineRule="auto"/>
              <w:ind w:firstLine="0" w:firstLineChars="0"/>
              <w:jc w:val="center"/>
              <w:rPr>
                <w:b/>
                <w:sz w:val="21"/>
                <w:szCs w:val="18"/>
              </w:rPr>
            </w:pPr>
            <w:r>
              <w:rPr>
                <w:b/>
                <w:sz w:val="21"/>
                <w:szCs w:val="18"/>
              </w:rPr>
              <w:t>12</w:t>
            </w:r>
          </w:p>
        </w:tc>
        <w:tc>
          <w:tcPr>
            <w:tcW w:w="347" w:type="pct"/>
            <w:vAlign w:val="center"/>
          </w:tcPr>
          <w:p>
            <w:pPr>
              <w:autoSpaceDE w:val="0"/>
              <w:autoSpaceDN w:val="0"/>
              <w:adjustRightInd w:val="0"/>
              <w:spacing w:line="240" w:lineRule="auto"/>
              <w:ind w:firstLine="0" w:firstLineChars="0"/>
              <w:jc w:val="center"/>
              <w:rPr>
                <w:b/>
                <w:sz w:val="21"/>
                <w:szCs w:val="18"/>
              </w:rPr>
            </w:pPr>
            <w:r>
              <w:rPr>
                <w:b/>
                <w:sz w:val="21"/>
                <w:szCs w:val="18"/>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5" w:type="pct"/>
            <w:vAlign w:val="center"/>
          </w:tcPr>
          <w:p>
            <w:pPr>
              <w:autoSpaceDE w:val="0"/>
              <w:autoSpaceDN w:val="0"/>
              <w:adjustRightInd w:val="0"/>
              <w:spacing w:line="240" w:lineRule="auto"/>
              <w:ind w:firstLine="0" w:firstLineChars="0"/>
              <w:jc w:val="center"/>
              <w:rPr>
                <w:sz w:val="21"/>
                <w:szCs w:val="18"/>
              </w:rPr>
            </w:pPr>
            <w:r>
              <w:rPr>
                <w:sz w:val="21"/>
                <w:szCs w:val="18"/>
              </w:rPr>
              <w:t>温度</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2.4</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2.2</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2.3</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2.0</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2.2</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2.1</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2.1</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2.2</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2.2</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2.9</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2.7</w:t>
            </w:r>
          </w:p>
        </w:tc>
        <w:tc>
          <w:tcPr>
            <w:tcW w:w="349" w:type="pct"/>
            <w:vAlign w:val="center"/>
          </w:tcPr>
          <w:p>
            <w:pPr>
              <w:autoSpaceDE w:val="0"/>
              <w:autoSpaceDN w:val="0"/>
              <w:adjustRightInd w:val="0"/>
              <w:spacing w:line="240" w:lineRule="auto"/>
              <w:ind w:firstLine="0" w:firstLineChars="0"/>
              <w:jc w:val="center"/>
              <w:rPr>
                <w:sz w:val="21"/>
                <w:szCs w:val="18"/>
              </w:rPr>
            </w:pPr>
            <w:r>
              <w:rPr>
                <w:sz w:val="21"/>
                <w:szCs w:val="18"/>
              </w:rPr>
              <w:t>2.6</w:t>
            </w:r>
          </w:p>
        </w:tc>
        <w:tc>
          <w:tcPr>
            <w:tcW w:w="347" w:type="pct"/>
            <w:vAlign w:val="center"/>
          </w:tcPr>
          <w:p>
            <w:pPr>
              <w:autoSpaceDE w:val="0"/>
              <w:autoSpaceDN w:val="0"/>
              <w:adjustRightInd w:val="0"/>
              <w:spacing w:line="240" w:lineRule="auto"/>
              <w:ind w:firstLine="0" w:firstLineChars="0"/>
              <w:jc w:val="center"/>
              <w:rPr>
                <w:sz w:val="21"/>
                <w:szCs w:val="18"/>
              </w:rPr>
            </w:pPr>
            <w:r>
              <w:rPr>
                <w:sz w:val="21"/>
                <w:szCs w:val="18"/>
              </w:rPr>
              <w:t>2.3</w:t>
            </w:r>
          </w:p>
        </w:tc>
      </w:tr>
    </w:tbl>
    <w:p>
      <w:pPr>
        <w:autoSpaceDE w:val="0"/>
        <w:autoSpaceDN w:val="0"/>
        <w:adjustRightInd w:val="0"/>
        <w:ind w:firstLine="480"/>
        <w:jc w:val="center"/>
        <w:rPr>
          <w:rFonts w:cs="Times New Roman"/>
          <w:bCs/>
          <w:kern w:val="0"/>
          <w:szCs w:val="20"/>
          <w:u w:val="single"/>
        </w:rPr>
      </w:pPr>
      <w:r>
        <w:rPr>
          <w:rFonts w:cs="Times New Roman"/>
        </w:rPr>
        <mc:AlternateContent>
          <mc:Choice Requires="wps">
            <w:drawing>
              <wp:anchor distT="0" distB="0" distL="114300" distR="114300" simplePos="0" relativeHeight="251663360" behindDoc="0" locked="0" layoutInCell="1" allowOverlap="1">
                <wp:simplePos x="0" y="0"/>
                <wp:positionH relativeFrom="column">
                  <wp:posOffset>4483100</wp:posOffset>
                </wp:positionH>
                <wp:positionV relativeFrom="paragraph">
                  <wp:posOffset>2476500</wp:posOffset>
                </wp:positionV>
                <wp:extent cx="844550" cy="4445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844550" cy="444500"/>
                        </a:xfrm>
                        <a:prstGeom prst="rect">
                          <a:avLst/>
                        </a:prstGeom>
                        <a:noFill/>
                        <a:ln w="6350">
                          <a:noFill/>
                        </a:ln>
                      </wps:spPr>
                      <wps:txbx>
                        <w:txbxContent>
                          <w:p>
                            <w:pPr>
                              <w:ind w:firstLine="480"/>
                            </w:pPr>
                            <w:r>
                              <w:rPr>
                                <w:rFonts w:hint="eastAsia"/>
                              </w:rPr>
                              <w:t>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pt;margin-top:195pt;height:35pt;width:66.5pt;z-index:251663360;mso-width-relative:page;mso-height-relative:page;" filled="f" stroked="f" coordsize="21600,21600" o:gfxdata="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qNfDbaAAAACwEAAA8AAAAAAAAAAQAgAAAAIgAAAGRycy9k&#10;b3ducmV2LnhtbFBLAQIUABQAAAAIAIdO4kCp/s6rOQIAAGcEAAAOAAAAAAAAAAEAIAAAACkBAABk&#10;cnMvZTJvRG9jLnhtbFBLBQYAAAAABgAGAFkBAADUBQAAAAA=&#10;">
                <v:fill on="f" focussize="0,0"/>
                <v:stroke on="f" weight="0.5pt"/>
                <v:imagedata o:title=""/>
                <o:lock v:ext="edit" aspectratio="f"/>
                <v:textbox>
                  <w:txbxContent>
                    <w:p>
                      <w:pPr>
                        <w:ind w:firstLine="480"/>
                      </w:pPr>
                      <w:r>
                        <w:rPr>
                          <w:rFonts w:hint="eastAsia"/>
                        </w:rPr>
                        <w:t>月</w:t>
                      </w:r>
                    </w:p>
                  </w:txbxContent>
                </v:textbox>
              </v:shape>
            </w:pict>
          </mc:Fallback>
        </mc:AlternateContent>
      </w:r>
      <w:r>
        <w:rPr>
          <w:rFonts w:cs="Times New Roman"/>
        </w:rPr>
        <mc:AlternateContent>
          <mc:Choice Requires="wps">
            <w:drawing>
              <wp:anchor distT="0" distB="0" distL="114300" distR="114300" simplePos="0" relativeHeight="251662336" behindDoc="0" locked="0" layoutInCell="1" allowOverlap="1">
                <wp:simplePos x="0" y="0"/>
                <wp:positionH relativeFrom="column">
                  <wp:posOffset>146050</wp:posOffset>
                </wp:positionH>
                <wp:positionV relativeFrom="paragraph">
                  <wp:posOffset>203200</wp:posOffset>
                </wp:positionV>
                <wp:extent cx="844550" cy="4445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844550" cy="444500"/>
                        </a:xfrm>
                        <a:prstGeom prst="rect">
                          <a:avLst/>
                        </a:prstGeom>
                        <a:noFill/>
                        <a:ln w="6350">
                          <a:noFill/>
                        </a:ln>
                      </wps:spPr>
                      <wps:txbx>
                        <w:txbxContent>
                          <w:p>
                            <w:pPr>
                              <w:ind w:firstLine="480"/>
                            </w:pPr>
                            <w:r>
                              <w:rPr>
                                <w:rFonts w:hint="eastAsia"/>
                              </w:rPr>
                              <w:t>m</w:t>
                            </w:r>
                            <w: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pt;margin-top:16pt;height:35pt;width:66.5pt;z-index:251662336;mso-width-relative:page;mso-height-relative:page;" filled="f" stroked="f" coordsize="21600,21600" o:gfxdata="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yNzn69cAAAAJAQAADwAAAAAAAAABACAAAAAiAAAAZHJzL2Rvd25y&#10;ZXYueG1sUEsBAhQAFAAAAAgAh07iQFwGOaE4AgAAZwQAAA4AAAAAAAAAAQAgAAAAJgEAAGRycy9l&#10;Mm9Eb2MueG1sUEsFBgAAAAAGAAYAWQEAANAFAAAAAA==&#10;">
                <v:fill on="f" focussize="0,0"/>
                <v:stroke on="f" weight="0.5pt"/>
                <v:imagedata o:title=""/>
                <o:lock v:ext="edit" aspectratio="f"/>
                <v:textbox>
                  <w:txbxContent>
                    <w:p>
                      <w:pPr>
                        <w:ind w:firstLine="480"/>
                      </w:pPr>
                      <w:r>
                        <w:rPr>
                          <w:rFonts w:hint="eastAsia"/>
                        </w:rPr>
                        <w:t>m</w:t>
                      </w:r>
                      <w:r>
                        <w:t>/s</w:t>
                      </w:r>
                    </w:p>
                  </w:txbxContent>
                </v:textbox>
              </v:shape>
            </w:pict>
          </mc:Fallback>
        </mc:AlternateContent>
      </w:r>
      <w:r>
        <w:rPr>
          <w:rFonts w:cs="Times New Roman"/>
        </w:rPr>
        <w:drawing>
          <wp:inline distT="0" distB="0" distL="0" distR="0">
            <wp:extent cx="4572000" cy="2743200"/>
            <wp:effectExtent l="0" t="0" r="0" b="0"/>
            <wp:docPr id="8"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pPr>
        <w:spacing w:after="163" w:afterLines="50" w:line="240" w:lineRule="auto"/>
        <w:ind w:firstLine="482"/>
        <w:jc w:val="center"/>
        <w:rPr>
          <w:rFonts w:cs="Times New Roman"/>
          <w:b/>
          <w:szCs w:val="24"/>
        </w:rPr>
      </w:pPr>
      <w:r>
        <w:rPr>
          <w:rFonts w:cs="Times New Roman"/>
          <w:b/>
          <w:szCs w:val="24"/>
        </w:rPr>
        <w:t>图5.2-2  衡阳县气象站2020年平均风速的月变化曲线图</w:t>
      </w:r>
    </w:p>
    <w:p>
      <w:pPr>
        <w:pStyle w:val="69"/>
        <w:rPr>
          <w:bCs/>
        </w:rPr>
      </w:pPr>
      <w:r>
        <w:rPr>
          <w:bCs/>
        </w:rPr>
        <w:t>项目所在地年平均风速为2.3m/s。从年各月平均风速变化曲线图5.2-2来看，各月平均风速在2.0～2.9m/s之间，10月平均风速最大，4月平均风速最小。</w:t>
      </w:r>
    </w:p>
    <w:p>
      <w:pPr>
        <w:pStyle w:val="69"/>
        <w:ind w:firstLine="482"/>
        <w:rPr>
          <w:b/>
          <w:bCs/>
        </w:rPr>
      </w:pPr>
      <w:r>
        <w:rPr>
          <w:b/>
          <w:bCs/>
        </w:rPr>
        <w:t>2、风向、风频</w:t>
      </w:r>
    </w:p>
    <w:p>
      <w:pPr>
        <w:pStyle w:val="69"/>
        <w:rPr>
          <w:bCs/>
        </w:rPr>
      </w:pPr>
      <w:r>
        <w:rPr>
          <w:bCs/>
        </w:rPr>
        <w:t>各月各风向出现频率，2020年各风向出现频率见表5.2-3。2001~2020年近二十年风玫瑰图见图5.2-3，2020年衡阳县气象站出现频率最大的风向为N，频率为32%，年内主导风向为N-NNE，静风出现频率为2%。</w:t>
      </w:r>
    </w:p>
    <w:p>
      <w:pPr>
        <w:pStyle w:val="69"/>
        <w:jc w:val="center"/>
        <w:rPr>
          <w:bCs/>
        </w:rPr>
      </w:pPr>
      <w:r>
        <w:rPr>
          <w:bCs/>
        </w:rPr>
        <w:t>表5.2-3  2020年各风向风频一览表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32"/>
        <w:gridCol w:w="421"/>
        <w:gridCol w:w="526"/>
        <w:gridCol w:w="421"/>
        <w:gridCol w:w="526"/>
        <w:gridCol w:w="314"/>
        <w:gridCol w:w="526"/>
        <w:gridCol w:w="421"/>
        <w:gridCol w:w="526"/>
        <w:gridCol w:w="314"/>
        <w:gridCol w:w="526"/>
        <w:gridCol w:w="421"/>
        <w:gridCol w:w="571"/>
        <w:gridCol w:w="315"/>
        <w:gridCol w:w="606"/>
        <w:gridCol w:w="422"/>
        <w:gridCol w:w="559"/>
        <w:gridCol w:w="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0" w:hRule="atLeast"/>
        </w:trPr>
        <w:tc>
          <w:tcPr>
            <w:tcW w:w="383"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年份</w:t>
            </w:r>
          </w:p>
        </w:tc>
        <w:tc>
          <w:tcPr>
            <w:tcW w:w="257"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N</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NNE</w:t>
            </w:r>
          </w:p>
        </w:tc>
        <w:tc>
          <w:tcPr>
            <w:tcW w:w="257"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NE</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ENE</w:t>
            </w:r>
          </w:p>
        </w:tc>
        <w:tc>
          <w:tcPr>
            <w:tcW w:w="193"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E</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ESE</w:t>
            </w:r>
          </w:p>
        </w:tc>
        <w:tc>
          <w:tcPr>
            <w:tcW w:w="257"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SE</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SSE</w:t>
            </w:r>
          </w:p>
        </w:tc>
        <w:tc>
          <w:tcPr>
            <w:tcW w:w="193"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S</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SSW</w:t>
            </w:r>
          </w:p>
        </w:tc>
        <w:tc>
          <w:tcPr>
            <w:tcW w:w="257"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SW</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WSW</w:t>
            </w:r>
          </w:p>
        </w:tc>
        <w:tc>
          <w:tcPr>
            <w:tcW w:w="193"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WNW</w:t>
            </w:r>
          </w:p>
        </w:tc>
        <w:tc>
          <w:tcPr>
            <w:tcW w:w="257"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NW</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NNW</w:t>
            </w:r>
          </w:p>
        </w:tc>
        <w:tc>
          <w:tcPr>
            <w:tcW w:w="193"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0" w:hRule="atLeast"/>
        </w:trPr>
        <w:tc>
          <w:tcPr>
            <w:tcW w:w="383"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2020</w:t>
            </w:r>
          </w:p>
        </w:tc>
        <w:tc>
          <w:tcPr>
            <w:tcW w:w="257"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32</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19</w:t>
            </w:r>
          </w:p>
        </w:tc>
        <w:tc>
          <w:tcPr>
            <w:tcW w:w="257"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6</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w:t>
            </w:r>
          </w:p>
        </w:tc>
        <w:tc>
          <w:tcPr>
            <w:tcW w:w="193"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w:t>
            </w:r>
          </w:p>
        </w:tc>
        <w:tc>
          <w:tcPr>
            <w:tcW w:w="257"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4</w:t>
            </w:r>
          </w:p>
        </w:tc>
        <w:tc>
          <w:tcPr>
            <w:tcW w:w="193"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8</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5</w:t>
            </w:r>
          </w:p>
        </w:tc>
        <w:tc>
          <w:tcPr>
            <w:tcW w:w="257"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w:t>
            </w:r>
          </w:p>
        </w:tc>
        <w:tc>
          <w:tcPr>
            <w:tcW w:w="193"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w:t>
            </w:r>
          </w:p>
        </w:tc>
        <w:tc>
          <w:tcPr>
            <w:tcW w:w="257"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w:t>
            </w:r>
          </w:p>
        </w:tc>
        <w:tc>
          <w:tcPr>
            <w:tcW w:w="320"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9</w:t>
            </w:r>
          </w:p>
        </w:tc>
        <w:tc>
          <w:tcPr>
            <w:tcW w:w="193" w:type="pct"/>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w:t>
            </w:r>
          </w:p>
        </w:tc>
      </w:tr>
    </w:tbl>
    <w:p>
      <w:pPr>
        <w:pStyle w:val="69"/>
        <w:jc w:val="center"/>
        <w:rPr>
          <w:bCs/>
        </w:rPr>
      </w:pPr>
    </w:p>
    <w:p>
      <w:pPr>
        <w:ind w:firstLine="480"/>
        <w:jc w:val="center"/>
        <w:rPr>
          <w:rFonts w:cs="Times New Roman"/>
        </w:rPr>
      </w:pP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84"/>
        <w:gridCol w:w="4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spacing w:line="240" w:lineRule="auto"/>
              <w:ind w:firstLine="0" w:firstLineChars="0"/>
              <w:jc w:val="center"/>
              <w:rPr>
                <w:sz w:val="21"/>
                <w:szCs w:val="21"/>
              </w:rPr>
            </w:pPr>
            <w:r>
              <w:drawing>
                <wp:inline distT="0" distB="0" distL="0" distR="0">
                  <wp:extent cx="2519680" cy="2277745"/>
                  <wp:effectExtent l="0" t="0" r="0" b="8255"/>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图片 1127"/>
                          <pic:cNvPicPr>
                            <a:picLocks noChangeAspect="1"/>
                          </pic:cNvPicPr>
                        </pic:nvPicPr>
                        <pic:blipFill>
                          <a:blip r:embed="rId59"/>
                          <a:stretch>
                            <a:fillRect/>
                          </a:stretch>
                        </pic:blipFill>
                        <pic:spPr>
                          <a:xfrm>
                            <a:off x="0" y="0"/>
                            <a:ext cx="2520000" cy="2277791"/>
                          </a:xfrm>
                          <a:prstGeom prst="rect">
                            <a:avLst/>
                          </a:prstGeom>
                        </pic:spPr>
                      </pic:pic>
                    </a:graphicData>
                  </a:graphic>
                </wp:inline>
              </w:drawing>
            </w:r>
          </w:p>
        </w:tc>
        <w:tc>
          <w:tcPr>
            <w:tcW w:w="4148" w:type="dxa"/>
          </w:tcPr>
          <w:p>
            <w:pPr>
              <w:spacing w:line="240" w:lineRule="auto"/>
              <w:ind w:firstLine="0" w:firstLineChars="0"/>
              <w:jc w:val="center"/>
              <w:rPr>
                <w:sz w:val="21"/>
                <w:szCs w:val="21"/>
              </w:rPr>
            </w:pPr>
            <w:r>
              <w:drawing>
                <wp:inline distT="0" distB="0" distL="0" distR="0">
                  <wp:extent cx="2519680" cy="2237740"/>
                  <wp:effectExtent l="0" t="0" r="0" b="0"/>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1128"/>
                          <pic:cNvPicPr>
                            <a:picLocks noChangeAspect="1"/>
                          </pic:cNvPicPr>
                        </pic:nvPicPr>
                        <pic:blipFill>
                          <a:blip r:embed="rId60"/>
                          <a:stretch>
                            <a:fillRect/>
                          </a:stretch>
                        </pic:blipFill>
                        <pic:spPr>
                          <a:xfrm>
                            <a:off x="0" y="0"/>
                            <a:ext cx="2520000" cy="22377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spacing w:line="240" w:lineRule="auto"/>
              <w:ind w:firstLine="0" w:firstLineChars="0"/>
              <w:jc w:val="center"/>
              <w:rPr>
                <w:sz w:val="21"/>
                <w:szCs w:val="21"/>
              </w:rPr>
            </w:pPr>
            <w:r>
              <w:drawing>
                <wp:inline distT="0" distB="0" distL="0" distR="0">
                  <wp:extent cx="2519680" cy="2279015"/>
                  <wp:effectExtent l="0" t="0" r="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1"/>
                          <a:stretch>
                            <a:fillRect/>
                          </a:stretch>
                        </pic:blipFill>
                        <pic:spPr>
                          <a:xfrm>
                            <a:off x="0" y="0"/>
                            <a:ext cx="2520000" cy="2279502"/>
                          </a:xfrm>
                          <a:prstGeom prst="rect">
                            <a:avLst/>
                          </a:prstGeom>
                        </pic:spPr>
                      </pic:pic>
                    </a:graphicData>
                  </a:graphic>
                </wp:inline>
              </w:drawing>
            </w:r>
          </w:p>
        </w:tc>
        <w:tc>
          <w:tcPr>
            <w:tcW w:w="4148" w:type="dxa"/>
          </w:tcPr>
          <w:p>
            <w:pPr>
              <w:spacing w:line="240" w:lineRule="auto"/>
              <w:ind w:firstLine="0" w:firstLineChars="0"/>
              <w:jc w:val="center"/>
              <w:rPr>
                <w:sz w:val="21"/>
                <w:szCs w:val="21"/>
              </w:rPr>
            </w:pPr>
            <w:r>
              <w:drawing>
                <wp:inline distT="0" distB="0" distL="0" distR="0">
                  <wp:extent cx="2519680" cy="2261235"/>
                  <wp:effectExtent l="0" t="0" r="0" b="5715"/>
                  <wp:docPr id="1129" name="图片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图片 1129"/>
                          <pic:cNvPicPr>
                            <a:picLocks noChangeAspect="1"/>
                          </pic:cNvPicPr>
                        </pic:nvPicPr>
                        <pic:blipFill>
                          <a:blip r:embed="rId62"/>
                          <a:stretch>
                            <a:fillRect/>
                          </a:stretch>
                        </pic:blipFill>
                        <pic:spPr>
                          <a:xfrm>
                            <a:off x="0" y="0"/>
                            <a:ext cx="2520000" cy="226139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spacing w:line="240" w:lineRule="auto"/>
              <w:ind w:firstLine="0" w:firstLineChars="0"/>
              <w:jc w:val="center"/>
              <w:rPr>
                <w:sz w:val="21"/>
                <w:szCs w:val="21"/>
              </w:rPr>
            </w:pPr>
            <w:r>
              <w:drawing>
                <wp:inline distT="0" distB="0" distL="0" distR="0">
                  <wp:extent cx="2519680" cy="2264410"/>
                  <wp:effectExtent l="0" t="0" r="0" b="2540"/>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图片 1130"/>
                          <pic:cNvPicPr>
                            <a:picLocks noChangeAspect="1"/>
                          </pic:cNvPicPr>
                        </pic:nvPicPr>
                        <pic:blipFill>
                          <a:blip r:embed="rId63"/>
                          <a:stretch>
                            <a:fillRect/>
                          </a:stretch>
                        </pic:blipFill>
                        <pic:spPr>
                          <a:xfrm>
                            <a:off x="0" y="0"/>
                            <a:ext cx="2520000" cy="2264876"/>
                          </a:xfrm>
                          <a:prstGeom prst="rect">
                            <a:avLst/>
                          </a:prstGeom>
                        </pic:spPr>
                      </pic:pic>
                    </a:graphicData>
                  </a:graphic>
                </wp:inline>
              </w:drawing>
            </w:r>
          </w:p>
        </w:tc>
        <w:tc>
          <w:tcPr>
            <w:tcW w:w="4148" w:type="dxa"/>
          </w:tcPr>
          <w:p>
            <w:pPr>
              <w:spacing w:line="240" w:lineRule="auto"/>
              <w:ind w:firstLine="0" w:firstLineChars="0"/>
              <w:jc w:val="center"/>
              <w:rPr>
                <w:sz w:val="21"/>
                <w:szCs w:val="21"/>
              </w:rPr>
            </w:pPr>
            <w:r>
              <w:drawing>
                <wp:inline distT="0" distB="0" distL="0" distR="0">
                  <wp:extent cx="2519680" cy="2276475"/>
                  <wp:effectExtent l="0" t="0" r="0" b="9525"/>
                  <wp:docPr id="1131" name="图片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图片 1131"/>
                          <pic:cNvPicPr>
                            <a:picLocks noChangeAspect="1"/>
                          </pic:cNvPicPr>
                        </pic:nvPicPr>
                        <pic:blipFill>
                          <a:blip r:embed="rId64"/>
                          <a:stretch>
                            <a:fillRect/>
                          </a:stretch>
                        </pic:blipFill>
                        <pic:spPr>
                          <a:xfrm>
                            <a:off x="0" y="0"/>
                            <a:ext cx="2520000" cy="2276981"/>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spacing w:line="240" w:lineRule="auto"/>
              <w:ind w:firstLine="0" w:firstLineChars="0"/>
              <w:jc w:val="center"/>
              <w:rPr>
                <w:sz w:val="21"/>
                <w:szCs w:val="21"/>
              </w:rPr>
            </w:pPr>
            <w:r>
              <w:drawing>
                <wp:inline distT="0" distB="0" distL="0" distR="0">
                  <wp:extent cx="2519680" cy="2247265"/>
                  <wp:effectExtent l="0" t="0" r="0" b="635"/>
                  <wp:docPr id="1132" name="图片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图片 1132"/>
                          <pic:cNvPicPr>
                            <a:picLocks noChangeAspect="1"/>
                          </pic:cNvPicPr>
                        </pic:nvPicPr>
                        <pic:blipFill>
                          <a:blip r:embed="rId65"/>
                          <a:stretch>
                            <a:fillRect/>
                          </a:stretch>
                        </pic:blipFill>
                        <pic:spPr>
                          <a:xfrm>
                            <a:off x="0" y="0"/>
                            <a:ext cx="2520000" cy="2247568"/>
                          </a:xfrm>
                          <a:prstGeom prst="rect">
                            <a:avLst/>
                          </a:prstGeom>
                        </pic:spPr>
                      </pic:pic>
                    </a:graphicData>
                  </a:graphic>
                </wp:inline>
              </w:drawing>
            </w:r>
          </w:p>
        </w:tc>
        <w:tc>
          <w:tcPr>
            <w:tcW w:w="4148" w:type="dxa"/>
          </w:tcPr>
          <w:p>
            <w:pPr>
              <w:spacing w:line="240" w:lineRule="auto"/>
              <w:ind w:firstLine="0" w:firstLineChars="0"/>
              <w:jc w:val="center"/>
              <w:rPr>
                <w:sz w:val="21"/>
                <w:szCs w:val="21"/>
              </w:rPr>
            </w:pPr>
            <w:r>
              <w:drawing>
                <wp:inline distT="0" distB="0" distL="0" distR="0">
                  <wp:extent cx="2519680" cy="2293620"/>
                  <wp:effectExtent l="0" t="0" r="0" b="0"/>
                  <wp:docPr id="1133" name="图片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图片 1133"/>
                          <pic:cNvPicPr>
                            <a:picLocks noChangeAspect="1"/>
                          </pic:cNvPicPr>
                        </pic:nvPicPr>
                        <pic:blipFill>
                          <a:blip r:embed="rId66"/>
                          <a:stretch>
                            <a:fillRect/>
                          </a:stretch>
                        </pic:blipFill>
                        <pic:spPr>
                          <a:xfrm>
                            <a:off x="0" y="0"/>
                            <a:ext cx="2520000" cy="229377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spacing w:line="240" w:lineRule="auto"/>
              <w:ind w:firstLine="0" w:firstLineChars="0"/>
              <w:jc w:val="center"/>
              <w:rPr>
                <w:sz w:val="21"/>
                <w:szCs w:val="21"/>
              </w:rPr>
            </w:pPr>
            <w:r>
              <w:drawing>
                <wp:inline distT="0" distB="0" distL="0" distR="0">
                  <wp:extent cx="2519680" cy="2245360"/>
                  <wp:effectExtent l="0" t="0" r="0" b="2540"/>
                  <wp:docPr id="1134" name="图片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图片 1134"/>
                          <pic:cNvPicPr>
                            <a:picLocks noChangeAspect="1"/>
                          </pic:cNvPicPr>
                        </pic:nvPicPr>
                        <pic:blipFill>
                          <a:blip r:embed="rId67"/>
                          <a:stretch>
                            <a:fillRect/>
                          </a:stretch>
                        </pic:blipFill>
                        <pic:spPr>
                          <a:xfrm>
                            <a:off x="0" y="0"/>
                            <a:ext cx="2520000" cy="2245645"/>
                          </a:xfrm>
                          <a:prstGeom prst="rect">
                            <a:avLst/>
                          </a:prstGeom>
                        </pic:spPr>
                      </pic:pic>
                    </a:graphicData>
                  </a:graphic>
                </wp:inline>
              </w:drawing>
            </w:r>
          </w:p>
        </w:tc>
        <w:tc>
          <w:tcPr>
            <w:tcW w:w="4148" w:type="dxa"/>
          </w:tcPr>
          <w:p>
            <w:pPr>
              <w:spacing w:line="240" w:lineRule="auto"/>
              <w:ind w:firstLine="0" w:firstLineChars="0"/>
              <w:jc w:val="center"/>
              <w:rPr>
                <w:sz w:val="21"/>
                <w:szCs w:val="21"/>
              </w:rPr>
            </w:pPr>
            <w:r>
              <w:drawing>
                <wp:inline distT="0" distB="0" distL="0" distR="0">
                  <wp:extent cx="2519680" cy="2269490"/>
                  <wp:effectExtent l="0" t="0" r="0" b="0"/>
                  <wp:docPr id="1135" name="图片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图片 1135"/>
                          <pic:cNvPicPr>
                            <a:picLocks noChangeAspect="1"/>
                          </pic:cNvPicPr>
                        </pic:nvPicPr>
                        <pic:blipFill>
                          <a:blip r:embed="rId68"/>
                          <a:stretch>
                            <a:fillRect/>
                          </a:stretch>
                        </pic:blipFill>
                        <pic:spPr>
                          <a:xfrm>
                            <a:off x="0" y="0"/>
                            <a:ext cx="2520000" cy="22700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spacing w:line="240" w:lineRule="auto"/>
              <w:ind w:firstLine="0" w:firstLineChars="0"/>
              <w:jc w:val="center"/>
              <w:rPr>
                <w:sz w:val="21"/>
                <w:szCs w:val="21"/>
              </w:rPr>
            </w:pPr>
            <w:r>
              <w:drawing>
                <wp:inline distT="0" distB="0" distL="0" distR="0">
                  <wp:extent cx="2519680" cy="2264410"/>
                  <wp:effectExtent l="0" t="0" r="0" b="2540"/>
                  <wp:docPr id="1136" name="图片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图片 1136"/>
                          <pic:cNvPicPr>
                            <a:picLocks noChangeAspect="1"/>
                          </pic:cNvPicPr>
                        </pic:nvPicPr>
                        <pic:blipFill>
                          <a:blip r:embed="rId69"/>
                          <a:stretch>
                            <a:fillRect/>
                          </a:stretch>
                        </pic:blipFill>
                        <pic:spPr>
                          <a:xfrm>
                            <a:off x="0" y="0"/>
                            <a:ext cx="2520000" cy="2264422"/>
                          </a:xfrm>
                          <a:prstGeom prst="rect">
                            <a:avLst/>
                          </a:prstGeom>
                        </pic:spPr>
                      </pic:pic>
                    </a:graphicData>
                  </a:graphic>
                </wp:inline>
              </w:drawing>
            </w:r>
          </w:p>
        </w:tc>
        <w:tc>
          <w:tcPr>
            <w:tcW w:w="4148" w:type="dxa"/>
          </w:tcPr>
          <w:p>
            <w:pPr>
              <w:spacing w:line="240" w:lineRule="auto"/>
              <w:ind w:firstLine="0" w:firstLineChars="0"/>
              <w:jc w:val="center"/>
              <w:rPr>
                <w:sz w:val="21"/>
                <w:szCs w:val="21"/>
              </w:rPr>
            </w:pPr>
            <w:r>
              <w:drawing>
                <wp:inline distT="0" distB="0" distL="0" distR="0">
                  <wp:extent cx="2519680" cy="2264410"/>
                  <wp:effectExtent l="0" t="0" r="0" b="2540"/>
                  <wp:docPr id="1137" name="图片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图片 1137"/>
                          <pic:cNvPicPr>
                            <a:picLocks noChangeAspect="1"/>
                          </pic:cNvPicPr>
                        </pic:nvPicPr>
                        <pic:blipFill>
                          <a:blip r:embed="rId70"/>
                          <a:stretch>
                            <a:fillRect/>
                          </a:stretch>
                        </pic:blipFill>
                        <pic:spPr>
                          <a:xfrm>
                            <a:off x="0" y="0"/>
                            <a:ext cx="2520000" cy="2264422"/>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2"/>
          </w:tcPr>
          <w:p>
            <w:pPr>
              <w:spacing w:line="240" w:lineRule="auto"/>
              <w:ind w:firstLine="0" w:firstLineChars="0"/>
              <w:jc w:val="center"/>
              <w:rPr>
                <w:sz w:val="21"/>
                <w:szCs w:val="21"/>
              </w:rPr>
            </w:pPr>
            <w:r>
              <w:drawing>
                <wp:inline distT="0" distB="0" distL="0" distR="0">
                  <wp:extent cx="2519680" cy="2188845"/>
                  <wp:effectExtent l="0" t="0" r="0" b="1905"/>
                  <wp:docPr id="1138" name="图片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图片 1138"/>
                          <pic:cNvPicPr>
                            <a:picLocks noChangeAspect="1"/>
                          </pic:cNvPicPr>
                        </pic:nvPicPr>
                        <pic:blipFill>
                          <a:blip r:embed="rId71"/>
                          <a:stretch>
                            <a:fillRect/>
                          </a:stretch>
                        </pic:blipFill>
                        <pic:spPr>
                          <a:xfrm>
                            <a:off x="0" y="0"/>
                            <a:ext cx="2520000" cy="2188983"/>
                          </a:xfrm>
                          <a:prstGeom prst="rect">
                            <a:avLst/>
                          </a:prstGeom>
                        </pic:spPr>
                      </pic:pic>
                    </a:graphicData>
                  </a:graphic>
                </wp:inline>
              </w:drawing>
            </w:r>
          </w:p>
        </w:tc>
      </w:tr>
    </w:tbl>
    <w:p>
      <w:pPr>
        <w:ind w:firstLine="422"/>
        <w:jc w:val="center"/>
        <w:rPr>
          <w:rFonts w:cs="Times New Roman"/>
          <w:b/>
          <w:sz w:val="21"/>
          <w:szCs w:val="21"/>
        </w:rPr>
      </w:pPr>
      <w:r>
        <w:rPr>
          <w:rFonts w:cs="Times New Roman"/>
          <w:b/>
          <w:sz w:val="21"/>
          <w:szCs w:val="21"/>
        </w:rPr>
        <w:t>图5.2-3  衡阳县气象站近二十年风向玫瑰图</w:t>
      </w:r>
    </w:p>
    <w:p>
      <w:pPr>
        <w:pStyle w:val="4"/>
        <w:rPr>
          <w:rFonts w:cs="Times New Roman"/>
        </w:rPr>
      </w:pPr>
      <w:bookmarkStart w:id="165" w:name="_Toc86611309"/>
      <w:r>
        <w:rPr>
          <w:rFonts w:cs="Times New Roman"/>
        </w:rPr>
        <w:t>5.2.3环境空气影响预测与评价</w:t>
      </w:r>
      <w:bookmarkEnd w:id="165"/>
    </w:p>
    <w:p>
      <w:pPr>
        <w:pStyle w:val="5"/>
      </w:pPr>
      <w:r>
        <w:t>5.2.3.1大气估算与评价等级确定</w:t>
      </w:r>
    </w:p>
    <w:p>
      <w:pPr>
        <w:ind w:firstLine="480"/>
        <w:rPr>
          <w:rFonts w:cs="Times New Roman"/>
          <w:u w:val="single"/>
        </w:rPr>
      </w:pPr>
      <w:r>
        <w:rPr>
          <w:rFonts w:cs="Times New Roman"/>
          <w:u w:val="single"/>
        </w:rPr>
        <w:t>根据《环境影响评价技术导则大气环境》（HJ2.2-2018）中的规定，按照导</w:t>
      </w:r>
    </w:p>
    <w:p>
      <w:pPr>
        <w:ind w:firstLine="0" w:firstLineChars="0"/>
        <w:rPr>
          <w:rFonts w:cs="Times New Roman"/>
          <w:u w:val="single"/>
        </w:rPr>
      </w:pPr>
      <w:r>
        <w:rPr>
          <w:rFonts w:cs="Times New Roman"/>
          <w:u w:val="single"/>
        </w:rPr>
        <w:t>则附录A推荐模式中估算模型计算项目排放主要污染物的最大地面空气质量浓度占标率Pi 及地面空气质量浓度达标准限值10％时所对应的最远距离D</w:t>
      </w:r>
      <w:r>
        <w:rPr>
          <w:rFonts w:cs="Times New Roman"/>
          <w:u w:val="single"/>
          <w:vertAlign w:val="subscript"/>
        </w:rPr>
        <w:t>10%</w:t>
      </w:r>
      <w:r>
        <w:rPr>
          <w:rFonts w:cs="Times New Roman"/>
          <w:u w:val="single"/>
        </w:rPr>
        <w:t>，其中Pi 定义为：</w:t>
      </w:r>
    </w:p>
    <w:p>
      <w:pPr>
        <w:ind w:firstLine="480"/>
        <w:jc w:val="center"/>
        <w:rPr>
          <w:rFonts w:cs="Times New Roman"/>
          <w:position w:val="-30"/>
          <w:u w:val="single"/>
        </w:rPr>
      </w:pPr>
      <w:r>
        <w:rPr>
          <w:rFonts w:cs="Times New Roman"/>
          <w:position w:val="-30"/>
          <w:u w:val="single"/>
        </w:rPr>
        <w:object>
          <v:shape id="_x0000_i1039" o:spt="75" type="#_x0000_t75" style="height:33.25pt;width:77pt;" o:ole="t" filled="f" o:preferrelative="t" stroked="f" coordsize="21600,21600">
            <v:path/>
            <v:fill on="f" focussize="0,0"/>
            <v:stroke on="f" joinstyle="miter"/>
            <v:imagedata r:id="rId73" o:title=""/>
            <o:lock v:ext="edit" aspectratio="t"/>
            <w10:wrap type="none"/>
            <w10:anchorlock/>
          </v:shape>
          <o:OLEObject Type="Embed" ProgID="Equation.3" ShapeID="_x0000_i1039" DrawAspect="Content" ObjectID="_1468075739" r:id="rId72">
            <o:LockedField>false</o:LockedField>
          </o:OLEObject>
        </w:object>
      </w:r>
    </w:p>
    <w:p>
      <w:pPr>
        <w:ind w:firstLine="480"/>
        <w:rPr>
          <w:rFonts w:cs="Times New Roman"/>
          <w:u w:val="single"/>
        </w:rPr>
      </w:pPr>
      <w:r>
        <w:rPr>
          <w:rFonts w:cs="Times New Roman"/>
          <w:u w:val="single"/>
        </w:rPr>
        <w:t>Pi：第i个污染物的最大地面空气质量浓度占标率，%</w:t>
      </w:r>
    </w:p>
    <w:p>
      <w:pPr>
        <w:ind w:firstLine="480"/>
        <w:rPr>
          <w:rFonts w:cs="Times New Roman"/>
          <w:u w:val="single"/>
        </w:rPr>
      </w:pPr>
      <w:r>
        <w:rPr>
          <w:rFonts w:cs="Times New Roman"/>
          <w:u w:val="single"/>
        </w:rPr>
        <w:t>Ci：采用估算模型计算出的第i个污染物的最大1h地面空气质量浓度，ug/m3 Coi：第i个污染物的环境空气质量浓度标准，ug/m</w:t>
      </w:r>
      <w:r>
        <w:rPr>
          <w:rFonts w:cs="Times New Roman"/>
          <w:u w:val="single"/>
          <w:vertAlign w:val="superscript"/>
        </w:rPr>
        <w:t>3</w:t>
      </w:r>
    </w:p>
    <w:p>
      <w:pPr>
        <w:autoSpaceDE w:val="0"/>
        <w:autoSpaceDN w:val="0"/>
        <w:ind w:firstLine="0" w:firstLineChars="0"/>
        <w:jc w:val="center"/>
        <w:rPr>
          <w:rFonts w:cs="Times New Roman"/>
          <w:b/>
          <w:bCs/>
          <w:szCs w:val="24"/>
          <w:u w:val="single"/>
        </w:rPr>
      </w:pPr>
      <w:r>
        <w:rPr>
          <w:rFonts w:cs="Times New Roman"/>
          <w:b/>
          <w:bCs/>
          <w:szCs w:val="24"/>
          <w:u w:val="single"/>
        </w:rPr>
        <w:t>表5.2-4 评价工作等级判定</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19"/>
        <w:gridCol w:w="48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2" w:type="pct"/>
          </w:tcPr>
          <w:p>
            <w:pPr>
              <w:spacing w:line="240" w:lineRule="auto"/>
              <w:ind w:firstLine="0" w:firstLineChars="0"/>
              <w:jc w:val="center"/>
              <w:rPr>
                <w:rFonts w:cs="Times New Roman"/>
                <w:b/>
                <w:bCs/>
                <w:spacing w:val="20"/>
                <w:kern w:val="11"/>
                <w:sz w:val="21"/>
                <w:u w:val="single"/>
              </w:rPr>
            </w:pPr>
            <w:r>
              <w:rPr>
                <w:rFonts w:cs="Times New Roman"/>
                <w:b/>
                <w:bCs/>
                <w:spacing w:val="20"/>
                <w:kern w:val="11"/>
                <w:sz w:val="21"/>
                <w:u w:val="single"/>
              </w:rPr>
              <w:t>评价工作等级</w:t>
            </w:r>
          </w:p>
        </w:tc>
        <w:tc>
          <w:tcPr>
            <w:tcW w:w="2818" w:type="pct"/>
          </w:tcPr>
          <w:p>
            <w:pPr>
              <w:spacing w:line="240" w:lineRule="auto"/>
              <w:ind w:firstLine="0" w:firstLineChars="0"/>
              <w:jc w:val="center"/>
              <w:rPr>
                <w:rFonts w:cs="Times New Roman"/>
                <w:b/>
                <w:bCs/>
                <w:spacing w:val="20"/>
                <w:kern w:val="11"/>
                <w:sz w:val="21"/>
                <w:u w:val="single"/>
              </w:rPr>
            </w:pPr>
            <w:r>
              <w:rPr>
                <w:rFonts w:cs="Times New Roman"/>
                <w:b/>
                <w:bCs/>
                <w:spacing w:val="20"/>
                <w:kern w:val="11"/>
                <w:sz w:val="21"/>
                <w:u w:val="single"/>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2" w:type="pct"/>
          </w:tcPr>
          <w:p>
            <w:pPr>
              <w:spacing w:line="240" w:lineRule="auto"/>
              <w:ind w:firstLine="0" w:firstLineChars="0"/>
              <w:jc w:val="center"/>
              <w:rPr>
                <w:rFonts w:cs="Times New Roman"/>
                <w:spacing w:val="20"/>
                <w:kern w:val="11"/>
                <w:sz w:val="21"/>
                <w:u w:val="single"/>
              </w:rPr>
            </w:pPr>
            <w:r>
              <w:rPr>
                <w:rFonts w:cs="Times New Roman"/>
                <w:spacing w:val="20"/>
                <w:kern w:val="11"/>
                <w:sz w:val="21"/>
                <w:u w:val="single"/>
              </w:rPr>
              <w:t>一级</w:t>
            </w:r>
          </w:p>
        </w:tc>
        <w:tc>
          <w:tcPr>
            <w:tcW w:w="2818" w:type="pct"/>
          </w:tcPr>
          <w:p>
            <w:pPr>
              <w:spacing w:line="240" w:lineRule="auto"/>
              <w:ind w:firstLine="0" w:firstLineChars="0"/>
              <w:jc w:val="center"/>
              <w:rPr>
                <w:rFonts w:cs="Times New Roman"/>
                <w:spacing w:val="20"/>
                <w:kern w:val="11"/>
                <w:sz w:val="21"/>
                <w:u w:val="single"/>
              </w:rPr>
            </w:pPr>
            <w:r>
              <w:rPr>
                <w:rFonts w:cs="Times New Roman"/>
                <w:spacing w:val="20"/>
                <w:kern w:val="11"/>
                <w:sz w:val="21"/>
                <w:u w:val="single"/>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2" w:type="pct"/>
          </w:tcPr>
          <w:p>
            <w:pPr>
              <w:spacing w:line="240" w:lineRule="auto"/>
              <w:ind w:firstLine="0" w:firstLineChars="0"/>
              <w:jc w:val="center"/>
              <w:rPr>
                <w:rFonts w:cs="Times New Roman"/>
                <w:spacing w:val="20"/>
                <w:kern w:val="11"/>
                <w:sz w:val="21"/>
                <w:u w:val="single"/>
              </w:rPr>
            </w:pPr>
            <w:r>
              <w:rPr>
                <w:rFonts w:cs="Times New Roman"/>
                <w:spacing w:val="20"/>
                <w:kern w:val="11"/>
                <w:sz w:val="21"/>
                <w:u w:val="single"/>
              </w:rPr>
              <w:t>二级</w:t>
            </w:r>
          </w:p>
        </w:tc>
        <w:tc>
          <w:tcPr>
            <w:tcW w:w="2818" w:type="pct"/>
          </w:tcPr>
          <w:p>
            <w:pPr>
              <w:spacing w:line="240" w:lineRule="auto"/>
              <w:ind w:firstLine="0" w:firstLineChars="0"/>
              <w:jc w:val="center"/>
              <w:rPr>
                <w:rFonts w:cs="Times New Roman"/>
                <w:spacing w:val="20"/>
                <w:kern w:val="11"/>
                <w:sz w:val="21"/>
                <w:u w:val="single"/>
              </w:rPr>
            </w:pPr>
            <w:r>
              <w:rPr>
                <w:rFonts w:cs="Times New Roman"/>
                <w:spacing w:val="20"/>
                <w:kern w:val="11"/>
                <w:sz w:val="21"/>
                <w:u w:val="single"/>
              </w:rPr>
              <w:t>1%≤Pmax＜10%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2" w:type="pct"/>
          </w:tcPr>
          <w:p>
            <w:pPr>
              <w:spacing w:line="240" w:lineRule="auto"/>
              <w:ind w:firstLine="0" w:firstLineChars="0"/>
              <w:jc w:val="center"/>
              <w:rPr>
                <w:rFonts w:cs="Times New Roman"/>
                <w:spacing w:val="20"/>
                <w:kern w:val="11"/>
                <w:sz w:val="21"/>
                <w:u w:val="single"/>
              </w:rPr>
            </w:pPr>
            <w:r>
              <w:rPr>
                <w:rFonts w:cs="Times New Roman"/>
                <w:spacing w:val="20"/>
                <w:kern w:val="11"/>
                <w:sz w:val="21"/>
                <w:u w:val="single"/>
              </w:rPr>
              <w:t>三级</w:t>
            </w:r>
          </w:p>
        </w:tc>
        <w:tc>
          <w:tcPr>
            <w:tcW w:w="2818" w:type="pct"/>
          </w:tcPr>
          <w:p>
            <w:pPr>
              <w:spacing w:line="240" w:lineRule="auto"/>
              <w:ind w:firstLine="0" w:firstLineChars="0"/>
              <w:jc w:val="center"/>
              <w:rPr>
                <w:rFonts w:cs="Times New Roman"/>
                <w:spacing w:val="20"/>
                <w:kern w:val="11"/>
                <w:sz w:val="21"/>
                <w:u w:val="single"/>
              </w:rPr>
            </w:pPr>
            <w:r>
              <w:rPr>
                <w:rFonts w:cs="Times New Roman"/>
                <w:spacing w:val="20"/>
                <w:kern w:val="11"/>
                <w:sz w:val="21"/>
                <w:u w:val="single"/>
              </w:rPr>
              <w:t>Pmax＜1%</w:t>
            </w:r>
          </w:p>
        </w:tc>
      </w:tr>
    </w:tbl>
    <w:p>
      <w:pPr>
        <w:ind w:firstLine="480"/>
        <w:rPr>
          <w:rFonts w:cs="Times New Roman"/>
          <w:u w:val="single"/>
        </w:rPr>
      </w:pPr>
      <w:r>
        <w:rPr>
          <w:rFonts w:cs="Times New Roman"/>
          <w:u w:val="single"/>
        </w:rPr>
        <w:t>本项目选择主要排放污染物的VOCs、SO</w:t>
      </w:r>
      <w:r>
        <w:rPr>
          <w:rFonts w:cs="Times New Roman"/>
          <w:u w:val="single"/>
          <w:vertAlign w:val="subscript"/>
        </w:rPr>
        <w:t>2</w:t>
      </w:r>
      <w:r>
        <w:rPr>
          <w:rFonts w:cs="Times New Roman"/>
          <w:u w:val="single"/>
        </w:rPr>
        <w:t>、NOx、颗粒物、氟化物，采用AERSCREEN 模型筛选计算，评价因子及估算模型参数见表5.2-5、5.2-6，污染源参数见表5.2-7~表5.2-9，估算结果结果见表5.2-10。</w:t>
      </w:r>
    </w:p>
    <w:p>
      <w:pPr>
        <w:ind w:firstLine="480"/>
        <w:rPr>
          <w:rFonts w:cs="Times New Roman"/>
          <w:u w:val="single"/>
        </w:rPr>
      </w:pPr>
    </w:p>
    <w:p>
      <w:pPr>
        <w:ind w:firstLine="480"/>
        <w:rPr>
          <w:rFonts w:cs="Times New Roman"/>
          <w:u w:val="single"/>
        </w:rPr>
      </w:pPr>
    </w:p>
    <w:p>
      <w:pPr>
        <w:autoSpaceDE w:val="0"/>
        <w:autoSpaceDN w:val="0"/>
        <w:ind w:firstLine="0" w:firstLineChars="0"/>
        <w:jc w:val="center"/>
        <w:rPr>
          <w:rFonts w:cs="Times New Roman"/>
          <w:b/>
          <w:bCs/>
          <w:szCs w:val="24"/>
          <w:u w:val="single"/>
        </w:rPr>
      </w:pPr>
      <w:r>
        <w:rPr>
          <w:rFonts w:cs="Times New Roman"/>
          <w:b/>
          <w:bCs/>
          <w:szCs w:val="24"/>
          <w:u w:val="single"/>
        </w:rPr>
        <w:t>表4.2-5 评价因子和评价标准表</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2136"/>
        <w:gridCol w:w="1265"/>
        <w:gridCol w:w="917"/>
        <w:gridCol w:w="31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94"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污染物</w:t>
            </w:r>
          </w:p>
        </w:tc>
        <w:tc>
          <w:tcPr>
            <w:tcW w:w="1253"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取值时间</w:t>
            </w:r>
          </w:p>
        </w:tc>
        <w:tc>
          <w:tcPr>
            <w:tcW w:w="742"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标准限值</w:t>
            </w:r>
          </w:p>
        </w:tc>
        <w:tc>
          <w:tcPr>
            <w:tcW w:w="538"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单位</w:t>
            </w:r>
          </w:p>
        </w:tc>
        <w:tc>
          <w:tcPr>
            <w:tcW w:w="1873"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SO</w:t>
            </w:r>
            <w:r>
              <w:rPr>
                <w:rFonts w:cs="Times New Roman"/>
                <w:sz w:val="21"/>
                <w:u w:val="single"/>
                <w:vertAlign w:val="subscript"/>
              </w:rPr>
              <w:t>2</w:t>
            </w:r>
          </w:p>
        </w:tc>
        <w:tc>
          <w:tcPr>
            <w:tcW w:w="1253"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1小时平均</w:t>
            </w:r>
          </w:p>
        </w:tc>
        <w:tc>
          <w:tcPr>
            <w:tcW w:w="742"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500</w:t>
            </w:r>
          </w:p>
        </w:tc>
        <w:tc>
          <w:tcPr>
            <w:tcW w:w="538" w:type="pct"/>
            <w:vMerge w:val="restar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μg/m</w:t>
            </w:r>
            <w:r>
              <w:rPr>
                <w:rFonts w:cs="Times New Roman"/>
                <w:sz w:val="21"/>
                <w:u w:val="single"/>
                <w:vertAlign w:val="superscript"/>
              </w:rPr>
              <w:t>3</w:t>
            </w:r>
          </w:p>
        </w:tc>
        <w:tc>
          <w:tcPr>
            <w:tcW w:w="1873" w:type="pct"/>
            <w:vMerge w:val="restar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《环境空气质量标准》</w:t>
            </w:r>
          </w:p>
          <w:p>
            <w:pPr>
              <w:autoSpaceDE w:val="0"/>
              <w:autoSpaceDN w:val="0"/>
              <w:spacing w:line="240" w:lineRule="auto"/>
              <w:ind w:firstLine="0" w:firstLineChars="0"/>
              <w:jc w:val="center"/>
              <w:rPr>
                <w:rFonts w:cs="Times New Roman"/>
                <w:sz w:val="21"/>
                <w:u w:val="single"/>
              </w:rPr>
            </w:pPr>
            <w:r>
              <w:rPr>
                <w:rFonts w:cs="Times New Roman"/>
                <w:sz w:val="21"/>
                <w:u w:val="single"/>
              </w:rPr>
              <w:t>（GB3095-2012）二级标准</w:t>
            </w:r>
          </w:p>
          <w:p>
            <w:pPr>
              <w:autoSpaceDE w:val="0"/>
              <w:autoSpaceDN w:val="0"/>
              <w:spacing w:line="240" w:lineRule="auto"/>
              <w:ind w:firstLine="0" w:firstLineChars="0"/>
              <w:jc w:val="center"/>
              <w:rPr>
                <w:rFonts w:cs="Times New Roman"/>
                <w:sz w:val="21"/>
                <w:u w:val="single"/>
              </w:rPr>
            </w:pPr>
            <w:r>
              <w:rPr>
                <w:rFonts w:cs="Times New Roman"/>
                <w:sz w:val="21"/>
                <w:u w:val="single"/>
              </w:rPr>
              <w:t>及其2018年修改单，TSP小时均值按日均值的3倍计算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NO</w:t>
            </w:r>
            <w:r>
              <w:rPr>
                <w:rFonts w:cs="Times New Roman"/>
                <w:sz w:val="21"/>
                <w:u w:val="single"/>
                <w:vertAlign w:val="subscript"/>
              </w:rPr>
              <w:t>x</w:t>
            </w:r>
          </w:p>
        </w:tc>
        <w:tc>
          <w:tcPr>
            <w:tcW w:w="1253" w:type="pct"/>
          </w:tcPr>
          <w:p>
            <w:pPr>
              <w:autoSpaceDE w:val="0"/>
              <w:autoSpaceDN w:val="0"/>
              <w:spacing w:line="240" w:lineRule="auto"/>
              <w:ind w:firstLine="0" w:firstLineChars="0"/>
              <w:jc w:val="center"/>
              <w:rPr>
                <w:rFonts w:cs="Times New Roman"/>
                <w:sz w:val="21"/>
                <w:u w:val="single"/>
              </w:rPr>
            </w:pPr>
            <w:r>
              <w:rPr>
                <w:rFonts w:cs="Times New Roman"/>
                <w:sz w:val="21"/>
                <w:u w:val="single"/>
              </w:rPr>
              <w:t>1小时平均</w:t>
            </w:r>
          </w:p>
        </w:tc>
        <w:tc>
          <w:tcPr>
            <w:tcW w:w="742"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250</w:t>
            </w:r>
          </w:p>
        </w:tc>
        <w:tc>
          <w:tcPr>
            <w:tcW w:w="538" w:type="pct"/>
            <w:vMerge w:val="continue"/>
            <w:vAlign w:val="center"/>
          </w:tcPr>
          <w:p>
            <w:pPr>
              <w:autoSpaceDE w:val="0"/>
              <w:autoSpaceDN w:val="0"/>
              <w:spacing w:line="240" w:lineRule="auto"/>
              <w:ind w:firstLine="0" w:firstLineChars="0"/>
              <w:jc w:val="center"/>
              <w:rPr>
                <w:rFonts w:cs="Times New Roman"/>
                <w:sz w:val="21"/>
                <w:u w:val="single"/>
              </w:rPr>
            </w:pPr>
          </w:p>
        </w:tc>
        <w:tc>
          <w:tcPr>
            <w:tcW w:w="1873" w:type="pct"/>
            <w:vMerge w:val="continue"/>
            <w:vAlign w:val="center"/>
          </w:tcPr>
          <w:p>
            <w:pPr>
              <w:autoSpaceDE w:val="0"/>
              <w:autoSpaceDN w:val="0"/>
              <w:spacing w:line="240" w:lineRule="auto"/>
              <w:ind w:firstLine="0" w:firstLineChars="0"/>
              <w:jc w:val="center"/>
              <w:rPr>
                <w:rFonts w:cs="Times New Roman"/>
                <w:sz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PM</w:t>
            </w:r>
            <w:r>
              <w:rPr>
                <w:rFonts w:cs="Times New Roman"/>
                <w:sz w:val="21"/>
                <w:u w:val="single"/>
                <w:vertAlign w:val="subscript"/>
              </w:rPr>
              <w:t>10</w:t>
            </w:r>
          </w:p>
        </w:tc>
        <w:tc>
          <w:tcPr>
            <w:tcW w:w="1253" w:type="pct"/>
          </w:tcPr>
          <w:p>
            <w:pPr>
              <w:autoSpaceDE w:val="0"/>
              <w:autoSpaceDN w:val="0"/>
              <w:spacing w:line="240" w:lineRule="auto"/>
              <w:ind w:firstLine="0" w:firstLineChars="0"/>
              <w:jc w:val="center"/>
              <w:rPr>
                <w:rFonts w:cs="Times New Roman"/>
                <w:sz w:val="21"/>
                <w:u w:val="single"/>
              </w:rPr>
            </w:pPr>
            <w:r>
              <w:rPr>
                <w:rFonts w:cs="Times New Roman"/>
                <w:sz w:val="21"/>
                <w:u w:val="single"/>
              </w:rPr>
              <w:t>1小时评价</w:t>
            </w:r>
          </w:p>
        </w:tc>
        <w:tc>
          <w:tcPr>
            <w:tcW w:w="742"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450</w:t>
            </w:r>
          </w:p>
        </w:tc>
        <w:tc>
          <w:tcPr>
            <w:tcW w:w="538" w:type="pct"/>
            <w:vMerge w:val="continue"/>
            <w:vAlign w:val="center"/>
          </w:tcPr>
          <w:p>
            <w:pPr>
              <w:autoSpaceDE w:val="0"/>
              <w:autoSpaceDN w:val="0"/>
              <w:spacing w:line="240" w:lineRule="auto"/>
              <w:ind w:firstLine="0" w:firstLineChars="0"/>
              <w:jc w:val="center"/>
              <w:rPr>
                <w:rFonts w:cs="Times New Roman"/>
                <w:sz w:val="21"/>
                <w:u w:val="single"/>
              </w:rPr>
            </w:pPr>
          </w:p>
        </w:tc>
        <w:tc>
          <w:tcPr>
            <w:tcW w:w="1873" w:type="pct"/>
            <w:vMerge w:val="continue"/>
            <w:vAlign w:val="center"/>
          </w:tcPr>
          <w:p>
            <w:pPr>
              <w:autoSpaceDE w:val="0"/>
              <w:autoSpaceDN w:val="0"/>
              <w:spacing w:line="240" w:lineRule="auto"/>
              <w:ind w:firstLine="0" w:firstLineChars="0"/>
              <w:jc w:val="center"/>
              <w:rPr>
                <w:rFonts w:cs="Times New Roman"/>
                <w:sz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氟化物</w:t>
            </w:r>
          </w:p>
        </w:tc>
        <w:tc>
          <w:tcPr>
            <w:tcW w:w="1253" w:type="pct"/>
          </w:tcPr>
          <w:p>
            <w:pPr>
              <w:autoSpaceDE w:val="0"/>
              <w:autoSpaceDN w:val="0"/>
              <w:spacing w:line="240" w:lineRule="auto"/>
              <w:ind w:firstLine="0" w:firstLineChars="0"/>
              <w:jc w:val="center"/>
              <w:rPr>
                <w:rFonts w:cs="Times New Roman"/>
                <w:sz w:val="21"/>
                <w:u w:val="single"/>
              </w:rPr>
            </w:pPr>
            <w:r>
              <w:rPr>
                <w:rFonts w:cs="Times New Roman"/>
                <w:sz w:val="21"/>
                <w:u w:val="single"/>
              </w:rPr>
              <w:t>1小时平均</w:t>
            </w:r>
          </w:p>
        </w:tc>
        <w:tc>
          <w:tcPr>
            <w:tcW w:w="742"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20</w:t>
            </w:r>
          </w:p>
        </w:tc>
        <w:tc>
          <w:tcPr>
            <w:tcW w:w="538" w:type="pct"/>
            <w:vMerge w:val="continue"/>
            <w:vAlign w:val="center"/>
          </w:tcPr>
          <w:p>
            <w:pPr>
              <w:autoSpaceDE w:val="0"/>
              <w:autoSpaceDN w:val="0"/>
              <w:spacing w:line="240" w:lineRule="auto"/>
              <w:ind w:firstLine="0" w:firstLineChars="0"/>
              <w:jc w:val="center"/>
              <w:rPr>
                <w:rFonts w:cs="Times New Roman"/>
                <w:sz w:val="21"/>
                <w:u w:val="single"/>
              </w:rPr>
            </w:pPr>
          </w:p>
        </w:tc>
        <w:tc>
          <w:tcPr>
            <w:tcW w:w="1873" w:type="pct"/>
            <w:vMerge w:val="continue"/>
            <w:vAlign w:val="center"/>
          </w:tcPr>
          <w:p>
            <w:pPr>
              <w:autoSpaceDE w:val="0"/>
              <w:autoSpaceDN w:val="0"/>
              <w:spacing w:line="240" w:lineRule="auto"/>
              <w:ind w:firstLine="0" w:firstLineChars="0"/>
              <w:jc w:val="center"/>
              <w:rPr>
                <w:rFonts w:cs="Times New Roman"/>
                <w:sz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TSP</w:t>
            </w:r>
          </w:p>
        </w:tc>
        <w:tc>
          <w:tcPr>
            <w:tcW w:w="1253" w:type="pct"/>
          </w:tcPr>
          <w:p>
            <w:pPr>
              <w:autoSpaceDE w:val="0"/>
              <w:autoSpaceDN w:val="0"/>
              <w:spacing w:line="240" w:lineRule="auto"/>
              <w:ind w:firstLine="0" w:firstLineChars="0"/>
              <w:jc w:val="center"/>
              <w:rPr>
                <w:rFonts w:cs="Times New Roman"/>
                <w:sz w:val="21"/>
                <w:u w:val="single"/>
              </w:rPr>
            </w:pPr>
            <w:r>
              <w:rPr>
                <w:rFonts w:cs="Times New Roman"/>
                <w:sz w:val="21"/>
                <w:u w:val="single"/>
              </w:rPr>
              <w:t>1小时均值</w:t>
            </w:r>
          </w:p>
        </w:tc>
        <w:tc>
          <w:tcPr>
            <w:tcW w:w="742"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900</w:t>
            </w:r>
          </w:p>
        </w:tc>
        <w:tc>
          <w:tcPr>
            <w:tcW w:w="538" w:type="pct"/>
            <w:vMerge w:val="continue"/>
            <w:vAlign w:val="center"/>
          </w:tcPr>
          <w:p>
            <w:pPr>
              <w:autoSpaceDE w:val="0"/>
              <w:autoSpaceDN w:val="0"/>
              <w:spacing w:line="240" w:lineRule="auto"/>
              <w:ind w:firstLine="0" w:firstLineChars="0"/>
              <w:jc w:val="center"/>
              <w:rPr>
                <w:rFonts w:cs="Times New Roman"/>
                <w:sz w:val="21"/>
                <w:u w:val="single"/>
              </w:rPr>
            </w:pPr>
          </w:p>
        </w:tc>
        <w:tc>
          <w:tcPr>
            <w:tcW w:w="1873" w:type="pct"/>
            <w:vMerge w:val="continue"/>
            <w:vAlign w:val="center"/>
          </w:tcPr>
          <w:p>
            <w:pPr>
              <w:autoSpaceDE w:val="0"/>
              <w:autoSpaceDN w:val="0"/>
              <w:spacing w:line="240" w:lineRule="auto"/>
              <w:ind w:firstLine="0" w:firstLineChars="0"/>
              <w:jc w:val="center"/>
              <w:rPr>
                <w:rFonts w:cs="Times New Roman"/>
                <w:sz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TVOC</w:t>
            </w:r>
          </w:p>
        </w:tc>
        <w:tc>
          <w:tcPr>
            <w:tcW w:w="1253"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1小时平均</w:t>
            </w:r>
          </w:p>
        </w:tc>
        <w:tc>
          <w:tcPr>
            <w:tcW w:w="742"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1200</w:t>
            </w:r>
          </w:p>
        </w:tc>
        <w:tc>
          <w:tcPr>
            <w:tcW w:w="53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μg/m</w:t>
            </w:r>
            <w:r>
              <w:rPr>
                <w:rFonts w:cs="Times New Roman"/>
                <w:sz w:val="21"/>
                <w:u w:val="single"/>
                <w:vertAlign w:val="superscript"/>
              </w:rPr>
              <w:t>3</w:t>
            </w:r>
          </w:p>
        </w:tc>
        <w:tc>
          <w:tcPr>
            <w:tcW w:w="1873"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 xml:space="preserve">《环境影响评价技术导则 </w:t>
            </w:r>
          </w:p>
          <w:p>
            <w:pPr>
              <w:autoSpaceDE w:val="0"/>
              <w:autoSpaceDN w:val="0"/>
              <w:spacing w:line="240" w:lineRule="auto"/>
              <w:ind w:firstLine="0" w:firstLineChars="0"/>
              <w:jc w:val="center"/>
              <w:rPr>
                <w:rFonts w:cs="Times New Roman"/>
                <w:sz w:val="21"/>
                <w:u w:val="single"/>
              </w:rPr>
            </w:pPr>
            <w:r>
              <w:rPr>
                <w:rFonts w:cs="Times New Roman"/>
                <w:sz w:val="21"/>
                <w:u w:val="single"/>
              </w:rPr>
              <w:t>大气环境》（HJ2.2-2018）</w:t>
            </w:r>
          </w:p>
          <w:p>
            <w:pPr>
              <w:autoSpaceDE w:val="0"/>
              <w:autoSpaceDN w:val="0"/>
              <w:spacing w:line="240" w:lineRule="auto"/>
              <w:ind w:firstLine="0" w:firstLineChars="0"/>
              <w:jc w:val="center"/>
              <w:rPr>
                <w:rFonts w:cs="Times New Roman"/>
                <w:sz w:val="21"/>
                <w:u w:val="single"/>
              </w:rPr>
            </w:pPr>
            <w:r>
              <w:rPr>
                <w:rFonts w:cs="Times New Roman"/>
                <w:sz w:val="21"/>
                <w:u w:val="single"/>
              </w:rPr>
              <w:t>中附录D参考限值,1小时均值按8小时均值的2倍计算</w:t>
            </w:r>
          </w:p>
        </w:tc>
      </w:tr>
    </w:tbl>
    <w:p>
      <w:pPr>
        <w:autoSpaceDE w:val="0"/>
        <w:autoSpaceDN w:val="0"/>
        <w:ind w:firstLine="0" w:firstLineChars="0"/>
        <w:jc w:val="center"/>
        <w:rPr>
          <w:rFonts w:cs="Times New Roman"/>
          <w:b/>
          <w:bCs/>
          <w:szCs w:val="24"/>
          <w:u w:val="single"/>
        </w:rPr>
      </w:pPr>
      <w:r>
        <w:rPr>
          <w:rFonts w:cs="Times New Roman"/>
          <w:b/>
          <w:bCs/>
          <w:szCs w:val="24"/>
          <w:u w:val="single"/>
        </w:rPr>
        <w:t>表5.2-6 估算模型参数表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62"/>
        <w:gridCol w:w="3232"/>
        <w:gridCol w:w="2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92" w:hRule="exact"/>
        </w:trPr>
        <w:tc>
          <w:tcPr>
            <w:tcW w:w="3302" w:type="pct"/>
            <w:gridSpan w:val="2"/>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参数</w:t>
            </w:r>
          </w:p>
        </w:tc>
        <w:tc>
          <w:tcPr>
            <w:tcW w:w="1698"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2" w:hRule="exact"/>
        </w:trPr>
        <w:tc>
          <w:tcPr>
            <w:tcW w:w="1360" w:type="pct"/>
            <w:vMerge w:val="restar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城市/农村选项</w:t>
            </w:r>
          </w:p>
        </w:tc>
        <w:tc>
          <w:tcPr>
            <w:tcW w:w="1943"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城市/农村</w:t>
            </w:r>
          </w:p>
        </w:tc>
        <w:tc>
          <w:tcPr>
            <w:tcW w:w="169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exact"/>
        </w:trPr>
        <w:tc>
          <w:tcPr>
            <w:tcW w:w="1360" w:type="pct"/>
            <w:vMerge w:val="continue"/>
            <w:vAlign w:val="center"/>
          </w:tcPr>
          <w:p>
            <w:pPr>
              <w:autoSpaceDE w:val="0"/>
              <w:autoSpaceDN w:val="0"/>
              <w:spacing w:line="240" w:lineRule="auto"/>
              <w:ind w:firstLine="0" w:firstLineChars="0"/>
              <w:jc w:val="center"/>
              <w:rPr>
                <w:rFonts w:cs="Times New Roman"/>
                <w:sz w:val="21"/>
                <w:u w:val="single"/>
              </w:rPr>
            </w:pPr>
          </w:p>
        </w:tc>
        <w:tc>
          <w:tcPr>
            <w:tcW w:w="1943"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人口数（城市选项时）</w:t>
            </w:r>
          </w:p>
        </w:tc>
        <w:tc>
          <w:tcPr>
            <w:tcW w:w="169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2" w:hRule="exact"/>
        </w:trPr>
        <w:tc>
          <w:tcPr>
            <w:tcW w:w="3302" w:type="pct"/>
            <w:gridSpan w:val="2"/>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最高环境温度/℃</w:t>
            </w:r>
          </w:p>
        </w:tc>
        <w:tc>
          <w:tcPr>
            <w:tcW w:w="169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2" w:hRule="exact"/>
        </w:trPr>
        <w:tc>
          <w:tcPr>
            <w:tcW w:w="3302" w:type="pct"/>
            <w:gridSpan w:val="2"/>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最低环境温度/℃</w:t>
            </w:r>
          </w:p>
        </w:tc>
        <w:tc>
          <w:tcPr>
            <w:tcW w:w="169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2" w:hRule="exact"/>
        </w:trPr>
        <w:tc>
          <w:tcPr>
            <w:tcW w:w="3302" w:type="pct"/>
            <w:gridSpan w:val="2"/>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土地利用类型</w:t>
            </w:r>
          </w:p>
        </w:tc>
        <w:tc>
          <w:tcPr>
            <w:tcW w:w="169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农作地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exact"/>
        </w:trPr>
        <w:tc>
          <w:tcPr>
            <w:tcW w:w="3302" w:type="pct"/>
            <w:gridSpan w:val="2"/>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区域湿度条件</w:t>
            </w:r>
          </w:p>
        </w:tc>
        <w:tc>
          <w:tcPr>
            <w:tcW w:w="169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2" w:hRule="exact"/>
        </w:trPr>
        <w:tc>
          <w:tcPr>
            <w:tcW w:w="1360" w:type="pct"/>
            <w:vMerge w:val="restar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是否考虑地形</w:t>
            </w:r>
          </w:p>
        </w:tc>
        <w:tc>
          <w:tcPr>
            <w:tcW w:w="1943"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考虑地形</w:t>
            </w:r>
          </w:p>
        </w:tc>
        <w:tc>
          <w:tcPr>
            <w:tcW w:w="169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■是 口否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2" w:hRule="exact"/>
        </w:trPr>
        <w:tc>
          <w:tcPr>
            <w:tcW w:w="1360" w:type="pct"/>
            <w:vMerge w:val="continue"/>
            <w:vAlign w:val="center"/>
          </w:tcPr>
          <w:p>
            <w:pPr>
              <w:autoSpaceDE w:val="0"/>
              <w:autoSpaceDN w:val="0"/>
              <w:spacing w:line="240" w:lineRule="auto"/>
              <w:ind w:firstLine="0" w:firstLineChars="0"/>
              <w:jc w:val="center"/>
              <w:rPr>
                <w:rFonts w:cs="Times New Roman"/>
                <w:sz w:val="21"/>
                <w:u w:val="single"/>
              </w:rPr>
            </w:pPr>
          </w:p>
        </w:tc>
        <w:tc>
          <w:tcPr>
            <w:tcW w:w="1943"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地形数据分辨率/m</w:t>
            </w:r>
          </w:p>
        </w:tc>
        <w:tc>
          <w:tcPr>
            <w:tcW w:w="169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exact"/>
        </w:trPr>
        <w:tc>
          <w:tcPr>
            <w:tcW w:w="1360" w:type="pct"/>
            <w:vMerge w:val="restar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是否考虑岸线熏烟</w:t>
            </w:r>
          </w:p>
        </w:tc>
        <w:tc>
          <w:tcPr>
            <w:tcW w:w="1943"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考虑岸线熏烟/km</w:t>
            </w:r>
          </w:p>
        </w:tc>
        <w:tc>
          <w:tcPr>
            <w:tcW w:w="169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口是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2" w:hRule="exact"/>
        </w:trPr>
        <w:tc>
          <w:tcPr>
            <w:tcW w:w="1360" w:type="pct"/>
            <w:vMerge w:val="continue"/>
            <w:vAlign w:val="center"/>
          </w:tcPr>
          <w:p>
            <w:pPr>
              <w:autoSpaceDE w:val="0"/>
              <w:autoSpaceDN w:val="0"/>
              <w:spacing w:line="240" w:lineRule="auto"/>
              <w:ind w:firstLine="0" w:firstLineChars="0"/>
              <w:jc w:val="center"/>
              <w:rPr>
                <w:rFonts w:cs="Times New Roman"/>
                <w:sz w:val="21"/>
                <w:u w:val="single"/>
              </w:rPr>
            </w:pPr>
          </w:p>
        </w:tc>
        <w:tc>
          <w:tcPr>
            <w:tcW w:w="1943"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岸线距离/km</w:t>
            </w:r>
          </w:p>
        </w:tc>
        <w:tc>
          <w:tcPr>
            <w:tcW w:w="169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92" w:hRule="exact"/>
        </w:trPr>
        <w:tc>
          <w:tcPr>
            <w:tcW w:w="1360" w:type="pct"/>
            <w:vMerge w:val="continue"/>
            <w:vAlign w:val="center"/>
          </w:tcPr>
          <w:p>
            <w:pPr>
              <w:autoSpaceDE w:val="0"/>
              <w:autoSpaceDN w:val="0"/>
              <w:spacing w:line="240" w:lineRule="auto"/>
              <w:ind w:firstLine="0" w:firstLineChars="0"/>
              <w:jc w:val="center"/>
              <w:rPr>
                <w:rFonts w:cs="Times New Roman"/>
                <w:sz w:val="21"/>
                <w:u w:val="single"/>
              </w:rPr>
            </w:pPr>
          </w:p>
        </w:tc>
        <w:tc>
          <w:tcPr>
            <w:tcW w:w="1943"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岸线方向/°</w:t>
            </w:r>
          </w:p>
        </w:tc>
        <w:tc>
          <w:tcPr>
            <w:tcW w:w="1698"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w:t>
            </w:r>
          </w:p>
        </w:tc>
      </w:tr>
    </w:tbl>
    <w:p>
      <w:pPr>
        <w:ind w:firstLine="480"/>
        <w:rPr>
          <w:rFonts w:cs="Times New Roman"/>
          <w:u w:val="single"/>
        </w:rPr>
        <w:sectPr>
          <w:pgSz w:w="11906" w:h="16838"/>
          <w:pgMar w:top="1440" w:right="1800" w:bottom="1440" w:left="1800" w:header="851" w:footer="992" w:gutter="0"/>
          <w:cols w:space="425" w:num="1"/>
          <w:docGrid w:type="lines" w:linePitch="326" w:charSpace="0"/>
        </w:sectPr>
      </w:pPr>
    </w:p>
    <w:p>
      <w:pPr>
        <w:ind w:firstLine="0" w:firstLineChars="0"/>
        <w:jc w:val="center"/>
        <w:rPr>
          <w:rFonts w:cs="Times New Roman"/>
          <w:u w:val="single"/>
        </w:rPr>
      </w:pPr>
      <w:r>
        <w:rPr>
          <w:rFonts w:cs="Times New Roman"/>
          <w:u w:val="single"/>
        </w:rPr>
        <w:t>表5.2-7  点源参数表</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1"/>
        <w:gridCol w:w="1114"/>
        <w:gridCol w:w="682"/>
        <w:gridCol w:w="685"/>
        <w:gridCol w:w="1120"/>
        <w:gridCol w:w="697"/>
        <w:gridCol w:w="1343"/>
        <w:gridCol w:w="1180"/>
        <w:gridCol w:w="1120"/>
        <w:gridCol w:w="897"/>
        <w:gridCol w:w="1120"/>
        <w:gridCol w:w="897"/>
        <w:gridCol w:w="727"/>
        <w:gridCol w:w="727"/>
        <w:gridCol w:w="897"/>
        <w:gridCol w:w="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Merge w:val="restar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编号</w:t>
            </w:r>
          </w:p>
        </w:tc>
        <w:tc>
          <w:tcPr>
            <w:tcW w:w="374" w:type="pct"/>
            <w:vMerge w:val="restar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名称</w:t>
            </w:r>
          </w:p>
        </w:tc>
        <w:tc>
          <w:tcPr>
            <w:tcW w:w="459" w:type="pct"/>
            <w:gridSpan w:val="2"/>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排气筒底部</w:t>
            </w:r>
          </w:p>
          <w:p>
            <w:pPr>
              <w:autoSpaceDE w:val="0"/>
              <w:autoSpaceDN w:val="0"/>
              <w:spacing w:line="240" w:lineRule="auto"/>
              <w:ind w:firstLine="0" w:firstLineChars="0"/>
              <w:jc w:val="center"/>
              <w:rPr>
                <w:rFonts w:cs="Times New Roman"/>
                <w:b/>
                <w:bCs/>
                <w:sz w:val="21"/>
                <w:u w:val="single"/>
              </w:rPr>
            </w:pPr>
            <w:r>
              <w:rPr>
                <w:rFonts w:cs="Times New Roman"/>
                <w:b/>
                <w:bCs/>
                <w:sz w:val="21"/>
                <w:u w:val="single"/>
              </w:rPr>
              <w:t>中心坐标/m</w:t>
            </w:r>
          </w:p>
        </w:tc>
        <w:tc>
          <w:tcPr>
            <w:tcW w:w="376" w:type="pct"/>
            <w:vMerge w:val="restar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排气筒底</w:t>
            </w:r>
          </w:p>
          <w:p>
            <w:pPr>
              <w:autoSpaceDE w:val="0"/>
              <w:autoSpaceDN w:val="0"/>
              <w:spacing w:line="240" w:lineRule="auto"/>
              <w:ind w:firstLine="0" w:firstLineChars="0"/>
              <w:jc w:val="center"/>
              <w:rPr>
                <w:rFonts w:cs="Times New Roman"/>
                <w:b/>
                <w:bCs/>
                <w:sz w:val="21"/>
                <w:u w:val="single"/>
              </w:rPr>
            </w:pPr>
            <w:r>
              <w:rPr>
                <w:rFonts w:cs="Times New Roman"/>
                <w:b/>
                <w:bCs/>
                <w:sz w:val="21"/>
                <w:u w:val="single"/>
              </w:rPr>
              <w:t>部海拔</w:t>
            </w:r>
          </w:p>
          <w:p>
            <w:pPr>
              <w:autoSpaceDE w:val="0"/>
              <w:autoSpaceDN w:val="0"/>
              <w:spacing w:line="240" w:lineRule="auto"/>
              <w:ind w:firstLine="0" w:firstLineChars="0"/>
              <w:jc w:val="center"/>
              <w:rPr>
                <w:rFonts w:cs="Times New Roman"/>
                <w:b/>
                <w:bCs/>
                <w:sz w:val="21"/>
                <w:u w:val="single"/>
              </w:rPr>
            </w:pPr>
            <w:r>
              <w:rPr>
                <w:rFonts w:cs="Times New Roman"/>
                <w:b/>
                <w:bCs/>
                <w:sz w:val="21"/>
                <w:u w:val="single"/>
              </w:rPr>
              <w:t>高度/m</w:t>
            </w:r>
          </w:p>
        </w:tc>
        <w:tc>
          <w:tcPr>
            <w:tcW w:w="234" w:type="pct"/>
            <w:vMerge w:val="restar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排气</w:t>
            </w:r>
          </w:p>
          <w:p>
            <w:pPr>
              <w:autoSpaceDE w:val="0"/>
              <w:autoSpaceDN w:val="0"/>
              <w:spacing w:line="240" w:lineRule="auto"/>
              <w:ind w:firstLine="0" w:firstLineChars="0"/>
              <w:jc w:val="center"/>
              <w:rPr>
                <w:rFonts w:cs="Times New Roman"/>
                <w:b/>
                <w:bCs/>
                <w:sz w:val="21"/>
                <w:u w:val="single"/>
              </w:rPr>
            </w:pPr>
            <w:r>
              <w:rPr>
                <w:rFonts w:cs="Times New Roman"/>
                <w:b/>
                <w:bCs/>
                <w:sz w:val="21"/>
                <w:u w:val="single"/>
              </w:rPr>
              <w:t>筒高</w:t>
            </w:r>
          </w:p>
          <w:p>
            <w:pPr>
              <w:autoSpaceDE w:val="0"/>
              <w:autoSpaceDN w:val="0"/>
              <w:spacing w:line="240" w:lineRule="auto"/>
              <w:ind w:firstLine="0" w:firstLineChars="0"/>
              <w:jc w:val="center"/>
              <w:rPr>
                <w:rFonts w:cs="Times New Roman"/>
                <w:b/>
                <w:bCs/>
                <w:sz w:val="21"/>
                <w:u w:val="single"/>
              </w:rPr>
            </w:pPr>
            <w:r>
              <w:rPr>
                <w:rFonts w:cs="Times New Roman"/>
                <w:b/>
                <w:bCs/>
                <w:sz w:val="21"/>
                <w:u w:val="single"/>
              </w:rPr>
              <w:t>度/m</w:t>
            </w:r>
          </w:p>
        </w:tc>
        <w:tc>
          <w:tcPr>
            <w:tcW w:w="451" w:type="pct"/>
            <w:vMerge w:val="restar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排气筒出口</w:t>
            </w:r>
          </w:p>
          <w:p>
            <w:pPr>
              <w:autoSpaceDE w:val="0"/>
              <w:autoSpaceDN w:val="0"/>
              <w:spacing w:line="240" w:lineRule="auto"/>
              <w:ind w:firstLine="0" w:firstLineChars="0"/>
              <w:jc w:val="center"/>
              <w:rPr>
                <w:rFonts w:cs="Times New Roman"/>
                <w:b/>
                <w:bCs/>
                <w:sz w:val="21"/>
                <w:u w:val="single"/>
              </w:rPr>
            </w:pPr>
            <w:r>
              <w:rPr>
                <w:rFonts w:cs="Times New Roman"/>
                <w:b/>
                <w:bCs/>
                <w:sz w:val="21"/>
                <w:u w:val="single"/>
              </w:rPr>
              <w:t>内径/m</w:t>
            </w:r>
          </w:p>
        </w:tc>
        <w:tc>
          <w:tcPr>
            <w:tcW w:w="396" w:type="pct"/>
            <w:vMerge w:val="restar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烟气流速/</w:t>
            </w:r>
          </w:p>
          <w:p>
            <w:pPr>
              <w:autoSpaceDE w:val="0"/>
              <w:autoSpaceDN w:val="0"/>
              <w:spacing w:line="240" w:lineRule="auto"/>
              <w:ind w:firstLine="0" w:firstLineChars="0"/>
              <w:jc w:val="center"/>
              <w:rPr>
                <w:rFonts w:cs="Times New Roman"/>
                <w:b/>
                <w:bCs/>
                <w:sz w:val="21"/>
                <w:u w:val="single"/>
              </w:rPr>
            </w:pPr>
            <w:r>
              <w:rPr>
                <w:rFonts w:cs="Times New Roman"/>
                <w:b/>
                <w:bCs/>
                <w:sz w:val="21"/>
                <w:u w:val="single"/>
              </w:rPr>
              <w:t>（m/s）</w:t>
            </w:r>
          </w:p>
        </w:tc>
        <w:tc>
          <w:tcPr>
            <w:tcW w:w="376" w:type="pct"/>
            <w:vMerge w:val="restar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烟气温度</w:t>
            </w:r>
          </w:p>
          <w:p>
            <w:pPr>
              <w:autoSpaceDE w:val="0"/>
              <w:autoSpaceDN w:val="0"/>
              <w:spacing w:line="240" w:lineRule="auto"/>
              <w:ind w:firstLine="0" w:firstLineChars="0"/>
              <w:jc w:val="center"/>
              <w:rPr>
                <w:rFonts w:cs="Times New Roman"/>
                <w:b/>
                <w:bCs/>
                <w:sz w:val="21"/>
                <w:u w:val="single"/>
              </w:rPr>
            </w:pPr>
            <w:r>
              <w:rPr>
                <w:rFonts w:cs="Times New Roman"/>
                <w:b/>
                <w:bCs/>
                <w:sz w:val="21"/>
                <w:u w:val="single"/>
              </w:rPr>
              <w:t>/℃</w:t>
            </w:r>
          </w:p>
        </w:tc>
        <w:tc>
          <w:tcPr>
            <w:tcW w:w="301" w:type="pct"/>
            <w:vMerge w:val="restar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年排</w:t>
            </w:r>
          </w:p>
          <w:p>
            <w:pPr>
              <w:autoSpaceDE w:val="0"/>
              <w:autoSpaceDN w:val="0"/>
              <w:spacing w:line="240" w:lineRule="auto"/>
              <w:ind w:firstLine="0" w:firstLineChars="0"/>
              <w:jc w:val="center"/>
              <w:rPr>
                <w:rFonts w:cs="Times New Roman"/>
                <w:b/>
                <w:bCs/>
                <w:sz w:val="21"/>
                <w:u w:val="single"/>
              </w:rPr>
            </w:pPr>
            <w:r>
              <w:rPr>
                <w:rFonts w:cs="Times New Roman"/>
                <w:b/>
                <w:bCs/>
                <w:sz w:val="21"/>
                <w:u w:val="single"/>
              </w:rPr>
              <w:t>放小时</w:t>
            </w:r>
          </w:p>
          <w:p>
            <w:pPr>
              <w:autoSpaceDE w:val="0"/>
              <w:autoSpaceDN w:val="0"/>
              <w:spacing w:line="240" w:lineRule="auto"/>
              <w:ind w:firstLine="0" w:firstLineChars="0"/>
              <w:jc w:val="center"/>
              <w:rPr>
                <w:rFonts w:cs="Times New Roman"/>
                <w:b/>
                <w:bCs/>
                <w:sz w:val="21"/>
                <w:u w:val="single"/>
              </w:rPr>
            </w:pPr>
            <w:r>
              <w:rPr>
                <w:rFonts w:cs="Times New Roman"/>
                <w:b/>
                <w:bCs/>
                <w:sz w:val="21"/>
                <w:u w:val="single"/>
              </w:rPr>
              <w:t>数/h</w:t>
            </w:r>
          </w:p>
        </w:tc>
        <w:tc>
          <w:tcPr>
            <w:tcW w:w="376" w:type="pct"/>
            <w:vMerge w:val="restar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排放工况</w:t>
            </w:r>
          </w:p>
        </w:tc>
        <w:tc>
          <w:tcPr>
            <w:tcW w:w="1361" w:type="pct"/>
            <w:gridSpan w:val="5"/>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296" w:type="pct"/>
            <w:vMerge w:val="continue"/>
            <w:vAlign w:val="center"/>
          </w:tcPr>
          <w:p>
            <w:pPr>
              <w:autoSpaceDE w:val="0"/>
              <w:autoSpaceDN w:val="0"/>
              <w:spacing w:line="240" w:lineRule="auto"/>
              <w:ind w:firstLine="0" w:firstLineChars="0"/>
              <w:jc w:val="center"/>
              <w:rPr>
                <w:rFonts w:cs="Times New Roman"/>
                <w:sz w:val="21"/>
                <w:u w:val="single"/>
              </w:rPr>
            </w:pPr>
          </w:p>
        </w:tc>
        <w:tc>
          <w:tcPr>
            <w:tcW w:w="374" w:type="pct"/>
            <w:vMerge w:val="continue"/>
            <w:vAlign w:val="center"/>
          </w:tcPr>
          <w:p>
            <w:pPr>
              <w:autoSpaceDE w:val="0"/>
              <w:autoSpaceDN w:val="0"/>
              <w:spacing w:line="240" w:lineRule="auto"/>
              <w:ind w:firstLine="0" w:firstLineChars="0"/>
              <w:jc w:val="center"/>
              <w:rPr>
                <w:rFonts w:cs="Times New Roman"/>
                <w:sz w:val="21"/>
                <w:u w:val="single"/>
              </w:rPr>
            </w:pPr>
          </w:p>
        </w:tc>
        <w:tc>
          <w:tcPr>
            <w:tcW w:w="229"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X</w:t>
            </w:r>
          </w:p>
        </w:tc>
        <w:tc>
          <w:tcPr>
            <w:tcW w:w="230"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Y</w:t>
            </w:r>
          </w:p>
        </w:tc>
        <w:tc>
          <w:tcPr>
            <w:tcW w:w="376" w:type="pct"/>
            <w:vMerge w:val="continue"/>
            <w:vAlign w:val="center"/>
          </w:tcPr>
          <w:p>
            <w:pPr>
              <w:autoSpaceDE w:val="0"/>
              <w:autoSpaceDN w:val="0"/>
              <w:spacing w:line="240" w:lineRule="auto"/>
              <w:ind w:firstLine="0" w:firstLineChars="0"/>
              <w:jc w:val="center"/>
              <w:rPr>
                <w:rFonts w:cs="Times New Roman"/>
                <w:sz w:val="21"/>
                <w:u w:val="single"/>
              </w:rPr>
            </w:pPr>
          </w:p>
        </w:tc>
        <w:tc>
          <w:tcPr>
            <w:tcW w:w="234" w:type="pct"/>
            <w:vMerge w:val="continue"/>
            <w:vAlign w:val="center"/>
          </w:tcPr>
          <w:p>
            <w:pPr>
              <w:autoSpaceDE w:val="0"/>
              <w:autoSpaceDN w:val="0"/>
              <w:spacing w:line="240" w:lineRule="auto"/>
              <w:ind w:firstLine="0" w:firstLineChars="0"/>
              <w:jc w:val="center"/>
              <w:rPr>
                <w:rFonts w:cs="Times New Roman"/>
                <w:sz w:val="21"/>
                <w:u w:val="single"/>
              </w:rPr>
            </w:pPr>
          </w:p>
        </w:tc>
        <w:tc>
          <w:tcPr>
            <w:tcW w:w="451" w:type="pct"/>
            <w:vMerge w:val="continue"/>
            <w:vAlign w:val="center"/>
          </w:tcPr>
          <w:p>
            <w:pPr>
              <w:autoSpaceDE w:val="0"/>
              <w:autoSpaceDN w:val="0"/>
              <w:spacing w:line="240" w:lineRule="auto"/>
              <w:ind w:firstLine="0" w:firstLineChars="0"/>
              <w:jc w:val="center"/>
              <w:rPr>
                <w:rFonts w:cs="Times New Roman"/>
                <w:sz w:val="21"/>
                <w:u w:val="single"/>
              </w:rPr>
            </w:pPr>
          </w:p>
        </w:tc>
        <w:tc>
          <w:tcPr>
            <w:tcW w:w="396" w:type="pct"/>
            <w:vMerge w:val="continue"/>
            <w:vAlign w:val="center"/>
          </w:tcPr>
          <w:p>
            <w:pPr>
              <w:autoSpaceDE w:val="0"/>
              <w:autoSpaceDN w:val="0"/>
              <w:spacing w:line="240" w:lineRule="auto"/>
              <w:ind w:firstLine="0" w:firstLineChars="0"/>
              <w:jc w:val="center"/>
              <w:rPr>
                <w:rFonts w:cs="Times New Roman"/>
                <w:sz w:val="21"/>
                <w:u w:val="single"/>
              </w:rPr>
            </w:pPr>
          </w:p>
        </w:tc>
        <w:tc>
          <w:tcPr>
            <w:tcW w:w="376" w:type="pct"/>
            <w:vMerge w:val="continue"/>
            <w:vAlign w:val="center"/>
          </w:tcPr>
          <w:p>
            <w:pPr>
              <w:autoSpaceDE w:val="0"/>
              <w:autoSpaceDN w:val="0"/>
              <w:spacing w:line="240" w:lineRule="auto"/>
              <w:ind w:firstLine="0" w:firstLineChars="0"/>
              <w:jc w:val="center"/>
              <w:rPr>
                <w:rFonts w:cs="Times New Roman"/>
                <w:sz w:val="21"/>
                <w:u w:val="single"/>
              </w:rPr>
            </w:pPr>
          </w:p>
        </w:tc>
        <w:tc>
          <w:tcPr>
            <w:tcW w:w="301" w:type="pct"/>
            <w:vMerge w:val="continue"/>
            <w:vAlign w:val="center"/>
          </w:tcPr>
          <w:p>
            <w:pPr>
              <w:autoSpaceDE w:val="0"/>
              <w:autoSpaceDN w:val="0"/>
              <w:spacing w:line="240" w:lineRule="auto"/>
              <w:ind w:firstLine="0" w:firstLineChars="0"/>
              <w:jc w:val="center"/>
              <w:rPr>
                <w:rFonts w:cs="Times New Roman"/>
                <w:sz w:val="21"/>
                <w:u w:val="single"/>
              </w:rPr>
            </w:pPr>
          </w:p>
        </w:tc>
        <w:tc>
          <w:tcPr>
            <w:tcW w:w="376" w:type="pct"/>
            <w:vMerge w:val="continue"/>
            <w:vAlign w:val="center"/>
          </w:tcPr>
          <w:p>
            <w:pPr>
              <w:autoSpaceDE w:val="0"/>
              <w:autoSpaceDN w:val="0"/>
              <w:spacing w:line="240" w:lineRule="auto"/>
              <w:ind w:firstLine="0" w:firstLineChars="0"/>
              <w:jc w:val="center"/>
              <w:rPr>
                <w:rFonts w:cs="Times New Roman"/>
                <w:sz w:val="21"/>
                <w:u w:val="single"/>
              </w:rPr>
            </w:pPr>
          </w:p>
        </w:tc>
        <w:tc>
          <w:tcPr>
            <w:tcW w:w="301"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颗粒物</w:t>
            </w:r>
          </w:p>
        </w:tc>
        <w:tc>
          <w:tcPr>
            <w:tcW w:w="244"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SO</w:t>
            </w:r>
            <w:r>
              <w:rPr>
                <w:rFonts w:cs="Times New Roman"/>
                <w:b/>
                <w:bCs/>
                <w:sz w:val="21"/>
                <w:u w:val="single"/>
                <w:vertAlign w:val="subscript"/>
              </w:rPr>
              <w:t>2</w:t>
            </w:r>
          </w:p>
        </w:tc>
        <w:tc>
          <w:tcPr>
            <w:tcW w:w="244"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NO</w:t>
            </w:r>
            <w:r>
              <w:rPr>
                <w:rFonts w:cs="Times New Roman"/>
                <w:b/>
                <w:bCs/>
                <w:sz w:val="21"/>
                <w:u w:val="single"/>
                <w:vertAlign w:val="subscript"/>
              </w:rPr>
              <w:t>x</w:t>
            </w:r>
          </w:p>
        </w:tc>
        <w:tc>
          <w:tcPr>
            <w:tcW w:w="301"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氟化物</w:t>
            </w:r>
          </w:p>
        </w:tc>
        <w:tc>
          <w:tcPr>
            <w:tcW w:w="271" w:type="pct"/>
            <w:vAlign w:val="center"/>
          </w:tcPr>
          <w:p>
            <w:pPr>
              <w:autoSpaceDE w:val="0"/>
              <w:autoSpaceDN w:val="0"/>
              <w:spacing w:line="240" w:lineRule="auto"/>
              <w:ind w:firstLine="0" w:firstLineChars="0"/>
              <w:jc w:val="center"/>
              <w:rPr>
                <w:rFonts w:cs="Times New Roman"/>
                <w:b/>
                <w:bCs/>
                <w:sz w:val="21"/>
                <w:u w:val="single"/>
              </w:rPr>
            </w:pPr>
            <w:r>
              <w:rPr>
                <w:rFonts w:cs="Times New Roman"/>
                <w:b/>
                <w:bCs/>
                <w:sz w:val="21"/>
                <w:u w:val="single"/>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DA001</w:t>
            </w:r>
          </w:p>
        </w:tc>
        <w:tc>
          <w:tcPr>
            <w:tcW w:w="37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煤仓粉尘</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3</w:t>
            </w:r>
            <w:r>
              <w:rPr>
                <w:rFonts w:cs="Times New Roman"/>
                <w:sz w:val="21"/>
                <w:u w:val="single"/>
              </w:rPr>
              <w:t>15</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186</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15</w:t>
            </w:r>
          </w:p>
        </w:tc>
        <w:tc>
          <w:tcPr>
            <w:tcW w:w="451"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1.0</w:t>
            </w:r>
          </w:p>
        </w:tc>
        <w:tc>
          <w:tcPr>
            <w:tcW w:w="396"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8</w:t>
            </w:r>
            <w:r>
              <w:rPr>
                <w:rFonts w:cs="Times New Roman"/>
                <w:sz w:val="21"/>
                <w:u w:val="single"/>
              </w:rPr>
              <w:t>.85</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25</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.14</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DA002</w:t>
            </w:r>
          </w:p>
        </w:tc>
        <w:tc>
          <w:tcPr>
            <w:tcW w:w="37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喷雾废气</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5</w:t>
            </w:r>
            <w:r>
              <w:rPr>
                <w:rFonts w:cs="Times New Roman"/>
                <w:sz w:val="21"/>
                <w:u w:val="single"/>
              </w:rPr>
              <w:t>5</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186</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35</w:t>
            </w:r>
          </w:p>
        </w:tc>
        <w:tc>
          <w:tcPr>
            <w:tcW w:w="45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2</w:t>
            </w:r>
            <w:r>
              <w:rPr>
                <w:rFonts w:cs="Times New Roman"/>
                <w:sz w:val="21"/>
                <w:u w:val="single"/>
              </w:rPr>
              <w:t>.4</w:t>
            </w:r>
          </w:p>
        </w:tc>
        <w:tc>
          <w:tcPr>
            <w:tcW w:w="396"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4.13</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85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3.34</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4</w:t>
            </w:r>
            <w:r>
              <w:rPr>
                <w:rFonts w:cs="Times New Roman"/>
                <w:sz w:val="21"/>
                <w:u w:val="single"/>
              </w:rPr>
              <w:t>.46</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6</w:t>
            </w:r>
            <w:r>
              <w:rPr>
                <w:rFonts w:cs="Times New Roman"/>
                <w:sz w:val="21"/>
                <w:u w:val="single"/>
              </w:rPr>
              <w:t>.67</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DA003</w:t>
            </w:r>
          </w:p>
        </w:tc>
        <w:tc>
          <w:tcPr>
            <w:tcW w:w="37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喷雾废气</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4</w:t>
            </w:r>
            <w:r>
              <w:rPr>
                <w:rFonts w:cs="Times New Roman"/>
                <w:sz w:val="21"/>
                <w:u w:val="single"/>
              </w:rPr>
              <w:t>5</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26</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35</w:t>
            </w:r>
          </w:p>
        </w:tc>
        <w:tc>
          <w:tcPr>
            <w:tcW w:w="45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2</w:t>
            </w:r>
            <w:r>
              <w:rPr>
                <w:rFonts w:cs="Times New Roman"/>
                <w:sz w:val="21"/>
                <w:u w:val="single"/>
              </w:rPr>
              <w:t>.4</w:t>
            </w:r>
          </w:p>
        </w:tc>
        <w:tc>
          <w:tcPr>
            <w:tcW w:w="396"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4.13</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85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3.34</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4</w:t>
            </w:r>
            <w:r>
              <w:rPr>
                <w:rFonts w:cs="Times New Roman"/>
                <w:sz w:val="21"/>
                <w:u w:val="single"/>
              </w:rPr>
              <w:t>.46</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6</w:t>
            </w:r>
            <w:r>
              <w:rPr>
                <w:rFonts w:cs="Times New Roman"/>
                <w:sz w:val="21"/>
                <w:u w:val="single"/>
              </w:rPr>
              <w:t>.67</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DA004</w:t>
            </w:r>
          </w:p>
        </w:tc>
        <w:tc>
          <w:tcPr>
            <w:tcW w:w="37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喷雾废气</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5</w:t>
            </w:r>
            <w:r>
              <w:rPr>
                <w:rFonts w:cs="Times New Roman"/>
                <w:sz w:val="21"/>
                <w:u w:val="single"/>
              </w:rPr>
              <w:t>2</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04</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35</w:t>
            </w:r>
          </w:p>
        </w:tc>
        <w:tc>
          <w:tcPr>
            <w:tcW w:w="45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2</w:t>
            </w:r>
            <w:r>
              <w:rPr>
                <w:rFonts w:cs="Times New Roman"/>
                <w:sz w:val="21"/>
                <w:u w:val="single"/>
              </w:rPr>
              <w:t>.4</w:t>
            </w:r>
          </w:p>
        </w:tc>
        <w:tc>
          <w:tcPr>
            <w:tcW w:w="396"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4.13</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85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3.34</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4</w:t>
            </w:r>
            <w:r>
              <w:rPr>
                <w:rFonts w:cs="Times New Roman"/>
                <w:sz w:val="21"/>
                <w:u w:val="single"/>
              </w:rPr>
              <w:t>.46</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6</w:t>
            </w:r>
            <w:r>
              <w:rPr>
                <w:rFonts w:cs="Times New Roman"/>
                <w:sz w:val="21"/>
                <w:u w:val="single"/>
              </w:rPr>
              <w:t>.67</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DA005</w:t>
            </w:r>
          </w:p>
        </w:tc>
        <w:tc>
          <w:tcPr>
            <w:tcW w:w="37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喷雾废气</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4</w:t>
            </w:r>
            <w:r>
              <w:rPr>
                <w:rFonts w:cs="Times New Roman"/>
                <w:sz w:val="21"/>
                <w:u w:val="single"/>
              </w:rPr>
              <w:t>5</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2</w:t>
            </w:r>
            <w:r>
              <w:rPr>
                <w:rFonts w:cs="Times New Roman"/>
                <w:sz w:val="21"/>
                <w:u w:val="single"/>
              </w:rPr>
              <w:t>63</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35</w:t>
            </w:r>
          </w:p>
        </w:tc>
        <w:tc>
          <w:tcPr>
            <w:tcW w:w="45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2</w:t>
            </w:r>
            <w:r>
              <w:rPr>
                <w:rFonts w:cs="Times New Roman"/>
                <w:sz w:val="21"/>
                <w:u w:val="single"/>
              </w:rPr>
              <w:t>.4</w:t>
            </w:r>
          </w:p>
        </w:tc>
        <w:tc>
          <w:tcPr>
            <w:tcW w:w="396"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4.13</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85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3.34</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4</w:t>
            </w:r>
            <w:r>
              <w:rPr>
                <w:rFonts w:cs="Times New Roman"/>
                <w:sz w:val="21"/>
                <w:u w:val="single"/>
              </w:rPr>
              <w:t>.46</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6</w:t>
            </w:r>
            <w:r>
              <w:rPr>
                <w:rFonts w:cs="Times New Roman"/>
                <w:sz w:val="21"/>
                <w:u w:val="single"/>
              </w:rPr>
              <w:t>.67</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71"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DA006</w:t>
            </w:r>
          </w:p>
        </w:tc>
        <w:tc>
          <w:tcPr>
            <w:tcW w:w="37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窑炉烟气</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7</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3</w:t>
            </w:r>
            <w:r>
              <w:rPr>
                <w:rFonts w:cs="Times New Roman"/>
                <w:sz w:val="21"/>
                <w:u w:val="single"/>
              </w:rPr>
              <w:t>09</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35</w:t>
            </w:r>
          </w:p>
        </w:tc>
        <w:tc>
          <w:tcPr>
            <w:tcW w:w="451"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1.0</w:t>
            </w:r>
          </w:p>
        </w:tc>
        <w:tc>
          <w:tcPr>
            <w:tcW w:w="396"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6.56</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85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.19</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.29</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4</w:t>
            </w:r>
            <w:r>
              <w:rPr>
                <w:rFonts w:cs="Times New Roman"/>
                <w:sz w:val="21"/>
                <w:u w:val="single"/>
              </w:rPr>
              <w:t>.12</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.08</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DA007</w:t>
            </w:r>
          </w:p>
        </w:tc>
        <w:tc>
          <w:tcPr>
            <w:tcW w:w="374" w:type="pct"/>
          </w:tcPr>
          <w:p>
            <w:pPr>
              <w:autoSpaceDE w:val="0"/>
              <w:autoSpaceDN w:val="0"/>
              <w:spacing w:line="240" w:lineRule="auto"/>
              <w:ind w:firstLine="0" w:firstLineChars="0"/>
              <w:jc w:val="center"/>
              <w:rPr>
                <w:rFonts w:cs="Times New Roman"/>
                <w:sz w:val="21"/>
                <w:u w:val="single"/>
              </w:rPr>
            </w:pPr>
            <w:r>
              <w:rPr>
                <w:rFonts w:cs="Times New Roman"/>
                <w:sz w:val="21"/>
                <w:u w:val="single"/>
              </w:rPr>
              <w:t>窑炉烟气</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7</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56</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35</w:t>
            </w:r>
          </w:p>
        </w:tc>
        <w:tc>
          <w:tcPr>
            <w:tcW w:w="45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.6</w:t>
            </w:r>
          </w:p>
        </w:tc>
        <w:tc>
          <w:tcPr>
            <w:tcW w:w="396"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9</w:t>
            </w:r>
            <w:r>
              <w:rPr>
                <w:rFonts w:cs="Times New Roman"/>
                <w:sz w:val="21"/>
                <w:u w:val="single"/>
              </w:rPr>
              <w:t>.70</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85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.28</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.44</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6</w:t>
            </w:r>
            <w:r>
              <w:rPr>
                <w:rFonts w:cs="Times New Roman"/>
                <w:sz w:val="21"/>
                <w:u w:val="single"/>
              </w:rPr>
              <w:t>.18</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.11</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DA008</w:t>
            </w:r>
          </w:p>
        </w:tc>
        <w:tc>
          <w:tcPr>
            <w:tcW w:w="374" w:type="pct"/>
          </w:tcPr>
          <w:p>
            <w:pPr>
              <w:autoSpaceDE w:val="0"/>
              <w:autoSpaceDN w:val="0"/>
              <w:spacing w:line="240" w:lineRule="auto"/>
              <w:ind w:firstLine="0" w:firstLineChars="0"/>
              <w:jc w:val="center"/>
              <w:rPr>
                <w:rFonts w:cs="Times New Roman"/>
                <w:sz w:val="21"/>
                <w:u w:val="single"/>
              </w:rPr>
            </w:pPr>
            <w:r>
              <w:rPr>
                <w:rFonts w:cs="Times New Roman"/>
                <w:sz w:val="21"/>
                <w:u w:val="single"/>
              </w:rPr>
              <w:t>窑炉烟气</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4</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3</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35</w:t>
            </w:r>
          </w:p>
        </w:tc>
        <w:tc>
          <w:tcPr>
            <w:tcW w:w="45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.6</w:t>
            </w:r>
          </w:p>
        </w:tc>
        <w:tc>
          <w:tcPr>
            <w:tcW w:w="396"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2.94</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85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.38</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.58</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8</w:t>
            </w:r>
            <w:r>
              <w:rPr>
                <w:rFonts w:cs="Times New Roman"/>
                <w:sz w:val="21"/>
                <w:u w:val="single"/>
              </w:rPr>
              <w:t>.24</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.15</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DA009</w:t>
            </w:r>
          </w:p>
        </w:tc>
        <w:tc>
          <w:tcPr>
            <w:tcW w:w="374" w:type="pct"/>
          </w:tcPr>
          <w:p>
            <w:pPr>
              <w:autoSpaceDE w:val="0"/>
              <w:autoSpaceDN w:val="0"/>
              <w:spacing w:line="240" w:lineRule="auto"/>
              <w:ind w:firstLine="0" w:firstLineChars="0"/>
              <w:jc w:val="center"/>
              <w:rPr>
                <w:rFonts w:cs="Times New Roman"/>
                <w:sz w:val="21"/>
                <w:u w:val="single"/>
              </w:rPr>
            </w:pPr>
            <w:r>
              <w:rPr>
                <w:rFonts w:cs="Times New Roman"/>
                <w:sz w:val="21"/>
                <w:u w:val="single"/>
              </w:rPr>
              <w:t>窑炉烟气</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13</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245</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35</w:t>
            </w:r>
          </w:p>
        </w:tc>
        <w:tc>
          <w:tcPr>
            <w:tcW w:w="45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.6</w:t>
            </w:r>
          </w:p>
        </w:tc>
        <w:tc>
          <w:tcPr>
            <w:tcW w:w="396"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9</w:t>
            </w:r>
            <w:r>
              <w:rPr>
                <w:rFonts w:cs="Times New Roman"/>
                <w:sz w:val="21"/>
                <w:u w:val="single"/>
              </w:rPr>
              <w:t>.70</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85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.28</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.44</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6</w:t>
            </w:r>
            <w:r>
              <w:rPr>
                <w:rFonts w:cs="Times New Roman"/>
                <w:sz w:val="21"/>
                <w:u w:val="single"/>
              </w:rPr>
              <w:t>.18</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.11</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DA010</w:t>
            </w:r>
          </w:p>
        </w:tc>
        <w:tc>
          <w:tcPr>
            <w:tcW w:w="37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压机粉尘</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49</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267</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15</w:t>
            </w:r>
          </w:p>
        </w:tc>
        <w:tc>
          <w:tcPr>
            <w:tcW w:w="451" w:type="pct"/>
          </w:tcPr>
          <w:p>
            <w:pPr>
              <w:autoSpaceDE w:val="0"/>
              <w:autoSpaceDN w:val="0"/>
              <w:spacing w:line="240" w:lineRule="auto"/>
              <w:ind w:firstLine="0" w:firstLineChars="0"/>
              <w:jc w:val="center"/>
              <w:rPr>
                <w:rFonts w:cs="Times New Roman"/>
                <w:sz w:val="21"/>
                <w:u w:val="single"/>
              </w:rPr>
            </w:pPr>
            <w:r>
              <w:rPr>
                <w:rFonts w:cs="Times New Roman"/>
                <w:sz w:val="21"/>
                <w:u w:val="single"/>
              </w:rPr>
              <w:t>0.8</w:t>
            </w:r>
          </w:p>
        </w:tc>
        <w:tc>
          <w:tcPr>
            <w:tcW w:w="396"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8</w:t>
            </w:r>
            <w:r>
              <w:rPr>
                <w:rFonts w:cs="Times New Roman"/>
                <w:sz w:val="21"/>
                <w:u w:val="single"/>
              </w:rPr>
              <w:t>.29</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25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.27</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DA011</w:t>
            </w:r>
          </w:p>
        </w:tc>
        <w:tc>
          <w:tcPr>
            <w:tcW w:w="37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压机粉尘</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30</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8</w:t>
            </w:r>
            <w:r>
              <w:rPr>
                <w:rFonts w:cs="Times New Roman"/>
                <w:sz w:val="21"/>
                <w:u w:val="single"/>
              </w:rPr>
              <w:t>4</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15</w:t>
            </w:r>
          </w:p>
        </w:tc>
        <w:tc>
          <w:tcPr>
            <w:tcW w:w="45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.8</w:t>
            </w:r>
          </w:p>
        </w:tc>
        <w:tc>
          <w:tcPr>
            <w:tcW w:w="396"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1</w:t>
            </w:r>
            <w:r>
              <w:rPr>
                <w:rFonts w:cs="Times New Roman"/>
                <w:sz w:val="21"/>
                <w:u w:val="single"/>
              </w:rPr>
              <w:t>1.06</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25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.36</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DA012</w:t>
            </w:r>
          </w:p>
        </w:tc>
        <w:tc>
          <w:tcPr>
            <w:tcW w:w="374" w:type="pct"/>
          </w:tcPr>
          <w:p>
            <w:pPr>
              <w:autoSpaceDE w:val="0"/>
              <w:autoSpaceDN w:val="0"/>
              <w:spacing w:line="240" w:lineRule="auto"/>
              <w:ind w:firstLine="0" w:firstLineChars="0"/>
              <w:jc w:val="center"/>
              <w:rPr>
                <w:rFonts w:cs="Times New Roman"/>
                <w:sz w:val="21"/>
                <w:u w:val="single"/>
              </w:rPr>
            </w:pPr>
            <w:r>
              <w:rPr>
                <w:rFonts w:cs="Times New Roman"/>
                <w:sz w:val="21"/>
                <w:u w:val="single"/>
              </w:rPr>
              <w:t>压机粉尘</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23</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2</w:t>
            </w:r>
            <w:r>
              <w:rPr>
                <w:rFonts w:cs="Times New Roman"/>
                <w:sz w:val="21"/>
                <w:u w:val="single"/>
              </w:rPr>
              <w:t>54</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15</w:t>
            </w:r>
          </w:p>
        </w:tc>
        <w:tc>
          <w:tcPr>
            <w:tcW w:w="45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.8</w:t>
            </w:r>
          </w:p>
        </w:tc>
        <w:tc>
          <w:tcPr>
            <w:tcW w:w="396"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8</w:t>
            </w:r>
            <w:r>
              <w:rPr>
                <w:rFonts w:cs="Times New Roman"/>
                <w:sz w:val="21"/>
                <w:u w:val="single"/>
              </w:rPr>
              <w:t>.29</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25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.27</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DA013</w:t>
            </w:r>
          </w:p>
        </w:tc>
        <w:tc>
          <w:tcPr>
            <w:tcW w:w="374" w:type="pct"/>
          </w:tcPr>
          <w:p>
            <w:pPr>
              <w:autoSpaceDE w:val="0"/>
              <w:autoSpaceDN w:val="0"/>
              <w:spacing w:line="240" w:lineRule="auto"/>
              <w:ind w:firstLine="0" w:firstLineChars="0"/>
              <w:jc w:val="center"/>
              <w:rPr>
                <w:rFonts w:cs="Times New Roman"/>
                <w:sz w:val="21"/>
                <w:u w:val="single"/>
              </w:rPr>
            </w:pPr>
            <w:r>
              <w:rPr>
                <w:rFonts w:cs="Times New Roman"/>
                <w:sz w:val="21"/>
                <w:u w:val="single"/>
              </w:rPr>
              <w:t>压机粉尘</w:t>
            </w:r>
          </w:p>
        </w:tc>
        <w:tc>
          <w:tcPr>
            <w:tcW w:w="229"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r>
              <w:rPr>
                <w:rFonts w:cs="Times New Roman"/>
                <w:sz w:val="21"/>
                <w:u w:val="single"/>
              </w:rPr>
              <w:t>52</w:t>
            </w:r>
          </w:p>
        </w:tc>
        <w:tc>
          <w:tcPr>
            <w:tcW w:w="230"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3</w:t>
            </w:r>
            <w:r>
              <w:rPr>
                <w:rFonts w:cs="Times New Roman"/>
                <w:sz w:val="21"/>
                <w:u w:val="single"/>
              </w:rPr>
              <w:t>12</w:t>
            </w:r>
          </w:p>
        </w:tc>
        <w:tc>
          <w:tcPr>
            <w:tcW w:w="376"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111</w:t>
            </w:r>
          </w:p>
        </w:tc>
        <w:tc>
          <w:tcPr>
            <w:tcW w:w="234" w:type="pct"/>
            <w:vAlign w:val="center"/>
          </w:tcPr>
          <w:p>
            <w:pPr>
              <w:autoSpaceDE w:val="0"/>
              <w:autoSpaceDN w:val="0"/>
              <w:spacing w:line="240" w:lineRule="auto"/>
              <w:ind w:firstLine="0" w:firstLineChars="0"/>
              <w:jc w:val="center"/>
              <w:rPr>
                <w:rFonts w:cs="Times New Roman"/>
                <w:sz w:val="21"/>
                <w:u w:val="single"/>
              </w:rPr>
            </w:pPr>
            <w:r>
              <w:rPr>
                <w:rFonts w:cs="Times New Roman"/>
                <w:sz w:val="21"/>
                <w:u w:val="single"/>
              </w:rPr>
              <w:t>15</w:t>
            </w:r>
          </w:p>
        </w:tc>
        <w:tc>
          <w:tcPr>
            <w:tcW w:w="45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.6</w:t>
            </w:r>
          </w:p>
        </w:tc>
        <w:tc>
          <w:tcPr>
            <w:tcW w:w="396"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9</w:t>
            </w:r>
            <w:r>
              <w:rPr>
                <w:rFonts w:cs="Times New Roman"/>
                <w:sz w:val="21"/>
                <w:u w:val="single"/>
              </w:rPr>
              <w:t>.83</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25</w:t>
            </w:r>
          </w:p>
        </w:tc>
        <w:tc>
          <w:tcPr>
            <w:tcW w:w="301" w:type="pct"/>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7</w:t>
            </w:r>
            <w:r>
              <w:rPr>
                <w:rFonts w:cs="Times New Roman"/>
                <w:sz w:val="21"/>
                <w:u w:val="single"/>
              </w:rPr>
              <w:t>920</w:t>
            </w:r>
          </w:p>
        </w:tc>
        <w:tc>
          <w:tcPr>
            <w:tcW w:w="376" w:type="pct"/>
          </w:tcPr>
          <w:p>
            <w:pPr>
              <w:autoSpaceDE w:val="0"/>
              <w:autoSpaceDN w:val="0"/>
              <w:spacing w:line="240" w:lineRule="auto"/>
              <w:ind w:firstLine="0" w:firstLineChars="0"/>
              <w:jc w:val="center"/>
              <w:rPr>
                <w:rFonts w:cs="Times New Roman"/>
                <w:sz w:val="21"/>
                <w:u w:val="single"/>
              </w:rPr>
            </w:pPr>
            <w:r>
              <w:rPr>
                <w:rFonts w:cs="Times New Roman"/>
                <w:sz w:val="21"/>
                <w:u w:val="single"/>
              </w:rPr>
              <w:t>正常工况</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0</w:t>
            </w:r>
            <w:r>
              <w:rPr>
                <w:rFonts w:cs="Times New Roman"/>
                <w:sz w:val="21"/>
                <w:u w:val="single"/>
              </w:rPr>
              <w:t>.18</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44"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30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c>
          <w:tcPr>
            <w:tcW w:w="271" w:type="pct"/>
            <w:vAlign w:val="center"/>
          </w:tcPr>
          <w:p>
            <w:pPr>
              <w:autoSpaceDE w:val="0"/>
              <w:autoSpaceDN w:val="0"/>
              <w:spacing w:line="240" w:lineRule="auto"/>
              <w:ind w:firstLine="0" w:firstLineChars="0"/>
              <w:jc w:val="center"/>
              <w:rPr>
                <w:rFonts w:cs="Times New Roman"/>
                <w:sz w:val="21"/>
                <w:u w:val="single"/>
              </w:rPr>
            </w:pPr>
            <w:r>
              <w:rPr>
                <w:rFonts w:hint="eastAsia" w:cs="Times New Roman"/>
                <w:sz w:val="21"/>
                <w:u w:val="single"/>
              </w:rPr>
              <w:t>/</w:t>
            </w:r>
          </w:p>
        </w:tc>
      </w:tr>
    </w:tbl>
    <w:p>
      <w:pPr>
        <w:ind w:firstLine="0" w:firstLineChars="0"/>
        <w:jc w:val="center"/>
        <w:rPr>
          <w:rFonts w:cs="Times New Roman"/>
          <w:u w:val="single"/>
        </w:rPr>
      </w:pPr>
      <w:r>
        <w:rPr>
          <w:rFonts w:cs="Times New Roman"/>
          <w:u w:val="single"/>
        </w:rPr>
        <w:t>表5.2-8  矩形面源参数表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1674"/>
        <w:gridCol w:w="1049"/>
        <w:gridCol w:w="882"/>
        <w:gridCol w:w="1198"/>
        <w:gridCol w:w="959"/>
        <w:gridCol w:w="959"/>
        <w:gridCol w:w="1198"/>
        <w:gridCol w:w="1436"/>
        <w:gridCol w:w="1198"/>
        <w:gridCol w:w="1198"/>
        <w:gridCol w:w="1275"/>
        <w:gridCol w:w="11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 w:type="pct"/>
            <w:vMerge w:val="restart"/>
            <w:vAlign w:val="center"/>
          </w:tcPr>
          <w:p>
            <w:pPr>
              <w:spacing w:line="240" w:lineRule="auto"/>
              <w:ind w:firstLine="0" w:firstLineChars="0"/>
              <w:jc w:val="center"/>
              <w:rPr>
                <w:sz w:val="21"/>
                <w:szCs w:val="16"/>
                <w:u w:val="single"/>
              </w:rPr>
            </w:pPr>
            <w:r>
              <w:rPr>
                <w:sz w:val="21"/>
                <w:szCs w:val="16"/>
                <w:u w:val="single"/>
              </w:rPr>
              <w:t>编号</w:t>
            </w:r>
          </w:p>
        </w:tc>
        <w:tc>
          <w:tcPr>
            <w:tcW w:w="562" w:type="pct"/>
            <w:vMerge w:val="restart"/>
            <w:vAlign w:val="center"/>
          </w:tcPr>
          <w:p>
            <w:pPr>
              <w:spacing w:line="240" w:lineRule="auto"/>
              <w:ind w:firstLine="0" w:firstLineChars="0"/>
              <w:jc w:val="center"/>
              <w:rPr>
                <w:sz w:val="21"/>
                <w:szCs w:val="16"/>
                <w:u w:val="single"/>
              </w:rPr>
            </w:pPr>
            <w:r>
              <w:rPr>
                <w:sz w:val="21"/>
                <w:szCs w:val="16"/>
                <w:u w:val="single"/>
              </w:rPr>
              <w:t>名称</w:t>
            </w:r>
          </w:p>
        </w:tc>
        <w:tc>
          <w:tcPr>
            <w:tcW w:w="648" w:type="pct"/>
            <w:gridSpan w:val="2"/>
            <w:vAlign w:val="center"/>
          </w:tcPr>
          <w:p>
            <w:pPr>
              <w:spacing w:line="240" w:lineRule="auto"/>
              <w:ind w:firstLine="0" w:firstLineChars="0"/>
              <w:jc w:val="center"/>
              <w:rPr>
                <w:sz w:val="21"/>
                <w:szCs w:val="16"/>
                <w:u w:val="single"/>
              </w:rPr>
            </w:pPr>
            <w:r>
              <w:rPr>
                <w:sz w:val="21"/>
                <w:szCs w:val="16"/>
                <w:u w:val="single"/>
              </w:rPr>
              <w:t>面源起点坐标/m</w:t>
            </w:r>
          </w:p>
        </w:tc>
        <w:tc>
          <w:tcPr>
            <w:tcW w:w="402" w:type="pct"/>
            <w:vMerge w:val="restart"/>
            <w:vAlign w:val="center"/>
          </w:tcPr>
          <w:p>
            <w:pPr>
              <w:spacing w:line="240" w:lineRule="auto"/>
              <w:ind w:firstLine="0" w:firstLineChars="0"/>
              <w:jc w:val="center"/>
              <w:rPr>
                <w:sz w:val="21"/>
                <w:szCs w:val="16"/>
                <w:u w:val="single"/>
              </w:rPr>
            </w:pPr>
            <w:r>
              <w:rPr>
                <w:sz w:val="21"/>
                <w:szCs w:val="16"/>
                <w:u w:val="single"/>
              </w:rPr>
              <w:t>面源海拔</w:t>
            </w:r>
          </w:p>
          <w:p>
            <w:pPr>
              <w:spacing w:line="240" w:lineRule="auto"/>
              <w:ind w:firstLine="0" w:firstLineChars="0"/>
              <w:jc w:val="center"/>
              <w:rPr>
                <w:sz w:val="21"/>
                <w:szCs w:val="16"/>
                <w:u w:val="single"/>
              </w:rPr>
            </w:pPr>
            <w:r>
              <w:rPr>
                <w:sz w:val="21"/>
                <w:szCs w:val="16"/>
                <w:u w:val="single"/>
              </w:rPr>
              <w:t>高度/m</w:t>
            </w:r>
          </w:p>
        </w:tc>
        <w:tc>
          <w:tcPr>
            <w:tcW w:w="322" w:type="pct"/>
            <w:vMerge w:val="restart"/>
            <w:vAlign w:val="center"/>
          </w:tcPr>
          <w:p>
            <w:pPr>
              <w:spacing w:line="240" w:lineRule="auto"/>
              <w:ind w:firstLine="0" w:firstLineChars="0"/>
              <w:jc w:val="center"/>
              <w:rPr>
                <w:sz w:val="21"/>
                <w:szCs w:val="16"/>
                <w:u w:val="single"/>
              </w:rPr>
            </w:pPr>
            <w:r>
              <w:rPr>
                <w:sz w:val="21"/>
                <w:szCs w:val="16"/>
                <w:u w:val="single"/>
              </w:rPr>
              <w:t>面源长</w:t>
            </w:r>
          </w:p>
          <w:p>
            <w:pPr>
              <w:spacing w:line="240" w:lineRule="auto"/>
              <w:ind w:firstLine="0" w:firstLineChars="0"/>
              <w:jc w:val="center"/>
              <w:rPr>
                <w:sz w:val="21"/>
                <w:szCs w:val="16"/>
                <w:u w:val="single"/>
              </w:rPr>
            </w:pPr>
            <w:r>
              <w:rPr>
                <w:sz w:val="21"/>
                <w:szCs w:val="16"/>
                <w:u w:val="single"/>
              </w:rPr>
              <w:t>度/m</w:t>
            </w:r>
          </w:p>
        </w:tc>
        <w:tc>
          <w:tcPr>
            <w:tcW w:w="322" w:type="pct"/>
            <w:vMerge w:val="restart"/>
            <w:vAlign w:val="center"/>
          </w:tcPr>
          <w:p>
            <w:pPr>
              <w:spacing w:line="240" w:lineRule="auto"/>
              <w:ind w:firstLine="0" w:firstLineChars="0"/>
              <w:jc w:val="center"/>
              <w:rPr>
                <w:sz w:val="21"/>
                <w:szCs w:val="16"/>
                <w:u w:val="single"/>
              </w:rPr>
            </w:pPr>
            <w:r>
              <w:rPr>
                <w:sz w:val="21"/>
                <w:szCs w:val="16"/>
                <w:u w:val="single"/>
              </w:rPr>
              <w:t>面源宽</w:t>
            </w:r>
          </w:p>
          <w:p>
            <w:pPr>
              <w:spacing w:line="240" w:lineRule="auto"/>
              <w:ind w:firstLine="0" w:firstLineChars="0"/>
              <w:jc w:val="center"/>
              <w:rPr>
                <w:sz w:val="21"/>
                <w:szCs w:val="16"/>
                <w:u w:val="single"/>
              </w:rPr>
            </w:pPr>
            <w:r>
              <w:rPr>
                <w:sz w:val="21"/>
                <w:szCs w:val="16"/>
                <w:u w:val="single"/>
              </w:rPr>
              <w:t>度/m</w:t>
            </w:r>
          </w:p>
        </w:tc>
        <w:tc>
          <w:tcPr>
            <w:tcW w:w="402" w:type="pct"/>
            <w:vMerge w:val="restart"/>
            <w:vAlign w:val="center"/>
          </w:tcPr>
          <w:p>
            <w:pPr>
              <w:spacing w:line="240" w:lineRule="auto"/>
              <w:ind w:firstLine="0" w:firstLineChars="0"/>
              <w:jc w:val="center"/>
              <w:rPr>
                <w:sz w:val="21"/>
                <w:szCs w:val="16"/>
                <w:u w:val="single"/>
              </w:rPr>
            </w:pPr>
            <w:r>
              <w:rPr>
                <w:sz w:val="21"/>
                <w:szCs w:val="16"/>
                <w:u w:val="single"/>
              </w:rPr>
              <w:t>与正北向</w:t>
            </w:r>
          </w:p>
          <w:p>
            <w:pPr>
              <w:spacing w:line="240" w:lineRule="auto"/>
              <w:ind w:firstLine="0" w:firstLineChars="0"/>
              <w:jc w:val="center"/>
              <w:rPr>
                <w:sz w:val="21"/>
                <w:szCs w:val="16"/>
                <w:u w:val="single"/>
              </w:rPr>
            </w:pPr>
            <w:r>
              <w:rPr>
                <w:sz w:val="21"/>
                <w:szCs w:val="16"/>
                <w:u w:val="single"/>
              </w:rPr>
              <w:t>夹角/°</w:t>
            </w:r>
          </w:p>
        </w:tc>
        <w:tc>
          <w:tcPr>
            <w:tcW w:w="482" w:type="pct"/>
            <w:vMerge w:val="restart"/>
            <w:vAlign w:val="center"/>
          </w:tcPr>
          <w:p>
            <w:pPr>
              <w:spacing w:line="240" w:lineRule="auto"/>
              <w:ind w:firstLine="0" w:firstLineChars="0"/>
              <w:jc w:val="center"/>
              <w:rPr>
                <w:sz w:val="21"/>
                <w:szCs w:val="16"/>
                <w:u w:val="single"/>
              </w:rPr>
            </w:pPr>
            <w:r>
              <w:rPr>
                <w:sz w:val="21"/>
                <w:szCs w:val="16"/>
                <w:u w:val="single"/>
              </w:rPr>
              <w:t>面源有效排</w:t>
            </w:r>
          </w:p>
          <w:p>
            <w:pPr>
              <w:spacing w:line="240" w:lineRule="auto"/>
              <w:ind w:firstLine="0" w:firstLineChars="0"/>
              <w:jc w:val="center"/>
              <w:rPr>
                <w:sz w:val="21"/>
                <w:szCs w:val="16"/>
                <w:u w:val="single"/>
              </w:rPr>
            </w:pPr>
            <w:r>
              <w:rPr>
                <w:sz w:val="21"/>
                <w:szCs w:val="16"/>
                <w:u w:val="single"/>
              </w:rPr>
              <w:t>放高度/m</w:t>
            </w:r>
          </w:p>
        </w:tc>
        <w:tc>
          <w:tcPr>
            <w:tcW w:w="402" w:type="pct"/>
            <w:vMerge w:val="restart"/>
            <w:vAlign w:val="center"/>
          </w:tcPr>
          <w:p>
            <w:pPr>
              <w:spacing w:line="240" w:lineRule="auto"/>
              <w:ind w:firstLine="0" w:firstLineChars="0"/>
              <w:jc w:val="center"/>
              <w:rPr>
                <w:sz w:val="21"/>
                <w:szCs w:val="16"/>
                <w:u w:val="single"/>
              </w:rPr>
            </w:pPr>
            <w:r>
              <w:rPr>
                <w:sz w:val="21"/>
                <w:szCs w:val="16"/>
                <w:u w:val="single"/>
              </w:rPr>
              <w:t>年排放小</w:t>
            </w:r>
          </w:p>
          <w:p>
            <w:pPr>
              <w:spacing w:line="240" w:lineRule="auto"/>
              <w:ind w:firstLine="0" w:firstLineChars="0"/>
              <w:jc w:val="center"/>
              <w:rPr>
                <w:sz w:val="21"/>
                <w:szCs w:val="16"/>
                <w:u w:val="single"/>
              </w:rPr>
            </w:pPr>
            <w:r>
              <w:rPr>
                <w:sz w:val="21"/>
                <w:szCs w:val="16"/>
                <w:u w:val="single"/>
              </w:rPr>
              <w:t>时数/h</w:t>
            </w:r>
          </w:p>
        </w:tc>
        <w:tc>
          <w:tcPr>
            <w:tcW w:w="402" w:type="pct"/>
            <w:vMerge w:val="restart"/>
            <w:vAlign w:val="center"/>
          </w:tcPr>
          <w:p>
            <w:pPr>
              <w:spacing w:line="240" w:lineRule="auto"/>
              <w:ind w:firstLine="0" w:firstLineChars="0"/>
              <w:jc w:val="center"/>
              <w:rPr>
                <w:sz w:val="21"/>
                <w:szCs w:val="16"/>
                <w:u w:val="single"/>
              </w:rPr>
            </w:pPr>
            <w:r>
              <w:rPr>
                <w:sz w:val="21"/>
                <w:szCs w:val="16"/>
                <w:u w:val="single"/>
              </w:rPr>
              <w:t>排放工况</w:t>
            </w:r>
          </w:p>
        </w:tc>
        <w:tc>
          <w:tcPr>
            <w:tcW w:w="804" w:type="pct"/>
            <w:gridSpan w:val="2"/>
            <w:vAlign w:val="center"/>
          </w:tcPr>
          <w:p>
            <w:pPr>
              <w:spacing w:line="240" w:lineRule="auto"/>
              <w:ind w:firstLine="0" w:firstLineChars="0"/>
              <w:jc w:val="center"/>
              <w:rPr>
                <w:sz w:val="21"/>
                <w:szCs w:val="16"/>
                <w:u w:val="single"/>
              </w:rPr>
            </w:pPr>
            <w:r>
              <w:rPr>
                <w:sz w:val="21"/>
                <w:szCs w:val="16"/>
                <w:u w:val="single"/>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 w:type="pct"/>
            <w:vMerge w:val="continue"/>
            <w:vAlign w:val="center"/>
          </w:tcPr>
          <w:p>
            <w:pPr>
              <w:spacing w:line="240" w:lineRule="auto"/>
              <w:ind w:firstLine="0" w:firstLineChars="0"/>
              <w:jc w:val="center"/>
              <w:rPr>
                <w:sz w:val="21"/>
                <w:szCs w:val="16"/>
                <w:u w:val="single"/>
              </w:rPr>
            </w:pPr>
          </w:p>
        </w:tc>
        <w:tc>
          <w:tcPr>
            <w:tcW w:w="562" w:type="pct"/>
            <w:vMerge w:val="continue"/>
            <w:vAlign w:val="center"/>
          </w:tcPr>
          <w:p>
            <w:pPr>
              <w:spacing w:line="240" w:lineRule="auto"/>
              <w:ind w:firstLine="0" w:firstLineChars="0"/>
              <w:jc w:val="center"/>
              <w:rPr>
                <w:sz w:val="21"/>
                <w:szCs w:val="16"/>
                <w:u w:val="single"/>
              </w:rPr>
            </w:pPr>
          </w:p>
        </w:tc>
        <w:tc>
          <w:tcPr>
            <w:tcW w:w="352" w:type="pct"/>
            <w:vAlign w:val="center"/>
          </w:tcPr>
          <w:p>
            <w:pPr>
              <w:spacing w:line="240" w:lineRule="auto"/>
              <w:ind w:firstLine="0" w:firstLineChars="0"/>
              <w:jc w:val="center"/>
              <w:rPr>
                <w:sz w:val="21"/>
                <w:szCs w:val="16"/>
                <w:u w:val="single"/>
              </w:rPr>
            </w:pPr>
            <w:r>
              <w:rPr>
                <w:sz w:val="21"/>
                <w:szCs w:val="16"/>
                <w:u w:val="single"/>
              </w:rPr>
              <w:t>x</w:t>
            </w:r>
          </w:p>
        </w:tc>
        <w:tc>
          <w:tcPr>
            <w:tcW w:w="296" w:type="pct"/>
            <w:vAlign w:val="center"/>
          </w:tcPr>
          <w:p>
            <w:pPr>
              <w:spacing w:line="240" w:lineRule="auto"/>
              <w:ind w:firstLine="0" w:firstLineChars="0"/>
              <w:jc w:val="center"/>
              <w:rPr>
                <w:sz w:val="21"/>
                <w:szCs w:val="16"/>
                <w:u w:val="single"/>
              </w:rPr>
            </w:pPr>
            <w:r>
              <w:rPr>
                <w:sz w:val="21"/>
                <w:szCs w:val="16"/>
                <w:u w:val="single"/>
              </w:rPr>
              <w:t>y</w:t>
            </w:r>
          </w:p>
        </w:tc>
        <w:tc>
          <w:tcPr>
            <w:tcW w:w="402" w:type="pct"/>
            <w:vMerge w:val="continue"/>
            <w:vAlign w:val="center"/>
          </w:tcPr>
          <w:p>
            <w:pPr>
              <w:spacing w:line="240" w:lineRule="auto"/>
              <w:ind w:firstLine="0" w:firstLineChars="0"/>
              <w:jc w:val="center"/>
              <w:rPr>
                <w:sz w:val="21"/>
                <w:szCs w:val="16"/>
                <w:u w:val="single"/>
              </w:rPr>
            </w:pPr>
          </w:p>
        </w:tc>
        <w:tc>
          <w:tcPr>
            <w:tcW w:w="322" w:type="pct"/>
            <w:vMerge w:val="continue"/>
            <w:vAlign w:val="center"/>
          </w:tcPr>
          <w:p>
            <w:pPr>
              <w:spacing w:line="240" w:lineRule="auto"/>
              <w:ind w:firstLine="0" w:firstLineChars="0"/>
              <w:jc w:val="center"/>
              <w:rPr>
                <w:sz w:val="21"/>
                <w:szCs w:val="16"/>
                <w:u w:val="single"/>
              </w:rPr>
            </w:pPr>
          </w:p>
        </w:tc>
        <w:tc>
          <w:tcPr>
            <w:tcW w:w="322" w:type="pct"/>
            <w:vMerge w:val="continue"/>
            <w:vAlign w:val="center"/>
          </w:tcPr>
          <w:p>
            <w:pPr>
              <w:spacing w:line="240" w:lineRule="auto"/>
              <w:ind w:firstLine="0" w:firstLineChars="0"/>
              <w:jc w:val="center"/>
              <w:rPr>
                <w:sz w:val="21"/>
                <w:szCs w:val="16"/>
                <w:u w:val="single"/>
              </w:rPr>
            </w:pPr>
          </w:p>
        </w:tc>
        <w:tc>
          <w:tcPr>
            <w:tcW w:w="402" w:type="pct"/>
            <w:vMerge w:val="continue"/>
            <w:vAlign w:val="center"/>
          </w:tcPr>
          <w:p>
            <w:pPr>
              <w:spacing w:line="240" w:lineRule="auto"/>
              <w:ind w:firstLine="0" w:firstLineChars="0"/>
              <w:jc w:val="center"/>
              <w:rPr>
                <w:sz w:val="21"/>
                <w:szCs w:val="16"/>
                <w:u w:val="single"/>
              </w:rPr>
            </w:pPr>
          </w:p>
        </w:tc>
        <w:tc>
          <w:tcPr>
            <w:tcW w:w="482" w:type="pct"/>
            <w:vMerge w:val="continue"/>
            <w:vAlign w:val="center"/>
          </w:tcPr>
          <w:p>
            <w:pPr>
              <w:spacing w:line="240" w:lineRule="auto"/>
              <w:ind w:firstLine="0" w:firstLineChars="0"/>
              <w:jc w:val="center"/>
              <w:rPr>
                <w:sz w:val="21"/>
                <w:szCs w:val="16"/>
                <w:u w:val="single"/>
              </w:rPr>
            </w:pPr>
          </w:p>
        </w:tc>
        <w:tc>
          <w:tcPr>
            <w:tcW w:w="402" w:type="pct"/>
            <w:vMerge w:val="continue"/>
            <w:vAlign w:val="center"/>
          </w:tcPr>
          <w:p>
            <w:pPr>
              <w:spacing w:line="240" w:lineRule="auto"/>
              <w:ind w:firstLine="0" w:firstLineChars="0"/>
              <w:jc w:val="center"/>
              <w:rPr>
                <w:sz w:val="21"/>
                <w:szCs w:val="16"/>
                <w:u w:val="single"/>
              </w:rPr>
            </w:pPr>
          </w:p>
        </w:tc>
        <w:tc>
          <w:tcPr>
            <w:tcW w:w="402" w:type="pct"/>
            <w:vMerge w:val="continue"/>
            <w:vAlign w:val="center"/>
          </w:tcPr>
          <w:p>
            <w:pPr>
              <w:spacing w:line="240" w:lineRule="auto"/>
              <w:ind w:firstLine="0" w:firstLineChars="0"/>
              <w:jc w:val="center"/>
              <w:rPr>
                <w:sz w:val="21"/>
                <w:szCs w:val="16"/>
                <w:u w:val="single"/>
              </w:rPr>
            </w:pPr>
          </w:p>
        </w:tc>
        <w:tc>
          <w:tcPr>
            <w:tcW w:w="428" w:type="pct"/>
            <w:vAlign w:val="center"/>
          </w:tcPr>
          <w:p>
            <w:pPr>
              <w:spacing w:line="240" w:lineRule="auto"/>
              <w:ind w:firstLine="0" w:firstLineChars="0"/>
              <w:jc w:val="center"/>
              <w:rPr>
                <w:sz w:val="21"/>
                <w:szCs w:val="16"/>
                <w:u w:val="single"/>
              </w:rPr>
            </w:pPr>
            <w:r>
              <w:rPr>
                <w:sz w:val="21"/>
                <w:szCs w:val="16"/>
                <w:u w:val="single"/>
              </w:rPr>
              <w:t>颗粒物</w:t>
            </w:r>
          </w:p>
        </w:tc>
        <w:tc>
          <w:tcPr>
            <w:tcW w:w="376" w:type="pct"/>
          </w:tcPr>
          <w:p>
            <w:pPr>
              <w:spacing w:line="240" w:lineRule="auto"/>
              <w:ind w:firstLine="0" w:firstLineChars="0"/>
              <w:jc w:val="center"/>
              <w:rPr>
                <w:sz w:val="21"/>
                <w:szCs w:val="16"/>
                <w:u w:val="single"/>
              </w:rPr>
            </w:pPr>
            <w:r>
              <w:rPr>
                <w:rFonts w:hint="eastAsia"/>
                <w:sz w:val="21"/>
                <w:szCs w:val="16"/>
                <w:u w:val="single"/>
              </w:rPr>
              <w:t>V</w:t>
            </w:r>
            <w:r>
              <w:rPr>
                <w:sz w:val="21"/>
                <w:szCs w:val="16"/>
                <w:u w:val="single"/>
              </w:rPr>
              <w:t>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 w:type="pct"/>
            <w:vAlign w:val="center"/>
          </w:tcPr>
          <w:p>
            <w:pPr>
              <w:spacing w:line="240" w:lineRule="auto"/>
              <w:ind w:firstLine="0" w:firstLineChars="0"/>
              <w:jc w:val="center"/>
              <w:rPr>
                <w:sz w:val="21"/>
                <w:szCs w:val="16"/>
                <w:u w:val="single"/>
              </w:rPr>
            </w:pPr>
            <w:r>
              <w:rPr>
                <w:sz w:val="21"/>
                <w:szCs w:val="16"/>
                <w:u w:val="single"/>
              </w:rPr>
              <w:t>MY1</w:t>
            </w:r>
          </w:p>
        </w:tc>
        <w:tc>
          <w:tcPr>
            <w:tcW w:w="562"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w:t>
            </w:r>
            <w:r>
              <w:rPr>
                <w:rFonts w:hint="eastAsia"/>
                <w:sz w:val="21"/>
                <w:szCs w:val="16"/>
                <w:u w:val="single"/>
              </w:rPr>
              <w:t>原矿堆场</w:t>
            </w:r>
          </w:p>
        </w:tc>
        <w:tc>
          <w:tcPr>
            <w:tcW w:w="35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72</w:t>
            </w:r>
          </w:p>
        </w:tc>
        <w:tc>
          <w:tcPr>
            <w:tcW w:w="296"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79</w:t>
            </w:r>
          </w:p>
        </w:tc>
        <w:tc>
          <w:tcPr>
            <w:tcW w:w="402" w:type="pct"/>
            <w:vAlign w:val="center"/>
          </w:tcPr>
          <w:p>
            <w:pPr>
              <w:spacing w:line="240" w:lineRule="auto"/>
              <w:ind w:firstLine="0" w:firstLineChars="0"/>
              <w:jc w:val="center"/>
              <w:rPr>
                <w:sz w:val="21"/>
                <w:szCs w:val="16"/>
                <w:u w:val="single"/>
              </w:rPr>
            </w:pPr>
            <w:r>
              <w:rPr>
                <w:sz w:val="21"/>
                <w:szCs w:val="16"/>
                <w:u w:val="single"/>
              </w:rPr>
              <w:t>111</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31.5</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c>
          <w:tcPr>
            <w:tcW w:w="402" w:type="pct"/>
            <w:vAlign w:val="center"/>
          </w:tcPr>
          <w:p>
            <w:pPr>
              <w:spacing w:line="240" w:lineRule="auto"/>
              <w:ind w:firstLine="0" w:firstLineChars="0"/>
              <w:jc w:val="center"/>
              <w:rPr>
                <w:sz w:val="21"/>
                <w:szCs w:val="16"/>
                <w:u w:val="single"/>
              </w:rPr>
            </w:pPr>
            <w:r>
              <w:rPr>
                <w:sz w:val="21"/>
                <w:szCs w:val="16"/>
                <w:u w:val="single"/>
              </w:rPr>
              <w:t>90</w:t>
            </w:r>
          </w:p>
        </w:tc>
        <w:tc>
          <w:tcPr>
            <w:tcW w:w="482" w:type="pct"/>
            <w:vAlign w:val="center"/>
          </w:tcPr>
          <w:p>
            <w:pPr>
              <w:spacing w:line="240" w:lineRule="auto"/>
              <w:ind w:firstLine="0" w:firstLineChars="0"/>
              <w:jc w:val="center"/>
              <w:rPr>
                <w:sz w:val="21"/>
                <w:szCs w:val="16"/>
                <w:u w:val="single"/>
              </w:rPr>
            </w:pPr>
            <w:r>
              <w:rPr>
                <w:sz w:val="21"/>
                <w:szCs w:val="16"/>
                <w:u w:val="single"/>
              </w:rPr>
              <w:t>15</w:t>
            </w:r>
          </w:p>
        </w:tc>
        <w:tc>
          <w:tcPr>
            <w:tcW w:w="402" w:type="pct"/>
          </w:tcPr>
          <w:p>
            <w:pPr>
              <w:spacing w:line="240" w:lineRule="auto"/>
              <w:ind w:firstLine="0" w:firstLineChars="0"/>
              <w:jc w:val="center"/>
              <w:rPr>
                <w:sz w:val="21"/>
                <w:szCs w:val="16"/>
                <w:u w:val="single"/>
              </w:rPr>
            </w:pPr>
            <w:r>
              <w:rPr>
                <w:rFonts w:hint="eastAsia" w:cs="Times New Roman"/>
                <w:sz w:val="21"/>
                <w:u w:val="single"/>
              </w:rPr>
              <w:t>7</w:t>
            </w:r>
            <w:r>
              <w:rPr>
                <w:rFonts w:cs="Times New Roman"/>
                <w:sz w:val="21"/>
                <w:u w:val="single"/>
              </w:rPr>
              <w:t>920</w:t>
            </w:r>
          </w:p>
        </w:tc>
        <w:tc>
          <w:tcPr>
            <w:tcW w:w="402" w:type="pct"/>
            <w:vAlign w:val="center"/>
          </w:tcPr>
          <w:p>
            <w:pPr>
              <w:spacing w:line="240" w:lineRule="auto"/>
              <w:ind w:firstLine="0" w:firstLineChars="0"/>
              <w:jc w:val="center"/>
              <w:rPr>
                <w:sz w:val="21"/>
                <w:szCs w:val="16"/>
                <w:u w:val="single"/>
              </w:rPr>
            </w:pPr>
            <w:r>
              <w:rPr>
                <w:sz w:val="21"/>
                <w:szCs w:val="16"/>
                <w:u w:val="single"/>
              </w:rPr>
              <w:t>正常工况</w:t>
            </w:r>
          </w:p>
        </w:tc>
        <w:tc>
          <w:tcPr>
            <w:tcW w:w="428"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.14</w:t>
            </w:r>
          </w:p>
        </w:tc>
        <w:tc>
          <w:tcPr>
            <w:tcW w:w="376" w:type="pct"/>
          </w:tcPr>
          <w:p>
            <w:pPr>
              <w:spacing w:line="240" w:lineRule="auto"/>
              <w:ind w:firstLine="0" w:firstLineChars="0"/>
              <w:jc w:val="center"/>
              <w:rPr>
                <w:sz w:val="21"/>
                <w:szCs w:val="16"/>
                <w:u w:val="single"/>
              </w:rPr>
            </w:pP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 w:type="pct"/>
            <w:vAlign w:val="center"/>
          </w:tcPr>
          <w:p>
            <w:pPr>
              <w:spacing w:line="240" w:lineRule="auto"/>
              <w:ind w:firstLine="0" w:firstLineChars="0"/>
              <w:jc w:val="center"/>
              <w:rPr>
                <w:sz w:val="21"/>
                <w:szCs w:val="16"/>
                <w:u w:val="single"/>
              </w:rPr>
            </w:pPr>
            <w:r>
              <w:rPr>
                <w:sz w:val="21"/>
                <w:szCs w:val="16"/>
                <w:u w:val="single"/>
              </w:rPr>
              <w:t>MY2</w:t>
            </w:r>
          </w:p>
        </w:tc>
        <w:tc>
          <w:tcPr>
            <w:tcW w:w="562" w:type="pct"/>
            <w:vAlign w:val="center"/>
          </w:tcPr>
          <w:p>
            <w:pPr>
              <w:spacing w:line="240" w:lineRule="auto"/>
              <w:ind w:firstLine="0" w:firstLineChars="0"/>
              <w:jc w:val="center"/>
              <w:rPr>
                <w:sz w:val="21"/>
                <w:szCs w:val="16"/>
                <w:u w:val="single"/>
              </w:rPr>
            </w:pPr>
            <w:r>
              <w:rPr>
                <w:rFonts w:hint="eastAsia"/>
                <w:sz w:val="21"/>
                <w:szCs w:val="16"/>
                <w:u w:val="single"/>
              </w:rPr>
              <w:t>4#原矿堆场</w:t>
            </w:r>
          </w:p>
        </w:tc>
        <w:tc>
          <w:tcPr>
            <w:tcW w:w="352"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43</w:t>
            </w:r>
          </w:p>
        </w:tc>
        <w:tc>
          <w:tcPr>
            <w:tcW w:w="296"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88</w:t>
            </w:r>
          </w:p>
        </w:tc>
        <w:tc>
          <w:tcPr>
            <w:tcW w:w="402" w:type="pct"/>
            <w:vAlign w:val="center"/>
          </w:tcPr>
          <w:p>
            <w:pPr>
              <w:spacing w:line="240" w:lineRule="auto"/>
              <w:ind w:firstLine="0" w:firstLineChars="0"/>
              <w:jc w:val="center"/>
              <w:rPr>
                <w:sz w:val="21"/>
                <w:szCs w:val="16"/>
                <w:u w:val="single"/>
              </w:rPr>
            </w:pPr>
            <w:r>
              <w:rPr>
                <w:sz w:val="21"/>
                <w:szCs w:val="16"/>
                <w:u w:val="single"/>
              </w:rPr>
              <w:t>111</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31.5</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26</w:t>
            </w:r>
          </w:p>
        </w:tc>
        <w:tc>
          <w:tcPr>
            <w:tcW w:w="402" w:type="pct"/>
            <w:vAlign w:val="center"/>
          </w:tcPr>
          <w:p>
            <w:pPr>
              <w:spacing w:line="240" w:lineRule="auto"/>
              <w:ind w:firstLine="0" w:firstLineChars="0"/>
              <w:jc w:val="center"/>
              <w:rPr>
                <w:sz w:val="21"/>
                <w:szCs w:val="16"/>
                <w:u w:val="single"/>
              </w:rPr>
            </w:pPr>
            <w:r>
              <w:rPr>
                <w:sz w:val="21"/>
                <w:szCs w:val="16"/>
                <w:u w:val="single"/>
              </w:rPr>
              <w:t>90</w:t>
            </w:r>
          </w:p>
        </w:tc>
        <w:tc>
          <w:tcPr>
            <w:tcW w:w="482" w:type="pct"/>
            <w:vAlign w:val="center"/>
          </w:tcPr>
          <w:p>
            <w:pPr>
              <w:spacing w:line="240" w:lineRule="auto"/>
              <w:ind w:firstLine="0" w:firstLineChars="0"/>
              <w:jc w:val="center"/>
              <w:rPr>
                <w:sz w:val="21"/>
                <w:szCs w:val="16"/>
                <w:u w:val="single"/>
              </w:rPr>
            </w:pPr>
            <w:r>
              <w:rPr>
                <w:sz w:val="21"/>
                <w:szCs w:val="16"/>
                <w:u w:val="single"/>
              </w:rPr>
              <w:t>15</w:t>
            </w:r>
          </w:p>
        </w:tc>
        <w:tc>
          <w:tcPr>
            <w:tcW w:w="402" w:type="pct"/>
          </w:tcPr>
          <w:p>
            <w:pPr>
              <w:spacing w:line="240" w:lineRule="auto"/>
              <w:ind w:firstLine="0" w:firstLineChars="0"/>
              <w:jc w:val="center"/>
              <w:rPr>
                <w:sz w:val="21"/>
                <w:szCs w:val="16"/>
                <w:u w:val="single"/>
              </w:rPr>
            </w:pPr>
            <w:r>
              <w:rPr>
                <w:rFonts w:hint="eastAsia" w:cs="Times New Roman"/>
                <w:sz w:val="21"/>
                <w:u w:val="single"/>
              </w:rPr>
              <w:t>7</w:t>
            </w:r>
            <w:r>
              <w:rPr>
                <w:rFonts w:cs="Times New Roman"/>
                <w:sz w:val="21"/>
                <w:u w:val="single"/>
              </w:rPr>
              <w:t>920</w:t>
            </w:r>
          </w:p>
        </w:tc>
        <w:tc>
          <w:tcPr>
            <w:tcW w:w="402" w:type="pct"/>
            <w:vAlign w:val="center"/>
          </w:tcPr>
          <w:p>
            <w:pPr>
              <w:spacing w:line="240" w:lineRule="auto"/>
              <w:ind w:firstLine="0" w:firstLineChars="0"/>
              <w:jc w:val="center"/>
              <w:rPr>
                <w:sz w:val="21"/>
                <w:szCs w:val="16"/>
                <w:u w:val="single"/>
              </w:rPr>
            </w:pPr>
            <w:r>
              <w:rPr>
                <w:sz w:val="21"/>
                <w:szCs w:val="16"/>
                <w:u w:val="single"/>
              </w:rPr>
              <w:t>正常工况</w:t>
            </w:r>
          </w:p>
        </w:tc>
        <w:tc>
          <w:tcPr>
            <w:tcW w:w="428"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.08</w:t>
            </w:r>
          </w:p>
        </w:tc>
        <w:tc>
          <w:tcPr>
            <w:tcW w:w="376" w:type="pct"/>
          </w:tcPr>
          <w:p>
            <w:pPr>
              <w:spacing w:line="240" w:lineRule="auto"/>
              <w:ind w:firstLine="0" w:firstLineChars="0"/>
              <w:jc w:val="center"/>
              <w:rPr>
                <w:sz w:val="21"/>
                <w:szCs w:val="16"/>
                <w:u w:val="single"/>
              </w:rPr>
            </w:pP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 w:type="pct"/>
            <w:vAlign w:val="center"/>
          </w:tcPr>
          <w:p>
            <w:pPr>
              <w:spacing w:line="240" w:lineRule="auto"/>
              <w:ind w:firstLine="0" w:firstLineChars="0"/>
              <w:jc w:val="center"/>
              <w:rPr>
                <w:sz w:val="21"/>
                <w:szCs w:val="16"/>
                <w:u w:val="single"/>
              </w:rPr>
            </w:pPr>
            <w:r>
              <w:rPr>
                <w:sz w:val="21"/>
                <w:szCs w:val="16"/>
                <w:u w:val="single"/>
              </w:rPr>
              <w:t>MY3</w:t>
            </w:r>
          </w:p>
        </w:tc>
        <w:tc>
          <w:tcPr>
            <w:tcW w:w="562" w:type="pct"/>
            <w:vAlign w:val="center"/>
          </w:tcPr>
          <w:p>
            <w:pPr>
              <w:spacing w:line="240" w:lineRule="auto"/>
              <w:ind w:firstLine="0" w:firstLineChars="0"/>
              <w:jc w:val="center"/>
              <w:rPr>
                <w:sz w:val="21"/>
                <w:szCs w:val="16"/>
                <w:u w:val="single"/>
              </w:rPr>
            </w:pPr>
            <w:r>
              <w:rPr>
                <w:rFonts w:hint="eastAsia"/>
                <w:sz w:val="21"/>
                <w:szCs w:val="16"/>
                <w:u w:val="single"/>
              </w:rPr>
              <w:t>1#原矿堆场</w:t>
            </w:r>
          </w:p>
        </w:tc>
        <w:tc>
          <w:tcPr>
            <w:tcW w:w="352"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84</w:t>
            </w:r>
          </w:p>
        </w:tc>
        <w:tc>
          <w:tcPr>
            <w:tcW w:w="296"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226</w:t>
            </w:r>
          </w:p>
        </w:tc>
        <w:tc>
          <w:tcPr>
            <w:tcW w:w="402" w:type="pct"/>
            <w:vAlign w:val="center"/>
          </w:tcPr>
          <w:p>
            <w:pPr>
              <w:spacing w:line="240" w:lineRule="auto"/>
              <w:ind w:firstLine="0" w:firstLineChars="0"/>
              <w:jc w:val="center"/>
              <w:rPr>
                <w:sz w:val="21"/>
                <w:szCs w:val="16"/>
                <w:u w:val="single"/>
              </w:rPr>
            </w:pPr>
            <w:r>
              <w:rPr>
                <w:sz w:val="21"/>
                <w:szCs w:val="16"/>
                <w:u w:val="single"/>
              </w:rPr>
              <w:t>111</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40.5</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c>
          <w:tcPr>
            <w:tcW w:w="402" w:type="pct"/>
            <w:vAlign w:val="center"/>
          </w:tcPr>
          <w:p>
            <w:pPr>
              <w:spacing w:line="240" w:lineRule="auto"/>
              <w:ind w:firstLine="0" w:firstLineChars="0"/>
              <w:jc w:val="center"/>
              <w:rPr>
                <w:sz w:val="21"/>
                <w:szCs w:val="16"/>
                <w:u w:val="single"/>
              </w:rPr>
            </w:pPr>
            <w:r>
              <w:rPr>
                <w:sz w:val="21"/>
                <w:szCs w:val="16"/>
                <w:u w:val="single"/>
              </w:rPr>
              <w:t>90</w:t>
            </w:r>
          </w:p>
        </w:tc>
        <w:tc>
          <w:tcPr>
            <w:tcW w:w="482" w:type="pct"/>
            <w:vAlign w:val="center"/>
          </w:tcPr>
          <w:p>
            <w:pPr>
              <w:spacing w:line="240" w:lineRule="auto"/>
              <w:ind w:firstLine="0" w:firstLineChars="0"/>
              <w:jc w:val="center"/>
              <w:rPr>
                <w:sz w:val="21"/>
                <w:szCs w:val="16"/>
                <w:u w:val="single"/>
              </w:rPr>
            </w:pPr>
            <w:r>
              <w:rPr>
                <w:sz w:val="21"/>
                <w:szCs w:val="16"/>
                <w:u w:val="single"/>
              </w:rPr>
              <w:t>15</w:t>
            </w:r>
          </w:p>
        </w:tc>
        <w:tc>
          <w:tcPr>
            <w:tcW w:w="402" w:type="pct"/>
          </w:tcPr>
          <w:p>
            <w:pPr>
              <w:spacing w:line="240" w:lineRule="auto"/>
              <w:ind w:firstLine="0" w:firstLineChars="0"/>
              <w:jc w:val="center"/>
              <w:rPr>
                <w:sz w:val="21"/>
                <w:szCs w:val="16"/>
                <w:u w:val="single"/>
              </w:rPr>
            </w:pPr>
            <w:r>
              <w:rPr>
                <w:rFonts w:hint="eastAsia" w:cs="Times New Roman"/>
                <w:sz w:val="21"/>
                <w:u w:val="single"/>
              </w:rPr>
              <w:t>7</w:t>
            </w:r>
            <w:r>
              <w:rPr>
                <w:rFonts w:cs="Times New Roman"/>
                <w:sz w:val="21"/>
                <w:u w:val="single"/>
              </w:rPr>
              <w:t>920</w:t>
            </w:r>
          </w:p>
        </w:tc>
        <w:tc>
          <w:tcPr>
            <w:tcW w:w="402" w:type="pct"/>
            <w:vAlign w:val="center"/>
          </w:tcPr>
          <w:p>
            <w:pPr>
              <w:spacing w:line="240" w:lineRule="auto"/>
              <w:ind w:firstLine="0" w:firstLineChars="0"/>
              <w:jc w:val="center"/>
              <w:rPr>
                <w:sz w:val="21"/>
                <w:szCs w:val="16"/>
                <w:u w:val="single"/>
              </w:rPr>
            </w:pPr>
            <w:r>
              <w:rPr>
                <w:sz w:val="21"/>
                <w:szCs w:val="16"/>
                <w:u w:val="single"/>
              </w:rPr>
              <w:t>正常工况</w:t>
            </w:r>
          </w:p>
        </w:tc>
        <w:tc>
          <w:tcPr>
            <w:tcW w:w="428"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.08</w:t>
            </w:r>
          </w:p>
        </w:tc>
        <w:tc>
          <w:tcPr>
            <w:tcW w:w="376" w:type="pct"/>
          </w:tcPr>
          <w:p>
            <w:pPr>
              <w:spacing w:line="240" w:lineRule="auto"/>
              <w:ind w:firstLine="0" w:firstLineChars="0"/>
              <w:jc w:val="center"/>
              <w:rPr>
                <w:sz w:val="21"/>
                <w:szCs w:val="16"/>
                <w:u w:val="single"/>
              </w:rPr>
            </w:pP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 w:type="pct"/>
            <w:vAlign w:val="center"/>
          </w:tcPr>
          <w:p>
            <w:pPr>
              <w:spacing w:line="240" w:lineRule="auto"/>
              <w:ind w:firstLine="0" w:firstLineChars="0"/>
              <w:jc w:val="center"/>
              <w:rPr>
                <w:sz w:val="21"/>
                <w:szCs w:val="16"/>
                <w:u w:val="single"/>
              </w:rPr>
            </w:pPr>
            <w:r>
              <w:rPr>
                <w:sz w:val="21"/>
                <w:szCs w:val="16"/>
                <w:u w:val="single"/>
              </w:rPr>
              <w:t>MY4</w:t>
            </w:r>
          </w:p>
        </w:tc>
        <w:tc>
          <w:tcPr>
            <w:tcW w:w="562" w:type="pct"/>
            <w:vAlign w:val="center"/>
          </w:tcPr>
          <w:p>
            <w:pPr>
              <w:spacing w:line="240" w:lineRule="auto"/>
              <w:ind w:firstLine="0" w:firstLineChars="0"/>
              <w:jc w:val="center"/>
              <w:rPr>
                <w:sz w:val="21"/>
                <w:szCs w:val="16"/>
                <w:u w:val="single"/>
              </w:rPr>
            </w:pPr>
            <w:r>
              <w:rPr>
                <w:rFonts w:hint="eastAsia"/>
                <w:sz w:val="21"/>
                <w:szCs w:val="16"/>
                <w:u w:val="single"/>
              </w:rPr>
              <w:t>2#原矿堆场</w:t>
            </w:r>
          </w:p>
        </w:tc>
        <w:tc>
          <w:tcPr>
            <w:tcW w:w="352"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65</w:t>
            </w:r>
          </w:p>
        </w:tc>
        <w:tc>
          <w:tcPr>
            <w:tcW w:w="296"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224</w:t>
            </w:r>
          </w:p>
        </w:tc>
        <w:tc>
          <w:tcPr>
            <w:tcW w:w="402" w:type="pct"/>
            <w:vAlign w:val="center"/>
          </w:tcPr>
          <w:p>
            <w:pPr>
              <w:spacing w:line="240" w:lineRule="auto"/>
              <w:ind w:firstLine="0" w:firstLineChars="0"/>
              <w:jc w:val="center"/>
              <w:rPr>
                <w:sz w:val="21"/>
                <w:szCs w:val="16"/>
                <w:u w:val="single"/>
              </w:rPr>
            </w:pPr>
            <w:r>
              <w:rPr>
                <w:sz w:val="21"/>
                <w:szCs w:val="16"/>
                <w:u w:val="single"/>
              </w:rPr>
              <w:t>111</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40.5</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c>
          <w:tcPr>
            <w:tcW w:w="402" w:type="pct"/>
            <w:vAlign w:val="center"/>
          </w:tcPr>
          <w:p>
            <w:pPr>
              <w:spacing w:line="240" w:lineRule="auto"/>
              <w:ind w:firstLine="0" w:firstLineChars="0"/>
              <w:jc w:val="center"/>
              <w:rPr>
                <w:sz w:val="21"/>
                <w:szCs w:val="16"/>
                <w:u w:val="single"/>
              </w:rPr>
            </w:pPr>
            <w:r>
              <w:rPr>
                <w:sz w:val="21"/>
                <w:szCs w:val="16"/>
                <w:u w:val="single"/>
              </w:rPr>
              <w:t>90</w:t>
            </w:r>
          </w:p>
        </w:tc>
        <w:tc>
          <w:tcPr>
            <w:tcW w:w="482" w:type="pct"/>
            <w:vAlign w:val="center"/>
          </w:tcPr>
          <w:p>
            <w:pPr>
              <w:spacing w:line="240" w:lineRule="auto"/>
              <w:ind w:firstLine="0" w:firstLineChars="0"/>
              <w:jc w:val="center"/>
              <w:rPr>
                <w:sz w:val="21"/>
                <w:szCs w:val="16"/>
                <w:u w:val="single"/>
              </w:rPr>
            </w:pPr>
            <w:r>
              <w:rPr>
                <w:sz w:val="21"/>
                <w:szCs w:val="16"/>
                <w:u w:val="single"/>
              </w:rPr>
              <w:t>15</w:t>
            </w:r>
          </w:p>
        </w:tc>
        <w:tc>
          <w:tcPr>
            <w:tcW w:w="402" w:type="pct"/>
          </w:tcPr>
          <w:p>
            <w:pPr>
              <w:spacing w:line="240" w:lineRule="auto"/>
              <w:ind w:firstLine="0" w:firstLineChars="0"/>
              <w:jc w:val="center"/>
              <w:rPr>
                <w:sz w:val="21"/>
                <w:szCs w:val="16"/>
                <w:u w:val="single"/>
              </w:rPr>
            </w:pPr>
            <w:r>
              <w:rPr>
                <w:rFonts w:hint="eastAsia" w:cs="Times New Roman"/>
                <w:sz w:val="21"/>
                <w:u w:val="single"/>
              </w:rPr>
              <w:t>7</w:t>
            </w:r>
            <w:r>
              <w:rPr>
                <w:rFonts w:cs="Times New Roman"/>
                <w:sz w:val="21"/>
                <w:u w:val="single"/>
              </w:rPr>
              <w:t>920</w:t>
            </w:r>
          </w:p>
        </w:tc>
        <w:tc>
          <w:tcPr>
            <w:tcW w:w="402" w:type="pct"/>
            <w:vAlign w:val="center"/>
          </w:tcPr>
          <w:p>
            <w:pPr>
              <w:spacing w:line="240" w:lineRule="auto"/>
              <w:ind w:firstLine="0" w:firstLineChars="0"/>
              <w:jc w:val="center"/>
              <w:rPr>
                <w:sz w:val="21"/>
                <w:szCs w:val="16"/>
                <w:u w:val="single"/>
              </w:rPr>
            </w:pPr>
            <w:r>
              <w:rPr>
                <w:sz w:val="21"/>
                <w:szCs w:val="16"/>
                <w:u w:val="single"/>
              </w:rPr>
              <w:t>正常工况</w:t>
            </w:r>
          </w:p>
        </w:tc>
        <w:tc>
          <w:tcPr>
            <w:tcW w:w="428"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.08</w:t>
            </w:r>
          </w:p>
        </w:tc>
        <w:tc>
          <w:tcPr>
            <w:tcW w:w="376" w:type="pct"/>
          </w:tcPr>
          <w:p>
            <w:pPr>
              <w:spacing w:line="240" w:lineRule="auto"/>
              <w:ind w:firstLine="0" w:firstLineChars="0"/>
              <w:jc w:val="center"/>
              <w:rPr>
                <w:sz w:val="21"/>
                <w:szCs w:val="16"/>
                <w:u w:val="single"/>
              </w:rPr>
            </w:pP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 w:type="pct"/>
            <w:vAlign w:val="center"/>
          </w:tcPr>
          <w:p>
            <w:pPr>
              <w:spacing w:line="240" w:lineRule="auto"/>
              <w:ind w:firstLine="0" w:firstLineChars="0"/>
              <w:jc w:val="center"/>
              <w:rPr>
                <w:sz w:val="21"/>
                <w:szCs w:val="16"/>
                <w:u w:val="single"/>
              </w:rPr>
            </w:pPr>
            <w:r>
              <w:rPr>
                <w:sz w:val="21"/>
                <w:szCs w:val="16"/>
                <w:u w:val="single"/>
              </w:rPr>
              <w:t>MY5</w:t>
            </w:r>
          </w:p>
        </w:tc>
        <w:tc>
          <w:tcPr>
            <w:tcW w:w="562" w:type="pct"/>
            <w:vAlign w:val="center"/>
          </w:tcPr>
          <w:p>
            <w:pPr>
              <w:spacing w:line="240" w:lineRule="auto"/>
              <w:ind w:firstLine="0" w:firstLineChars="0"/>
              <w:jc w:val="center"/>
              <w:rPr>
                <w:sz w:val="21"/>
                <w:szCs w:val="16"/>
                <w:u w:val="single"/>
              </w:rPr>
            </w:pPr>
            <w:r>
              <w:rPr>
                <w:sz w:val="21"/>
                <w:szCs w:val="16"/>
                <w:u w:val="single"/>
              </w:rPr>
              <w:t>1#</w:t>
            </w:r>
            <w:r>
              <w:rPr>
                <w:rFonts w:hint="eastAsia"/>
                <w:sz w:val="21"/>
                <w:szCs w:val="16"/>
                <w:u w:val="single"/>
              </w:rPr>
              <w:t>成型车间</w:t>
            </w:r>
          </w:p>
        </w:tc>
        <w:tc>
          <w:tcPr>
            <w:tcW w:w="352"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39</w:t>
            </w:r>
          </w:p>
        </w:tc>
        <w:tc>
          <w:tcPr>
            <w:tcW w:w="296"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231</w:t>
            </w:r>
          </w:p>
        </w:tc>
        <w:tc>
          <w:tcPr>
            <w:tcW w:w="402" w:type="pct"/>
            <w:vAlign w:val="center"/>
          </w:tcPr>
          <w:p>
            <w:pPr>
              <w:spacing w:line="240" w:lineRule="auto"/>
              <w:ind w:firstLine="0" w:firstLineChars="0"/>
              <w:jc w:val="center"/>
              <w:rPr>
                <w:sz w:val="21"/>
                <w:szCs w:val="16"/>
                <w:u w:val="single"/>
              </w:rPr>
            </w:pPr>
            <w:r>
              <w:rPr>
                <w:sz w:val="21"/>
                <w:szCs w:val="16"/>
                <w:u w:val="single"/>
              </w:rPr>
              <w:t>111</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7</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3</w:t>
            </w:r>
          </w:p>
        </w:tc>
        <w:tc>
          <w:tcPr>
            <w:tcW w:w="402" w:type="pct"/>
            <w:vAlign w:val="center"/>
          </w:tcPr>
          <w:p>
            <w:pPr>
              <w:spacing w:line="240" w:lineRule="auto"/>
              <w:ind w:firstLine="0" w:firstLineChars="0"/>
              <w:jc w:val="center"/>
              <w:rPr>
                <w:sz w:val="21"/>
                <w:szCs w:val="16"/>
                <w:u w:val="single"/>
              </w:rPr>
            </w:pPr>
            <w:r>
              <w:rPr>
                <w:sz w:val="21"/>
                <w:szCs w:val="16"/>
                <w:u w:val="single"/>
              </w:rPr>
              <w:t>0</w:t>
            </w:r>
          </w:p>
        </w:tc>
        <w:tc>
          <w:tcPr>
            <w:tcW w:w="482" w:type="pct"/>
            <w:vAlign w:val="center"/>
          </w:tcPr>
          <w:p>
            <w:pPr>
              <w:spacing w:line="240" w:lineRule="auto"/>
              <w:ind w:firstLine="0" w:firstLineChars="0"/>
              <w:jc w:val="center"/>
              <w:rPr>
                <w:sz w:val="21"/>
                <w:szCs w:val="16"/>
                <w:u w:val="single"/>
              </w:rPr>
            </w:pPr>
            <w:r>
              <w:rPr>
                <w:sz w:val="21"/>
                <w:szCs w:val="16"/>
                <w:u w:val="single"/>
              </w:rPr>
              <w:t>15</w:t>
            </w:r>
          </w:p>
        </w:tc>
        <w:tc>
          <w:tcPr>
            <w:tcW w:w="402" w:type="pct"/>
            <w:vAlign w:val="center"/>
          </w:tcPr>
          <w:p>
            <w:pPr>
              <w:spacing w:line="240" w:lineRule="auto"/>
              <w:ind w:firstLine="0" w:firstLineChars="0"/>
              <w:jc w:val="center"/>
              <w:rPr>
                <w:sz w:val="21"/>
                <w:szCs w:val="16"/>
                <w:u w:val="single"/>
              </w:rPr>
            </w:pPr>
            <w:r>
              <w:rPr>
                <w:sz w:val="21"/>
                <w:szCs w:val="16"/>
                <w:u w:val="single"/>
              </w:rPr>
              <w:t>7920</w:t>
            </w:r>
          </w:p>
        </w:tc>
        <w:tc>
          <w:tcPr>
            <w:tcW w:w="402" w:type="pct"/>
            <w:vAlign w:val="center"/>
          </w:tcPr>
          <w:p>
            <w:pPr>
              <w:spacing w:line="240" w:lineRule="auto"/>
              <w:ind w:firstLine="0" w:firstLineChars="0"/>
              <w:jc w:val="center"/>
              <w:rPr>
                <w:sz w:val="21"/>
                <w:szCs w:val="16"/>
                <w:u w:val="single"/>
              </w:rPr>
            </w:pPr>
            <w:r>
              <w:rPr>
                <w:sz w:val="21"/>
                <w:szCs w:val="16"/>
                <w:u w:val="single"/>
              </w:rPr>
              <w:t>正常工况</w:t>
            </w:r>
          </w:p>
        </w:tc>
        <w:tc>
          <w:tcPr>
            <w:tcW w:w="428"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.01</w:t>
            </w:r>
          </w:p>
        </w:tc>
        <w:tc>
          <w:tcPr>
            <w:tcW w:w="376" w:type="pct"/>
          </w:tcPr>
          <w:p>
            <w:pPr>
              <w:spacing w:line="240" w:lineRule="auto"/>
              <w:ind w:firstLine="0" w:firstLineChars="0"/>
              <w:jc w:val="center"/>
              <w:rPr>
                <w:sz w:val="21"/>
                <w:szCs w:val="16"/>
                <w:u w:val="single"/>
              </w:rPr>
            </w:pP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 w:type="pct"/>
            <w:vAlign w:val="center"/>
          </w:tcPr>
          <w:p>
            <w:pPr>
              <w:spacing w:line="240" w:lineRule="auto"/>
              <w:ind w:firstLine="0" w:firstLineChars="0"/>
              <w:jc w:val="center"/>
              <w:rPr>
                <w:sz w:val="21"/>
                <w:szCs w:val="16"/>
                <w:u w:val="single"/>
              </w:rPr>
            </w:pPr>
            <w:r>
              <w:rPr>
                <w:rFonts w:hint="eastAsia"/>
                <w:sz w:val="21"/>
                <w:szCs w:val="16"/>
                <w:u w:val="single"/>
              </w:rPr>
              <w:t>MY</w:t>
            </w:r>
            <w:r>
              <w:rPr>
                <w:sz w:val="21"/>
                <w:szCs w:val="16"/>
                <w:u w:val="single"/>
              </w:rPr>
              <w:t>6</w:t>
            </w:r>
          </w:p>
        </w:tc>
        <w:tc>
          <w:tcPr>
            <w:tcW w:w="562" w:type="pct"/>
            <w:vAlign w:val="center"/>
          </w:tcPr>
          <w:p>
            <w:pPr>
              <w:spacing w:line="240" w:lineRule="auto"/>
              <w:ind w:firstLine="0" w:firstLineChars="0"/>
              <w:jc w:val="center"/>
              <w:rPr>
                <w:sz w:val="21"/>
                <w:szCs w:val="16"/>
                <w:u w:val="single"/>
              </w:rPr>
            </w:pPr>
            <w:r>
              <w:rPr>
                <w:rFonts w:hint="eastAsia"/>
                <w:sz w:val="21"/>
                <w:szCs w:val="16"/>
                <w:u w:val="single"/>
              </w:rPr>
              <w:t>2#成型车间</w:t>
            </w:r>
          </w:p>
        </w:tc>
        <w:tc>
          <w:tcPr>
            <w:tcW w:w="352"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30</w:t>
            </w:r>
          </w:p>
        </w:tc>
        <w:tc>
          <w:tcPr>
            <w:tcW w:w="296" w:type="pct"/>
            <w:vAlign w:val="center"/>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9</w:t>
            </w:r>
          </w:p>
        </w:tc>
        <w:tc>
          <w:tcPr>
            <w:tcW w:w="402" w:type="pct"/>
          </w:tcPr>
          <w:p>
            <w:pPr>
              <w:spacing w:line="240" w:lineRule="auto"/>
              <w:ind w:firstLine="0" w:firstLineChars="0"/>
              <w:jc w:val="center"/>
              <w:rPr>
                <w:sz w:val="21"/>
                <w:szCs w:val="16"/>
                <w:u w:val="single"/>
              </w:rPr>
            </w:pPr>
            <w:r>
              <w:rPr>
                <w:sz w:val="21"/>
                <w:szCs w:val="16"/>
                <w:u w:val="single"/>
              </w:rPr>
              <w:t>111</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5</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2</w:t>
            </w:r>
          </w:p>
        </w:tc>
        <w:tc>
          <w:tcPr>
            <w:tcW w:w="402" w:type="pct"/>
            <w:vAlign w:val="center"/>
          </w:tcPr>
          <w:p>
            <w:pPr>
              <w:spacing w:line="240" w:lineRule="auto"/>
              <w:ind w:firstLine="0" w:firstLineChars="0"/>
              <w:jc w:val="center"/>
              <w:rPr>
                <w:sz w:val="21"/>
                <w:szCs w:val="16"/>
                <w:u w:val="single"/>
              </w:rPr>
            </w:pPr>
            <w:r>
              <w:rPr>
                <w:sz w:val="21"/>
                <w:szCs w:val="16"/>
                <w:u w:val="single"/>
              </w:rPr>
              <w:t>0</w:t>
            </w:r>
          </w:p>
        </w:tc>
        <w:tc>
          <w:tcPr>
            <w:tcW w:w="482" w:type="pct"/>
            <w:vAlign w:val="center"/>
          </w:tcPr>
          <w:p>
            <w:pPr>
              <w:spacing w:line="240" w:lineRule="auto"/>
              <w:ind w:firstLine="0" w:firstLineChars="0"/>
              <w:jc w:val="center"/>
              <w:rPr>
                <w:sz w:val="21"/>
                <w:szCs w:val="16"/>
                <w:u w:val="single"/>
              </w:rPr>
            </w:pPr>
            <w:r>
              <w:rPr>
                <w:sz w:val="21"/>
                <w:szCs w:val="16"/>
                <w:u w:val="single"/>
              </w:rPr>
              <w:t>15</w:t>
            </w:r>
          </w:p>
        </w:tc>
        <w:tc>
          <w:tcPr>
            <w:tcW w:w="402" w:type="pct"/>
            <w:vAlign w:val="center"/>
          </w:tcPr>
          <w:p>
            <w:pPr>
              <w:spacing w:line="240" w:lineRule="auto"/>
              <w:ind w:firstLine="0" w:firstLineChars="0"/>
              <w:jc w:val="center"/>
              <w:rPr>
                <w:sz w:val="21"/>
                <w:szCs w:val="16"/>
                <w:u w:val="single"/>
              </w:rPr>
            </w:pPr>
            <w:r>
              <w:rPr>
                <w:sz w:val="21"/>
                <w:szCs w:val="16"/>
                <w:u w:val="single"/>
              </w:rPr>
              <w:t>7920</w:t>
            </w:r>
          </w:p>
        </w:tc>
        <w:tc>
          <w:tcPr>
            <w:tcW w:w="402" w:type="pct"/>
            <w:vAlign w:val="center"/>
          </w:tcPr>
          <w:p>
            <w:pPr>
              <w:spacing w:line="240" w:lineRule="auto"/>
              <w:ind w:firstLine="0" w:firstLineChars="0"/>
              <w:jc w:val="center"/>
              <w:rPr>
                <w:sz w:val="21"/>
                <w:szCs w:val="16"/>
                <w:u w:val="single"/>
              </w:rPr>
            </w:pPr>
            <w:r>
              <w:rPr>
                <w:sz w:val="21"/>
                <w:szCs w:val="16"/>
                <w:u w:val="single"/>
              </w:rPr>
              <w:t>正常工况</w:t>
            </w:r>
          </w:p>
        </w:tc>
        <w:tc>
          <w:tcPr>
            <w:tcW w:w="428"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.02</w:t>
            </w:r>
          </w:p>
        </w:tc>
        <w:tc>
          <w:tcPr>
            <w:tcW w:w="376" w:type="pct"/>
          </w:tcPr>
          <w:p>
            <w:pPr>
              <w:spacing w:line="240" w:lineRule="auto"/>
              <w:ind w:firstLine="0" w:firstLineChars="0"/>
              <w:jc w:val="center"/>
              <w:rPr>
                <w:sz w:val="21"/>
                <w:szCs w:val="16"/>
                <w:u w:val="single"/>
              </w:rPr>
            </w:pP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 w:type="pct"/>
            <w:vAlign w:val="center"/>
          </w:tcPr>
          <w:p>
            <w:pPr>
              <w:spacing w:line="240" w:lineRule="auto"/>
              <w:ind w:firstLine="0" w:firstLineChars="0"/>
              <w:jc w:val="center"/>
              <w:rPr>
                <w:sz w:val="21"/>
                <w:szCs w:val="16"/>
                <w:u w:val="single"/>
              </w:rPr>
            </w:pPr>
            <w:r>
              <w:rPr>
                <w:rFonts w:hint="eastAsia"/>
                <w:sz w:val="21"/>
                <w:szCs w:val="16"/>
                <w:u w:val="single"/>
              </w:rPr>
              <w:t>MY</w:t>
            </w:r>
            <w:r>
              <w:rPr>
                <w:sz w:val="21"/>
                <w:szCs w:val="16"/>
                <w:u w:val="single"/>
              </w:rPr>
              <w:t>7</w:t>
            </w:r>
          </w:p>
        </w:tc>
        <w:tc>
          <w:tcPr>
            <w:tcW w:w="562" w:type="pct"/>
            <w:vAlign w:val="center"/>
          </w:tcPr>
          <w:p>
            <w:pPr>
              <w:spacing w:line="240" w:lineRule="auto"/>
              <w:ind w:firstLine="0" w:firstLineChars="0"/>
              <w:jc w:val="center"/>
              <w:rPr>
                <w:sz w:val="21"/>
                <w:szCs w:val="16"/>
                <w:u w:val="single"/>
              </w:rPr>
            </w:pPr>
            <w:r>
              <w:rPr>
                <w:rFonts w:hint="eastAsia"/>
                <w:sz w:val="21"/>
                <w:szCs w:val="16"/>
                <w:u w:val="single"/>
              </w:rPr>
              <w:t>3#成型车间</w:t>
            </w:r>
          </w:p>
        </w:tc>
        <w:tc>
          <w:tcPr>
            <w:tcW w:w="352"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42</w:t>
            </w:r>
          </w:p>
        </w:tc>
        <w:tc>
          <w:tcPr>
            <w:tcW w:w="296"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26</w:t>
            </w:r>
          </w:p>
        </w:tc>
        <w:tc>
          <w:tcPr>
            <w:tcW w:w="402" w:type="pct"/>
          </w:tcPr>
          <w:p>
            <w:pPr>
              <w:spacing w:line="240" w:lineRule="auto"/>
              <w:ind w:firstLine="0" w:firstLineChars="0"/>
              <w:jc w:val="center"/>
              <w:rPr>
                <w:sz w:val="21"/>
                <w:szCs w:val="16"/>
                <w:u w:val="single"/>
              </w:rPr>
            </w:pPr>
            <w:r>
              <w:rPr>
                <w:sz w:val="21"/>
                <w:szCs w:val="16"/>
                <w:u w:val="single"/>
              </w:rPr>
              <w:t>111</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9</w:t>
            </w:r>
            <w:r>
              <w:rPr>
                <w:sz w:val="21"/>
                <w:szCs w:val="16"/>
                <w:u w:val="single"/>
              </w:rPr>
              <w:t>0</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3</w:t>
            </w:r>
          </w:p>
        </w:tc>
        <w:tc>
          <w:tcPr>
            <w:tcW w:w="402" w:type="pct"/>
            <w:vAlign w:val="center"/>
          </w:tcPr>
          <w:p>
            <w:pPr>
              <w:spacing w:line="240" w:lineRule="auto"/>
              <w:ind w:firstLine="0" w:firstLineChars="0"/>
              <w:jc w:val="center"/>
              <w:rPr>
                <w:sz w:val="21"/>
                <w:szCs w:val="16"/>
                <w:u w:val="single"/>
              </w:rPr>
            </w:pPr>
            <w:r>
              <w:rPr>
                <w:sz w:val="21"/>
                <w:szCs w:val="16"/>
                <w:u w:val="single"/>
              </w:rPr>
              <w:t>90</w:t>
            </w:r>
          </w:p>
        </w:tc>
        <w:tc>
          <w:tcPr>
            <w:tcW w:w="482" w:type="pct"/>
            <w:vAlign w:val="center"/>
          </w:tcPr>
          <w:p>
            <w:pPr>
              <w:spacing w:line="240" w:lineRule="auto"/>
              <w:ind w:firstLine="0" w:firstLineChars="0"/>
              <w:jc w:val="center"/>
              <w:rPr>
                <w:sz w:val="21"/>
                <w:szCs w:val="16"/>
                <w:u w:val="single"/>
              </w:rPr>
            </w:pPr>
            <w:r>
              <w:rPr>
                <w:sz w:val="21"/>
                <w:szCs w:val="16"/>
                <w:u w:val="single"/>
              </w:rPr>
              <w:t>15</w:t>
            </w:r>
          </w:p>
        </w:tc>
        <w:tc>
          <w:tcPr>
            <w:tcW w:w="402" w:type="pct"/>
            <w:vAlign w:val="center"/>
          </w:tcPr>
          <w:p>
            <w:pPr>
              <w:spacing w:line="240" w:lineRule="auto"/>
              <w:ind w:firstLine="0" w:firstLineChars="0"/>
              <w:jc w:val="center"/>
              <w:rPr>
                <w:sz w:val="21"/>
                <w:szCs w:val="16"/>
                <w:u w:val="single"/>
              </w:rPr>
            </w:pPr>
            <w:r>
              <w:rPr>
                <w:sz w:val="21"/>
                <w:szCs w:val="16"/>
                <w:u w:val="single"/>
              </w:rPr>
              <w:t>7920</w:t>
            </w:r>
          </w:p>
        </w:tc>
        <w:tc>
          <w:tcPr>
            <w:tcW w:w="402" w:type="pct"/>
            <w:vAlign w:val="center"/>
          </w:tcPr>
          <w:p>
            <w:pPr>
              <w:spacing w:line="240" w:lineRule="auto"/>
              <w:ind w:firstLine="0" w:firstLineChars="0"/>
              <w:jc w:val="center"/>
              <w:rPr>
                <w:sz w:val="21"/>
                <w:szCs w:val="16"/>
                <w:u w:val="single"/>
              </w:rPr>
            </w:pPr>
            <w:r>
              <w:rPr>
                <w:sz w:val="21"/>
                <w:szCs w:val="16"/>
                <w:u w:val="single"/>
              </w:rPr>
              <w:t>正常工况</w:t>
            </w:r>
          </w:p>
        </w:tc>
        <w:tc>
          <w:tcPr>
            <w:tcW w:w="428"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.01</w:t>
            </w:r>
          </w:p>
        </w:tc>
        <w:tc>
          <w:tcPr>
            <w:tcW w:w="376" w:type="pct"/>
          </w:tcPr>
          <w:p>
            <w:pPr>
              <w:spacing w:line="240" w:lineRule="auto"/>
              <w:ind w:firstLine="0" w:firstLineChars="0"/>
              <w:jc w:val="center"/>
              <w:rPr>
                <w:sz w:val="21"/>
                <w:szCs w:val="16"/>
                <w:u w:val="single"/>
              </w:rPr>
            </w:pP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 w:type="pct"/>
            <w:vAlign w:val="center"/>
          </w:tcPr>
          <w:p>
            <w:pPr>
              <w:spacing w:line="240" w:lineRule="auto"/>
              <w:ind w:firstLine="0" w:firstLineChars="0"/>
              <w:jc w:val="center"/>
              <w:rPr>
                <w:sz w:val="21"/>
                <w:szCs w:val="16"/>
                <w:u w:val="single"/>
              </w:rPr>
            </w:pPr>
            <w:r>
              <w:rPr>
                <w:rFonts w:hint="eastAsia"/>
                <w:sz w:val="21"/>
                <w:szCs w:val="16"/>
                <w:u w:val="single"/>
              </w:rPr>
              <w:t>MY</w:t>
            </w:r>
            <w:r>
              <w:rPr>
                <w:sz w:val="21"/>
                <w:szCs w:val="16"/>
                <w:u w:val="single"/>
              </w:rPr>
              <w:t>8</w:t>
            </w:r>
          </w:p>
        </w:tc>
        <w:tc>
          <w:tcPr>
            <w:tcW w:w="562" w:type="pct"/>
            <w:vAlign w:val="center"/>
          </w:tcPr>
          <w:p>
            <w:pPr>
              <w:spacing w:line="240" w:lineRule="auto"/>
              <w:ind w:firstLine="0" w:firstLineChars="0"/>
              <w:jc w:val="center"/>
              <w:rPr>
                <w:sz w:val="21"/>
                <w:szCs w:val="16"/>
                <w:u w:val="single"/>
              </w:rPr>
            </w:pPr>
            <w:r>
              <w:rPr>
                <w:rFonts w:hint="eastAsia"/>
                <w:sz w:val="21"/>
                <w:szCs w:val="16"/>
                <w:u w:val="single"/>
              </w:rPr>
              <w:t>4#成型车间</w:t>
            </w:r>
          </w:p>
        </w:tc>
        <w:tc>
          <w:tcPr>
            <w:tcW w:w="352"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62</w:t>
            </w:r>
          </w:p>
        </w:tc>
        <w:tc>
          <w:tcPr>
            <w:tcW w:w="296"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09</w:t>
            </w:r>
          </w:p>
        </w:tc>
        <w:tc>
          <w:tcPr>
            <w:tcW w:w="402" w:type="pct"/>
          </w:tcPr>
          <w:p>
            <w:pPr>
              <w:spacing w:line="240" w:lineRule="auto"/>
              <w:ind w:firstLine="0" w:firstLineChars="0"/>
              <w:jc w:val="center"/>
              <w:rPr>
                <w:sz w:val="21"/>
                <w:szCs w:val="16"/>
                <w:u w:val="single"/>
              </w:rPr>
            </w:pPr>
            <w:r>
              <w:rPr>
                <w:sz w:val="21"/>
                <w:szCs w:val="16"/>
                <w:u w:val="single"/>
              </w:rPr>
              <w:t>111</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1</w:t>
            </w:r>
          </w:p>
        </w:tc>
        <w:tc>
          <w:tcPr>
            <w:tcW w:w="322" w:type="pct"/>
            <w:vAlign w:val="center"/>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6</w:t>
            </w:r>
          </w:p>
        </w:tc>
        <w:tc>
          <w:tcPr>
            <w:tcW w:w="402" w:type="pct"/>
            <w:vAlign w:val="center"/>
          </w:tcPr>
          <w:p>
            <w:pPr>
              <w:spacing w:line="240" w:lineRule="auto"/>
              <w:ind w:firstLine="0" w:firstLineChars="0"/>
              <w:jc w:val="center"/>
              <w:rPr>
                <w:sz w:val="21"/>
                <w:szCs w:val="16"/>
                <w:u w:val="single"/>
              </w:rPr>
            </w:pPr>
            <w:r>
              <w:rPr>
                <w:sz w:val="21"/>
                <w:szCs w:val="16"/>
                <w:u w:val="single"/>
              </w:rPr>
              <w:t>90</w:t>
            </w:r>
          </w:p>
        </w:tc>
        <w:tc>
          <w:tcPr>
            <w:tcW w:w="482" w:type="pct"/>
            <w:vAlign w:val="center"/>
          </w:tcPr>
          <w:p>
            <w:pPr>
              <w:spacing w:line="240" w:lineRule="auto"/>
              <w:ind w:firstLine="0" w:firstLineChars="0"/>
              <w:jc w:val="center"/>
              <w:rPr>
                <w:sz w:val="21"/>
                <w:szCs w:val="16"/>
                <w:u w:val="single"/>
              </w:rPr>
            </w:pPr>
            <w:r>
              <w:rPr>
                <w:sz w:val="21"/>
                <w:szCs w:val="16"/>
                <w:u w:val="single"/>
              </w:rPr>
              <w:t>15</w:t>
            </w:r>
          </w:p>
        </w:tc>
        <w:tc>
          <w:tcPr>
            <w:tcW w:w="402" w:type="pct"/>
            <w:vAlign w:val="center"/>
          </w:tcPr>
          <w:p>
            <w:pPr>
              <w:spacing w:line="240" w:lineRule="auto"/>
              <w:ind w:firstLine="0" w:firstLineChars="0"/>
              <w:jc w:val="center"/>
              <w:rPr>
                <w:sz w:val="21"/>
                <w:szCs w:val="16"/>
                <w:u w:val="single"/>
              </w:rPr>
            </w:pPr>
            <w:r>
              <w:rPr>
                <w:sz w:val="21"/>
                <w:szCs w:val="16"/>
                <w:u w:val="single"/>
              </w:rPr>
              <w:t>7920</w:t>
            </w:r>
          </w:p>
        </w:tc>
        <w:tc>
          <w:tcPr>
            <w:tcW w:w="402" w:type="pct"/>
            <w:vAlign w:val="center"/>
          </w:tcPr>
          <w:p>
            <w:pPr>
              <w:spacing w:line="240" w:lineRule="auto"/>
              <w:ind w:firstLine="0" w:firstLineChars="0"/>
              <w:jc w:val="center"/>
              <w:rPr>
                <w:sz w:val="21"/>
                <w:szCs w:val="16"/>
                <w:u w:val="single"/>
              </w:rPr>
            </w:pPr>
            <w:r>
              <w:rPr>
                <w:sz w:val="21"/>
                <w:szCs w:val="16"/>
                <w:u w:val="single"/>
              </w:rPr>
              <w:t>正常工况</w:t>
            </w:r>
          </w:p>
        </w:tc>
        <w:tc>
          <w:tcPr>
            <w:tcW w:w="428" w:type="pc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.01</w:t>
            </w:r>
          </w:p>
        </w:tc>
        <w:tc>
          <w:tcPr>
            <w:tcW w:w="376" w:type="pct"/>
          </w:tcPr>
          <w:p>
            <w:pPr>
              <w:spacing w:line="240" w:lineRule="auto"/>
              <w:ind w:firstLine="0" w:firstLineChars="0"/>
              <w:jc w:val="center"/>
              <w:rPr>
                <w:sz w:val="21"/>
                <w:szCs w:val="16"/>
                <w:u w:val="single"/>
              </w:rPr>
            </w:pPr>
            <w:r>
              <w:rPr>
                <w:rFonts w:hint="eastAsia"/>
                <w:sz w:val="21"/>
                <w:szCs w:val="16"/>
                <w:u w:val="single"/>
              </w:rPr>
              <w:t>/</w:t>
            </w:r>
          </w:p>
        </w:tc>
      </w:tr>
    </w:tbl>
    <w:p>
      <w:pPr>
        <w:ind w:firstLine="0" w:firstLineChars="0"/>
        <w:jc w:val="center"/>
        <w:rPr>
          <w:rFonts w:cs="Times New Roman"/>
          <w:u w:val="single"/>
        </w:rPr>
      </w:pPr>
      <w:r>
        <w:rPr>
          <w:rFonts w:cs="Times New Roman"/>
          <w:u w:val="single"/>
        </w:rPr>
        <w:t>表5.2-9  多边形面源参数表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0"/>
        <w:gridCol w:w="2505"/>
        <w:gridCol w:w="1260"/>
        <w:gridCol w:w="1260"/>
        <w:gridCol w:w="1394"/>
        <w:gridCol w:w="1948"/>
        <w:gridCol w:w="1335"/>
        <w:gridCol w:w="1394"/>
        <w:gridCol w:w="1486"/>
        <w:gridCol w:w="13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restart"/>
            <w:vAlign w:val="center"/>
          </w:tcPr>
          <w:p>
            <w:pPr>
              <w:spacing w:line="240" w:lineRule="auto"/>
              <w:ind w:firstLine="0" w:firstLineChars="0"/>
              <w:jc w:val="center"/>
              <w:rPr>
                <w:sz w:val="21"/>
                <w:szCs w:val="16"/>
                <w:u w:val="single"/>
              </w:rPr>
            </w:pPr>
            <w:r>
              <w:rPr>
                <w:sz w:val="21"/>
                <w:szCs w:val="16"/>
                <w:u w:val="single"/>
              </w:rPr>
              <w:t>编号</w:t>
            </w:r>
          </w:p>
        </w:tc>
        <w:tc>
          <w:tcPr>
            <w:tcW w:w="841" w:type="pct"/>
            <w:vMerge w:val="restart"/>
            <w:vAlign w:val="center"/>
          </w:tcPr>
          <w:p>
            <w:pPr>
              <w:spacing w:line="240" w:lineRule="auto"/>
              <w:ind w:firstLine="0" w:firstLineChars="0"/>
              <w:jc w:val="center"/>
              <w:rPr>
                <w:sz w:val="21"/>
                <w:szCs w:val="16"/>
                <w:u w:val="single"/>
              </w:rPr>
            </w:pPr>
            <w:r>
              <w:rPr>
                <w:sz w:val="21"/>
                <w:szCs w:val="16"/>
                <w:u w:val="single"/>
              </w:rPr>
              <w:t>名称</w:t>
            </w:r>
          </w:p>
        </w:tc>
        <w:tc>
          <w:tcPr>
            <w:tcW w:w="846" w:type="pct"/>
            <w:gridSpan w:val="2"/>
            <w:vAlign w:val="center"/>
          </w:tcPr>
          <w:p>
            <w:pPr>
              <w:spacing w:line="240" w:lineRule="auto"/>
              <w:ind w:firstLine="0" w:firstLineChars="0"/>
              <w:jc w:val="center"/>
              <w:rPr>
                <w:sz w:val="21"/>
                <w:szCs w:val="16"/>
                <w:u w:val="single"/>
              </w:rPr>
            </w:pPr>
            <w:r>
              <w:rPr>
                <w:sz w:val="21"/>
                <w:szCs w:val="16"/>
                <w:u w:val="single"/>
              </w:rPr>
              <w:t>面源各顶点坐标/m</w:t>
            </w:r>
          </w:p>
        </w:tc>
        <w:tc>
          <w:tcPr>
            <w:tcW w:w="468" w:type="pct"/>
            <w:vMerge w:val="restart"/>
            <w:vAlign w:val="center"/>
          </w:tcPr>
          <w:p>
            <w:pPr>
              <w:spacing w:line="240" w:lineRule="auto"/>
              <w:ind w:firstLine="0" w:firstLineChars="0"/>
              <w:jc w:val="center"/>
              <w:rPr>
                <w:sz w:val="21"/>
                <w:szCs w:val="16"/>
                <w:u w:val="single"/>
              </w:rPr>
            </w:pPr>
            <w:r>
              <w:rPr>
                <w:sz w:val="21"/>
                <w:szCs w:val="16"/>
                <w:u w:val="single"/>
              </w:rPr>
              <w:t>面源海拔</w:t>
            </w:r>
          </w:p>
          <w:p>
            <w:pPr>
              <w:spacing w:line="240" w:lineRule="auto"/>
              <w:ind w:firstLine="0" w:firstLineChars="0"/>
              <w:jc w:val="center"/>
              <w:rPr>
                <w:sz w:val="21"/>
                <w:szCs w:val="16"/>
                <w:u w:val="single"/>
              </w:rPr>
            </w:pPr>
            <w:r>
              <w:rPr>
                <w:sz w:val="21"/>
                <w:szCs w:val="16"/>
                <w:u w:val="single"/>
              </w:rPr>
              <w:t>高度/m</w:t>
            </w:r>
          </w:p>
        </w:tc>
        <w:tc>
          <w:tcPr>
            <w:tcW w:w="654" w:type="pct"/>
            <w:vMerge w:val="restart"/>
            <w:vAlign w:val="center"/>
          </w:tcPr>
          <w:p>
            <w:pPr>
              <w:spacing w:line="240" w:lineRule="auto"/>
              <w:ind w:firstLine="0" w:firstLineChars="0"/>
              <w:jc w:val="center"/>
              <w:rPr>
                <w:sz w:val="21"/>
                <w:szCs w:val="16"/>
                <w:u w:val="single"/>
              </w:rPr>
            </w:pPr>
            <w:r>
              <w:rPr>
                <w:sz w:val="21"/>
                <w:szCs w:val="16"/>
                <w:u w:val="single"/>
              </w:rPr>
              <w:t>面源有效排放</w:t>
            </w:r>
          </w:p>
          <w:p>
            <w:pPr>
              <w:spacing w:line="240" w:lineRule="auto"/>
              <w:ind w:firstLine="0" w:firstLineChars="0"/>
              <w:jc w:val="center"/>
              <w:rPr>
                <w:sz w:val="21"/>
                <w:szCs w:val="16"/>
                <w:u w:val="single"/>
              </w:rPr>
            </w:pPr>
            <w:r>
              <w:rPr>
                <w:sz w:val="21"/>
                <w:szCs w:val="16"/>
                <w:u w:val="single"/>
              </w:rPr>
              <w:t>高度/m</w:t>
            </w:r>
          </w:p>
        </w:tc>
        <w:tc>
          <w:tcPr>
            <w:tcW w:w="448" w:type="pct"/>
            <w:vMerge w:val="restart"/>
            <w:vAlign w:val="center"/>
          </w:tcPr>
          <w:p>
            <w:pPr>
              <w:spacing w:line="240" w:lineRule="auto"/>
              <w:ind w:firstLine="0" w:firstLineChars="0"/>
              <w:jc w:val="center"/>
              <w:rPr>
                <w:sz w:val="21"/>
                <w:szCs w:val="16"/>
                <w:u w:val="single"/>
              </w:rPr>
            </w:pPr>
            <w:r>
              <w:rPr>
                <w:sz w:val="21"/>
                <w:szCs w:val="16"/>
                <w:u w:val="single"/>
              </w:rPr>
              <w:t>年排放</w:t>
            </w:r>
          </w:p>
          <w:p>
            <w:pPr>
              <w:spacing w:line="240" w:lineRule="auto"/>
              <w:ind w:firstLine="0" w:firstLineChars="0"/>
              <w:jc w:val="center"/>
              <w:rPr>
                <w:sz w:val="21"/>
                <w:szCs w:val="16"/>
                <w:u w:val="single"/>
              </w:rPr>
            </w:pPr>
            <w:r>
              <w:rPr>
                <w:sz w:val="21"/>
                <w:szCs w:val="16"/>
                <w:u w:val="single"/>
              </w:rPr>
              <w:t>小时数/h</w:t>
            </w:r>
          </w:p>
        </w:tc>
        <w:tc>
          <w:tcPr>
            <w:tcW w:w="468" w:type="pct"/>
            <w:vMerge w:val="restart"/>
            <w:vAlign w:val="center"/>
          </w:tcPr>
          <w:p>
            <w:pPr>
              <w:spacing w:line="240" w:lineRule="auto"/>
              <w:ind w:firstLine="0" w:firstLineChars="0"/>
              <w:jc w:val="center"/>
              <w:rPr>
                <w:sz w:val="21"/>
                <w:szCs w:val="16"/>
                <w:u w:val="single"/>
              </w:rPr>
            </w:pPr>
            <w:r>
              <w:rPr>
                <w:sz w:val="21"/>
                <w:szCs w:val="16"/>
                <w:u w:val="single"/>
              </w:rPr>
              <w:t>排放工况</w:t>
            </w:r>
          </w:p>
        </w:tc>
        <w:tc>
          <w:tcPr>
            <w:tcW w:w="936" w:type="pct"/>
            <w:gridSpan w:val="2"/>
            <w:vAlign w:val="center"/>
          </w:tcPr>
          <w:p>
            <w:pPr>
              <w:spacing w:line="240" w:lineRule="auto"/>
              <w:ind w:firstLine="0" w:firstLineChars="0"/>
              <w:jc w:val="center"/>
              <w:rPr>
                <w:sz w:val="21"/>
                <w:szCs w:val="16"/>
                <w:u w:val="single"/>
              </w:rPr>
            </w:pPr>
            <w:r>
              <w:rPr>
                <w:sz w:val="21"/>
                <w:szCs w:val="16"/>
                <w:u w:val="single"/>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sz w:val="21"/>
                <w:szCs w:val="16"/>
                <w:u w:val="single"/>
              </w:rPr>
              <w:t>x</w:t>
            </w:r>
          </w:p>
        </w:tc>
        <w:tc>
          <w:tcPr>
            <w:tcW w:w="423" w:type="pct"/>
            <w:vAlign w:val="center"/>
          </w:tcPr>
          <w:p>
            <w:pPr>
              <w:spacing w:line="240" w:lineRule="auto"/>
              <w:ind w:firstLine="0" w:firstLineChars="0"/>
              <w:jc w:val="center"/>
              <w:rPr>
                <w:sz w:val="21"/>
                <w:szCs w:val="16"/>
                <w:u w:val="single"/>
              </w:rPr>
            </w:pPr>
            <w:r>
              <w:rPr>
                <w:sz w:val="21"/>
                <w:szCs w:val="16"/>
                <w:u w:val="single"/>
              </w:rPr>
              <w:t>y</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Align w:val="center"/>
          </w:tcPr>
          <w:p>
            <w:pPr>
              <w:spacing w:line="240" w:lineRule="auto"/>
              <w:ind w:firstLine="0" w:firstLineChars="0"/>
              <w:jc w:val="center"/>
              <w:rPr>
                <w:sz w:val="21"/>
                <w:szCs w:val="16"/>
                <w:u w:val="single"/>
              </w:rPr>
            </w:pPr>
            <w:r>
              <w:rPr>
                <w:sz w:val="21"/>
                <w:szCs w:val="16"/>
                <w:u w:val="single"/>
              </w:rPr>
              <w:t>颗粒物</w:t>
            </w:r>
          </w:p>
        </w:tc>
        <w:tc>
          <w:tcPr>
            <w:tcW w:w="437" w:type="pct"/>
            <w:vAlign w:val="center"/>
          </w:tcPr>
          <w:p>
            <w:pPr>
              <w:spacing w:line="240" w:lineRule="auto"/>
              <w:ind w:firstLine="0" w:firstLineChars="0"/>
              <w:jc w:val="center"/>
              <w:rPr>
                <w:sz w:val="21"/>
                <w:szCs w:val="16"/>
                <w:u w:val="single"/>
              </w:rPr>
            </w:pPr>
            <w:r>
              <w:rPr>
                <w:rFonts w:hint="eastAsia"/>
                <w:sz w:val="21"/>
                <w:szCs w:val="16"/>
                <w:u w:val="single"/>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339" w:type="pct"/>
            <w:vMerge w:val="restart"/>
            <w:vAlign w:val="center"/>
          </w:tcPr>
          <w:p>
            <w:pPr>
              <w:spacing w:line="240" w:lineRule="auto"/>
              <w:ind w:firstLine="0" w:firstLineChars="0"/>
              <w:jc w:val="center"/>
              <w:rPr>
                <w:sz w:val="21"/>
                <w:szCs w:val="16"/>
                <w:u w:val="single"/>
              </w:rPr>
            </w:pPr>
            <w:r>
              <w:rPr>
                <w:sz w:val="21"/>
                <w:szCs w:val="16"/>
                <w:u w:val="single"/>
              </w:rPr>
              <w:t>MY9</w:t>
            </w:r>
          </w:p>
        </w:tc>
        <w:tc>
          <w:tcPr>
            <w:tcW w:w="841" w:type="pct"/>
            <w:vMerge w:val="restart"/>
            <w:vAlign w:val="center"/>
          </w:tcPr>
          <w:p>
            <w:pPr>
              <w:spacing w:line="240" w:lineRule="auto"/>
              <w:ind w:firstLine="0" w:firstLineChars="0"/>
              <w:jc w:val="center"/>
              <w:rPr>
                <w:sz w:val="21"/>
                <w:szCs w:val="16"/>
                <w:u w:val="single"/>
              </w:rPr>
            </w:pPr>
            <w:r>
              <w:rPr>
                <w:sz w:val="21"/>
                <w:szCs w:val="16"/>
                <w:u w:val="single"/>
              </w:rPr>
              <w:t>6#</w:t>
            </w:r>
            <w:r>
              <w:rPr>
                <w:rFonts w:hint="eastAsia"/>
                <w:sz w:val="21"/>
                <w:szCs w:val="16"/>
                <w:u w:val="single"/>
              </w:rPr>
              <w:t>原矿堆场</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58</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4</w:t>
            </w:r>
          </w:p>
        </w:tc>
        <w:tc>
          <w:tcPr>
            <w:tcW w:w="468" w:type="pct"/>
            <w:vMerge w:val="restart"/>
            <w:vAlign w:val="center"/>
          </w:tcPr>
          <w:p>
            <w:pPr>
              <w:spacing w:line="240" w:lineRule="auto"/>
              <w:ind w:firstLine="0" w:firstLineChars="0"/>
              <w:jc w:val="center"/>
              <w:rPr>
                <w:sz w:val="21"/>
                <w:szCs w:val="16"/>
                <w:u w:val="single"/>
              </w:rPr>
            </w:pPr>
            <w:r>
              <w:rPr>
                <w:sz w:val="21"/>
                <w:szCs w:val="16"/>
                <w:u w:val="single"/>
              </w:rPr>
              <w:t>111</w:t>
            </w:r>
          </w:p>
        </w:tc>
        <w:tc>
          <w:tcPr>
            <w:tcW w:w="654" w:type="pct"/>
            <w:vMerge w:val="restart"/>
            <w:vAlign w:val="center"/>
          </w:tcPr>
          <w:p>
            <w:pPr>
              <w:spacing w:line="240" w:lineRule="auto"/>
              <w:ind w:firstLine="0" w:firstLineChars="0"/>
              <w:jc w:val="center"/>
              <w:rPr>
                <w:sz w:val="21"/>
                <w:szCs w:val="16"/>
                <w:u w:val="single"/>
              </w:rPr>
            </w:pPr>
            <w:r>
              <w:rPr>
                <w:sz w:val="21"/>
                <w:szCs w:val="16"/>
                <w:u w:val="single"/>
              </w:rPr>
              <w:t>15</w:t>
            </w:r>
          </w:p>
        </w:tc>
        <w:tc>
          <w:tcPr>
            <w:tcW w:w="448" w:type="pct"/>
            <w:vMerge w:val="restart"/>
            <w:vAlign w:val="center"/>
          </w:tcPr>
          <w:p>
            <w:pPr>
              <w:spacing w:line="240" w:lineRule="auto"/>
              <w:ind w:firstLine="0" w:firstLineChars="0"/>
              <w:jc w:val="center"/>
              <w:rPr>
                <w:sz w:val="21"/>
                <w:szCs w:val="16"/>
                <w:u w:val="single"/>
              </w:rPr>
            </w:pPr>
            <w:r>
              <w:rPr>
                <w:sz w:val="21"/>
                <w:szCs w:val="16"/>
                <w:u w:val="single"/>
              </w:rPr>
              <w:t>7290</w:t>
            </w:r>
          </w:p>
        </w:tc>
        <w:tc>
          <w:tcPr>
            <w:tcW w:w="468" w:type="pct"/>
            <w:vMerge w:val="restart"/>
            <w:vAlign w:val="center"/>
          </w:tcPr>
          <w:p>
            <w:pPr>
              <w:spacing w:line="240" w:lineRule="auto"/>
              <w:ind w:firstLine="0" w:firstLineChars="0"/>
              <w:jc w:val="center"/>
              <w:rPr>
                <w:sz w:val="21"/>
                <w:szCs w:val="16"/>
                <w:u w:val="single"/>
              </w:rPr>
            </w:pPr>
            <w:r>
              <w:rPr>
                <w:sz w:val="21"/>
                <w:szCs w:val="16"/>
                <w:u w:val="single"/>
              </w:rPr>
              <w:t>正常工况</w:t>
            </w:r>
          </w:p>
        </w:tc>
        <w:tc>
          <w:tcPr>
            <w:tcW w:w="499" w:type="pct"/>
            <w:vMerge w:val="restar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.18</w:t>
            </w:r>
          </w:p>
        </w:tc>
        <w:tc>
          <w:tcPr>
            <w:tcW w:w="437" w:type="pct"/>
            <w:vMerge w:val="restart"/>
            <w:vAlign w:val="center"/>
          </w:tcPr>
          <w:p>
            <w:pPr>
              <w:spacing w:line="240" w:lineRule="auto"/>
              <w:ind w:firstLine="0" w:firstLineChars="0"/>
              <w:jc w:val="center"/>
              <w:rPr>
                <w:sz w:val="21"/>
                <w:szCs w:val="16"/>
                <w:u w:val="single"/>
              </w:rPr>
            </w:pP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02</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4</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00</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31</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06</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24</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339" w:type="pct"/>
            <w:vMerge w:val="restart"/>
            <w:vAlign w:val="center"/>
          </w:tcPr>
          <w:p>
            <w:pPr>
              <w:spacing w:line="240" w:lineRule="auto"/>
              <w:ind w:firstLine="0" w:firstLineChars="0"/>
              <w:jc w:val="center"/>
              <w:rPr>
                <w:sz w:val="21"/>
                <w:szCs w:val="16"/>
                <w:u w:val="single"/>
              </w:rPr>
            </w:pPr>
            <w:r>
              <w:rPr>
                <w:sz w:val="21"/>
                <w:szCs w:val="16"/>
                <w:u w:val="single"/>
              </w:rPr>
              <w:t>MY10</w:t>
            </w:r>
          </w:p>
        </w:tc>
        <w:tc>
          <w:tcPr>
            <w:tcW w:w="841" w:type="pct"/>
            <w:vMerge w:val="restart"/>
            <w:vAlign w:val="center"/>
          </w:tcPr>
          <w:p>
            <w:pPr>
              <w:spacing w:line="240" w:lineRule="auto"/>
              <w:ind w:firstLine="0" w:firstLineChars="0"/>
              <w:jc w:val="center"/>
              <w:rPr>
                <w:sz w:val="21"/>
                <w:szCs w:val="16"/>
                <w:u w:val="single"/>
              </w:rPr>
            </w:pPr>
            <w:r>
              <w:rPr>
                <w:rFonts w:hint="eastAsia"/>
                <w:sz w:val="21"/>
                <w:szCs w:val="16"/>
                <w:u w:val="single"/>
              </w:rPr>
              <w:t>3#原矿堆场</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19</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9</w:t>
            </w:r>
          </w:p>
        </w:tc>
        <w:tc>
          <w:tcPr>
            <w:tcW w:w="468" w:type="pct"/>
            <w:vMerge w:val="restart"/>
            <w:vAlign w:val="center"/>
          </w:tcPr>
          <w:p>
            <w:pPr>
              <w:spacing w:line="240" w:lineRule="auto"/>
              <w:ind w:firstLine="0" w:firstLineChars="0"/>
              <w:jc w:val="center"/>
              <w:rPr>
                <w:sz w:val="21"/>
                <w:szCs w:val="16"/>
                <w:u w:val="single"/>
              </w:rPr>
            </w:pPr>
            <w:r>
              <w:rPr>
                <w:sz w:val="21"/>
                <w:szCs w:val="16"/>
                <w:u w:val="single"/>
              </w:rPr>
              <w:t>111</w:t>
            </w:r>
          </w:p>
        </w:tc>
        <w:tc>
          <w:tcPr>
            <w:tcW w:w="654" w:type="pct"/>
            <w:vMerge w:val="restart"/>
            <w:vAlign w:val="center"/>
          </w:tcPr>
          <w:p>
            <w:pPr>
              <w:spacing w:line="240" w:lineRule="auto"/>
              <w:ind w:firstLine="0" w:firstLineChars="0"/>
              <w:jc w:val="center"/>
              <w:rPr>
                <w:sz w:val="21"/>
                <w:szCs w:val="16"/>
                <w:u w:val="single"/>
              </w:rPr>
            </w:pPr>
            <w:r>
              <w:rPr>
                <w:sz w:val="21"/>
                <w:szCs w:val="16"/>
                <w:u w:val="single"/>
              </w:rPr>
              <w:t>15</w:t>
            </w:r>
          </w:p>
        </w:tc>
        <w:tc>
          <w:tcPr>
            <w:tcW w:w="448" w:type="pct"/>
            <w:vMerge w:val="restart"/>
            <w:vAlign w:val="center"/>
          </w:tcPr>
          <w:p>
            <w:pPr>
              <w:spacing w:line="240" w:lineRule="auto"/>
              <w:ind w:firstLine="0" w:firstLineChars="0"/>
              <w:jc w:val="center"/>
              <w:rPr>
                <w:sz w:val="21"/>
                <w:szCs w:val="16"/>
                <w:u w:val="single"/>
              </w:rPr>
            </w:pPr>
            <w:r>
              <w:rPr>
                <w:sz w:val="21"/>
                <w:szCs w:val="16"/>
                <w:u w:val="single"/>
              </w:rPr>
              <w:t>7290</w:t>
            </w:r>
          </w:p>
        </w:tc>
        <w:tc>
          <w:tcPr>
            <w:tcW w:w="468" w:type="pct"/>
            <w:vMerge w:val="restart"/>
            <w:vAlign w:val="center"/>
          </w:tcPr>
          <w:p>
            <w:pPr>
              <w:spacing w:line="240" w:lineRule="auto"/>
              <w:ind w:firstLine="0" w:firstLineChars="0"/>
              <w:jc w:val="center"/>
              <w:rPr>
                <w:sz w:val="21"/>
                <w:szCs w:val="16"/>
                <w:u w:val="single"/>
              </w:rPr>
            </w:pPr>
            <w:r>
              <w:rPr>
                <w:sz w:val="21"/>
                <w:szCs w:val="16"/>
                <w:u w:val="single"/>
              </w:rPr>
              <w:t>正常工况</w:t>
            </w:r>
          </w:p>
        </w:tc>
        <w:tc>
          <w:tcPr>
            <w:tcW w:w="499" w:type="pct"/>
            <w:vMerge w:val="restar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.28</w:t>
            </w:r>
          </w:p>
        </w:tc>
        <w:tc>
          <w:tcPr>
            <w:tcW w:w="437" w:type="pct"/>
            <w:vMerge w:val="restart"/>
            <w:vAlign w:val="center"/>
          </w:tcPr>
          <w:p>
            <w:pPr>
              <w:spacing w:line="240" w:lineRule="auto"/>
              <w:ind w:firstLine="0" w:firstLineChars="0"/>
              <w:jc w:val="center"/>
              <w:rPr>
                <w:sz w:val="21"/>
                <w:szCs w:val="16"/>
                <w:u w:val="single"/>
              </w:rPr>
            </w:pP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5</w:t>
            </w:r>
            <w:r>
              <w:rPr>
                <w:sz w:val="21"/>
                <w:szCs w:val="16"/>
                <w:u w:val="single"/>
              </w:rPr>
              <w:t>17</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147</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7</w:t>
            </w:r>
            <w:r>
              <w:rPr>
                <w:sz w:val="21"/>
                <w:szCs w:val="16"/>
                <w:u w:val="single"/>
              </w:rPr>
              <w:t>02</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150</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6</w:t>
            </w:r>
            <w:r>
              <w:rPr>
                <w:sz w:val="21"/>
                <w:szCs w:val="16"/>
                <w:u w:val="single"/>
              </w:rPr>
              <w:t>82</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9</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trPr>
        <w:tc>
          <w:tcPr>
            <w:tcW w:w="339" w:type="pct"/>
            <w:vMerge w:val="restart"/>
            <w:vAlign w:val="center"/>
          </w:tcPr>
          <w:p>
            <w:pPr>
              <w:spacing w:line="240" w:lineRule="auto"/>
              <w:ind w:firstLine="0" w:firstLineChars="0"/>
              <w:jc w:val="center"/>
              <w:rPr>
                <w:sz w:val="21"/>
                <w:szCs w:val="16"/>
                <w:u w:val="single"/>
              </w:rPr>
            </w:pPr>
            <w:r>
              <w:rPr>
                <w:rFonts w:hint="eastAsia"/>
                <w:sz w:val="21"/>
                <w:szCs w:val="16"/>
                <w:u w:val="single"/>
              </w:rPr>
              <w:t>MY</w:t>
            </w:r>
            <w:r>
              <w:rPr>
                <w:sz w:val="21"/>
                <w:szCs w:val="16"/>
                <w:u w:val="single"/>
              </w:rPr>
              <w:t>11</w:t>
            </w:r>
          </w:p>
        </w:tc>
        <w:tc>
          <w:tcPr>
            <w:tcW w:w="841" w:type="pct"/>
            <w:vMerge w:val="restart"/>
            <w:vAlign w:val="center"/>
          </w:tcPr>
          <w:p>
            <w:pPr>
              <w:spacing w:line="240" w:lineRule="auto"/>
              <w:ind w:firstLine="0" w:firstLineChars="0"/>
              <w:jc w:val="center"/>
              <w:rPr>
                <w:sz w:val="21"/>
                <w:szCs w:val="16"/>
                <w:u w:val="single"/>
              </w:rPr>
            </w:pPr>
            <w:r>
              <w:rPr>
                <w:rFonts w:hint="eastAsia"/>
                <w:sz w:val="21"/>
                <w:szCs w:val="16"/>
                <w:u w:val="single"/>
              </w:rPr>
              <w:t>7#原矿堆场</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04</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80</w:t>
            </w:r>
          </w:p>
        </w:tc>
        <w:tc>
          <w:tcPr>
            <w:tcW w:w="468" w:type="pct"/>
            <w:vMerge w:val="restart"/>
            <w:vAlign w:val="center"/>
          </w:tcPr>
          <w:p>
            <w:pPr>
              <w:spacing w:line="240" w:lineRule="auto"/>
              <w:ind w:firstLine="0" w:firstLineChars="0"/>
              <w:jc w:val="center"/>
              <w:rPr>
                <w:sz w:val="21"/>
                <w:szCs w:val="16"/>
                <w:u w:val="single"/>
              </w:rPr>
            </w:pPr>
            <w:r>
              <w:rPr>
                <w:sz w:val="21"/>
                <w:szCs w:val="16"/>
                <w:u w:val="single"/>
              </w:rPr>
              <w:t>111</w:t>
            </w:r>
          </w:p>
        </w:tc>
        <w:tc>
          <w:tcPr>
            <w:tcW w:w="654" w:type="pct"/>
            <w:vMerge w:val="restart"/>
            <w:vAlign w:val="center"/>
          </w:tcPr>
          <w:p>
            <w:pPr>
              <w:spacing w:line="240" w:lineRule="auto"/>
              <w:ind w:firstLine="0" w:firstLineChars="0"/>
              <w:jc w:val="center"/>
              <w:rPr>
                <w:sz w:val="21"/>
                <w:szCs w:val="16"/>
                <w:u w:val="single"/>
              </w:rPr>
            </w:pPr>
            <w:r>
              <w:rPr>
                <w:sz w:val="21"/>
                <w:szCs w:val="16"/>
                <w:u w:val="single"/>
              </w:rPr>
              <w:t>15</w:t>
            </w:r>
          </w:p>
        </w:tc>
        <w:tc>
          <w:tcPr>
            <w:tcW w:w="448" w:type="pct"/>
            <w:vMerge w:val="restart"/>
            <w:vAlign w:val="center"/>
          </w:tcPr>
          <w:p>
            <w:pPr>
              <w:spacing w:line="240" w:lineRule="auto"/>
              <w:ind w:firstLine="0" w:firstLineChars="0"/>
              <w:jc w:val="center"/>
              <w:rPr>
                <w:sz w:val="21"/>
                <w:szCs w:val="16"/>
                <w:u w:val="single"/>
              </w:rPr>
            </w:pPr>
            <w:r>
              <w:rPr>
                <w:sz w:val="21"/>
                <w:szCs w:val="16"/>
                <w:u w:val="single"/>
              </w:rPr>
              <w:t>7290</w:t>
            </w:r>
          </w:p>
        </w:tc>
        <w:tc>
          <w:tcPr>
            <w:tcW w:w="468" w:type="pct"/>
            <w:vMerge w:val="restart"/>
            <w:vAlign w:val="center"/>
          </w:tcPr>
          <w:p>
            <w:pPr>
              <w:spacing w:line="240" w:lineRule="auto"/>
              <w:ind w:firstLine="0" w:firstLineChars="0"/>
              <w:jc w:val="center"/>
              <w:rPr>
                <w:sz w:val="21"/>
                <w:szCs w:val="16"/>
                <w:u w:val="single"/>
              </w:rPr>
            </w:pPr>
            <w:r>
              <w:rPr>
                <w:sz w:val="21"/>
                <w:szCs w:val="16"/>
                <w:u w:val="single"/>
              </w:rPr>
              <w:t>正常工况</w:t>
            </w:r>
          </w:p>
        </w:tc>
        <w:tc>
          <w:tcPr>
            <w:tcW w:w="499" w:type="pct"/>
            <w:vMerge w:val="restar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.05</w:t>
            </w:r>
          </w:p>
        </w:tc>
        <w:tc>
          <w:tcPr>
            <w:tcW w:w="437" w:type="pct"/>
            <w:vMerge w:val="restart"/>
            <w:vAlign w:val="center"/>
          </w:tcPr>
          <w:p>
            <w:pPr>
              <w:spacing w:line="240" w:lineRule="auto"/>
              <w:ind w:firstLine="0" w:firstLineChars="0"/>
              <w:jc w:val="center"/>
              <w:rPr>
                <w:sz w:val="21"/>
                <w:szCs w:val="16"/>
                <w:u w:val="single"/>
              </w:rPr>
            </w:pPr>
            <w:r>
              <w:rPr>
                <w:rFonts w:hint="eastAsia"/>
                <w:sz w:val="21"/>
                <w:szCs w:val="16"/>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04</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40</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04</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1</w:t>
            </w:r>
            <w:r>
              <w:rPr>
                <w:sz w:val="21"/>
                <w:szCs w:val="16"/>
                <w:u w:val="single"/>
              </w:rPr>
              <w:t>35</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3</w:t>
            </w:r>
            <w:r>
              <w:rPr>
                <w:sz w:val="21"/>
                <w:szCs w:val="16"/>
                <w:u w:val="single"/>
              </w:rPr>
              <w:t>47</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2</w:t>
            </w:r>
            <w:r>
              <w:rPr>
                <w:sz w:val="21"/>
                <w:szCs w:val="16"/>
                <w:u w:val="single"/>
              </w:rPr>
              <w:t>78</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trPr>
        <w:tc>
          <w:tcPr>
            <w:tcW w:w="339" w:type="pct"/>
            <w:vMerge w:val="restart"/>
            <w:vAlign w:val="center"/>
          </w:tcPr>
          <w:p>
            <w:pPr>
              <w:spacing w:line="240" w:lineRule="auto"/>
              <w:ind w:firstLine="0" w:firstLineChars="0"/>
              <w:jc w:val="center"/>
              <w:rPr>
                <w:sz w:val="21"/>
                <w:szCs w:val="16"/>
                <w:u w:val="single"/>
              </w:rPr>
            </w:pPr>
            <w:r>
              <w:rPr>
                <w:rFonts w:hint="eastAsia"/>
                <w:sz w:val="21"/>
                <w:szCs w:val="16"/>
                <w:u w:val="single"/>
              </w:rPr>
              <w:t>MY</w:t>
            </w:r>
            <w:r>
              <w:rPr>
                <w:sz w:val="21"/>
                <w:szCs w:val="16"/>
                <w:u w:val="single"/>
              </w:rPr>
              <w:t>12</w:t>
            </w:r>
          </w:p>
        </w:tc>
        <w:tc>
          <w:tcPr>
            <w:tcW w:w="841" w:type="pct"/>
            <w:vMerge w:val="restart"/>
            <w:vAlign w:val="center"/>
          </w:tcPr>
          <w:p>
            <w:pPr>
              <w:spacing w:line="240" w:lineRule="auto"/>
              <w:ind w:firstLine="0" w:firstLineChars="0"/>
              <w:jc w:val="center"/>
              <w:rPr>
                <w:sz w:val="21"/>
                <w:szCs w:val="16"/>
                <w:u w:val="single"/>
              </w:rPr>
            </w:pPr>
            <w:r>
              <w:rPr>
                <w:rFonts w:hint="eastAsia"/>
                <w:sz w:val="21"/>
                <w:szCs w:val="16"/>
                <w:u w:val="single"/>
              </w:rPr>
              <w:t>包装材料生产车间</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668</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90</w:t>
            </w:r>
          </w:p>
        </w:tc>
        <w:tc>
          <w:tcPr>
            <w:tcW w:w="468" w:type="pct"/>
            <w:vMerge w:val="restart"/>
            <w:vAlign w:val="center"/>
          </w:tcPr>
          <w:p>
            <w:pPr>
              <w:spacing w:line="240" w:lineRule="auto"/>
              <w:ind w:firstLine="0" w:firstLineChars="0"/>
              <w:jc w:val="center"/>
              <w:rPr>
                <w:sz w:val="21"/>
                <w:szCs w:val="16"/>
                <w:u w:val="single"/>
              </w:rPr>
            </w:pPr>
            <w:r>
              <w:rPr>
                <w:sz w:val="21"/>
                <w:szCs w:val="16"/>
                <w:u w:val="single"/>
              </w:rPr>
              <w:t>111</w:t>
            </w:r>
          </w:p>
        </w:tc>
        <w:tc>
          <w:tcPr>
            <w:tcW w:w="654" w:type="pct"/>
            <w:vMerge w:val="restart"/>
            <w:vAlign w:val="center"/>
          </w:tcPr>
          <w:p>
            <w:pPr>
              <w:spacing w:line="240" w:lineRule="auto"/>
              <w:ind w:firstLine="0" w:firstLineChars="0"/>
              <w:jc w:val="center"/>
              <w:rPr>
                <w:sz w:val="21"/>
                <w:szCs w:val="16"/>
                <w:u w:val="single"/>
              </w:rPr>
            </w:pPr>
            <w:r>
              <w:rPr>
                <w:sz w:val="21"/>
                <w:szCs w:val="16"/>
                <w:u w:val="single"/>
              </w:rPr>
              <w:t>15</w:t>
            </w:r>
          </w:p>
        </w:tc>
        <w:tc>
          <w:tcPr>
            <w:tcW w:w="448" w:type="pct"/>
            <w:vMerge w:val="restart"/>
            <w:vAlign w:val="center"/>
          </w:tcPr>
          <w:p>
            <w:pPr>
              <w:spacing w:line="240" w:lineRule="auto"/>
              <w:ind w:firstLine="0" w:firstLineChars="0"/>
              <w:jc w:val="center"/>
              <w:rPr>
                <w:sz w:val="21"/>
                <w:szCs w:val="16"/>
                <w:u w:val="single"/>
              </w:rPr>
            </w:pPr>
            <w:r>
              <w:rPr>
                <w:sz w:val="21"/>
                <w:szCs w:val="16"/>
                <w:u w:val="single"/>
              </w:rPr>
              <w:t>7290</w:t>
            </w:r>
          </w:p>
        </w:tc>
        <w:tc>
          <w:tcPr>
            <w:tcW w:w="468" w:type="pct"/>
            <w:vMerge w:val="restart"/>
            <w:vAlign w:val="center"/>
          </w:tcPr>
          <w:p>
            <w:pPr>
              <w:spacing w:line="240" w:lineRule="auto"/>
              <w:ind w:firstLine="0" w:firstLineChars="0"/>
              <w:jc w:val="center"/>
              <w:rPr>
                <w:sz w:val="21"/>
                <w:szCs w:val="16"/>
                <w:u w:val="single"/>
              </w:rPr>
            </w:pPr>
            <w:r>
              <w:rPr>
                <w:sz w:val="21"/>
                <w:szCs w:val="16"/>
                <w:u w:val="single"/>
              </w:rPr>
              <w:t>正常工况</w:t>
            </w:r>
          </w:p>
        </w:tc>
        <w:tc>
          <w:tcPr>
            <w:tcW w:w="499" w:type="pct"/>
            <w:vMerge w:val="restart"/>
            <w:vAlign w:val="center"/>
          </w:tcPr>
          <w:p>
            <w:pPr>
              <w:spacing w:line="240" w:lineRule="auto"/>
              <w:ind w:firstLine="0" w:firstLineChars="0"/>
              <w:jc w:val="center"/>
              <w:rPr>
                <w:sz w:val="21"/>
                <w:szCs w:val="16"/>
                <w:u w:val="single"/>
              </w:rPr>
            </w:pPr>
            <w:r>
              <w:rPr>
                <w:rFonts w:hint="eastAsia"/>
                <w:sz w:val="21"/>
                <w:szCs w:val="16"/>
                <w:u w:val="single"/>
              </w:rPr>
              <w:t>/</w:t>
            </w:r>
          </w:p>
        </w:tc>
        <w:tc>
          <w:tcPr>
            <w:tcW w:w="437" w:type="pct"/>
            <w:vMerge w:val="restart"/>
            <w:vAlign w:val="center"/>
          </w:tcPr>
          <w:p>
            <w:pPr>
              <w:spacing w:line="240" w:lineRule="auto"/>
              <w:ind w:firstLine="0" w:firstLineChars="0"/>
              <w:jc w:val="center"/>
              <w:rPr>
                <w:sz w:val="21"/>
                <w:szCs w:val="16"/>
                <w:u w:val="single"/>
              </w:rPr>
            </w:pPr>
            <w:r>
              <w:rPr>
                <w:rFonts w:hint="eastAsia"/>
                <w:sz w:val="21"/>
                <w:szCs w:val="16"/>
                <w:u w:val="single"/>
              </w:rPr>
              <w:t>0</w:t>
            </w:r>
            <w:r>
              <w:rPr>
                <w:sz w:val="21"/>
                <w:szCs w:val="16"/>
                <w:u w:val="single"/>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666</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29</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234</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27</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339" w:type="pct"/>
            <w:vMerge w:val="continue"/>
            <w:vAlign w:val="center"/>
          </w:tcPr>
          <w:p>
            <w:pPr>
              <w:spacing w:line="240" w:lineRule="auto"/>
              <w:ind w:firstLine="0" w:firstLineChars="0"/>
              <w:jc w:val="center"/>
              <w:rPr>
                <w:sz w:val="21"/>
                <w:szCs w:val="16"/>
                <w:u w:val="single"/>
              </w:rPr>
            </w:pPr>
          </w:p>
        </w:tc>
        <w:tc>
          <w:tcPr>
            <w:tcW w:w="841" w:type="pct"/>
            <w:vMerge w:val="continue"/>
            <w:vAlign w:val="center"/>
          </w:tcPr>
          <w:p>
            <w:pPr>
              <w:spacing w:line="240" w:lineRule="auto"/>
              <w:ind w:firstLine="0" w:firstLineChars="0"/>
              <w:jc w:val="center"/>
              <w:rPr>
                <w:sz w:val="21"/>
                <w:szCs w:val="16"/>
                <w:u w:val="single"/>
              </w:rPr>
            </w:pP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w:t>
            </w:r>
            <w:r>
              <w:rPr>
                <w:sz w:val="21"/>
                <w:szCs w:val="16"/>
                <w:u w:val="single"/>
              </w:rPr>
              <w:t>234</w:t>
            </w:r>
          </w:p>
        </w:tc>
        <w:tc>
          <w:tcPr>
            <w:tcW w:w="423" w:type="pct"/>
            <w:vAlign w:val="center"/>
          </w:tcPr>
          <w:p>
            <w:pPr>
              <w:spacing w:line="240" w:lineRule="auto"/>
              <w:ind w:firstLine="0" w:firstLineChars="0"/>
              <w:jc w:val="center"/>
              <w:rPr>
                <w:sz w:val="21"/>
                <w:szCs w:val="16"/>
                <w:u w:val="single"/>
              </w:rPr>
            </w:pPr>
            <w:r>
              <w:rPr>
                <w:rFonts w:hint="eastAsia"/>
                <w:sz w:val="21"/>
                <w:szCs w:val="16"/>
                <w:u w:val="single"/>
              </w:rPr>
              <w:t>4</w:t>
            </w:r>
            <w:r>
              <w:rPr>
                <w:sz w:val="21"/>
                <w:szCs w:val="16"/>
                <w:u w:val="single"/>
              </w:rPr>
              <w:t>97</w:t>
            </w:r>
          </w:p>
        </w:tc>
        <w:tc>
          <w:tcPr>
            <w:tcW w:w="468" w:type="pct"/>
            <w:vMerge w:val="continue"/>
            <w:vAlign w:val="center"/>
          </w:tcPr>
          <w:p>
            <w:pPr>
              <w:spacing w:line="240" w:lineRule="auto"/>
              <w:ind w:firstLine="0" w:firstLineChars="0"/>
              <w:jc w:val="center"/>
              <w:rPr>
                <w:sz w:val="21"/>
                <w:szCs w:val="16"/>
                <w:u w:val="single"/>
              </w:rPr>
            </w:pPr>
          </w:p>
        </w:tc>
        <w:tc>
          <w:tcPr>
            <w:tcW w:w="654" w:type="pct"/>
            <w:vMerge w:val="continue"/>
            <w:vAlign w:val="center"/>
          </w:tcPr>
          <w:p>
            <w:pPr>
              <w:spacing w:line="240" w:lineRule="auto"/>
              <w:ind w:firstLine="0" w:firstLineChars="0"/>
              <w:jc w:val="center"/>
              <w:rPr>
                <w:sz w:val="21"/>
                <w:szCs w:val="16"/>
                <w:u w:val="single"/>
              </w:rPr>
            </w:pPr>
          </w:p>
        </w:tc>
        <w:tc>
          <w:tcPr>
            <w:tcW w:w="448" w:type="pct"/>
            <w:vMerge w:val="continue"/>
            <w:vAlign w:val="center"/>
          </w:tcPr>
          <w:p>
            <w:pPr>
              <w:spacing w:line="240" w:lineRule="auto"/>
              <w:ind w:firstLine="0" w:firstLineChars="0"/>
              <w:jc w:val="center"/>
              <w:rPr>
                <w:sz w:val="21"/>
                <w:szCs w:val="16"/>
                <w:u w:val="single"/>
              </w:rPr>
            </w:pPr>
          </w:p>
        </w:tc>
        <w:tc>
          <w:tcPr>
            <w:tcW w:w="468" w:type="pct"/>
            <w:vMerge w:val="continue"/>
            <w:vAlign w:val="center"/>
          </w:tcPr>
          <w:p>
            <w:pPr>
              <w:spacing w:line="240" w:lineRule="auto"/>
              <w:ind w:firstLine="0" w:firstLineChars="0"/>
              <w:jc w:val="center"/>
              <w:rPr>
                <w:sz w:val="21"/>
                <w:szCs w:val="16"/>
                <w:u w:val="single"/>
              </w:rPr>
            </w:pPr>
          </w:p>
        </w:tc>
        <w:tc>
          <w:tcPr>
            <w:tcW w:w="499" w:type="pct"/>
            <w:vMerge w:val="continue"/>
            <w:vAlign w:val="center"/>
          </w:tcPr>
          <w:p>
            <w:pPr>
              <w:spacing w:line="240" w:lineRule="auto"/>
              <w:ind w:firstLine="0" w:firstLineChars="0"/>
              <w:jc w:val="center"/>
              <w:rPr>
                <w:sz w:val="21"/>
                <w:szCs w:val="16"/>
                <w:u w:val="single"/>
              </w:rPr>
            </w:pPr>
          </w:p>
        </w:tc>
        <w:tc>
          <w:tcPr>
            <w:tcW w:w="437" w:type="pct"/>
            <w:vMerge w:val="continue"/>
            <w:vAlign w:val="center"/>
          </w:tcPr>
          <w:p>
            <w:pPr>
              <w:spacing w:line="240" w:lineRule="auto"/>
              <w:ind w:firstLine="0" w:firstLineChars="0"/>
              <w:jc w:val="center"/>
              <w:rPr>
                <w:sz w:val="21"/>
                <w:szCs w:val="16"/>
                <w:u w:val="single"/>
              </w:rPr>
            </w:pPr>
          </w:p>
        </w:tc>
      </w:tr>
    </w:tbl>
    <w:p>
      <w:pPr>
        <w:ind w:firstLine="0" w:firstLineChars="0"/>
        <w:jc w:val="center"/>
        <w:rPr>
          <w:rFonts w:cs="Times New Roman"/>
          <w:u w:val="single"/>
        </w:rPr>
      </w:pPr>
    </w:p>
    <w:p>
      <w:pPr>
        <w:ind w:firstLine="0" w:firstLineChars="0"/>
        <w:jc w:val="center"/>
        <w:rPr>
          <w:rFonts w:cs="Times New Roman"/>
          <w:u w:val="single"/>
        </w:rPr>
      </w:pPr>
      <w:r>
        <w:rPr>
          <w:rFonts w:cs="Times New Roman"/>
          <w:u w:val="single"/>
        </w:rPr>
        <w:t>表5.2-10  估算结果表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8"/>
        <w:gridCol w:w="892"/>
        <w:gridCol w:w="794"/>
        <w:gridCol w:w="794"/>
        <w:gridCol w:w="794"/>
        <w:gridCol w:w="794"/>
        <w:gridCol w:w="794"/>
        <w:gridCol w:w="794"/>
        <w:gridCol w:w="794"/>
        <w:gridCol w:w="794"/>
        <w:gridCol w:w="794"/>
        <w:gridCol w:w="794"/>
        <w:gridCol w:w="1477"/>
        <w:gridCol w:w="874"/>
        <w:gridCol w:w="1133"/>
        <w:gridCol w:w="636"/>
        <w:gridCol w:w="1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1" w:type="pct"/>
            <w:gridSpan w:val="2"/>
            <w:vAlign w:val="center"/>
          </w:tcPr>
          <w:p>
            <w:pPr>
              <w:spacing w:line="240" w:lineRule="auto"/>
              <w:ind w:firstLine="0" w:firstLineChars="0"/>
              <w:jc w:val="center"/>
              <w:rPr>
                <w:sz w:val="21"/>
                <w:szCs w:val="16"/>
                <w:u w:val="single"/>
              </w:rPr>
            </w:pPr>
            <w:r>
              <w:rPr>
                <w:sz w:val="21"/>
                <w:szCs w:val="16"/>
                <w:u w:val="single"/>
              </w:rPr>
              <w:t>污染源</w:t>
            </w:r>
          </w:p>
        </w:tc>
        <w:tc>
          <w:tcPr>
            <w:tcW w:w="2599" w:type="pct"/>
            <w:gridSpan w:val="10"/>
            <w:vAlign w:val="center"/>
          </w:tcPr>
          <w:p>
            <w:pPr>
              <w:spacing w:line="240" w:lineRule="auto"/>
              <w:ind w:firstLine="0" w:firstLineChars="0"/>
              <w:jc w:val="center"/>
              <w:rPr>
                <w:sz w:val="21"/>
                <w:szCs w:val="16"/>
                <w:u w:val="single"/>
              </w:rPr>
            </w:pPr>
            <w:r>
              <w:rPr>
                <w:sz w:val="21"/>
                <w:szCs w:val="16"/>
                <w:u w:val="single"/>
              </w:rPr>
              <w:t>下风向距离xm处浓度ug/m</w:t>
            </w:r>
            <w:r>
              <w:rPr>
                <w:sz w:val="21"/>
                <w:szCs w:val="16"/>
                <w:u w:val="single"/>
                <w:vertAlign w:val="superscript"/>
              </w:rPr>
              <w:t>3</w:t>
            </w:r>
          </w:p>
        </w:tc>
        <w:tc>
          <w:tcPr>
            <w:tcW w:w="519" w:type="pct"/>
            <w:vMerge w:val="restart"/>
            <w:vAlign w:val="center"/>
          </w:tcPr>
          <w:p>
            <w:pPr>
              <w:spacing w:line="240" w:lineRule="auto"/>
              <w:ind w:firstLine="0" w:firstLineChars="0"/>
              <w:jc w:val="center"/>
              <w:rPr>
                <w:sz w:val="21"/>
                <w:szCs w:val="16"/>
                <w:u w:val="single"/>
              </w:rPr>
            </w:pPr>
            <w:r>
              <w:rPr>
                <w:sz w:val="21"/>
                <w:szCs w:val="16"/>
                <w:u w:val="single"/>
              </w:rPr>
              <w:t>最大落地浓度</w:t>
            </w:r>
          </w:p>
          <w:p>
            <w:pPr>
              <w:spacing w:line="240" w:lineRule="auto"/>
              <w:ind w:firstLine="0" w:firstLineChars="0"/>
              <w:jc w:val="center"/>
              <w:rPr>
                <w:sz w:val="21"/>
                <w:szCs w:val="16"/>
                <w:u w:val="single"/>
              </w:rPr>
            </w:pPr>
            <w:r>
              <w:rPr>
                <w:sz w:val="21"/>
                <w:szCs w:val="16"/>
                <w:u w:val="single"/>
              </w:rPr>
              <w:t>ug/m</w:t>
            </w:r>
            <w:r>
              <w:rPr>
                <w:sz w:val="21"/>
                <w:szCs w:val="16"/>
                <w:u w:val="single"/>
                <w:vertAlign w:val="superscript"/>
              </w:rPr>
              <w:t>3</w:t>
            </w:r>
          </w:p>
        </w:tc>
        <w:tc>
          <w:tcPr>
            <w:tcW w:w="300" w:type="pct"/>
            <w:vMerge w:val="restart"/>
            <w:vAlign w:val="center"/>
          </w:tcPr>
          <w:p>
            <w:pPr>
              <w:spacing w:line="240" w:lineRule="auto"/>
              <w:ind w:firstLine="0" w:firstLineChars="0"/>
              <w:jc w:val="center"/>
              <w:rPr>
                <w:sz w:val="21"/>
                <w:szCs w:val="16"/>
                <w:u w:val="single"/>
              </w:rPr>
            </w:pPr>
            <w:r>
              <w:rPr>
                <w:sz w:val="21"/>
                <w:szCs w:val="16"/>
                <w:u w:val="single"/>
              </w:rPr>
              <w:t>占标率</w:t>
            </w:r>
          </w:p>
          <w:p>
            <w:pPr>
              <w:spacing w:line="240" w:lineRule="auto"/>
              <w:ind w:firstLine="0" w:firstLineChars="0"/>
              <w:jc w:val="center"/>
              <w:rPr>
                <w:sz w:val="21"/>
                <w:szCs w:val="16"/>
                <w:u w:val="single"/>
              </w:rPr>
            </w:pPr>
            <w:r>
              <w:rPr>
                <w:sz w:val="21"/>
                <w:szCs w:val="16"/>
                <w:u w:val="single"/>
              </w:rPr>
              <w:t>%</w:t>
            </w:r>
          </w:p>
        </w:tc>
        <w:tc>
          <w:tcPr>
            <w:tcW w:w="387" w:type="pct"/>
            <w:vMerge w:val="restart"/>
            <w:vAlign w:val="center"/>
          </w:tcPr>
          <w:p>
            <w:pPr>
              <w:spacing w:line="240" w:lineRule="auto"/>
              <w:ind w:firstLine="0" w:firstLineChars="0"/>
              <w:jc w:val="center"/>
              <w:rPr>
                <w:sz w:val="21"/>
                <w:szCs w:val="16"/>
                <w:u w:val="single"/>
              </w:rPr>
            </w:pPr>
            <w:r>
              <w:rPr>
                <w:sz w:val="21"/>
                <w:szCs w:val="16"/>
                <w:u w:val="single"/>
              </w:rPr>
              <w:t>最大落地</w:t>
            </w:r>
          </w:p>
          <w:p>
            <w:pPr>
              <w:spacing w:line="240" w:lineRule="auto"/>
              <w:ind w:firstLine="0" w:firstLineChars="0"/>
              <w:jc w:val="center"/>
              <w:rPr>
                <w:sz w:val="21"/>
                <w:szCs w:val="16"/>
                <w:u w:val="single"/>
              </w:rPr>
            </w:pPr>
            <w:r>
              <w:rPr>
                <w:sz w:val="21"/>
                <w:szCs w:val="16"/>
                <w:u w:val="single"/>
              </w:rPr>
              <w:t>距离m</w:t>
            </w:r>
          </w:p>
        </w:tc>
        <w:tc>
          <w:tcPr>
            <w:tcW w:w="217" w:type="pct"/>
            <w:vMerge w:val="restart"/>
          </w:tcPr>
          <w:p>
            <w:pPr>
              <w:spacing w:line="240" w:lineRule="auto"/>
              <w:ind w:firstLine="0" w:firstLineChars="0"/>
              <w:jc w:val="center"/>
              <w:rPr>
                <w:sz w:val="21"/>
                <w:szCs w:val="16"/>
                <w:u w:val="single"/>
              </w:rPr>
            </w:pPr>
            <w:r>
              <w:rPr>
                <w:sz w:val="21"/>
                <w:szCs w:val="16"/>
                <w:u w:val="single"/>
              </w:rPr>
              <w:t>D</w:t>
            </w:r>
            <w:r>
              <w:rPr>
                <w:sz w:val="21"/>
                <w:szCs w:val="16"/>
                <w:u w:val="single"/>
                <w:vertAlign w:val="subscript"/>
              </w:rPr>
              <w:t>10%</w:t>
            </w:r>
          </w:p>
          <w:p>
            <w:pPr>
              <w:spacing w:line="240" w:lineRule="auto"/>
              <w:ind w:firstLine="0" w:firstLineChars="0"/>
              <w:jc w:val="center"/>
              <w:rPr>
                <w:sz w:val="21"/>
                <w:szCs w:val="16"/>
                <w:u w:val="single"/>
              </w:rPr>
            </w:pPr>
            <w:r>
              <w:rPr>
                <w:sz w:val="21"/>
                <w:szCs w:val="16"/>
                <w:u w:val="single"/>
              </w:rPr>
              <w:t>m</w:t>
            </w:r>
          </w:p>
        </w:tc>
        <w:tc>
          <w:tcPr>
            <w:tcW w:w="376" w:type="pct"/>
            <w:vMerge w:val="restart"/>
            <w:vAlign w:val="center"/>
          </w:tcPr>
          <w:p>
            <w:pPr>
              <w:spacing w:line="240" w:lineRule="auto"/>
              <w:ind w:firstLine="0" w:firstLineChars="0"/>
              <w:jc w:val="center"/>
              <w:rPr>
                <w:sz w:val="21"/>
                <w:szCs w:val="16"/>
                <w:u w:val="single"/>
              </w:rPr>
            </w:pPr>
            <w:r>
              <w:rPr>
                <w:sz w:val="21"/>
                <w:szCs w:val="16"/>
                <w:u w:val="single"/>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Align w:val="center"/>
          </w:tcPr>
          <w:p>
            <w:pPr>
              <w:spacing w:line="240" w:lineRule="auto"/>
              <w:ind w:firstLine="0" w:firstLineChars="0"/>
              <w:jc w:val="center"/>
              <w:rPr>
                <w:sz w:val="21"/>
                <w:szCs w:val="16"/>
                <w:u w:val="single"/>
              </w:rPr>
            </w:pPr>
            <w:r>
              <w:rPr>
                <w:sz w:val="21"/>
                <w:szCs w:val="16"/>
                <w:u w:val="single"/>
              </w:rPr>
              <w:t>编号</w:t>
            </w:r>
          </w:p>
        </w:tc>
        <w:tc>
          <w:tcPr>
            <w:tcW w:w="306" w:type="pct"/>
            <w:vAlign w:val="center"/>
          </w:tcPr>
          <w:p>
            <w:pPr>
              <w:spacing w:line="240" w:lineRule="auto"/>
              <w:ind w:firstLine="0" w:firstLineChars="0"/>
              <w:jc w:val="center"/>
              <w:rPr>
                <w:sz w:val="21"/>
                <w:szCs w:val="16"/>
                <w:u w:val="single"/>
              </w:rPr>
            </w:pPr>
            <w:r>
              <w:rPr>
                <w:sz w:val="21"/>
                <w:szCs w:val="16"/>
                <w:u w:val="single"/>
              </w:rPr>
              <w:t>污染物</w:t>
            </w:r>
          </w:p>
        </w:tc>
        <w:tc>
          <w:tcPr>
            <w:tcW w:w="271" w:type="pct"/>
            <w:vAlign w:val="center"/>
          </w:tcPr>
          <w:p>
            <w:pPr>
              <w:spacing w:line="240" w:lineRule="auto"/>
              <w:ind w:firstLine="0" w:firstLineChars="0"/>
              <w:jc w:val="center"/>
              <w:rPr>
                <w:sz w:val="21"/>
                <w:szCs w:val="16"/>
                <w:u w:val="single"/>
              </w:rPr>
            </w:pPr>
            <w:r>
              <w:rPr>
                <w:sz w:val="21"/>
                <w:szCs w:val="16"/>
                <w:u w:val="single"/>
              </w:rPr>
              <w:t>10</w:t>
            </w:r>
          </w:p>
        </w:tc>
        <w:tc>
          <w:tcPr>
            <w:tcW w:w="271" w:type="pct"/>
            <w:vAlign w:val="center"/>
          </w:tcPr>
          <w:p>
            <w:pPr>
              <w:spacing w:line="240" w:lineRule="auto"/>
              <w:ind w:firstLine="0" w:firstLineChars="0"/>
              <w:jc w:val="center"/>
              <w:rPr>
                <w:sz w:val="21"/>
                <w:szCs w:val="16"/>
                <w:u w:val="single"/>
              </w:rPr>
            </w:pPr>
            <w:r>
              <w:rPr>
                <w:sz w:val="21"/>
                <w:szCs w:val="16"/>
                <w:u w:val="single"/>
              </w:rPr>
              <w:t>50</w:t>
            </w:r>
          </w:p>
        </w:tc>
        <w:tc>
          <w:tcPr>
            <w:tcW w:w="271" w:type="pct"/>
            <w:vAlign w:val="center"/>
          </w:tcPr>
          <w:p>
            <w:pPr>
              <w:spacing w:line="240" w:lineRule="auto"/>
              <w:ind w:firstLine="0" w:firstLineChars="0"/>
              <w:jc w:val="center"/>
              <w:rPr>
                <w:sz w:val="21"/>
                <w:szCs w:val="16"/>
                <w:u w:val="single"/>
              </w:rPr>
            </w:pPr>
            <w:r>
              <w:rPr>
                <w:sz w:val="21"/>
                <w:szCs w:val="16"/>
                <w:u w:val="single"/>
              </w:rPr>
              <w:t>100</w:t>
            </w:r>
          </w:p>
        </w:tc>
        <w:tc>
          <w:tcPr>
            <w:tcW w:w="271" w:type="pct"/>
            <w:vAlign w:val="center"/>
          </w:tcPr>
          <w:p>
            <w:pPr>
              <w:spacing w:line="240" w:lineRule="auto"/>
              <w:ind w:firstLine="0" w:firstLineChars="0"/>
              <w:jc w:val="center"/>
              <w:rPr>
                <w:sz w:val="21"/>
                <w:szCs w:val="16"/>
                <w:u w:val="single"/>
              </w:rPr>
            </w:pPr>
            <w:r>
              <w:rPr>
                <w:sz w:val="21"/>
                <w:szCs w:val="16"/>
                <w:u w:val="single"/>
              </w:rPr>
              <w:t>200</w:t>
            </w:r>
          </w:p>
        </w:tc>
        <w:tc>
          <w:tcPr>
            <w:tcW w:w="271" w:type="pct"/>
            <w:vAlign w:val="center"/>
          </w:tcPr>
          <w:p>
            <w:pPr>
              <w:spacing w:line="240" w:lineRule="auto"/>
              <w:ind w:firstLine="0" w:firstLineChars="0"/>
              <w:jc w:val="center"/>
              <w:rPr>
                <w:sz w:val="21"/>
                <w:szCs w:val="16"/>
                <w:u w:val="single"/>
              </w:rPr>
            </w:pPr>
            <w:r>
              <w:rPr>
                <w:sz w:val="21"/>
                <w:szCs w:val="16"/>
                <w:u w:val="single"/>
              </w:rPr>
              <w:t>300</w:t>
            </w:r>
          </w:p>
        </w:tc>
        <w:tc>
          <w:tcPr>
            <w:tcW w:w="271" w:type="pct"/>
            <w:vAlign w:val="center"/>
          </w:tcPr>
          <w:p>
            <w:pPr>
              <w:spacing w:line="240" w:lineRule="auto"/>
              <w:ind w:firstLine="0" w:firstLineChars="0"/>
              <w:jc w:val="center"/>
              <w:rPr>
                <w:sz w:val="21"/>
                <w:szCs w:val="16"/>
                <w:u w:val="single"/>
              </w:rPr>
            </w:pPr>
            <w:r>
              <w:rPr>
                <w:sz w:val="21"/>
                <w:szCs w:val="16"/>
                <w:u w:val="single"/>
              </w:rPr>
              <w:t>400</w:t>
            </w:r>
          </w:p>
        </w:tc>
        <w:tc>
          <w:tcPr>
            <w:tcW w:w="271" w:type="pct"/>
            <w:vAlign w:val="center"/>
          </w:tcPr>
          <w:p>
            <w:pPr>
              <w:spacing w:line="240" w:lineRule="auto"/>
              <w:ind w:firstLine="0" w:firstLineChars="0"/>
              <w:jc w:val="center"/>
              <w:rPr>
                <w:sz w:val="21"/>
                <w:szCs w:val="16"/>
                <w:u w:val="single"/>
              </w:rPr>
            </w:pPr>
            <w:r>
              <w:rPr>
                <w:sz w:val="21"/>
                <w:szCs w:val="16"/>
                <w:u w:val="single"/>
              </w:rPr>
              <w:t>500</w:t>
            </w:r>
          </w:p>
        </w:tc>
        <w:tc>
          <w:tcPr>
            <w:tcW w:w="235" w:type="pct"/>
            <w:vAlign w:val="center"/>
          </w:tcPr>
          <w:p>
            <w:pPr>
              <w:spacing w:line="240" w:lineRule="auto"/>
              <w:ind w:firstLine="0" w:firstLineChars="0"/>
              <w:jc w:val="center"/>
              <w:rPr>
                <w:sz w:val="21"/>
                <w:szCs w:val="16"/>
                <w:u w:val="single"/>
              </w:rPr>
            </w:pPr>
            <w:r>
              <w:rPr>
                <w:sz w:val="21"/>
                <w:szCs w:val="16"/>
                <w:u w:val="single"/>
              </w:rPr>
              <w:t>750</w:t>
            </w:r>
          </w:p>
        </w:tc>
        <w:tc>
          <w:tcPr>
            <w:tcW w:w="235" w:type="pct"/>
            <w:vAlign w:val="center"/>
          </w:tcPr>
          <w:p>
            <w:pPr>
              <w:spacing w:line="240" w:lineRule="auto"/>
              <w:ind w:firstLine="0" w:firstLineChars="0"/>
              <w:jc w:val="center"/>
              <w:rPr>
                <w:sz w:val="21"/>
                <w:szCs w:val="16"/>
                <w:u w:val="single"/>
              </w:rPr>
            </w:pPr>
            <w:r>
              <w:rPr>
                <w:sz w:val="21"/>
                <w:szCs w:val="16"/>
                <w:u w:val="single"/>
              </w:rPr>
              <w:t>1000</w:t>
            </w:r>
          </w:p>
        </w:tc>
        <w:tc>
          <w:tcPr>
            <w:tcW w:w="235" w:type="pct"/>
            <w:vAlign w:val="center"/>
          </w:tcPr>
          <w:p>
            <w:pPr>
              <w:spacing w:line="240" w:lineRule="auto"/>
              <w:ind w:firstLine="0" w:firstLineChars="0"/>
              <w:jc w:val="center"/>
              <w:rPr>
                <w:sz w:val="21"/>
                <w:szCs w:val="16"/>
                <w:u w:val="single"/>
              </w:rPr>
            </w:pPr>
            <w:r>
              <w:rPr>
                <w:sz w:val="21"/>
                <w:szCs w:val="16"/>
                <w:u w:val="single"/>
              </w:rPr>
              <w:t>1500</w:t>
            </w:r>
          </w:p>
        </w:tc>
        <w:tc>
          <w:tcPr>
            <w:tcW w:w="519" w:type="pct"/>
            <w:vMerge w:val="continue"/>
            <w:vAlign w:val="center"/>
          </w:tcPr>
          <w:p>
            <w:pPr>
              <w:spacing w:line="240" w:lineRule="auto"/>
              <w:ind w:firstLine="0" w:firstLineChars="0"/>
              <w:jc w:val="center"/>
              <w:rPr>
                <w:sz w:val="21"/>
                <w:szCs w:val="16"/>
                <w:u w:val="single"/>
              </w:rPr>
            </w:pPr>
          </w:p>
        </w:tc>
        <w:tc>
          <w:tcPr>
            <w:tcW w:w="300" w:type="pct"/>
            <w:vMerge w:val="continue"/>
            <w:vAlign w:val="center"/>
          </w:tcPr>
          <w:p>
            <w:pPr>
              <w:spacing w:line="240" w:lineRule="auto"/>
              <w:ind w:firstLine="0" w:firstLineChars="0"/>
              <w:jc w:val="center"/>
              <w:rPr>
                <w:sz w:val="21"/>
                <w:szCs w:val="16"/>
                <w:u w:val="single"/>
              </w:rPr>
            </w:pPr>
          </w:p>
        </w:tc>
        <w:tc>
          <w:tcPr>
            <w:tcW w:w="387" w:type="pct"/>
            <w:vMerge w:val="continue"/>
            <w:vAlign w:val="center"/>
          </w:tcPr>
          <w:p>
            <w:pPr>
              <w:spacing w:line="240" w:lineRule="auto"/>
              <w:ind w:firstLine="0" w:firstLineChars="0"/>
              <w:jc w:val="center"/>
              <w:rPr>
                <w:sz w:val="21"/>
                <w:szCs w:val="16"/>
                <w:u w:val="single"/>
              </w:rPr>
            </w:pPr>
          </w:p>
        </w:tc>
        <w:tc>
          <w:tcPr>
            <w:tcW w:w="217" w:type="pct"/>
            <w:vMerge w:val="continue"/>
          </w:tcPr>
          <w:p>
            <w:pPr>
              <w:spacing w:line="240" w:lineRule="auto"/>
              <w:ind w:firstLine="0" w:firstLineChars="0"/>
              <w:jc w:val="center"/>
              <w:rPr>
                <w:sz w:val="21"/>
                <w:szCs w:val="16"/>
                <w:u w:val="single"/>
              </w:rPr>
            </w:pPr>
          </w:p>
        </w:tc>
        <w:tc>
          <w:tcPr>
            <w:tcW w:w="376" w:type="pct"/>
            <w:vMerge w:val="continue"/>
            <w:vAlign w:val="center"/>
          </w:tcPr>
          <w:p>
            <w:pPr>
              <w:spacing w:line="240" w:lineRule="auto"/>
              <w:ind w:firstLine="0" w:firstLineChars="0"/>
              <w:jc w:val="center"/>
              <w:rPr>
                <w:sz w:val="21"/>
                <w:szCs w:val="16"/>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Align w:val="center"/>
          </w:tcPr>
          <w:p>
            <w:pPr>
              <w:spacing w:line="240" w:lineRule="auto"/>
              <w:ind w:firstLine="0" w:firstLineChars="0"/>
              <w:jc w:val="center"/>
              <w:rPr>
                <w:sz w:val="21"/>
                <w:szCs w:val="16"/>
                <w:u w:val="single"/>
              </w:rPr>
            </w:pPr>
            <w:r>
              <w:rPr>
                <w:sz w:val="21"/>
                <w:szCs w:val="16"/>
                <w:u w:val="single"/>
              </w:rPr>
              <w:t>DA001</w:t>
            </w:r>
          </w:p>
        </w:tc>
        <w:tc>
          <w:tcPr>
            <w:tcW w:w="306" w:type="pct"/>
            <w:vAlign w:val="center"/>
          </w:tcPr>
          <w:p>
            <w:pPr>
              <w:spacing w:line="240" w:lineRule="auto"/>
              <w:ind w:firstLine="0" w:firstLineChars="0"/>
              <w:jc w:val="center"/>
              <w:rPr>
                <w:sz w:val="21"/>
                <w:szCs w:val="16"/>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2.86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37.43</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46.27</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25.02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27.44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22.53</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18.95</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12.92</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9.97</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7.08</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49.74</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11.05</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81</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100</w:t>
            </w:r>
          </w:p>
        </w:tc>
        <w:tc>
          <w:tcPr>
            <w:tcW w:w="376" w:type="pct"/>
            <w:vAlign w:val="center"/>
          </w:tcPr>
          <w:p>
            <w:pPr>
              <w:spacing w:line="240" w:lineRule="auto"/>
              <w:ind w:firstLine="0" w:firstLineChars="0"/>
              <w:jc w:val="center"/>
              <w:rPr>
                <w:b/>
                <w:bCs/>
                <w:sz w:val="21"/>
                <w:szCs w:val="16"/>
                <w:u w:val="single"/>
              </w:rPr>
            </w:pPr>
            <w:r>
              <w:rPr>
                <w:rFonts w:hint="eastAsia"/>
                <w:b/>
                <w:bCs/>
                <w:color w:val="000000"/>
                <w:sz w:val="21"/>
                <w:szCs w:val="21"/>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restart"/>
            <w:vAlign w:val="center"/>
          </w:tcPr>
          <w:p>
            <w:pPr>
              <w:spacing w:line="240" w:lineRule="auto"/>
              <w:ind w:firstLine="0" w:firstLineChars="0"/>
              <w:jc w:val="center"/>
              <w:rPr>
                <w:sz w:val="21"/>
                <w:szCs w:val="16"/>
                <w:u w:val="single"/>
              </w:rPr>
            </w:pPr>
            <w:r>
              <w:rPr>
                <w:sz w:val="21"/>
                <w:szCs w:val="16"/>
                <w:u w:val="single"/>
              </w:rPr>
              <w:t>DA002</w:t>
            </w:r>
          </w:p>
        </w:tc>
        <w:tc>
          <w:tcPr>
            <w:tcW w:w="306" w:type="pct"/>
            <w:vAlign w:val="center"/>
          </w:tcPr>
          <w:p>
            <w:pPr>
              <w:spacing w:line="240" w:lineRule="auto"/>
              <w:ind w:firstLine="0" w:firstLineChars="0"/>
              <w:jc w:val="center"/>
              <w:rPr>
                <w:sz w:val="21"/>
                <w:szCs w:val="16"/>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4.33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13.47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14.54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12.90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11.25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8.08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5.99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3.62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15.02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3.34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16"/>
                <w:u w:val="single"/>
              </w:rPr>
            </w:pPr>
          </w:p>
        </w:tc>
        <w:tc>
          <w:tcPr>
            <w:tcW w:w="306" w:type="pct"/>
            <w:vAlign w:val="center"/>
          </w:tcPr>
          <w:p>
            <w:pPr>
              <w:spacing w:line="240" w:lineRule="auto"/>
              <w:ind w:firstLine="0" w:firstLineChars="0"/>
              <w:jc w:val="center"/>
              <w:rPr>
                <w:sz w:val="21"/>
                <w:szCs w:val="16"/>
                <w:u w:val="single"/>
              </w:rPr>
            </w:pPr>
            <w:r>
              <w:rPr>
                <w:sz w:val="21"/>
                <w:szCs w:val="21"/>
                <w:u w:val="single"/>
              </w:rPr>
              <w:t>SO</w:t>
            </w:r>
            <w:r>
              <w:rPr>
                <w:sz w:val="21"/>
                <w:szCs w:val="21"/>
                <w:u w:val="single"/>
                <w:vertAlign w:val="subscript"/>
              </w:rPr>
              <w:t>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3.95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4.26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3.78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2.37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1.76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0.90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4.40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0.88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Merge w:val="continue"/>
            <w:vAlign w:val="center"/>
          </w:tcPr>
          <w:p>
            <w:pPr>
              <w:spacing w:line="240" w:lineRule="auto"/>
              <w:ind w:firstLine="0" w:firstLineChars="0"/>
              <w:jc w:val="center"/>
              <w:rPr>
                <w:sz w:val="21"/>
                <w:szCs w:val="16"/>
                <w:u w:val="single"/>
              </w:rPr>
            </w:pPr>
          </w:p>
        </w:tc>
        <w:tc>
          <w:tcPr>
            <w:tcW w:w="306" w:type="pct"/>
            <w:vAlign w:val="center"/>
          </w:tcPr>
          <w:p>
            <w:pPr>
              <w:spacing w:line="240" w:lineRule="auto"/>
              <w:ind w:firstLine="0" w:firstLineChars="0"/>
              <w:jc w:val="center"/>
              <w:rPr>
                <w:sz w:val="21"/>
                <w:szCs w:val="16"/>
                <w:u w:val="single"/>
              </w:rPr>
            </w:pPr>
            <w:r>
              <w:rPr>
                <w:sz w:val="21"/>
                <w:szCs w:val="21"/>
                <w:u w:val="single"/>
              </w:rPr>
              <w:t>NO</w:t>
            </w:r>
            <w:r>
              <w:rPr>
                <w:sz w:val="21"/>
                <w:szCs w:val="21"/>
                <w:u w:val="single"/>
                <w:vertAlign w:val="subscript"/>
              </w:rPr>
              <w:t>x</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3.05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3.98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12.38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13.35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11.85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10.33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7.42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5.50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3.51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13.79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5.52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restart"/>
            <w:vAlign w:val="center"/>
          </w:tcPr>
          <w:p>
            <w:pPr>
              <w:spacing w:line="240" w:lineRule="auto"/>
              <w:ind w:firstLine="0" w:firstLineChars="0"/>
              <w:jc w:val="center"/>
              <w:rPr>
                <w:sz w:val="21"/>
                <w:szCs w:val="16"/>
                <w:u w:val="single"/>
              </w:rPr>
            </w:pPr>
            <w:r>
              <w:rPr>
                <w:sz w:val="21"/>
                <w:szCs w:val="16"/>
                <w:u w:val="single"/>
              </w:rPr>
              <w:t>DA003</w:t>
            </w:r>
          </w:p>
        </w:tc>
        <w:tc>
          <w:tcPr>
            <w:tcW w:w="306" w:type="pct"/>
            <w:vAlign w:val="center"/>
          </w:tcPr>
          <w:p>
            <w:pPr>
              <w:spacing w:line="240" w:lineRule="auto"/>
              <w:ind w:firstLine="0" w:firstLineChars="0"/>
              <w:jc w:val="center"/>
              <w:rPr>
                <w:sz w:val="21"/>
                <w:szCs w:val="16"/>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4.33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13.47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14.54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12.90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11.25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8.08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5.99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3.62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15.02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3.34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Merge w:val="continue"/>
            <w:vAlign w:val="center"/>
          </w:tcPr>
          <w:p>
            <w:pPr>
              <w:spacing w:line="240" w:lineRule="auto"/>
              <w:ind w:firstLine="0" w:firstLineChars="0"/>
              <w:jc w:val="center"/>
              <w:rPr>
                <w:sz w:val="21"/>
                <w:szCs w:val="16"/>
                <w:u w:val="single"/>
              </w:rPr>
            </w:pPr>
          </w:p>
        </w:tc>
        <w:tc>
          <w:tcPr>
            <w:tcW w:w="306" w:type="pct"/>
            <w:vAlign w:val="center"/>
          </w:tcPr>
          <w:p>
            <w:pPr>
              <w:spacing w:line="240" w:lineRule="auto"/>
              <w:ind w:firstLine="0" w:firstLineChars="0"/>
              <w:jc w:val="center"/>
              <w:rPr>
                <w:sz w:val="21"/>
                <w:szCs w:val="16"/>
                <w:u w:val="single"/>
              </w:rPr>
            </w:pPr>
            <w:r>
              <w:rPr>
                <w:sz w:val="21"/>
                <w:szCs w:val="21"/>
                <w:u w:val="single"/>
              </w:rPr>
              <w:t>SO</w:t>
            </w:r>
            <w:r>
              <w:rPr>
                <w:sz w:val="21"/>
                <w:szCs w:val="21"/>
                <w:u w:val="single"/>
                <w:vertAlign w:val="subscript"/>
              </w:rPr>
              <w:t>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3.95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4.26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3.78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2.37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1.76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0.90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4.40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0.88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16"/>
                <w:u w:val="single"/>
              </w:rPr>
            </w:pPr>
          </w:p>
        </w:tc>
        <w:tc>
          <w:tcPr>
            <w:tcW w:w="306" w:type="pct"/>
            <w:vAlign w:val="center"/>
          </w:tcPr>
          <w:p>
            <w:pPr>
              <w:spacing w:line="240" w:lineRule="auto"/>
              <w:ind w:firstLine="0" w:firstLineChars="0"/>
              <w:jc w:val="center"/>
              <w:rPr>
                <w:sz w:val="21"/>
                <w:szCs w:val="16"/>
                <w:u w:val="single"/>
              </w:rPr>
            </w:pPr>
            <w:r>
              <w:rPr>
                <w:sz w:val="21"/>
                <w:szCs w:val="21"/>
                <w:u w:val="single"/>
              </w:rPr>
              <w:t>NO</w:t>
            </w:r>
            <w:r>
              <w:rPr>
                <w:sz w:val="21"/>
                <w:szCs w:val="21"/>
                <w:u w:val="single"/>
                <w:vertAlign w:val="subscript"/>
              </w:rPr>
              <w:t>x</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3.05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3.98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12.38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13.35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11.85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10.33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7.42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5.50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3.51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13.79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5.52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restart"/>
            <w:vAlign w:val="center"/>
          </w:tcPr>
          <w:p>
            <w:pPr>
              <w:spacing w:line="240" w:lineRule="auto"/>
              <w:ind w:firstLine="0" w:firstLineChars="0"/>
              <w:jc w:val="center"/>
              <w:rPr>
                <w:sz w:val="21"/>
                <w:szCs w:val="16"/>
                <w:u w:val="single"/>
              </w:rPr>
            </w:pPr>
            <w:r>
              <w:rPr>
                <w:sz w:val="21"/>
                <w:szCs w:val="16"/>
                <w:u w:val="single"/>
              </w:rPr>
              <w:t>DA004</w:t>
            </w:r>
          </w:p>
        </w:tc>
        <w:tc>
          <w:tcPr>
            <w:tcW w:w="306" w:type="pct"/>
            <w:vAlign w:val="center"/>
          </w:tcPr>
          <w:p>
            <w:pPr>
              <w:spacing w:line="240" w:lineRule="auto"/>
              <w:ind w:firstLine="0" w:firstLineChars="0"/>
              <w:jc w:val="center"/>
              <w:rPr>
                <w:sz w:val="21"/>
                <w:szCs w:val="16"/>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4.33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13.47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14.54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12.90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11.25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8.08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5.99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3.62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15.02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3.34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Merge w:val="continue"/>
            <w:vAlign w:val="center"/>
          </w:tcPr>
          <w:p>
            <w:pPr>
              <w:spacing w:line="240" w:lineRule="auto"/>
              <w:ind w:firstLine="0" w:firstLineChars="0"/>
              <w:jc w:val="center"/>
              <w:rPr>
                <w:sz w:val="21"/>
                <w:szCs w:val="16"/>
                <w:u w:val="single"/>
              </w:rPr>
            </w:pPr>
          </w:p>
        </w:tc>
        <w:tc>
          <w:tcPr>
            <w:tcW w:w="306" w:type="pct"/>
            <w:vAlign w:val="center"/>
          </w:tcPr>
          <w:p>
            <w:pPr>
              <w:spacing w:line="240" w:lineRule="auto"/>
              <w:ind w:firstLine="0" w:firstLineChars="0"/>
              <w:jc w:val="center"/>
              <w:rPr>
                <w:sz w:val="21"/>
                <w:szCs w:val="16"/>
                <w:u w:val="single"/>
              </w:rPr>
            </w:pPr>
            <w:r>
              <w:rPr>
                <w:sz w:val="21"/>
                <w:szCs w:val="21"/>
                <w:u w:val="single"/>
              </w:rPr>
              <w:t>SO</w:t>
            </w:r>
            <w:r>
              <w:rPr>
                <w:sz w:val="21"/>
                <w:szCs w:val="21"/>
                <w:u w:val="single"/>
                <w:vertAlign w:val="subscript"/>
              </w:rPr>
              <w:t>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3.95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4.26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3.78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2.37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1.76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0.90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4.40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0.88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16"/>
                <w:u w:val="single"/>
              </w:rPr>
            </w:pPr>
          </w:p>
        </w:tc>
        <w:tc>
          <w:tcPr>
            <w:tcW w:w="306" w:type="pct"/>
            <w:vAlign w:val="center"/>
          </w:tcPr>
          <w:p>
            <w:pPr>
              <w:spacing w:line="240" w:lineRule="auto"/>
              <w:ind w:firstLine="0" w:firstLineChars="0"/>
              <w:jc w:val="center"/>
              <w:rPr>
                <w:sz w:val="21"/>
                <w:szCs w:val="16"/>
                <w:u w:val="single"/>
              </w:rPr>
            </w:pPr>
            <w:r>
              <w:rPr>
                <w:sz w:val="21"/>
                <w:szCs w:val="21"/>
                <w:u w:val="single"/>
              </w:rPr>
              <w:t>NO</w:t>
            </w:r>
            <w:r>
              <w:rPr>
                <w:sz w:val="21"/>
                <w:szCs w:val="21"/>
                <w:u w:val="single"/>
                <w:vertAlign w:val="subscript"/>
              </w:rPr>
              <w:t>x</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3.05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3.98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12.38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13.35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11.85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10.33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7.42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5.50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3.51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13.79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5.52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restart"/>
            <w:vAlign w:val="center"/>
          </w:tcPr>
          <w:p>
            <w:pPr>
              <w:spacing w:line="240" w:lineRule="auto"/>
              <w:ind w:firstLine="0" w:firstLineChars="0"/>
              <w:jc w:val="center"/>
              <w:rPr>
                <w:sz w:val="21"/>
                <w:szCs w:val="16"/>
                <w:u w:val="single"/>
              </w:rPr>
            </w:pPr>
            <w:r>
              <w:rPr>
                <w:rFonts w:hint="eastAsia"/>
                <w:sz w:val="21"/>
                <w:szCs w:val="16"/>
                <w:u w:val="single"/>
              </w:rPr>
              <w:t>DA</w:t>
            </w:r>
            <w:r>
              <w:rPr>
                <w:sz w:val="21"/>
                <w:szCs w:val="16"/>
                <w:u w:val="single"/>
              </w:rPr>
              <w:t>005</w:t>
            </w:r>
          </w:p>
        </w:tc>
        <w:tc>
          <w:tcPr>
            <w:tcW w:w="306" w:type="pct"/>
            <w:vAlign w:val="center"/>
          </w:tcPr>
          <w:p>
            <w:pPr>
              <w:spacing w:line="240" w:lineRule="auto"/>
              <w:ind w:firstLine="0" w:firstLineChars="0"/>
              <w:jc w:val="center"/>
              <w:rPr>
                <w:sz w:val="21"/>
                <w:szCs w:val="21"/>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4.33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13.47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14.54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12.90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11.25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8.08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5.99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3.62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15.02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3.34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16"/>
                <w:u w:val="single"/>
              </w:rPr>
            </w:pPr>
          </w:p>
        </w:tc>
        <w:tc>
          <w:tcPr>
            <w:tcW w:w="306" w:type="pct"/>
            <w:vAlign w:val="center"/>
          </w:tcPr>
          <w:p>
            <w:pPr>
              <w:spacing w:line="240" w:lineRule="auto"/>
              <w:ind w:firstLine="0" w:firstLineChars="0"/>
              <w:jc w:val="center"/>
              <w:rPr>
                <w:sz w:val="21"/>
                <w:szCs w:val="21"/>
                <w:u w:val="single"/>
              </w:rPr>
            </w:pPr>
            <w:r>
              <w:rPr>
                <w:sz w:val="21"/>
                <w:szCs w:val="21"/>
                <w:u w:val="single"/>
              </w:rPr>
              <w:t>SO</w:t>
            </w:r>
            <w:r>
              <w:rPr>
                <w:sz w:val="21"/>
                <w:szCs w:val="21"/>
                <w:u w:val="single"/>
                <w:vertAlign w:val="subscript"/>
              </w:rPr>
              <w:t>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3.95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4.26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3.78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2.37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1.76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0.90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4.40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0.88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16"/>
                <w:u w:val="single"/>
              </w:rPr>
            </w:pPr>
          </w:p>
        </w:tc>
        <w:tc>
          <w:tcPr>
            <w:tcW w:w="306" w:type="pct"/>
            <w:vAlign w:val="center"/>
          </w:tcPr>
          <w:p>
            <w:pPr>
              <w:spacing w:line="240" w:lineRule="auto"/>
              <w:ind w:firstLine="0" w:firstLineChars="0"/>
              <w:jc w:val="center"/>
              <w:rPr>
                <w:sz w:val="21"/>
                <w:szCs w:val="21"/>
                <w:u w:val="single"/>
              </w:rPr>
            </w:pPr>
            <w:r>
              <w:rPr>
                <w:sz w:val="21"/>
                <w:szCs w:val="21"/>
                <w:u w:val="single"/>
              </w:rPr>
              <w:t>NO</w:t>
            </w:r>
            <w:r>
              <w:rPr>
                <w:sz w:val="21"/>
                <w:szCs w:val="21"/>
                <w:u w:val="single"/>
                <w:vertAlign w:val="subscript"/>
              </w:rPr>
              <w:t>x</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3.05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3.98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12.38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13.35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11.85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10.33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7.42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5.50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3.51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13.79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5.52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Merge w:val="continue"/>
            <w:vAlign w:val="center"/>
          </w:tcPr>
          <w:p>
            <w:pPr>
              <w:spacing w:line="240" w:lineRule="auto"/>
              <w:ind w:firstLine="0" w:firstLineChars="0"/>
              <w:jc w:val="center"/>
              <w:rPr>
                <w:sz w:val="21"/>
                <w:szCs w:val="16"/>
                <w:u w:val="single"/>
              </w:rPr>
            </w:pPr>
          </w:p>
        </w:tc>
        <w:tc>
          <w:tcPr>
            <w:tcW w:w="306" w:type="pct"/>
            <w:vAlign w:val="center"/>
          </w:tcPr>
          <w:p>
            <w:pPr>
              <w:spacing w:line="240" w:lineRule="auto"/>
              <w:ind w:firstLine="0" w:firstLineChars="0"/>
              <w:jc w:val="center"/>
              <w:rPr>
                <w:sz w:val="21"/>
                <w:szCs w:val="21"/>
                <w:u w:val="single"/>
              </w:rPr>
            </w:pPr>
            <w:r>
              <w:rPr>
                <w:rFonts w:hint="eastAsia"/>
                <w:sz w:val="21"/>
                <w:szCs w:val="21"/>
                <w:u w:val="single"/>
              </w:rPr>
              <w:t>VOCs</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0.18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0.17</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0.22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0.25</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0.22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0.19</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0.13</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0.1</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0.07</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0.25</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0.02</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restart"/>
            <w:vAlign w:val="center"/>
          </w:tcPr>
          <w:p>
            <w:pPr>
              <w:spacing w:line="240" w:lineRule="auto"/>
              <w:ind w:firstLine="0" w:firstLineChars="0"/>
              <w:jc w:val="center"/>
              <w:rPr>
                <w:sz w:val="21"/>
                <w:szCs w:val="21"/>
                <w:u w:val="single"/>
              </w:rPr>
            </w:pPr>
            <w:r>
              <w:rPr>
                <w:sz w:val="21"/>
                <w:szCs w:val="21"/>
                <w:u w:val="single"/>
              </w:rPr>
              <w:t>DA006</w:t>
            </w:r>
          </w:p>
        </w:tc>
        <w:tc>
          <w:tcPr>
            <w:tcW w:w="306" w:type="pct"/>
          </w:tcPr>
          <w:p>
            <w:pPr>
              <w:spacing w:line="240" w:lineRule="auto"/>
              <w:ind w:firstLine="0" w:firstLineChars="0"/>
              <w:jc w:val="center"/>
              <w:rPr>
                <w:sz w:val="21"/>
                <w:szCs w:val="16"/>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0.16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0.11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0.39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0.09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300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16"/>
                <w:u w:val="single"/>
              </w:rPr>
            </w:pPr>
            <w:r>
              <w:rPr>
                <w:sz w:val="21"/>
                <w:szCs w:val="21"/>
                <w:u w:val="single"/>
              </w:rPr>
              <w:t>SO</w:t>
            </w:r>
            <w:r>
              <w:rPr>
                <w:sz w:val="21"/>
                <w:szCs w:val="21"/>
                <w:u w:val="single"/>
                <w:vertAlign w:val="subscript"/>
              </w:rPr>
              <w:t>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1.46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1.69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3.14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3.63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3.28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2.84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1.96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1.44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0.91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3.63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0.73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300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16"/>
                <w:u w:val="single"/>
              </w:rPr>
            </w:pPr>
            <w:r>
              <w:rPr>
                <w:sz w:val="21"/>
                <w:szCs w:val="21"/>
                <w:u w:val="single"/>
              </w:rPr>
              <w:t>NO</w:t>
            </w:r>
            <w:r>
              <w:rPr>
                <w:sz w:val="21"/>
                <w:szCs w:val="21"/>
                <w:u w:val="single"/>
                <w:vertAlign w:val="subscript"/>
              </w:rPr>
              <w:t>x</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16.45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19.10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35.39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40.92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37.03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31.98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22.14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16.26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11.58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40.92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16.37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300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900</w:t>
            </w:r>
          </w:p>
        </w:tc>
        <w:tc>
          <w:tcPr>
            <w:tcW w:w="376" w:type="pct"/>
            <w:vAlign w:val="center"/>
          </w:tcPr>
          <w:p>
            <w:pPr>
              <w:spacing w:line="240" w:lineRule="auto"/>
              <w:ind w:firstLine="0" w:firstLineChars="0"/>
              <w:jc w:val="center"/>
              <w:rPr>
                <w:b/>
                <w:bCs/>
                <w:sz w:val="21"/>
                <w:szCs w:val="16"/>
                <w:u w:val="single"/>
              </w:rPr>
            </w:pPr>
            <w:r>
              <w:rPr>
                <w:rFonts w:hint="eastAsia"/>
                <w:b/>
                <w:bCs/>
                <w:color w:val="000000"/>
                <w:sz w:val="21"/>
                <w:szCs w:val="21"/>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16"/>
                <w:u w:val="single"/>
              </w:rPr>
            </w:pPr>
            <w:r>
              <w:rPr>
                <w:sz w:val="21"/>
                <w:szCs w:val="21"/>
                <w:u w:val="single"/>
              </w:rPr>
              <w:t>氟化物</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0.69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0.80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0.72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0.62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0.43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0.24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0.80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3.99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300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restart"/>
            <w:vAlign w:val="center"/>
          </w:tcPr>
          <w:p>
            <w:pPr>
              <w:spacing w:line="240" w:lineRule="auto"/>
              <w:ind w:firstLine="0" w:firstLineChars="0"/>
              <w:jc w:val="center"/>
              <w:rPr>
                <w:sz w:val="21"/>
                <w:szCs w:val="21"/>
                <w:u w:val="single"/>
              </w:rPr>
            </w:pPr>
            <w:r>
              <w:rPr>
                <w:sz w:val="21"/>
                <w:szCs w:val="21"/>
                <w:u w:val="single"/>
              </w:rPr>
              <w:t>DA007</w:t>
            </w:r>
          </w:p>
        </w:tc>
        <w:tc>
          <w:tcPr>
            <w:tcW w:w="306" w:type="pct"/>
            <w:vAlign w:val="center"/>
          </w:tcPr>
          <w:p>
            <w:pPr>
              <w:spacing w:line="240" w:lineRule="auto"/>
              <w:ind w:firstLine="0" w:firstLineChars="0"/>
              <w:jc w:val="center"/>
              <w:rPr>
                <w:sz w:val="21"/>
                <w:szCs w:val="21"/>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0.50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0.14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0.53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0.12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250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21"/>
                <w:u w:val="single"/>
              </w:rPr>
            </w:pPr>
            <w:r>
              <w:rPr>
                <w:sz w:val="21"/>
                <w:szCs w:val="21"/>
                <w:u w:val="single"/>
              </w:rPr>
              <w:t>SO</w:t>
            </w:r>
            <w:r>
              <w:rPr>
                <w:sz w:val="21"/>
                <w:szCs w:val="21"/>
                <w:u w:val="single"/>
                <w:vertAlign w:val="subscript"/>
              </w:rPr>
              <w:t>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1.53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1.81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4.28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4.61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4.26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3.67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2.67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1.88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1.20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4.87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0.98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250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21"/>
                <w:u w:val="single"/>
              </w:rPr>
            </w:pPr>
            <w:r>
              <w:rPr>
                <w:sz w:val="21"/>
                <w:szCs w:val="21"/>
                <w:u w:val="single"/>
              </w:rPr>
              <w:t>NO</w:t>
            </w:r>
            <w:r>
              <w:rPr>
                <w:sz w:val="21"/>
                <w:szCs w:val="21"/>
                <w:u w:val="single"/>
                <w:vertAlign w:val="subscript"/>
              </w:rPr>
              <w:t>x</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17.25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20.36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48.23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51.96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48.01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41.36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30.09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21.18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12.70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54.92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21.97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250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1000</w:t>
            </w:r>
          </w:p>
        </w:tc>
        <w:tc>
          <w:tcPr>
            <w:tcW w:w="376" w:type="pct"/>
            <w:vAlign w:val="center"/>
          </w:tcPr>
          <w:p>
            <w:pPr>
              <w:spacing w:line="240" w:lineRule="auto"/>
              <w:ind w:firstLine="0" w:firstLineChars="0"/>
              <w:jc w:val="center"/>
              <w:rPr>
                <w:b/>
                <w:bCs/>
                <w:sz w:val="21"/>
                <w:szCs w:val="16"/>
                <w:u w:val="single"/>
              </w:rPr>
            </w:pPr>
            <w:r>
              <w:rPr>
                <w:rFonts w:hint="eastAsia"/>
                <w:b/>
                <w:bCs/>
                <w:color w:val="000000"/>
                <w:sz w:val="21"/>
                <w:szCs w:val="21"/>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21"/>
                <w:u w:val="single"/>
              </w:rPr>
            </w:pPr>
            <w:r>
              <w:rPr>
                <w:sz w:val="21"/>
                <w:szCs w:val="21"/>
                <w:u w:val="single"/>
              </w:rPr>
              <w:t>氟化物</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0.82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0.59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0.29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1.08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5.42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250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Merge w:val="restart"/>
            <w:vAlign w:val="center"/>
          </w:tcPr>
          <w:p>
            <w:pPr>
              <w:spacing w:line="240" w:lineRule="auto"/>
              <w:ind w:firstLine="0" w:firstLineChars="0"/>
              <w:jc w:val="center"/>
              <w:rPr>
                <w:sz w:val="21"/>
                <w:szCs w:val="21"/>
                <w:u w:val="single"/>
              </w:rPr>
            </w:pPr>
            <w:r>
              <w:rPr>
                <w:sz w:val="21"/>
                <w:szCs w:val="21"/>
                <w:u w:val="single"/>
              </w:rPr>
              <w:t>DA008</w:t>
            </w:r>
          </w:p>
        </w:tc>
        <w:tc>
          <w:tcPr>
            <w:tcW w:w="306" w:type="pct"/>
            <w:vAlign w:val="center"/>
          </w:tcPr>
          <w:p>
            <w:pPr>
              <w:spacing w:line="240" w:lineRule="auto"/>
              <w:ind w:firstLine="0" w:firstLineChars="0"/>
              <w:jc w:val="center"/>
              <w:rPr>
                <w:sz w:val="21"/>
                <w:szCs w:val="21"/>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0.58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0.62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0.55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0.34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0.26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0.17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0.64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0.14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271</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21"/>
                <w:u w:val="single"/>
              </w:rPr>
            </w:pPr>
            <w:r>
              <w:rPr>
                <w:sz w:val="21"/>
                <w:szCs w:val="21"/>
                <w:u w:val="single"/>
              </w:rPr>
              <w:t>SO</w:t>
            </w:r>
            <w:r>
              <w:rPr>
                <w:sz w:val="21"/>
                <w:szCs w:val="21"/>
                <w:u w:val="single"/>
                <w:vertAlign w:val="subscript"/>
              </w:rPr>
              <w:t>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1.21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1.62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5.33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5.78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5.08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4.45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3.18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2.39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1.64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5.94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1.19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271</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21"/>
                <w:u w:val="single"/>
              </w:rPr>
            </w:pPr>
            <w:r>
              <w:rPr>
                <w:sz w:val="21"/>
                <w:szCs w:val="21"/>
                <w:u w:val="single"/>
              </w:rPr>
              <w:t>NO</w:t>
            </w:r>
            <w:r>
              <w:rPr>
                <w:sz w:val="21"/>
                <w:szCs w:val="21"/>
                <w:u w:val="single"/>
                <w:vertAlign w:val="subscript"/>
              </w:rPr>
              <w:t>x</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13.64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18.24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60.16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65.21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57.26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50.18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35.91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26.93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15.51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66.99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26.80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271</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1000</w:t>
            </w:r>
          </w:p>
        </w:tc>
        <w:tc>
          <w:tcPr>
            <w:tcW w:w="376" w:type="pct"/>
            <w:vAlign w:val="center"/>
          </w:tcPr>
          <w:p>
            <w:pPr>
              <w:spacing w:line="240" w:lineRule="auto"/>
              <w:ind w:firstLine="0" w:firstLineChars="0"/>
              <w:jc w:val="center"/>
              <w:rPr>
                <w:b/>
                <w:bCs/>
                <w:sz w:val="21"/>
                <w:szCs w:val="16"/>
                <w:u w:val="single"/>
              </w:rPr>
            </w:pPr>
            <w:r>
              <w:rPr>
                <w:rFonts w:hint="eastAsia"/>
                <w:b/>
                <w:bCs/>
                <w:color w:val="000000"/>
                <w:sz w:val="21"/>
                <w:szCs w:val="21"/>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21"/>
                <w:u w:val="single"/>
              </w:rPr>
            </w:pPr>
            <w:r>
              <w:rPr>
                <w:sz w:val="21"/>
                <w:szCs w:val="21"/>
                <w:u w:val="single"/>
              </w:rPr>
              <w:t>氟化物</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0.01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0.71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0.53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0.36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1.32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6.60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271</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Merge w:val="restart"/>
            <w:vAlign w:val="center"/>
          </w:tcPr>
          <w:p>
            <w:pPr>
              <w:spacing w:line="240" w:lineRule="auto"/>
              <w:ind w:firstLine="0" w:firstLineChars="0"/>
              <w:jc w:val="center"/>
              <w:rPr>
                <w:sz w:val="21"/>
                <w:szCs w:val="21"/>
                <w:u w:val="single"/>
              </w:rPr>
            </w:pPr>
            <w:r>
              <w:rPr>
                <w:sz w:val="21"/>
                <w:szCs w:val="21"/>
                <w:u w:val="single"/>
              </w:rPr>
              <w:t>DA009</w:t>
            </w:r>
          </w:p>
        </w:tc>
        <w:tc>
          <w:tcPr>
            <w:tcW w:w="306" w:type="pct"/>
            <w:vAlign w:val="center"/>
          </w:tcPr>
          <w:p>
            <w:pPr>
              <w:spacing w:line="240" w:lineRule="auto"/>
              <w:ind w:firstLine="0" w:firstLineChars="0"/>
              <w:jc w:val="center"/>
              <w:rPr>
                <w:sz w:val="21"/>
                <w:szCs w:val="21"/>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0.17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0.50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0.20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0.14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0.53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0.12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250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21"/>
                <w:u w:val="single"/>
              </w:rPr>
            </w:pPr>
            <w:r>
              <w:rPr>
                <w:sz w:val="21"/>
                <w:szCs w:val="21"/>
                <w:u w:val="single"/>
              </w:rPr>
              <w:t>SO</w:t>
            </w:r>
            <w:r>
              <w:rPr>
                <w:sz w:val="21"/>
                <w:szCs w:val="21"/>
                <w:u w:val="single"/>
                <w:vertAlign w:val="subscript"/>
              </w:rPr>
              <w:t>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0.02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1.53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1.81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4.28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4.61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4.26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3.67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2.67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1.88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1.20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4.87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0.98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250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21"/>
                <w:u w:val="single"/>
              </w:rPr>
            </w:pPr>
            <w:r>
              <w:rPr>
                <w:sz w:val="21"/>
                <w:szCs w:val="21"/>
                <w:u w:val="single"/>
              </w:rPr>
              <w:t>NO</w:t>
            </w:r>
            <w:r>
              <w:rPr>
                <w:sz w:val="21"/>
                <w:szCs w:val="21"/>
                <w:u w:val="single"/>
                <w:vertAlign w:val="subscript"/>
              </w:rPr>
              <w:t>x</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17.25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20.36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48.23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51.96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48.01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41.36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30.09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21.18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12.70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54.92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21.97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250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1000</w:t>
            </w:r>
          </w:p>
        </w:tc>
        <w:tc>
          <w:tcPr>
            <w:tcW w:w="376" w:type="pct"/>
            <w:vAlign w:val="center"/>
          </w:tcPr>
          <w:p>
            <w:pPr>
              <w:spacing w:line="240" w:lineRule="auto"/>
              <w:ind w:firstLine="0" w:firstLineChars="0"/>
              <w:jc w:val="center"/>
              <w:rPr>
                <w:sz w:val="21"/>
                <w:szCs w:val="16"/>
                <w:u w:val="single"/>
              </w:rPr>
            </w:pPr>
            <w:r>
              <w:rPr>
                <w:rFonts w:hint="eastAsia"/>
                <w:b/>
                <w:bCs/>
                <w:color w:val="000000"/>
                <w:sz w:val="21"/>
                <w:szCs w:val="21"/>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Merge w:val="continue"/>
            <w:vAlign w:val="center"/>
          </w:tcPr>
          <w:p>
            <w:pPr>
              <w:spacing w:line="240" w:lineRule="auto"/>
              <w:ind w:firstLine="0" w:firstLineChars="0"/>
              <w:jc w:val="center"/>
              <w:rPr>
                <w:sz w:val="21"/>
                <w:szCs w:val="21"/>
                <w:u w:val="single"/>
              </w:rPr>
            </w:pPr>
          </w:p>
        </w:tc>
        <w:tc>
          <w:tcPr>
            <w:tcW w:w="306" w:type="pct"/>
            <w:vAlign w:val="center"/>
          </w:tcPr>
          <w:p>
            <w:pPr>
              <w:spacing w:line="240" w:lineRule="auto"/>
              <w:ind w:firstLine="0" w:firstLineChars="0"/>
              <w:jc w:val="center"/>
              <w:rPr>
                <w:sz w:val="21"/>
                <w:szCs w:val="21"/>
                <w:u w:val="single"/>
              </w:rPr>
            </w:pPr>
            <w:r>
              <w:rPr>
                <w:sz w:val="21"/>
                <w:szCs w:val="21"/>
                <w:u w:val="single"/>
              </w:rPr>
              <w:t>氟化物</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0.34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0.40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0.95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0.82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0.59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0.42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0.29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1.08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5.42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250</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Align w:val="center"/>
          </w:tcPr>
          <w:p>
            <w:pPr>
              <w:spacing w:line="240" w:lineRule="auto"/>
              <w:ind w:firstLine="0" w:firstLineChars="0"/>
              <w:jc w:val="center"/>
              <w:rPr>
                <w:sz w:val="21"/>
                <w:szCs w:val="21"/>
                <w:u w:val="single"/>
              </w:rPr>
            </w:pPr>
            <w:r>
              <w:rPr>
                <w:rFonts w:hint="eastAsia"/>
                <w:sz w:val="21"/>
                <w:szCs w:val="21"/>
                <w:u w:val="single"/>
              </w:rPr>
              <w:t>D</w:t>
            </w:r>
            <w:r>
              <w:rPr>
                <w:sz w:val="21"/>
                <w:szCs w:val="21"/>
                <w:u w:val="single"/>
              </w:rPr>
              <w:t>A010</w:t>
            </w:r>
          </w:p>
        </w:tc>
        <w:tc>
          <w:tcPr>
            <w:tcW w:w="306" w:type="pct"/>
          </w:tcPr>
          <w:p>
            <w:pPr>
              <w:spacing w:line="240" w:lineRule="auto"/>
              <w:ind w:firstLine="0" w:firstLineChars="0"/>
              <w:jc w:val="center"/>
              <w:rPr>
                <w:sz w:val="21"/>
                <w:szCs w:val="21"/>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4.19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2.28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2.49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2.04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1.72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0.91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0.65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4.50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1.00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81</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rFonts w:hint="eastAsia"/>
                <w:sz w:val="21"/>
                <w:szCs w:val="21"/>
                <w:u w:val="single"/>
              </w:rPr>
              <w:t>D</w:t>
            </w:r>
            <w:r>
              <w:rPr>
                <w:sz w:val="21"/>
                <w:szCs w:val="21"/>
                <w:u w:val="single"/>
              </w:rPr>
              <w:t>A011</w:t>
            </w:r>
          </w:p>
        </w:tc>
        <w:tc>
          <w:tcPr>
            <w:tcW w:w="306" w:type="pct"/>
          </w:tcPr>
          <w:p>
            <w:pPr>
              <w:spacing w:line="240" w:lineRule="auto"/>
              <w:ind w:firstLine="0" w:firstLineChars="0"/>
              <w:jc w:val="center"/>
              <w:rPr>
                <w:sz w:val="21"/>
                <w:szCs w:val="21"/>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4.19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2.28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2.49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2.04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1.72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0.91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0.65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4.50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1.00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81</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Align w:val="center"/>
          </w:tcPr>
          <w:p>
            <w:pPr>
              <w:spacing w:line="240" w:lineRule="auto"/>
              <w:ind w:firstLine="0" w:firstLineChars="0"/>
              <w:jc w:val="center"/>
              <w:rPr>
                <w:sz w:val="21"/>
                <w:szCs w:val="21"/>
                <w:u w:val="single"/>
              </w:rPr>
            </w:pPr>
            <w:r>
              <w:rPr>
                <w:rFonts w:hint="eastAsia"/>
                <w:sz w:val="21"/>
                <w:szCs w:val="21"/>
                <w:u w:val="single"/>
              </w:rPr>
              <w:t>D</w:t>
            </w:r>
            <w:r>
              <w:rPr>
                <w:sz w:val="21"/>
                <w:szCs w:val="21"/>
                <w:u w:val="single"/>
              </w:rPr>
              <w:t>A012</w:t>
            </w:r>
          </w:p>
        </w:tc>
        <w:tc>
          <w:tcPr>
            <w:tcW w:w="306" w:type="pct"/>
          </w:tcPr>
          <w:p>
            <w:pPr>
              <w:spacing w:line="240" w:lineRule="auto"/>
              <w:ind w:firstLine="0" w:firstLineChars="0"/>
              <w:jc w:val="center"/>
              <w:rPr>
                <w:sz w:val="21"/>
                <w:szCs w:val="21"/>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4.19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2.28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2.49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2.04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1.72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0.91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0.65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4.50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1.00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81</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rFonts w:hint="eastAsia"/>
                <w:sz w:val="21"/>
                <w:szCs w:val="21"/>
                <w:u w:val="single"/>
              </w:rPr>
              <w:t>D</w:t>
            </w:r>
            <w:r>
              <w:rPr>
                <w:sz w:val="21"/>
                <w:szCs w:val="21"/>
                <w:u w:val="single"/>
              </w:rPr>
              <w:t>A013</w:t>
            </w:r>
          </w:p>
        </w:tc>
        <w:tc>
          <w:tcPr>
            <w:tcW w:w="306" w:type="pct"/>
          </w:tcPr>
          <w:p>
            <w:pPr>
              <w:spacing w:line="240" w:lineRule="auto"/>
              <w:ind w:firstLine="0" w:firstLineChars="0"/>
              <w:jc w:val="center"/>
              <w:rPr>
                <w:sz w:val="21"/>
                <w:szCs w:val="21"/>
                <w:u w:val="single"/>
              </w:rPr>
            </w:pPr>
            <w:r>
              <w:rPr>
                <w:sz w:val="21"/>
                <w:szCs w:val="16"/>
                <w:u w:val="single"/>
              </w:rPr>
              <w:t>PM</w:t>
            </w:r>
            <w:r>
              <w:rPr>
                <w:sz w:val="21"/>
                <w:szCs w:val="16"/>
                <w:u w:val="single"/>
                <w:vertAlign w:val="subscript"/>
              </w:rPr>
              <w:t>10</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0.03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3.39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4.19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2.28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2.49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2.04 </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1.72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1.17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0.91 </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0.65 </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4.50 </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 xml:space="preserve">1.00 </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81</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sz w:val="21"/>
                <w:szCs w:val="21"/>
                <w:u w:val="single"/>
              </w:rPr>
              <w:t>MY01</w:t>
            </w:r>
          </w:p>
        </w:tc>
        <w:tc>
          <w:tcPr>
            <w:tcW w:w="306" w:type="pct"/>
            <w:vAlign w:val="center"/>
          </w:tcPr>
          <w:p>
            <w:pPr>
              <w:spacing w:line="240" w:lineRule="auto"/>
              <w:ind w:firstLine="0" w:firstLineChars="0"/>
              <w:jc w:val="center"/>
              <w:rPr>
                <w:sz w:val="21"/>
                <w:szCs w:val="21"/>
                <w:u w:val="single"/>
              </w:rPr>
            </w:pPr>
            <w:r>
              <w:rPr>
                <w:sz w:val="21"/>
                <w:szCs w:val="21"/>
                <w:u w:val="single"/>
              </w:rPr>
              <w:t>TSP</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92.7</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119.41</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147.27</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145.93</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136.79</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121.15</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106.1</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81.63</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67.29</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48.39</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162.26</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18.03</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144</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625</w:t>
            </w:r>
          </w:p>
        </w:tc>
        <w:tc>
          <w:tcPr>
            <w:tcW w:w="376" w:type="pct"/>
            <w:vAlign w:val="center"/>
          </w:tcPr>
          <w:p>
            <w:pPr>
              <w:spacing w:line="240" w:lineRule="auto"/>
              <w:ind w:firstLine="0" w:firstLineChars="0"/>
              <w:jc w:val="center"/>
              <w:rPr>
                <w:b/>
                <w:bCs/>
                <w:sz w:val="21"/>
                <w:szCs w:val="16"/>
                <w:u w:val="single"/>
              </w:rPr>
            </w:pPr>
            <w:r>
              <w:rPr>
                <w:rFonts w:hint="eastAsia"/>
                <w:b/>
                <w:bCs/>
                <w:color w:val="000000"/>
                <w:sz w:val="21"/>
                <w:szCs w:val="21"/>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sz w:val="21"/>
                <w:szCs w:val="21"/>
                <w:u w:val="single"/>
              </w:rPr>
              <w:t>MY02</w:t>
            </w:r>
          </w:p>
        </w:tc>
        <w:tc>
          <w:tcPr>
            <w:tcW w:w="306" w:type="pct"/>
          </w:tcPr>
          <w:p>
            <w:pPr>
              <w:spacing w:line="240" w:lineRule="auto"/>
              <w:ind w:firstLine="0" w:firstLineChars="0"/>
              <w:jc w:val="center"/>
              <w:rPr>
                <w:sz w:val="21"/>
                <w:szCs w:val="21"/>
                <w:u w:val="single"/>
              </w:rPr>
            </w:pPr>
            <w:r>
              <w:rPr>
                <w:sz w:val="21"/>
                <w:szCs w:val="21"/>
                <w:u w:val="single"/>
              </w:rPr>
              <w:t>TSP</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89.38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112.38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135.53</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141.96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131.96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117.13</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102.6</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78.91</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65.04</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46.77</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151.7</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16.86</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146</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600</w:t>
            </w:r>
          </w:p>
        </w:tc>
        <w:tc>
          <w:tcPr>
            <w:tcW w:w="376" w:type="pct"/>
            <w:vAlign w:val="center"/>
          </w:tcPr>
          <w:p>
            <w:pPr>
              <w:spacing w:line="240" w:lineRule="auto"/>
              <w:ind w:firstLine="0" w:firstLineChars="0"/>
              <w:jc w:val="center"/>
              <w:rPr>
                <w:b/>
                <w:bCs/>
                <w:sz w:val="21"/>
                <w:szCs w:val="16"/>
                <w:u w:val="single"/>
              </w:rPr>
            </w:pPr>
            <w:r>
              <w:rPr>
                <w:rFonts w:hint="eastAsia"/>
                <w:b/>
                <w:bCs/>
                <w:color w:val="000000"/>
                <w:sz w:val="21"/>
                <w:szCs w:val="21"/>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sz w:val="21"/>
                <w:szCs w:val="21"/>
                <w:u w:val="single"/>
              </w:rPr>
              <w:t>MY03</w:t>
            </w:r>
          </w:p>
        </w:tc>
        <w:tc>
          <w:tcPr>
            <w:tcW w:w="306" w:type="pct"/>
          </w:tcPr>
          <w:p>
            <w:pPr>
              <w:spacing w:line="240" w:lineRule="auto"/>
              <w:ind w:firstLine="0" w:firstLineChars="0"/>
              <w:jc w:val="center"/>
              <w:rPr>
                <w:sz w:val="21"/>
                <w:szCs w:val="21"/>
                <w:u w:val="single"/>
              </w:rPr>
            </w:pPr>
            <w:r>
              <w:rPr>
                <w:sz w:val="21"/>
                <w:szCs w:val="21"/>
                <w:u w:val="single"/>
              </w:rPr>
              <w:t>TSP</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4.71</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5.74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6.82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6.14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5.34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4.63</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3.52</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2.88</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2.06</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7.74</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0.83</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141</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sz w:val="21"/>
                <w:szCs w:val="21"/>
                <w:u w:val="single"/>
              </w:rPr>
              <w:t>MY04</w:t>
            </w:r>
          </w:p>
        </w:tc>
        <w:tc>
          <w:tcPr>
            <w:tcW w:w="306" w:type="pct"/>
          </w:tcPr>
          <w:p>
            <w:pPr>
              <w:spacing w:line="240" w:lineRule="auto"/>
              <w:ind w:firstLine="0" w:firstLineChars="0"/>
              <w:jc w:val="center"/>
              <w:rPr>
                <w:sz w:val="21"/>
                <w:szCs w:val="21"/>
                <w:u w:val="single"/>
              </w:rPr>
            </w:pPr>
            <w:r>
              <w:rPr>
                <w:sz w:val="21"/>
                <w:szCs w:val="21"/>
                <w:u w:val="single"/>
              </w:rPr>
              <w:t>TSP</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10.99</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14.36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17.71</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11.86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10.22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8.72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7.5</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5.67</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4.63</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3.31</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17.2</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1.91</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96</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sz w:val="21"/>
                <w:szCs w:val="21"/>
                <w:u w:val="single"/>
              </w:rPr>
              <w:t>MY05</w:t>
            </w:r>
          </w:p>
        </w:tc>
        <w:tc>
          <w:tcPr>
            <w:tcW w:w="306" w:type="pct"/>
          </w:tcPr>
          <w:p>
            <w:pPr>
              <w:spacing w:line="240" w:lineRule="auto"/>
              <w:ind w:firstLine="0" w:firstLineChars="0"/>
              <w:jc w:val="center"/>
              <w:rPr>
                <w:sz w:val="21"/>
                <w:szCs w:val="21"/>
                <w:u w:val="single"/>
              </w:rPr>
            </w:pPr>
            <w:r>
              <w:rPr>
                <w:sz w:val="21"/>
                <w:szCs w:val="21"/>
                <w:u w:val="single"/>
              </w:rPr>
              <w:t>TSP</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23</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24.23</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26.48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30.97</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34.9</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34.82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31.02</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23.02</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18.71</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13.34</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36.19</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4.02</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336</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sz w:val="21"/>
                <w:szCs w:val="21"/>
                <w:u w:val="single"/>
              </w:rPr>
              <w:t>MY06</w:t>
            </w:r>
          </w:p>
        </w:tc>
        <w:tc>
          <w:tcPr>
            <w:tcW w:w="306" w:type="pct"/>
          </w:tcPr>
          <w:p>
            <w:pPr>
              <w:spacing w:line="240" w:lineRule="auto"/>
              <w:ind w:firstLine="0" w:firstLineChars="0"/>
              <w:jc w:val="center"/>
              <w:rPr>
                <w:sz w:val="21"/>
                <w:szCs w:val="21"/>
                <w:u w:val="single"/>
              </w:rPr>
            </w:pPr>
            <w:r>
              <w:rPr>
                <w:sz w:val="21"/>
                <w:szCs w:val="21"/>
                <w:u w:val="single"/>
              </w:rPr>
              <w:t>TSP</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143.48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169.84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195.65</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174.52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149.21</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126.76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108.55</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81.44</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66.36</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47.28</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221.91</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23.55</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139</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625</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5" w:type="pct"/>
            <w:vAlign w:val="center"/>
          </w:tcPr>
          <w:p>
            <w:pPr>
              <w:spacing w:line="240" w:lineRule="auto"/>
              <w:ind w:firstLine="0" w:firstLineChars="0"/>
              <w:jc w:val="center"/>
              <w:rPr>
                <w:sz w:val="21"/>
                <w:szCs w:val="21"/>
                <w:u w:val="single"/>
              </w:rPr>
            </w:pPr>
            <w:r>
              <w:rPr>
                <w:sz w:val="21"/>
                <w:szCs w:val="21"/>
                <w:u w:val="single"/>
              </w:rPr>
              <w:t>MY07</w:t>
            </w:r>
          </w:p>
        </w:tc>
        <w:tc>
          <w:tcPr>
            <w:tcW w:w="306" w:type="pct"/>
          </w:tcPr>
          <w:p>
            <w:pPr>
              <w:spacing w:line="240" w:lineRule="auto"/>
              <w:ind w:firstLine="0" w:firstLineChars="0"/>
              <w:jc w:val="center"/>
              <w:rPr>
                <w:sz w:val="21"/>
                <w:szCs w:val="21"/>
                <w:u w:val="single"/>
              </w:rPr>
            </w:pPr>
            <w:r>
              <w:rPr>
                <w:sz w:val="21"/>
                <w:szCs w:val="21"/>
                <w:u w:val="single"/>
              </w:rPr>
              <w:t>TSP</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43.03</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51.09</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59.14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58.38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52.01</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44.77</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38.54</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29.07</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23.75</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16.98</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65.41</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7.27</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149</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rFonts w:hint="eastAsia"/>
                <w:sz w:val="21"/>
                <w:szCs w:val="21"/>
                <w:u w:val="single"/>
              </w:rPr>
              <w:t>M</w:t>
            </w:r>
            <w:r>
              <w:rPr>
                <w:sz w:val="21"/>
                <w:szCs w:val="21"/>
                <w:u w:val="single"/>
              </w:rPr>
              <w:t>Y08</w:t>
            </w:r>
          </w:p>
        </w:tc>
        <w:tc>
          <w:tcPr>
            <w:tcW w:w="306" w:type="pct"/>
          </w:tcPr>
          <w:p>
            <w:pPr>
              <w:spacing w:line="240" w:lineRule="auto"/>
              <w:ind w:firstLine="0" w:firstLineChars="0"/>
              <w:jc w:val="center"/>
              <w:rPr>
                <w:sz w:val="21"/>
                <w:szCs w:val="21"/>
                <w:u w:val="single"/>
              </w:rPr>
            </w:pPr>
            <w:r>
              <w:rPr>
                <w:sz w:val="21"/>
                <w:szCs w:val="21"/>
                <w:u w:val="single"/>
              </w:rPr>
              <w:t>TSP</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55.62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71.646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88.362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87.558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82.074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72.69</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63.66</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48.978</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40.374</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29.034</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97.356</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10.818</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144</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625</w:t>
            </w:r>
          </w:p>
        </w:tc>
        <w:tc>
          <w:tcPr>
            <w:tcW w:w="376" w:type="pct"/>
            <w:vAlign w:val="center"/>
          </w:tcPr>
          <w:p>
            <w:pPr>
              <w:spacing w:line="240" w:lineRule="auto"/>
              <w:ind w:firstLine="0" w:firstLineChars="0"/>
              <w:jc w:val="center"/>
              <w:rPr>
                <w:sz w:val="21"/>
                <w:szCs w:val="16"/>
                <w:u w:val="single"/>
              </w:rPr>
            </w:pPr>
            <w:r>
              <w:rPr>
                <w:rFonts w:hint="eastAsia"/>
                <w:b/>
                <w:bCs/>
                <w:color w:val="000000"/>
                <w:sz w:val="21"/>
                <w:szCs w:val="21"/>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rFonts w:hint="eastAsia"/>
                <w:sz w:val="21"/>
                <w:szCs w:val="21"/>
                <w:u w:val="single"/>
              </w:rPr>
              <w:t>M</w:t>
            </w:r>
            <w:r>
              <w:rPr>
                <w:sz w:val="21"/>
                <w:szCs w:val="21"/>
                <w:u w:val="single"/>
              </w:rPr>
              <w:t>Y09</w:t>
            </w:r>
          </w:p>
        </w:tc>
        <w:tc>
          <w:tcPr>
            <w:tcW w:w="306" w:type="pct"/>
          </w:tcPr>
          <w:p>
            <w:pPr>
              <w:spacing w:line="240" w:lineRule="auto"/>
              <w:ind w:firstLine="0" w:firstLineChars="0"/>
              <w:jc w:val="center"/>
              <w:rPr>
                <w:sz w:val="21"/>
                <w:szCs w:val="21"/>
                <w:u w:val="single"/>
              </w:rPr>
            </w:pPr>
            <w:r>
              <w:rPr>
                <w:sz w:val="21"/>
                <w:szCs w:val="21"/>
                <w:u w:val="single"/>
              </w:rPr>
              <w:t>TSP</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53.628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67.428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81.318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85.176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79.176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70.278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61.56</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47.346</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39.024</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28.062</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91.02</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10.116</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146</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600</w:t>
            </w:r>
          </w:p>
        </w:tc>
        <w:tc>
          <w:tcPr>
            <w:tcW w:w="376" w:type="pct"/>
            <w:vAlign w:val="center"/>
          </w:tcPr>
          <w:p>
            <w:pPr>
              <w:spacing w:line="240" w:lineRule="auto"/>
              <w:ind w:firstLine="0" w:firstLineChars="0"/>
              <w:jc w:val="center"/>
              <w:rPr>
                <w:sz w:val="21"/>
                <w:szCs w:val="16"/>
                <w:u w:val="single"/>
              </w:rPr>
            </w:pPr>
            <w:r>
              <w:rPr>
                <w:rFonts w:hint="eastAsia"/>
                <w:b/>
                <w:bCs/>
                <w:color w:val="000000"/>
                <w:sz w:val="21"/>
                <w:szCs w:val="21"/>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rFonts w:hint="eastAsia"/>
                <w:sz w:val="21"/>
                <w:szCs w:val="21"/>
                <w:u w:val="single"/>
              </w:rPr>
              <w:t>M</w:t>
            </w:r>
            <w:r>
              <w:rPr>
                <w:sz w:val="21"/>
                <w:szCs w:val="21"/>
                <w:u w:val="single"/>
              </w:rPr>
              <w:t>Y10</w:t>
            </w:r>
          </w:p>
        </w:tc>
        <w:tc>
          <w:tcPr>
            <w:tcW w:w="306" w:type="pct"/>
          </w:tcPr>
          <w:p>
            <w:pPr>
              <w:spacing w:line="240" w:lineRule="auto"/>
              <w:ind w:firstLine="0" w:firstLineChars="0"/>
              <w:jc w:val="center"/>
              <w:rPr>
                <w:sz w:val="21"/>
                <w:szCs w:val="21"/>
                <w:u w:val="single"/>
              </w:rPr>
            </w:pPr>
            <w:r>
              <w:rPr>
                <w:sz w:val="21"/>
                <w:szCs w:val="21"/>
                <w:u w:val="single"/>
              </w:rPr>
              <w:t>TSP</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2.826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3.444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4.08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4.092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3.684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3.204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2.778</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2.112</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1.728</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1.236</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4.644</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0.498</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141</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rFonts w:hint="eastAsia"/>
                <w:sz w:val="21"/>
                <w:szCs w:val="21"/>
                <w:u w:val="single"/>
              </w:rPr>
              <w:t>M</w:t>
            </w:r>
            <w:r>
              <w:rPr>
                <w:sz w:val="21"/>
                <w:szCs w:val="21"/>
                <w:u w:val="single"/>
              </w:rPr>
              <w:t>Y11</w:t>
            </w:r>
          </w:p>
        </w:tc>
        <w:tc>
          <w:tcPr>
            <w:tcW w:w="306" w:type="pct"/>
          </w:tcPr>
          <w:p>
            <w:pPr>
              <w:spacing w:line="240" w:lineRule="auto"/>
              <w:ind w:firstLine="0" w:firstLineChars="0"/>
              <w:jc w:val="center"/>
              <w:rPr>
                <w:sz w:val="21"/>
                <w:szCs w:val="21"/>
                <w:u w:val="single"/>
              </w:rPr>
            </w:pPr>
            <w:r>
              <w:rPr>
                <w:sz w:val="21"/>
                <w:szCs w:val="21"/>
                <w:u w:val="single"/>
              </w:rPr>
              <w:t>TSP</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6.594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8.616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10.626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7.116</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6.132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5.232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4.5</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3.402</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2.778</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1.986</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10.32</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1.146</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96</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pPr>
              <w:spacing w:line="240" w:lineRule="auto"/>
              <w:ind w:firstLine="0" w:firstLineChars="0"/>
              <w:jc w:val="center"/>
              <w:rPr>
                <w:sz w:val="21"/>
                <w:szCs w:val="21"/>
                <w:u w:val="single"/>
              </w:rPr>
            </w:pPr>
            <w:r>
              <w:rPr>
                <w:rFonts w:hint="eastAsia"/>
                <w:sz w:val="21"/>
                <w:szCs w:val="21"/>
                <w:u w:val="single"/>
              </w:rPr>
              <w:t>M</w:t>
            </w:r>
            <w:r>
              <w:rPr>
                <w:sz w:val="21"/>
                <w:szCs w:val="21"/>
                <w:u w:val="single"/>
              </w:rPr>
              <w:t>Y12</w:t>
            </w:r>
          </w:p>
        </w:tc>
        <w:tc>
          <w:tcPr>
            <w:tcW w:w="306" w:type="pct"/>
          </w:tcPr>
          <w:p>
            <w:pPr>
              <w:spacing w:line="240" w:lineRule="auto"/>
              <w:ind w:firstLine="0" w:firstLineChars="0"/>
              <w:jc w:val="center"/>
              <w:rPr>
                <w:sz w:val="21"/>
                <w:szCs w:val="21"/>
                <w:u w:val="single"/>
              </w:rPr>
            </w:pPr>
            <w:r>
              <w:rPr>
                <w:rFonts w:hint="eastAsia"/>
                <w:sz w:val="21"/>
                <w:szCs w:val="21"/>
                <w:u w:val="single"/>
              </w:rPr>
              <w:t>V</w:t>
            </w:r>
            <w:r>
              <w:rPr>
                <w:sz w:val="21"/>
                <w:szCs w:val="21"/>
                <w:u w:val="single"/>
              </w:rPr>
              <w:t>OCs</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13.8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14.538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15.888</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18.582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20.94</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20.892</w:t>
            </w:r>
          </w:p>
        </w:tc>
        <w:tc>
          <w:tcPr>
            <w:tcW w:w="271"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18.612</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13.812</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11.226</w:t>
            </w:r>
          </w:p>
        </w:tc>
        <w:tc>
          <w:tcPr>
            <w:tcW w:w="235"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8.004</w:t>
            </w:r>
          </w:p>
        </w:tc>
        <w:tc>
          <w:tcPr>
            <w:tcW w:w="519"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21.714</w:t>
            </w:r>
          </w:p>
        </w:tc>
        <w:tc>
          <w:tcPr>
            <w:tcW w:w="300"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2.412</w:t>
            </w:r>
          </w:p>
        </w:tc>
        <w:tc>
          <w:tcPr>
            <w:tcW w:w="38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336</w:t>
            </w:r>
          </w:p>
        </w:tc>
        <w:tc>
          <w:tcPr>
            <w:tcW w:w="217" w:type="pct"/>
            <w:vAlign w:val="center"/>
          </w:tcPr>
          <w:p>
            <w:pPr>
              <w:spacing w:line="240" w:lineRule="auto"/>
              <w:ind w:firstLine="0" w:firstLineChars="0"/>
              <w:jc w:val="center"/>
              <w:rPr>
                <w:sz w:val="21"/>
                <w:szCs w:val="16"/>
                <w:u w:val="single"/>
              </w:rPr>
            </w:pPr>
            <w:r>
              <w:rPr>
                <w:rFonts w:eastAsia="等线" w:cs="Times New Roman"/>
                <w:color w:val="000000"/>
                <w:sz w:val="21"/>
                <w:szCs w:val="21"/>
                <w:u w:val="single"/>
              </w:rPr>
              <w:t>/</w:t>
            </w:r>
          </w:p>
        </w:tc>
        <w:tc>
          <w:tcPr>
            <w:tcW w:w="376" w:type="pct"/>
            <w:vAlign w:val="center"/>
          </w:tcPr>
          <w:p>
            <w:pPr>
              <w:spacing w:line="240" w:lineRule="auto"/>
              <w:ind w:firstLine="0" w:firstLineChars="0"/>
              <w:jc w:val="center"/>
              <w:rPr>
                <w:sz w:val="21"/>
                <w:szCs w:val="16"/>
                <w:u w:val="single"/>
              </w:rPr>
            </w:pPr>
            <w:r>
              <w:rPr>
                <w:rFonts w:hint="eastAsia"/>
                <w:color w:val="000000"/>
                <w:sz w:val="21"/>
                <w:szCs w:val="21"/>
                <w:u w:val="single"/>
              </w:rPr>
              <w:t>二级</w:t>
            </w:r>
          </w:p>
        </w:tc>
      </w:tr>
    </w:tbl>
    <w:p>
      <w:pPr>
        <w:ind w:firstLine="0" w:firstLineChars="0"/>
        <w:jc w:val="center"/>
        <w:rPr>
          <w:rFonts w:cs="Times New Roman"/>
          <w:u w:val="single"/>
        </w:rPr>
      </w:pPr>
    </w:p>
    <w:p>
      <w:pPr>
        <w:ind w:firstLine="0" w:firstLineChars="0"/>
        <w:rPr>
          <w:rFonts w:cs="Times New Roman"/>
          <w:u w:val="single"/>
        </w:rPr>
        <w:sectPr>
          <w:pgSz w:w="16838" w:h="11906" w:orient="landscape"/>
          <w:pgMar w:top="1440" w:right="1080" w:bottom="1440" w:left="1080" w:header="851" w:footer="992" w:gutter="0"/>
          <w:cols w:space="425" w:num="1"/>
          <w:docGrid w:type="lines" w:linePitch="326" w:charSpace="0"/>
        </w:sectPr>
      </w:pPr>
    </w:p>
    <w:p>
      <w:pPr>
        <w:pStyle w:val="168"/>
        <w:spacing w:line="360" w:lineRule="auto"/>
        <w:ind w:firstLine="482"/>
        <w:rPr>
          <w:rFonts w:ascii="Times New Roman" w:hAnsi="Times New Roman"/>
          <w:u w:val="single"/>
        </w:rPr>
      </w:pPr>
      <w:r>
        <w:rPr>
          <w:rFonts w:ascii="Times New Roman" w:hAnsi="Times New Roman"/>
          <w:u w:val="single"/>
        </w:rPr>
        <w:t>根据估算结果，最大占标率为</w:t>
      </w:r>
      <w:r>
        <w:rPr>
          <w:rFonts w:hint="eastAsia" w:ascii="Times New Roman" w:hAnsi="Times New Roman"/>
          <w:u w:val="single"/>
        </w:rPr>
        <w:t>DA</w:t>
      </w:r>
      <w:r>
        <w:rPr>
          <w:rFonts w:ascii="Times New Roman" w:hAnsi="Times New Roman"/>
          <w:u w:val="single"/>
        </w:rPr>
        <w:t>008</w:t>
      </w:r>
      <w:r>
        <w:rPr>
          <w:rFonts w:hint="eastAsia" w:ascii="Times New Roman" w:hAnsi="Times New Roman"/>
          <w:u w:val="single"/>
        </w:rPr>
        <w:t>有组织排放源（炉窑废气排气筒）</w:t>
      </w:r>
      <w:r>
        <w:rPr>
          <w:rFonts w:ascii="Times New Roman" w:hAnsi="Times New Roman"/>
          <w:u w:val="single"/>
        </w:rPr>
        <w:t>排放的</w:t>
      </w:r>
      <w:r>
        <w:rPr>
          <w:rFonts w:hint="eastAsia" w:ascii="Times New Roman" w:hAnsi="Times New Roman"/>
          <w:u w:val="single"/>
        </w:rPr>
        <w:t>NO</w:t>
      </w:r>
      <w:r>
        <w:rPr>
          <w:rFonts w:hint="eastAsia" w:ascii="Times New Roman" w:hAnsi="Times New Roman"/>
          <w:u w:val="single"/>
          <w:vertAlign w:val="subscript"/>
        </w:rPr>
        <w:t>x</w:t>
      </w:r>
      <w:r>
        <w:rPr>
          <w:rFonts w:ascii="Times New Roman" w:hAnsi="Times New Roman"/>
          <w:u w:val="single"/>
        </w:rPr>
        <w:t>，最大落地浓度为66.99ug/m</w:t>
      </w:r>
      <w:r>
        <w:rPr>
          <w:rFonts w:ascii="Times New Roman" w:hAnsi="Times New Roman"/>
          <w:u w:val="single"/>
          <w:vertAlign w:val="superscript"/>
        </w:rPr>
        <w:t>3</w:t>
      </w:r>
      <w:r>
        <w:rPr>
          <w:rFonts w:ascii="Times New Roman" w:hAnsi="Times New Roman"/>
          <w:u w:val="single"/>
        </w:rPr>
        <w:t>，最大占标率为26.80%。根据5.2-4，确定评价等级为一级。D</w:t>
      </w:r>
      <w:r>
        <w:rPr>
          <w:rFonts w:ascii="Times New Roman" w:hAnsi="Times New Roman"/>
          <w:u w:val="single"/>
          <w:vertAlign w:val="subscript"/>
        </w:rPr>
        <w:t>10%</w:t>
      </w:r>
      <w:r>
        <w:rPr>
          <w:rFonts w:ascii="Times New Roman" w:hAnsi="Times New Roman"/>
          <w:u w:val="single"/>
        </w:rPr>
        <w:t>最大为</w:t>
      </w:r>
      <w:r>
        <w:rPr>
          <w:rFonts w:hint="eastAsia" w:ascii="Times New Roman" w:hAnsi="Times New Roman"/>
          <w:u w:val="single"/>
        </w:rPr>
        <w:t>DA</w:t>
      </w:r>
      <w:r>
        <w:rPr>
          <w:rFonts w:ascii="Times New Roman" w:hAnsi="Times New Roman"/>
          <w:u w:val="single"/>
        </w:rPr>
        <w:t>014</w:t>
      </w:r>
      <w:r>
        <w:rPr>
          <w:rFonts w:hint="eastAsia" w:ascii="Times New Roman" w:hAnsi="Times New Roman"/>
          <w:u w:val="single"/>
        </w:rPr>
        <w:t>有组织点</w:t>
      </w:r>
      <w:r>
        <w:rPr>
          <w:rFonts w:ascii="Times New Roman" w:hAnsi="Times New Roman"/>
          <w:u w:val="single"/>
        </w:rPr>
        <w:t>源（</w:t>
      </w:r>
      <w:r>
        <w:rPr>
          <w:rFonts w:hint="eastAsia" w:ascii="Times New Roman" w:hAnsi="Times New Roman"/>
          <w:u w:val="single"/>
        </w:rPr>
        <w:t>炉窑废气排气筒</w:t>
      </w:r>
      <w:r>
        <w:rPr>
          <w:rFonts w:ascii="Times New Roman" w:hAnsi="Times New Roman"/>
          <w:u w:val="single"/>
        </w:rPr>
        <w:t>）</w:t>
      </w:r>
      <w:r>
        <w:rPr>
          <w:rFonts w:hint="eastAsia" w:ascii="Times New Roman" w:hAnsi="Times New Roman"/>
          <w:u w:val="single"/>
        </w:rPr>
        <w:t>排放废气</w:t>
      </w:r>
      <w:r>
        <w:rPr>
          <w:rFonts w:ascii="Times New Roman" w:hAnsi="Times New Roman"/>
          <w:u w:val="single"/>
        </w:rPr>
        <w:t>，D</w:t>
      </w:r>
      <w:r>
        <w:rPr>
          <w:rFonts w:ascii="Times New Roman" w:hAnsi="Times New Roman"/>
          <w:u w:val="single"/>
          <w:vertAlign w:val="subscript"/>
        </w:rPr>
        <w:t>10%</w:t>
      </w:r>
      <w:r>
        <w:rPr>
          <w:rFonts w:ascii="Times New Roman" w:hAnsi="Times New Roman"/>
          <w:u w:val="single"/>
        </w:rPr>
        <w:t>为1000m，小于2.5km，因此大气评价范围为以厂址为中心，边长为5km的矩形范围。</w:t>
      </w:r>
    </w:p>
    <w:p>
      <w:pPr>
        <w:pStyle w:val="5"/>
        <w:rPr>
          <w:u w:val="single"/>
        </w:rPr>
      </w:pPr>
      <w:r>
        <w:rPr>
          <w:u w:val="single"/>
        </w:rPr>
        <w:t>5.2.3.2大气进一步预测与评价</w:t>
      </w:r>
    </w:p>
    <w:p>
      <w:pPr>
        <w:ind w:firstLine="480"/>
        <w:rPr>
          <w:rFonts w:cs="Times New Roman"/>
          <w:u w:val="single"/>
        </w:rPr>
      </w:pPr>
      <w:r>
        <w:rPr>
          <w:rFonts w:cs="Times New Roman"/>
          <w:u w:val="single"/>
        </w:rPr>
        <w:t>1、预测因子</w:t>
      </w:r>
    </w:p>
    <w:p>
      <w:pPr>
        <w:ind w:firstLine="480"/>
        <w:rPr>
          <w:rFonts w:cs="Times New Roman"/>
          <w:u w:val="single"/>
        </w:rPr>
      </w:pPr>
      <w:r>
        <w:rPr>
          <w:rFonts w:cs="Times New Roman"/>
          <w:u w:val="single"/>
        </w:rPr>
        <w:t>预测因子选取PM</w:t>
      </w:r>
      <w:r>
        <w:rPr>
          <w:rFonts w:cs="Times New Roman"/>
          <w:u w:val="single"/>
          <w:vertAlign w:val="subscript"/>
        </w:rPr>
        <w:t>10</w:t>
      </w:r>
      <w:r>
        <w:rPr>
          <w:rFonts w:cs="Times New Roman"/>
          <w:u w:val="single"/>
        </w:rPr>
        <w:t>、TSP、SO</w:t>
      </w:r>
      <w:r>
        <w:rPr>
          <w:rFonts w:cs="Times New Roman"/>
          <w:u w:val="single"/>
          <w:vertAlign w:val="subscript"/>
        </w:rPr>
        <w:t>2</w:t>
      </w:r>
      <w:r>
        <w:rPr>
          <w:rFonts w:cs="Times New Roman"/>
          <w:u w:val="single"/>
        </w:rPr>
        <w:t>、NO</w:t>
      </w:r>
      <w:r>
        <w:rPr>
          <w:rFonts w:cs="Times New Roman"/>
          <w:u w:val="single"/>
          <w:vertAlign w:val="subscript"/>
        </w:rPr>
        <w:t>x</w:t>
      </w:r>
      <w:r>
        <w:rPr>
          <w:rFonts w:cs="Times New Roman"/>
          <w:u w:val="single"/>
        </w:rPr>
        <w:t>、氟化物、VOCs及PM</w:t>
      </w:r>
      <w:r>
        <w:rPr>
          <w:rFonts w:cs="Times New Roman"/>
          <w:u w:val="single"/>
          <w:vertAlign w:val="subscript"/>
        </w:rPr>
        <w:t>2.5</w:t>
      </w:r>
      <w:r>
        <w:rPr>
          <w:rFonts w:cs="Times New Roman"/>
          <w:u w:val="single"/>
        </w:rPr>
        <w:t>（由于SO</w:t>
      </w:r>
      <w:r>
        <w:rPr>
          <w:rFonts w:cs="Times New Roman"/>
          <w:u w:val="single"/>
          <w:vertAlign w:val="subscript"/>
        </w:rPr>
        <w:t>2</w:t>
      </w:r>
      <w:r>
        <w:rPr>
          <w:rFonts w:cs="Times New Roman"/>
          <w:u w:val="single"/>
        </w:rPr>
        <w:t>+NO</w:t>
      </w:r>
      <w:r>
        <w:rPr>
          <w:rFonts w:cs="Times New Roman"/>
          <w:u w:val="single"/>
          <w:vertAlign w:val="subscript"/>
        </w:rPr>
        <w:t>x</w:t>
      </w:r>
      <w:r>
        <w:rPr>
          <w:rFonts w:cs="Times New Roman"/>
          <w:u w:val="single"/>
        </w:rPr>
        <w:t>=150.16+407.19=557.35t/a≥500t/a，因此增加二次污染物PM</w:t>
      </w:r>
      <w:r>
        <w:rPr>
          <w:rFonts w:cs="Times New Roman"/>
          <w:u w:val="single"/>
          <w:vertAlign w:val="subscript"/>
        </w:rPr>
        <w:t>2.5</w:t>
      </w:r>
      <w:r>
        <w:rPr>
          <w:rFonts w:cs="Times New Roman"/>
          <w:u w:val="single"/>
        </w:rPr>
        <w:t>作为评价因子）。</w:t>
      </w:r>
    </w:p>
    <w:p>
      <w:pPr>
        <w:ind w:firstLine="480"/>
        <w:rPr>
          <w:rFonts w:cs="Times New Roman"/>
          <w:u w:val="single"/>
        </w:rPr>
      </w:pPr>
      <w:r>
        <w:rPr>
          <w:rFonts w:cs="Times New Roman"/>
          <w:u w:val="single"/>
        </w:rPr>
        <w:t>2、预测范围</w:t>
      </w:r>
    </w:p>
    <w:p>
      <w:pPr>
        <w:ind w:firstLine="480"/>
        <w:rPr>
          <w:rFonts w:cs="Times New Roman"/>
          <w:u w:val="single"/>
        </w:rPr>
      </w:pPr>
      <w:r>
        <w:rPr>
          <w:rFonts w:cs="Times New Roman"/>
          <w:u w:val="single"/>
        </w:rPr>
        <w:t>预测范围覆盖评价范围，即以厂址为中心，边长为5km的矩形范围。</w:t>
      </w:r>
    </w:p>
    <w:p>
      <w:pPr>
        <w:ind w:firstLine="480"/>
        <w:rPr>
          <w:rFonts w:cs="Times New Roman"/>
          <w:u w:val="single"/>
        </w:rPr>
      </w:pPr>
      <w:r>
        <w:rPr>
          <w:rFonts w:cs="Times New Roman"/>
          <w:u w:val="single"/>
        </w:rPr>
        <w:t>3、预测周期</w:t>
      </w:r>
    </w:p>
    <w:p>
      <w:pPr>
        <w:ind w:firstLine="480"/>
        <w:rPr>
          <w:rFonts w:cs="Times New Roman"/>
          <w:u w:val="single"/>
        </w:rPr>
      </w:pPr>
      <w:r>
        <w:rPr>
          <w:rFonts w:cs="Times New Roman"/>
          <w:u w:val="single"/>
        </w:rPr>
        <w:t>以2020年为评价基准年，预测时段为连续1年。</w:t>
      </w:r>
    </w:p>
    <w:p>
      <w:pPr>
        <w:ind w:firstLine="480"/>
        <w:rPr>
          <w:rFonts w:cs="Times New Roman"/>
          <w:u w:val="single"/>
        </w:rPr>
      </w:pPr>
      <w:r>
        <w:rPr>
          <w:rFonts w:cs="Times New Roman"/>
          <w:u w:val="single"/>
        </w:rPr>
        <w:t>4、预测模型</w:t>
      </w:r>
    </w:p>
    <w:p>
      <w:pPr>
        <w:ind w:firstLine="480"/>
        <w:rPr>
          <w:rFonts w:cs="Times New Roman"/>
          <w:u w:val="single"/>
        </w:rPr>
      </w:pPr>
      <w:r>
        <w:rPr>
          <w:rFonts w:cs="Times New Roman"/>
          <w:u w:val="single"/>
        </w:rPr>
        <w:t>选取AERMOD为预测模型，采用EIAPro2018进行预测。采用AERMOD（系数法）进行预测PM</w:t>
      </w:r>
      <w:r>
        <w:rPr>
          <w:rFonts w:cs="Times New Roman"/>
          <w:u w:val="single"/>
          <w:vertAlign w:val="subscript"/>
        </w:rPr>
        <w:t>2.5</w:t>
      </w:r>
      <w:r>
        <w:rPr>
          <w:rFonts w:cs="Times New Roman"/>
          <w:u w:val="single"/>
        </w:rPr>
        <w:t>。</w:t>
      </w:r>
    </w:p>
    <w:p>
      <w:pPr>
        <w:ind w:firstLine="480"/>
        <w:rPr>
          <w:rFonts w:cs="Times New Roman"/>
          <w:u w:val="single"/>
        </w:rPr>
      </w:pPr>
      <w:r>
        <w:rPr>
          <w:rFonts w:hint="eastAsia" w:cs="Times New Roman"/>
          <w:u w:val="single"/>
        </w:rPr>
        <w:t>5、预测内容</w:t>
      </w:r>
    </w:p>
    <w:p>
      <w:pPr>
        <w:ind w:firstLine="480"/>
        <w:rPr>
          <w:rFonts w:cs="Times New Roman"/>
          <w:u w:val="single"/>
        </w:rPr>
      </w:pPr>
      <w:r>
        <w:rPr>
          <w:rFonts w:hint="eastAsia" w:cs="Times New Roman"/>
          <w:u w:val="single"/>
        </w:rPr>
        <w:t>项目位于不达标区，根据《导则》要求，不达标区评价内容如下：</w:t>
      </w:r>
    </w:p>
    <w:p>
      <w:pPr>
        <w:ind w:firstLine="0" w:firstLineChars="0"/>
        <w:jc w:val="center"/>
        <w:rPr>
          <w:rFonts w:cs="Times New Roman"/>
          <w:u w:val="single"/>
        </w:rPr>
      </w:pPr>
      <w:r>
        <w:rPr>
          <w:rFonts w:hint="eastAsia" w:cs="Times New Roman"/>
          <w:u w:val="single"/>
        </w:rPr>
        <w:t>表5</w:t>
      </w:r>
      <w:r>
        <w:rPr>
          <w:rFonts w:cs="Times New Roman"/>
          <w:u w:val="single"/>
        </w:rPr>
        <w:t>.2</w:t>
      </w:r>
      <w:r>
        <w:rPr>
          <w:rFonts w:hint="eastAsia" w:cs="Times New Roman"/>
          <w:u w:val="single"/>
        </w:rPr>
        <w:t>-</w:t>
      </w:r>
      <w:r>
        <w:rPr>
          <w:rFonts w:cs="Times New Roman"/>
          <w:u w:val="single"/>
        </w:rPr>
        <w:t xml:space="preserve">11  </w:t>
      </w:r>
      <w:r>
        <w:rPr>
          <w:rFonts w:hint="eastAsia" w:cs="Times New Roman"/>
          <w:u w:val="single"/>
        </w:rPr>
        <w:t>不达标区预测与评价内容</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9"/>
        <w:gridCol w:w="2866"/>
        <w:gridCol w:w="1510"/>
        <w:gridCol w:w="1563"/>
        <w:gridCol w:w="1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4" w:type="pct"/>
            <w:vAlign w:val="center"/>
          </w:tcPr>
          <w:p>
            <w:pPr>
              <w:pStyle w:val="14"/>
              <w:rPr>
                <w:u w:val="single"/>
              </w:rPr>
            </w:pPr>
            <w:r>
              <w:rPr>
                <w:rFonts w:hint="eastAsia"/>
                <w:u w:val="single"/>
              </w:rPr>
              <w:t>评价</w:t>
            </w:r>
          </w:p>
          <w:p>
            <w:pPr>
              <w:pStyle w:val="14"/>
              <w:rPr>
                <w:u w:val="single"/>
              </w:rPr>
            </w:pPr>
            <w:r>
              <w:rPr>
                <w:rFonts w:hint="eastAsia"/>
                <w:u w:val="single"/>
              </w:rPr>
              <w:t>对象</w:t>
            </w:r>
          </w:p>
        </w:tc>
        <w:tc>
          <w:tcPr>
            <w:tcW w:w="1723" w:type="pct"/>
            <w:vAlign w:val="center"/>
          </w:tcPr>
          <w:p>
            <w:pPr>
              <w:pStyle w:val="14"/>
              <w:rPr>
                <w:u w:val="single"/>
              </w:rPr>
            </w:pPr>
            <w:r>
              <w:rPr>
                <w:rFonts w:hint="eastAsia"/>
                <w:u w:val="single"/>
              </w:rPr>
              <w:t>污染源</w:t>
            </w:r>
          </w:p>
        </w:tc>
        <w:tc>
          <w:tcPr>
            <w:tcW w:w="908" w:type="pct"/>
            <w:vAlign w:val="center"/>
          </w:tcPr>
          <w:p>
            <w:pPr>
              <w:pStyle w:val="14"/>
              <w:rPr>
                <w:u w:val="single"/>
              </w:rPr>
            </w:pPr>
            <w:r>
              <w:rPr>
                <w:rFonts w:hint="eastAsia"/>
                <w:u w:val="single"/>
              </w:rPr>
              <w:t>污染源排放形式</w:t>
            </w:r>
          </w:p>
        </w:tc>
        <w:tc>
          <w:tcPr>
            <w:tcW w:w="940" w:type="pct"/>
            <w:vAlign w:val="center"/>
          </w:tcPr>
          <w:p>
            <w:pPr>
              <w:pStyle w:val="14"/>
              <w:rPr>
                <w:u w:val="single"/>
              </w:rPr>
            </w:pPr>
            <w:r>
              <w:rPr>
                <w:rFonts w:hint="eastAsia"/>
                <w:u w:val="single"/>
              </w:rPr>
              <w:t>预测内容</w:t>
            </w:r>
          </w:p>
        </w:tc>
        <w:tc>
          <w:tcPr>
            <w:tcW w:w="1165" w:type="pct"/>
            <w:vAlign w:val="center"/>
          </w:tcPr>
          <w:p>
            <w:pPr>
              <w:pStyle w:val="14"/>
              <w:rPr>
                <w:u w:val="single"/>
              </w:rPr>
            </w:pPr>
            <w:r>
              <w:rPr>
                <w:rFonts w:hint="eastAsia"/>
                <w:u w:val="single"/>
              </w:rPr>
              <w:t>评价内容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4" w:type="pct"/>
            <w:vMerge w:val="restart"/>
            <w:vAlign w:val="center"/>
          </w:tcPr>
          <w:p>
            <w:pPr>
              <w:pStyle w:val="14"/>
              <w:rPr>
                <w:u w:val="single"/>
              </w:rPr>
            </w:pPr>
            <w:r>
              <w:rPr>
                <w:rFonts w:hint="eastAsia"/>
                <w:u w:val="single"/>
              </w:rPr>
              <w:t>不达</w:t>
            </w:r>
          </w:p>
          <w:p>
            <w:pPr>
              <w:pStyle w:val="14"/>
              <w:rPr>
                <w:u w:val="single"/>
              </w:rPr>
            </w:pPr>
            <w:r>
              <w:rPr>
                <w:rFonts w:hint="eastAsia"/>
                <w:u w:val="single"/>
              </w:rPr>
              <w:t>标区</w:t>
            </w:r>
          </w:p>
          <w:p>
            <w:pPr>
              <w:pStyle w:val="14"/>
              <w:rPr>
                <w:u w:val="single"/>
              </w:rPr>
            </w:pPr>
            <w:r>
              <w:rPr>
                <w:rFonts w:hint="eastAsia"/>
                <w:u w:val="single"/>
              </w:rPr>
              <w:t>评价</w:t>
            </w:r>
          </w:p>
          <w:p>
            <w:pPr>
              <w:pStyle w:val="14"/>
              <w:rPr>
                <w:u w:val="single"/>
              </w:rPr>
            </w:pPr>
            <w:r>
              <w:rPr>
                <w:rFonts w:hint="eastAsia"/>
                <w:u w:val="single"/>
              </w:rPr>
              <w:t>项目</w:t>
            </w:r>
          </w:p>
        </w:tc>
        <w:tc>
          <w:tcPr>
            <w:tcW w:w="1723" w:type="pct"/>
            <w:vAlign w:val="center"/>
          </w:tcPr>
          <w:p>
            <w:pPr>
              <w:pStyle w:val="14"/>
              <w:rPr>
                <w:u w:val="single"/>
              </w:rPr>
            </w:pPr>
            <w:r>
              <w:rPr>
                <w:rFonts w:hint="eastAsia"/>
                <w:u w:val="single"/>
              </w:rPr>
              <w:t>新增污染源</w:t>
            </w:r>
          </w:p>
        </w:tc>
        <w:tc>
          <w:tcPr>
            <w:tcW w:w="908" w:type="pct"/>
            <w:vAlign w:val="center"/>
          </w:tcPr>
          <w:p>
            <w:pPr>
              <w:pStyle w:val="14"/>
              <w:rPr>
                <w:u w:val="single"/>
              </w:rPr>
            </w:pPr>
            <w:r>
              <w:rPr>
                <w:rFonts w:hint="eastAsia"/>
                <w:u w:val="single"/>
              </w:rPr>
              <w:t>正常排放</w:t>
            </w:r>
          </w:p>
        </w:tc>
        <w:tc>
          <w:tcPr>
            <w:tcW w:w="940" w:type="pct"/>
            <w:vAlign w:val="center"/>
          </w:tcPr>
          <w:p>
            <w:pPr>
              <w:pStyle w:val="14"/>
              <w:rPr>
                <w:u w:val="single"/>
              </w:rPr>
            </w:pPr>
            <w:r>
              <w:rPr>
                <w:rFonts w:hint="eastAsia"/>
                <w:u w:val="single"/>
              </w:rPr>
              <w:t>短期浓度</w:t>
            </w:r>
          </w:p>
          <w:p>
            <w:pPr>
              <w:pStyle w:val="14"/>
              <w:rPr>
                <w:u w:val="single"/>
              </w:rPr>
            </w:pPr>
            <w:r>
              <w:rPr>
                <w:u w:val="single"/>
              </w:rPr>
              <w:t>长期浓度</w:t>
            </w:r>
          </w:p>
        </w:tc>
        <w:tc>
          <w:tcPr>
            <w:tcW w:w="1165" w:type="pct"/>
            <w:vAlign w:val="center"/>
          </w:tcPr>
          <w:p>
            <w:pPr>
              <w:pStyle w:val="14"/>
              <w:rPr>
                <w:u w:val="single"/>
              </w:rPr>
            </w:pPr>
            <w:r>
              <w:rPr>
                <w:rFonts w:hint="eastAsia"/>
                <w:u w:val="single"/>
              </w:rPr>
              <w:t>最大浓度占标率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4" w:type="pct"/>
            <w:vMerge w:val="continue"/>
            <w:vAlign w:val="center"/>
          </w:tcPr>
          <w:p>
            <w:pPr>
              <w:pStyle w:val="14"/>
              <w:rPr>
                <w:u w:val="single"/>
              </w:rPr>
            </w:pPr>
          </w:p>
        </w:tc>
        <w:tc>
          <w:tcPr>
            <w:tcW w:w="1723" w:type="pct"/>
            <w:vAlign w:val="center"/>
          </w:tcPr>
          <w:p>
            <w:pPr>
              <w:pStyle w:val="14"/>
              <w:rPr>
                <w:u w:val="single"/>
              </w:rPr>
            </w:pPr>
            <w:r>
              <w:rPr>
                <w:rFonts w:hint="eastAsia"/>
                <w:u w:val="single"/>
              </w:rPr>
              <w:t>新增污染源</w:t>
            </w:r>
          </w:p>
          <w:p>
            <w:pPr>
              <w:pStyle w:val="14"/>
              <w:rPr>
                <w:u w:val="single"/>
              </w:rPr>
            </w:pPr>
            <w:r>
              <w:rPr>
                <w:u w:val="single"/>
              </w:rPr>
              <w:t>-“</w:t>
            </w:r>
            <w:r>
              <w:rPr>
                <w:rFonts w:hint="eastAsia"/>
                <w:u w:val="single"/>
              </w:rPr>
              <w:t>以新带老</w:t>
            </w:r>
            <w:r>
              <w:rPr>
                <w:u w:val="single"/>
              </w:rPr>
              <w:t>”</w:t>
            </w:r>
            <w:r>
              <w:rPr>
                <w:rFonts w:hint="eastAsia"/>
                <w:u w:val="single"/>
              </w:rPr>
              <w:t>污染源（如有）</w:t>
            </w:r>
          </w:p>
          <w:p>
            <w:pPr>
              <w:pStyle w:val="14"/>
              <w:rPr>
                <w:u w:val="single"/>
              </w:rPr>
            </w:pPr>
            <w:r>
              <w:rPr>
                <w:u w:val="single"/>
              </w:rPr>
              <w:t>-区域削减污染源（</w:t>
            </w:r>
            <w:r>
              <w:rPr>
                <w:rFonts w:hint="eastAsia"/>
                <w:u w:val="single"/>
              </w:rPr>
              <w:t>如有</w:t>
            </w:r>
            <w:r>
              <w:rPr>
                <w:u w:val="single"/>
              </w:rPr>
              <w:t>）</w:t>
            </w:r>
          </w:p>
          <w:p>
            <w:pPr>
              <w:pStyle w:val="14"/>
              <w:rPr>
                <w:u w:val="single"/>
              </w:rPr>
            </w:pPr>
            <w:r>
              <w:rPr>
                <w:rFonts w:hint="eastAsia"/>
                <w:u w:val="single"/>
              </w:rPr>
              <w:t>+其他在建拟建污染源</w:t>
            </w:r>
          </w:p>
        </w:tc>
        <w:tc>
          <w:tcPr>
            <w:tcW w:w="908" w:type="pct"/>
            <w:vAlign w:val="center"/>
          </w:tcPr>
          <w:p>
            <w:pPr>
              <w:pStyle w:val="14"/>
              <w:rPr>
                <w:u w:val="single"/>
              </w:rPr>
            </w:pPr>
            <w:r>
              <w:rPr>
                <w:rFonts w:hint="eastAsia"/>
                <w:u w:val="single"/>
              </w:rPr>
              <w:t>正常排放</w:t>
            </w:r>
          </w:p>
        </w:tc>
        <w:tc>
          <w:tcPr>
            <w:tcW w:w="940" w:type="pct"/>
            <w:vAlign w:val="center"/>
          </w:tcPr>
          <w:p>
            <w:pPr>
              <w:pStyle w:val="14"/>
              <w:rPr>
                <w:u w:val="single"/>
              </w:rPr>
            </w:pPr>
            <w:r>
              <w:rPr>
                <w:rFonts w:hint="eastAsia"/>
                <w:u w:val="single"/>
              </w:rPr>
              <w:t>短期浓度</w:t>
            </w:r>
          </w:p>
          <w:p>
            <w:pPr>
              <w:pStyle w:val="14"/>
              <w:rPr>
                <w:u w:val="single"/>
              </w:rPr>
            </w:pPr>
            <w:r>
              <w:rPr>
                <w:u w:val="single"/>
              </w:rPr>
              <w:t>长期浓度</w:t>
            </w:r>
          </w:p>
        </w:tc>
        <w:tc>
          <w:tcPr>
            <w:tcW w:w="1165" w:type="pct"/>
            <w:vAlign w:val="center"/>
          </w:tcPr>
          <w:p>
            <w:pPr>
              <w:pStyle w:val="14"/>
              <w:rPr>
                <w:u w:val="single"/>
              </w:rPr>
            </w:pPr>
            <w:r>
              <w:rPr>
                <w:rFonts w:hint="eastAsia"/>
                <w:u w:val="single"/>
              </w:rPr>
              <w:t>叠加环境质量现状</w:t>
            </w:r>
          </w:p>
          <w:p>
            <w:pPr>
              <w:pStyle w:val="14"/>
              <w:rPr>
                <w:u w:val="single"/>
              </w:rPr>
            </w:pPr>
            <w:r>
              <w:rPr>
                <w:rFonts w:hint="eastAsia"/>
                <w:u w:val="single"/>
              </w:rPr>
              <w:t>浓度后的保证率日</w:t>
            </w:r>
          </w:p>
          <w:p>
            <w:pPr>
              <w:pStyle w:val="14"/>
              <w:rPr>
                <w:u w:val="single"/>
              </w:rPr>
            </w:pPr>
            <w:r>
              <w:rPr>
                <w:rFonts w:hint="eastAsia"/>
                <w:u w:val="single"/>
              </w:rPr>
              <w:t>均质量浓度和年均</w:t>
            </w:r>
          </w:p>
          <w:p>
            <w:pPr>
              <w:pStyle w:val="14"/>
              <w:rPr>
                <w:u w:val="single"/>
              </w:rPr>
            </w:pPr>
            <w:r>
              <w:rPr>
                <w:rFonts w:hint="eastAsia"/>
                <w:u w:val="single"/>
              </w:rPr>
              <w:t>质量浓度占标率，</w:t>
            </w:r>
          </w:p>
          <w:p>
            <w:pPr>
              <w:pStyle w:val="14"/>
              <w:rPr>
                <w:u w:val="single"/>
              </w:rPr>
            </w:pPr>
            <w:r>
              <w:rPr>
                <w:u w:val="single"/>
              </w:rPr>
              <w:t>或短期浓度达标情况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4" w:type="pct"/>
            <w:vMerge w:val="continue"/>
            <w:vAlign w:val="center"/>
          </w:tcPr>
          <w:p>
            <w:pPr>
              <w:pStyle w:val="14"/>
              <w:rPr>
                <w:u w:val="single"/>
              </w:rPr>
            </w:pPr>
          </w:p>
        </w:tc>
        <w:tc>
          <w:tcPr>
            <w:tcW w:w="1723" w:type="pct"/>
            <w:vAlign w:val="center"/>
          </w:tcPr>
          <w:p>
            <w:pPr>
              <w:pStyle w:val="14"/>
              <w:rPr>
                <w:u w:val="single"/>
              </w:rPr>
            </w:pPr>
            <w:r>
              <w:rPr>
                <w:rFonts w:hint="eastAsia"/>
                <w:u w:val="single"/>
              </w:rPr>
              <w:t>新增污染源</w:t>
            </w:r>
          </w:p>
        </w:tc>
        <w:tc>
          <w:tcPr>
            <w:tcW w:w="908" w:type="pct"/>
            <w:vAlign w:val="center"/>
          </w:tcPr>
          <w:p>
            <w:pPr>
              <w:pStyle w:val="14"/>
              <w:rPr>
                <w:u w:val="single"/>
              </w:rPr>
            </w:pPr>
            <w:r>
              <w:rPr>
                <w:rFonts w:hint="eastAsia"/>
                <w:u w:val="single"/>
              </w:rPr>
              <w:t>非正常排放</w:t>
            </w:r>
          </w:p>
        </w:tc>
        <w:tc>
          <w:tcPr>
            <w:tcW w:w="940" w:type="pct"/>
            <w:vAlign w:val="center"/>
          </w:tcPr>
          <w:p>
            <w:pPr>
              <w:pStyle w:val="14"/>
              <w:rPr>
                <w:u w:val="single"/>
              </w:rPr>
            </w:pPr>
            <w:r>
              <w:rPr>
                <w:rFonts w:hint="eastAsia"/>
                <w:u w:val="single"/>
              </w:rPr>
              <w:t>1</w:t>
            </w:r>
            <w:r>
              <w:rPr>
                <w:u w:val="single"/>
              </w:rPr>
              <w:t>h平均质量浓度</w:t>
            </w:r>
          </w:p>
        </w:tc>
        <w:tc>
          <w:tcPr>
            <w:tcW w:w="1165" w:type="pct"/>
            <w:vAlign w:val="center"/>
          </w:tcPr>
          <w:p>
            <w:pPr>
              <w:pStyle w:val="14"/>
              <w:rPr>
                <w:u w:val="single"/>
              </w:rPr>
            </w:pPr>
            <w:r>
              <w:rPr>
                <w:rFonts w:hint="eastAsia"/>
                <w:u w:val="single"/>
              </w:rPr>
              <w:t>最大浓度占标率</w:t>
            </w:r>
          </w:p>
        </w:tc>
      </w:tr>
    </w:tbl>
    <w:p>
      <w:pPr>
        <w:ind w:firstLine="480"/>
        <w:rPr>
          <w:rFonts w:cs="Times New Roman"/>
          <w:u w:val="single"/>
        </w:rPr>
      </w:pPr>
      <w:r>
        <w:rPr>
          <w:rFonts w:hint="eastAsia" w:cs="Times New Roman"/>
          <w:u w:val="single"/>
        </w:rPr>
        <w:t>本项目为新建项目，故无“以新带老”污染源，经咨询当地生态环境管理部门，拟建项目评价范围（项目厂址为中心，边长为5km的矩形范围）内无区域削减污染源，且项目评价范围内无拟建（环境影响评价报告已批复但尚未开工建设的项目）项目及在建项目，因此本次仅需评价叠加环境质量现状浓度后的保证率日均质量浓度和年均质量浓度占标率，或短期浓度达标情况。</w:t>
      </w:r>
    </w:p>
    <w:p>
      <w:pPr>
        <w:ind w:firstLine="480"/>
        <w:rPr>
          <w:rFonts w:cs="Times New Roman"/>
          <w:u w:val="single"/>
        </w:rPr>
      </w:pPr>
      <w:r>
        <w:rPr>
          <w:rFonts w:cs="Times New Roman"/>
          <w:u w:val="single"/>
        </w:rPr>
        <w:t>6、</w:t>
      </w:r>
      <w:r>
        <w:rPr>
          <w:rFonts w:hint="eastAsia" w:cs="Times New Roman"/>
          <w:u w:val="single"/>
        </w:rPr>
        <w:t>最大贡献值预测结果</w:t>
      </w:r>
    </w:p>
    <w:p>
      <w:pPr>
        <w:ind w:firstLine="480"/>
        <w:rPr>
          <w:rFonts w:cs="Times New Roman"/>
          <w:u w:val="single"/>
        </w:rPr>
        <w:sectPr>
          <w:pgSz w:w="11906" w:h="16838"/>
          <w:pgMar w:top="1440" w:right="1800" w:bottom="1440" w:left="1800" w:header="851" w:footer="992" w:gutter="0"/>
          <w:cols w:space="425" w:num="1"/>
          <w:docGrid w:type="lines" w:linePitch="326" w:charSpace="0"/>
        </w:sectPr>
      </w:pPr>
      <w:r>
        <w:rPr>
          <w:rFonts w:hint="eastAsia" w:cs="Times New Roman"/>
          <w:u w:val="single"/>
        </w:rPr>
        <w:t>根据软件运行结果，预测结果详见下表：</w:t>
      </w:r>
    </w:p>
    <w:p>
      <w:pPr>
        <w:ind w:firstLine="0" w:firstLineChars="0"/>
        <w:jc w:val="center"/>
        <w:rPr>
          <w:rFonts w:cs="Times New Roman"/>
          <w:u w:val="single"/>
        </w:rPr>
      </w:pPr>
      <w:r>
        <w:rPr>
          <w:rFonts w:hint="eastAsia" w:cs="Times New Roman"/>
          <w:u w:val="single"/>
        </w:rPr>
        <w:t>表5</w:t>
      </w:r>
      <w:r>
        <w:rPr>
          <w:rFonts w:cs="Times New Roman"/>
          <w:u w:val="single"/>
        </w:rPr>
        <w:t>.2</w:t>
      </w:r>
      <w:r>
        <w:rPr>
          <w:rFonts w:hint="eastAsia" w:cs="Times New Roman"/>
          <w:u w:val="single"/>
        </w:rPr>
        <w:t>-</w:t>
      </w:r>
      <w:r>
        <w:rPr>
          <w:rFonts w:cs="Times New Roman"/>
          <w:u w:val="single"/>
        </w:rPr>
        <w:t xml:space="preserve">12  </w:t>
      </w:r>
      <w:r>
        <w:rPr>
          <w:rFonts w:hint="eastAsia" w:cs="Times New Roman"/>
          <w:u w:val="single"/>
        </w:rPr>
        <w:t>新增污染源正常工况排放情况预测结果表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7"/>
        <w:gridCol w:w="2943"/>
        <w:gridCol w:w="1239"/>
        <w:gridCol w:w="1242"/>
        <w:gridCol w:w="1242"/>
        <w:gridCol w:w="1242"/>
        <w:gridCol w:w="1242"/>
        <w:gridCol w:w="1242"/>
        <w:gridCol w:w="12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restart"/>
            <w:vAlign w:val="center"/>
          </w:tcPr>
          <w:p>
            <w:pPr>
              <w:pStyle w:val="14"/>
              <w:rPr>
                <w:u w:val="single"/>
              </w:rPr>
            </w:pPr>
            <w:r>
              <w:rPr>
                <w:rFonts w:hint="eastAsia"/>
                <w:u w:val="single"/>
              </w:rPr>
              <w:t>预测点</w:t>
            </w:r>
          </w:p>
        </w:tc>
        <w:tc>
          <w:tcPr>
            <w:tcW w:w="1038" w:type="pct"/>
            <w:vMerge w:val="restart"/>
            <w:vAlign w:val="center"/>
          </w:tcPr>
          <w:p>
            <w:pPr>
              <w:pStyle w:val="14"/>
              <w:rPr>
                <w:u w:val="single"/>
              </w:rPr>
            </w:pPr>
            <w:r>
              <w:rPr>
                <w:rFonts w:hint="eastAsia"/>
                <w:u w:val="single"/>
              </w:rPr>
              <w:t>预测项目</w:t>
            </w:r>
          </w:p>
        </w:tc>
        <w:tc>
          <w:tcPr>
            <w:tcW w:w="3066" w:type="pct"/>
            <w:gridSpan w:val="7"/>
            <w:vAlign w:val="center"/>
          </w:tcPr>
          <w:p>
            <w:pPr>
              <w:pStyle w:val="14"/>
              <w:rPr>
                <w:u w:val="single"/>
              </w:rPr>
            </w:pPr>
            <w:r>
              <w:rPr>
                <w:rFonts w:hint="eastAsia"/>
                <w:u w:val="single"/>
              </w:rPr>
              <w:t>预测结果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continue"/>
            <w:vAlign w:val="center"/>
          </w:tcPr>
          <w:p>
            <w:pPr>
              <w:pStyle w:val="14"/>
              <w:rPr>
                <w:u w:val="single"/>
              </w:rPr>
            </w:pPr>
          </w:p>
        </w:tc>
        <w:tc>
          <w:tcPr>
            <w:tcW w:w="1038" w:type="pct"/>
            <w:vMerge w:val="continue"/>
            <w:vAlign w:val="center"/>
          </w:tcPr>
          <w:p>
            <w:pPr>
              <w:pStyle w:val="14"/>
              <w:rPr>
                <w:u w:val="single"/>
              </w:rPr>
            </w:pPr>
          </w:p>
        </w:tc>
        <w:tc>
          <w:tcPr>
            <w:tcW w:w="437" w:type="pct"/>
            <w:vAlign w:val="center"/>
          </w:tcPr>
          <w:p>
            <w:pPr>
              <w:pStyle w:val="14"/>
              <w:rPr>
                <w:u w:val="single"/>
              </w:rPr>
            </w:pPr>
            <w:r>
              <w:rPr>
                <w:rFonts w:hint="eastAsia"/>
                <w:u w:val="single"/>
              </w:rPr>
              <w:t>SO</w:t>
            </w:r>
            <w:r>
              <w:rPr>
                <w:u w:val="single"/>
                <w:vertAlign w:val="subscript"/>
              </w:rPr>
              <w:t>2</w:t>
            </w:r>
          </w:p>
        </w:tc>
        <w:tc>
          <w:tcPr>
            <w:tcW w:w="438" w:type="pct"/>
            <w:vAlign w:val="center"/>
          </w:tcPr>
          <w:p>
            <w:pPr>
              <w:pStyle w:val="14"/>
              <w:rPr>
                <w:u w:val="single"/>
                <w:vertAlign w:val="subscript"/>
              </w:rPr>
            </w:pPr>
            <w:r>
              <w:rPr>
                <w:rFonts w:hint="eastAsia"/>
                <w:u w:val="single"/>
              </w:rPr>
              <w:t>NOx</w:t>
            </w:r>
          </w:p>
        </w:tc>
        <w:tc>
          <w:tcPr>
            <w:tcW w:w="438" w:type="pct"/>
            <w:vAlign w:val="center"/>
          </w:tcPr>
          <w:p>
            <w:pPr>
              <w:pStyle w:val="14"/>
              <w:rPr>
                <w:u w:val="single"/>
              </w:rPr>
            </w:pPr>
            <w:r>
              <w:rPr>
                <w:rFonts w:hint="eastAsia"/>
                <w:u w:val="single"/>
              </w:rPr>
              <w:t>PM</w:t>
            </w:r>
            <w:r>
              <w:rPr>
                <w:u w:val="single"/>
                <w:vertAlign w:val="subscript"/>
              </w:rPr>
              <w:t>10</w:t>
            </w:r>
          </w:p>
        </w:tc>
        <w:tc>
          <w:tcPr>
            <w:tcW w:w="438" w:type="pct"/>
            <w:vAlign w:val="center"/>
          </w:tcPr>
          <w:p>
            <w:pPr>
              <w:pStyle w:val="14"/>
              <w:rPr>
                <w:u w:val="single"/>
              </w:rPr>
            </w:pPr>
            <w:r>
              <w:rPr>
                <w:rFonts w:hint="eastAsia"/>
                <w:u w:val="single"/>
              </w:rPr>
              <w:t>TSP</w:t>
            </w:r>
          </w:p>
        </w:tc>
        <w:tc>
          <w:tcPr>
            <w:tcW w:w="438" w:type="pct"/>
            <w:vAlign w:val="center"/>
          </w:tcPr>
          <w:p>
            <w:pPr>
              <w:pStyle w:val="14"/>
              <w:rPr>
                <w:u w:val="single"/>
              </w:rPr>
            </w:pPr>
            <w:r>
              <w:rPr>
                <w:rFonts w:hint="eastAsia"/>
                <w:u w:val="single"/>
              </w:rPr>
              <w:t>氟化物</w:t>
            </w:r>
          </w:p>
        </w:tc>
        <w:tc>
          <w:tcPr>
            <w:tcW w:w="438" w:type="pct"/>
            <w:vAlign w:val="center"/>
          </w:tcPr>
          <w:p>
            <w:pPr>
              <w:pStyle w:val="14"/>
              <w:rPr>
                <w:u w:val="single"/>
              </w:rPr>
            </w:pPr>
            <w:r>
              <w:rPr>
                <w:rFonts w:hint="eastAsia"/>
                <w:u w:val="single"/>
              </w:rPr>
              <w:t>V</w:t>
            </w:r>
            <w:r>
              <w:rPr>
                <w:u w:val="single"/>
              </w:rPr>
              <w:t>OCs</w:t>
            </w:r>
          </w:p>
        </w:tc>
        <w:tc>
          <w:tcPr>
            <w:tcW w:w="439" w:type="pct"/>
            <w:vAlign w:val="center"/>
          </w:tcPr>
          <w:p>
            <w:pPr>
              <w:pStyle w:val="14"/>
              <w:rPr>
                <w:u w:val="single"/>
                <w:vertAlign w:val="subscript"/>
              </w:rPr>
            </w:pPr>
            <w:r>
              <w:rPr>
                <w:rFonts w:hint="eastAsia"/>
                <w:u w:val="single"/>
              </w:rPr>
              <w:t>二次P</w:t>
            </w:r>
            <w:r>
              <w:rPr>
                <w:u w:val="single"/>
              </w:rPr>
              <w:t>M</w:t>
            </w:r>
            <w:r>
              <w:rPr>
                <w:u w:val="single"/>
                <w:vertAlign w:val="subscript"/>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restart"/>
            <w:vAlign w:val="center"/>
          </w:tcPr>
          <w:p>
            <w:pPr>
              <w:pStyle w:val="14"/>
              <w:rPr>
                <w:u w:val="single"/>
              </w:rPr>
            </w:pPr>
            <w:r>
              <w:rPr>
                <w:rFonts w:hint="eastAsia"/>
                <w:u w:val="single"/>
              </w:rPr>
              <w:t>标准值</w:t>
            </w:r>
          </w:p>
        </w:tc>
        <w:tc>
          <w:tcPr>
            <w:tcW w:w="1038" w:type="pct"/>
            <w:vAlign w:val="center"/>
          </w:tcPr>
          <w:p>
            <w:pPr>
              <w:pStyle w:val="14"/>
              <w:rPr>
                <w:u w:val="single"/>
              </w:rPr>
            </w:pPr>
            <w:r>
              <w:rPr>
                <w:rFonts w:hint="eastAsia"/>
                <w:u w:val="single"/>
              </w:rPr>
              <w:t>1h平均浓度ug</w:t>
            </w:r>
            <w:r>
              <w:rPr>
                <w:u w:val="single"/>
              </w:rPr>
              <w:t>/m</w:t>
            </w:r>
            <w:r>
              <w:rPr>
                <w:u w:val="single"/>
                <w:vertAlign w:val="superscript"/>
              </w:rPr>
              <w:t>3</w:t>
            </w:r>
          </w:p>
        </w:tc>
        <w:tc>
          <w:tcPr>
            <w:tcW w:w="437" w:type="pct"/>
            <w:vAlign w:val="center"/>
          </w:tcPr>
          <w:p>
            <w:pPr>
              <w:pStyle w:val="14"/>
              <w:rPr>
                <w:u w:val="single"/>
              </w:rPr>
            </w:pPr>
            <w:r>
              <w:rPr>
                <w:rFonts w:hint="eastAsia"/>
                <w:u w:val="single"/>
              </w:rPr>
              <w:t>5</w:t>
            </w:r>
            <w:r>
              <w:rPr>
                <w:u w:val="single"/>
              </w:rPr>
              <w:t>00</w:t>
            </w:r>
          </w:p>
        </w:tc>
        <w:tc>
          <w:tcPr>
            <w:tcW w:w="438" w:type="pct"/>
            <w:vAlign w:val="center"/>
          </w:tcPr>
          <w:p>
            <w:pPr>
              <w:pStyle w:val="14"/>
              <w:rPr>
                <w:u w:val="single"/>
              </w:rPr>
            </w:pPr>
            <w:r>
              <w:rPr>
                <w:rFonts w:hint="eastAsia"/>
                <w:u w:val="single"/>
              </w:rPr>
              <w:t>2</w:t>
            </w:r>
            <w:r>
              <w:rPr>
                <w:u w:val="single"/>
              </w:rPr>
              <w:t>50</w:t>
            </w:r>
          </w:p>
        </w:tc>
        <w:tc>
          <w:tcPr>
            <w:tcW w:w="438" w:type="pct"/>
            <w:vAlign w:val="center"/>
          </w:tcPr>
          <w:p>
            <w:pPr>
              <w:pStyle w:val="14"/>
              <w:rPr>
                <w:u w:val="single"/>
              </w:rPr>
            </w:pPr>
            <w:r>
              <w:rPr>
                <w:rFonts w:hint="eastAsia"/>
                <w:u w:val="single"/>
              </w:rPr>
              <w:t>4</w:t>
            </w:r>
            <w:r>
              <w:rPr>
                <w:u w:val="single"/>
              </w:rPr>
              <w:t>50</w:t>
            </w:r>
          </w:p>
        </w:tc>
        <w:tc>
          <w:tcPr>
            <w:tcW w:w="438" w:type="pct"/>
            <w:vAlign w:val="center"/>
          </w:tcPr>
          <w:p>
            <w:pPr>
              <w:pStyle w:val="14"/>
              <w:rPr>
                <w:u w:val="single"/>
              </w:rPr>
            </w:pPr>
            <w:r>
              <w:rPr>
                <w:rFonts w:hint="eastAsia"/>
                <w:u w:val="single"/>
              </w:rPr>
              <w:t>9</w:t>
            </w:r>
            <w:r>
              <w:rPr>
                <w:u w:val="single"/>
              </w:rPr>
              <w:t>00</w:t>
            </w:r>
          </w:p>
        </w:tc>
        <w:tc>
          <w:tcPr>
            <w:tcW w:w="438" w:type="pct"/>
            <w:vAlign w:val="center"/>
          </w:tcPr>
          <w:p>
            <w:pPr>
              <w:pStyle w:val="14"/>
              <w:rPr>
                <w:u w:val="single"/>
              </w:rPr>
            </w:pPr>
            <w:r>
              <w:rPr>
                <w:rFonts w:hint="eastAsia"/>
                <w:u w:val="single"/>
              </w:rPr>
              <w:t>2</w:t>
            </w:r>
            <w:r>
              <w:rPr>
                <w:u w:val="single"/>
              </w:rPr>
              <w:t>0</w:t>
            </w:r>
          </w:p>
        </w:tc>
        <w:tc>
          <w:tcPr>
            <w:tcW w:w="438" w:type="pct"/>
            <w:vAlign w:val="center"/>
          </w:tcPr>
          <w:p>
            <w:pPr>
              <w:pStyle w:val="14"/>
              <w:rPr>
                <w:u w:val="single"/>
              </w:rPr>
            </w:pPr>
            <w:r>
              <w:rPr>
                <w:rFonts w:hint="eastAsia"/>
                <w:u w:val="single"/>
              </w:rPr>
              <w:t>1</w:t>
            </w:r>
            <w:r>
              <w:rPr>
                <w:u w:val="single"/>
              </w:rPr>
              <w:t>200</w:t>
            </w:r>
          </w:p>
        </w:tc>
        <w:tc>
          <w:tcPr>
            <w:tcW w:w="439" w:type="pct"/>
            <w:vAlign w:val="center"/>
          </w:tcPr>
          <w:p>
            <w:pPr>
              <w:pStyle w:val="14"/>
              <w:rPr>
                <w:u w:val="single"/>
              </w:rPr>
            </w:pPr>
            <w:r>
              <w:rPr>
                <w:u w:val="single"/>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continue"/>
            <w:vAlign w:val="center"/>
          </w:tcPr>
          <w:p>
            <w:pPr>
              <w:pStyle w:val="14"/>
              <w:rPr>
                <w:u w:val="single"/>
              </w:rPr>
            </w:pPr>
          </w:p>
        </w:tc>
        <w:tc>
          <w:tcPr>
            <w:tcW w:w="1038" w:type="pct"/>
            <w:vAlign w:val="center"/>
          </w:tcPr>
          <w:p>
            <w:pPr>
              <w:pStyle w:val="14"/>
              <w:rPr>
                <w:u w:val="single"/>
              </w:rPr>
            </w:pPr>
            <w:r>
              <w:rPr>
                <w:rFonts w:hint="eastAsia"/>
                <w:u w:val="single"/>
              </w:rPr>
              <w:t>2</w:t>
            </w:r>
            <w:r>
              <w:rPr>
                <w:u w:val="single"/>
              </w:rPr>
              <w:t>4</w:t>
            </w:r>
            <w:r>
              <w:rPr>
                <w:rFonts w:hint="eastAsia"/>
                <w:u w:val="single"/>
              </w:rPr>
              <w:t>h平均浓度ug</w:t>
            </w:r>
            <w:r>
              <w:rPr>
                <w:u w:val="single"/>
              </w:rPr>
              <w:t>/m</w:t>
            </w:r>
            <w:r>
              <w:rPr>
                <w:u w:val="single"/>
                <w:vertAlign w:val="superscript"/>
              </w:rPr>
              <w:t>3</w:t>
            </w:r>
          </w:p>
        </w:tc>
        <w:tc>
          <w:tcPr>
            <w:tcW w:w="437" w:type="pct"/>
            <w:vAlign w:val="center"/>
          </w:tcPr>
          <w:p>
            <w:pPr>
              <w:pStyle w:val="14"/>
              <w:rPr>
                <w:u w:val="single"/>
              </w:rPr>
            </w:pPr>
            <w:r>
              <w:rPr>
                <w:rFonts w:hint="eastAsia"/>
                <w:u w:val="single"/>
              </w:rPr>
              <w:t>1</w:t>
            </w:r>
            <w:r>
              <w:rPr>
                <w:u w:val="single"/>
              </w:rPr>
              <w:t>50</w:t>
            </w:r>
          </w:p>
        </w:tc>
        <w:tc>
          <w:tcPr>
            <w:tcW w:w="438" w:type="pct"/>
            <w:vAlign w:val="center"/>
          </w:tcPr>
          <w:p>
            <w:pPr>
              <w:pStyle w:val="14"/>
              <w:rPr>
                <w:u w:val="single"/>
              </w:rPr>
            </w:pPr>
            <w:r>
              <w:rPr>
                <w:rFonts w:hint="eastAsia"/>
                <w:u w:val="single"/>
              </w:rPr>
              <w:t>1</w:t>
            </w:r>
            <w:r>
              <w:rPr>
                <w:u w:val="single"/>
              </w:rPr>
              <w:t>00</w:t>
            </w:r>
          </w:p>
        </w:tc>
        <w:tc>
          <w:tcPr>
            <w:tcW w:w="438" w:type="pct"/>
            <w:vAlign w:val="center"/>
          </w:tcPr>
          <w:p>
            <w:pPr>
              <w:pStyle w:val="14"/>
              <w:rPr>
                <w:u w:val="single"/>
              </w:rPr>
            </w:pPr>
            <w:r>
              <w:rPr>
                <w:rFonts w:hint="eastAsia"/>
                <w:u w:val="single"/>
              </w:rPr>
              <w:t>1</w:t>
            </w:r>
            <w:r>
              <w:rPr>
                <w:u w:val="single"/>
              </w:rPr>
              <w:t>50</w:t>
            </w:r>
          </w:p>
        </w:tc>
        <w:tc>
          <w:tcPr>
            <w:tcW w:w="438" w:type="pct"/>
            <w:vAlign w:val="center"/>
          </w:tcPr>
          <w:p>
            <w:pPr>
              <w:pStyle w:val="14"/>
              <w:rPr>
                <w:u w:val="single"/>
              </w:rPr>
            </w:pPr>
            <w:r>
              <w:rPr>
                <w:rFonts w:hint="eastAsia"/>
                <w:u w:val="single"/>
              </w:rPr>
              <w:t>3</w:t>
            </w:r>
            <w:r>
              <w:rPr>
                <w:u w:val="single"/>
              </w:rPr>
              <w:t>00</w:t>
            </w:r>
          </w:p>
        </w:tc>
        <w:tc>
          <w:tcPr>
            <w:tcW w:w="438" w:type="pct"/>
            <w:vAlign w:val="center"/>
          </w:tcPr>
          <w:p>
            <w:pPr>
              <w:pStyle w:val="14"/>
              <w:rPr>
                <w:u w:val="single"/>
              </w:rPr>
            </w:pPr>
            <w:r>
              <w:rPr>
                <w:rFonts w:hint="eastAsia"/>
                <w:u w:val="single"/>
              </w:rPr>
              <w:t>7</w:t>
            </w:r>
          </w:p>
        </w:tc>
        <w:tc>
          <w:tcPr>
            <w:tcW w:w="438" w:type="pct"/>
            <w:vAlign w:val="center"/>
          </w:tcPr>
          <w:p>
            <w:pPr>
              <w:pStyle w:val="14"/>
              <w:rPr>
                <w:u w:val="single"/>
              </w:rPr>
            </w:pPr>
            <w:r>
              <w:rPr>
                <w:u w:val="single"/>
              </w:rPr>
              <w:t>600</w:t>
            </w:r>
          </w:p>
        </w:tc>
        <w:tc>
          <w:tcPr>
            <w:tcW w:w="439" w:type="pct"/>
            <w:vAlign w:val="center"/>
          </w:tcPr>
          <w:p>
            <w:pPr>
              <w:pStyle w:val="14"/>
              <w:rPr>
                <w:u w:val="single"/>
              </w:rPr>
            </w:pPr>
            <w:r>
              <w:rPr>
                <w:rFonts w:hint="eastAsia"/>
                <w:u w:val="single"/>
              </w:rPr>
              <w:t>7</w:t>
            </w:r>
            <w:r>
              <w:rPr>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continue"/>
            <w:vAlign w:val="center"/>
          </w:tcPr>
          <w:p>
            <w:pPr>
              <w:pStyle w:val="14"/>
              <w:rPr>
                <w:u w:val="single"/>
              </w:rPr>
            </w:pPr>
          </w:p>
        </w:tc>
        <w:tc>
          <w:tcPr>
            <w:tcW w:w="1038" w:type="pct"/>
            <w:vAlign w:val="center"/>
          </w:tcPr>
          <w:p>
            <w:pPr>
              <w:pStyle w:val="14"/>
              <w:rPr>
                <w:u w:val="single"/>
              </w:rPr>
            </w:pPr>
            <w:r>
              <w:rPr>
                <w:rFonts w:hint="eastAsia"/>
                <w:u w:val="single"/>
              </w:rPr>
              <w:t>年平均浓度ug</w:t>
            </w:r>
            <w:r>
              <w:rPr>
                <w:u w:val="single"/>
              </w:rPr>
              <w:t>/m</w:t>
            </w:r>
            <w:r>
              <w:rPr>
                <w:u w:val="single"/>
                <w:vertAlign w:val="superscript"/>
              </w:rPr>
              <w:t>3</w:t>
            </w:r>
          </w:p>
        </w:tc>
        <w:tc>
          <w:tcPr>
            <w:tcW w:w="437" w:type="pct"/>
            <w:vAlign w:val="center"/>
          </w:tcPr>
          <w:p>
            <w:pPr>
              <w:pStyle w:val="14"/>
              <w:rPr>
                <w:u w:val="single"/>
              </w:rPr>
            </w:pPr>
            <w:r>
              <w:rPr>
                <w:rFonts w:hint="eastAsia"/>
                <w:u w:val="single"/>
              </w:rPr>
              <w:t>6</w:t>
            </w:r>
            <w:r>
              <w:rPr>
                <w:u w:val="single"/>
              </w:rPr>
              <w:t>0</w:t>
            </w:r>
          </w:p>
        </w:tc>
        <w:tc>
          <w:tcPr>
            <w:tcW w:w="438" w:type="pct"/>
            <w:vAlign w:val="center"/>
          </w:tcPr>
          <w:p>
            <w:pPr>
              <w:pStyle w:val="14"/>
              <w:rPr>
                <w:u w:val="single"/>
              </w:rPr>
            </w:pPr>
            <w:r>
              <w:rPr>
                <w:rFonts w:hint="eastAsia"/>
                <w:u w:val="single"/>
              </w:rPr>
              <w:t>5</w:t>
            </w:r>
            <w:r>
              <w:rPr>
                <w:u w:val="single"/>
              </w:rPr>
              <w:t>0</w:t>
            </w:r>
          </w:p>
        </w:tc>
        <w:tc>
          <w:tcPr>
            <w:tcW w:w="438" w:type="pct"/>
            <w:vAlign w:val="center"/>
          </w:tcPr>
          <w:p>
            <w:pPr>
              <w:pStyle w:val="14"/>
              <w:rPr>
                <w:u w:val="single"/>
              </w:rPr>
            </w:pPr>
            <w:r>
              <w:rPr>
                <w:rFonts w:hint="eastAsia"/>
                <w:u w:val="single"/>
              </w:rPr>
              <w:t>7</w:t>
            </w:r>
            <w:r>
              <w:rPr>
                <w:u w:val="single"/>
              </w:rPr>
              <w:t>0</w:t>
            </w:r>
          </w:p>
        </w:tc>
        <w:tc>
          <w:tcPr>
            <w:tcW w:w="438" w:type="pct"/>
            <w:vAlign w:val="center"/>
          </w:tcPr>
          <w:p>
            <w:pPr>
              <w:pStyle w:val="14"/>
              <w:rPr>
                <w:u w:val="single"/>
              </w:rPr>
            </w:pPr>
            <w:r>
              <w:rPr>
                <w:rFonts w:hint="eastAsia"/>
                <w:u w:val="single"/>
              </w:rPr>
              <w:t>2</w:t>
            </w:r>
            <w:r>
              <w:rPr>
                <w:u w:val="single"/>
              </w:rPr>
              <w:t>00</w:t>
            </w:r>
          </w:p>
        </w:tc>
        <w:tc>
          <w:tcPr>
            <w:tcW w:w="438" w:type="pct"/>
            <w:vAlign w:val="center"/>
          </w:tcPr>
          <w:p>
            <w:pPr>
              <w:pStyle w:val="14"/>
              <w:rPr>
                <w:u w:val="single"/>
              </w:rPr>
            </w:pPr>
            <w:r>
              <w:rPr>
                <w:rFonts w:hint="eastAsia"/>
                <w:u w:val="single"/>
              </w:rPr>
              <w:t>/</w:t>
            </w:r>
          </w:p>
        </w:tc>
        <w:tc>
          <w:tcPr>
            <w:tcW w:w="438" w:type="pct"/>
            <w:vAlign w:val="center"/>
          </w:tcPr>
          <w:p>
            <w:pPr>
              <w:pStyle w:val="14"/>
              <w:rPr>
                <w:u w:val="single"/>
              </w:rPr>
            </w:pPr>
            <w:r>
              <w:rPr>
                <w:rFonts w:hint="eastAsia"/>
                <w:u w:val="single"/>
              </w:rPr>
              <w:t>/</w:t>
            </w:r>
          </w:p>
        </w:tc>
        <w:tc>
          <w:tcPr>
            <w:tcW w:w="439" w:type="pct"/>
            <w:vAlign w:val="center"/>
          </w:tcPr>
          <w:p>
            <w:pPr>
              <w:pStyle w:val="14"/>
              <w:rPr>
                <w:u w:val="single"/>
              </w:rPr>
            </w:pPr>
            <w:r>
              <w:rPr>
                <w:u w:val="single"/>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restart"/>
            <w:vAlign w:val="center"/>
          </w:tcPr>
          <w:p>
            <w:pPr>
              <w:pStyle w:val="14"/>
              <w:rPr>
                <w:u w:val="single"/>
              </w:rPr>
            </w:pPr>
            <w:r>
              <w:rPr>
                <w:rFonts w:hint="eastAsia"/>
                <w:u w:val="single"/>
              </w:rPr>
              <w:t>新增污染源</w:t>
            </w:r>
          </w:p>
          <w:p>
            <w:pPr>
              <w:pStyle w:val="14"/>
              <w:rPr>
                <w:u w:val="single"/>
              </w:rPr>
            </w:pPr>
            <w:r>
              <w:rPr>
                <w:rFonts w:hint="eastAsia"/>
                <w:u w:val="single"/>
              </w:rPr>
              <w:t>正常工况</w:t>
            </w:r>
          </w:p>
          <w:p>
            <w:pPr>
              <w:pStyle w:val="14"/>
              <w:rPr>
                <w:u w:val="single"/>
              </w:rPr>
            </w:pPr>
            <w:r>
              <w:rPr>
                <w:rFonts w:hint="eastAsia"/>
                <w:u w:val="single"/>
              </w:rPr>
              <w:t>最大落</w:t>
            </w:r>
          </w:p>
          <w:p>
            <w:pPr>
              <w:pStyle w:val="14"/>
              <w:rPr>
                <w:u w:val="single"/>
              </w:rPr>
            </w:pPr>
            <w:r>
              <w:rPr>
                <w:rFonts w:hint="eastAsia"/>
                <w:u w:val="single"/>
              </w:rPr>
              <w:t>地浓度点</w:t>
            </w:r>
          </w:p>
        </w:tc>
        <w:tc>
          <w:tcPr>
            <w:tcW w:w="1038" w:type="pct"/>
            <w:vAlign w:val="center"/>
          </w:tcPr>
          <w:p>
            <w:pPr>
              <w:pStyle w:val="14"/>
              <w:rPr>
                <w:u w:val="single"/>
              </w:rPr>
            </w:pPr>
            <w:r>
              <w:rPr>
                <w:rFonts w:hint="eastAsia"/>
                <w:u w:val="single"/>
              </w:rPr>
              <w:t>1h平均浓度ug</w:t>
            </w:r>
            <w:r>
              <w:rPr>
                <w:u w:val="single"/>
              </w:rPr>
              <w:t>/m</w:t>
            </w:r>
            <w:r>
              <w:rPr>
                <w:u w:val="single"/>
                <w:vertAlign w:val="superscript"/>
              </w:rPr>
              <w:t>3</w:t>
            </w:r>
          </w:p>
        </w:tc>
        <w:tc>
          <w:tcPr>
            <w:tcW w:w="437" w:type="pct"/>
            <w:vAlign w:val="center"/>
          </w:tcPr>
          <w:p>
            <w:pPr>
              <w:pStyle w:val="14"/>
              <w:rPr>
                <w:u w:val="single"/>
              </w:rPr>
            </w:pPr>
            <w:r>
              <w:rPr>
                <w:rFonts w:hint="eastAsia"/>
                <w:u w:val="single"/>
              </w:rPr>
              <w:t>2</w:t>
            </w:r>
            <w:r>
              <w:rPr>
                <w:u w:val="single"/>
              </w:rPr>
              <w:t>59.40</w:t>
            </w:r>
          </w:p>
        </w:tc>
        <w:tc>
          <w:tcPr>
            <w:tcW w:w="438" w:type="pct"/>
            <w:vAlign w:val="center"/>
          </w:tcPr>
          <w:p>
            <w:pPr>
              <w:pStyle w:val="14"/>
              <w:rPr>
                <w:u w:val="single"/>
              </w:rPr>
            </w:pPr>
            <w:r>
              <w:rPr>
                <w:rFonts w:hint="eastAsia"/>
                <w:u w:val="single"/>
              </w:rPr>
              <w:t>2</w:t>
            </w:r>
            <w:r>
              <w:rPr>
                <w:u w:val="single"/>
              </w:rPr>
              <w:t>29.61</w:t>
            </w:r>
          </w:p>
        </w:tc>
        <w:tc>
          <w:tcPr>
            <w:tcW w:w="438" w:type="pct"/>
            <w:vAlign w:val="center"/>
          </w:tcPr>
          <w:p>
            <w:pPr>
              <w:pStyle w:val="14"/>
              <w:rPr>
                <w:u w:val="single"/>
              </w:rPr>
            </w:pPr>
            <w:r>
              <w:rPr>
                <w:rFonts w:hint="eastAsia"/>
                <w:u w:val="single"/>
              </w:rPr>
              <w:t>3</w:t>
            </w:r>
            <w:r>
              <w:rPr>
                <w:u w:val="single"/>
              </w:rPr>
              <w:t>50.89</w:t>
            </w:r>
          </w:p>
        </w:tc>
        <w:tc>
          <w:tcPr>
            <w:tcW w:w="438" w:type="pct"/>
            <w:vAlign w:val="center"/>
          </w:tcPr>
          <w:p>
            <w:pPr>
              <w:pStyle w:val="14"/>
              <w:rPr>
                <w:u w:val="single"/>
              </w:rPr>
            </w:pPr>
            <w:r>
              <w:rPr>
                <w:rFonts w:hint="eastAsia"/>
                <w:u w:val="single"/>
              </w:rPr>
              <w:t>6</w:t>
            </w:r>
            <w:r>
              <w:rPr>
                <w:u w:val="single"/>
              </w:rPr>
              <w:t>86.62</w:t>
            </w:r>
          </w:p>
        </w:tc>
        <w:tc>
          <w:tcPr>
            <w:tcW w:w="438" w:type="pct"/>
            <w:vAlign w:val="center"/>
          </w:tcPr>
          <w:p>
            <w:pPr>
              <w:pStyle w:val="14"/>
              <w:rPr>
                <w:u w:val="single"/>
              </w:rPr>
            </w:pPr>
            <w:r>
              <w:rPr>
                <w:rFonts w:hint="eastAsia"/>
                <w:u w:val="single"/>
              </w:rPr>
              <w:t>8</w:t>
            </w:r>
            <w:r>
              <w:rPr>
                <w:u w:val="single"/>
              </w:rPr>
              <w:t>.87</w:t>
            </w:r>
          </w:p>
        </w:tc>
        <w:tc>
          <w:tcPr>
            <w:tcW w:w="438" w:type="pct"/>
            <w:vAlign w:val="center"/>
          </w:tcPr>
          <w:p>
            <w:pPr>
              <w:pStyle w:val="14"/>
              <w:rPr>
                <w:u w:val="single"/>
              </w:rPr>
            </w:pPr>
            <w:r>
              <w:rPr>
                <w:rFonts w:hint="eastAsia"/>
                <w:u w:val="single"/>
              </w:rPr>
              <w:t>0</w:t>
            </w:r>
            <w:r>
              <w:rPr>
                <w:u w:val="single"/>
              </w:rPr>
              <w:t>.79</w:t>
            </w:r>
          </w:p>
        </w:tc>
        <w:tc>
          <w:tcPr>
            <w:tcW w:w="439" w:type="pct"/>
            <w:vAlign w:val="center"/>
          </w:tcPr>
          <w:p>
            <w:pPr>
              <w:pStyle w:val="14"/>
              <w:rPr>
                <w:u w:val="single"/>
              </w:rPr>
            </w:pPr>
            <w:r>
              <w:rPr>
                <w:rFonts w:hint="eastAsia"/>
                <w:u w:val="single"/>
              </w:rPr>
              <w:t>1</w:t>
            </w:r>
            <w:r>
              <w:rPr>
                <w:u w:val="single"/>
              </w:rPr>
              <w:t>97.89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continue"/>
            <w:vAlign w:val="center"/>
          </w:tcPr>
          <w:p>
            <w:pPr>
              <w:pStyle w:val="14"/>
              <w:rPr>
                <w:u w:val="single"/>
              </w:rPr>
            </w:pPr>
          </w:p>
        </w:tc>
        <w:tc>
          <w:tcPr>
            <w:tcW w:w="1038" w:type="pct"/>
            <w:vAlign w:val="center"/>
          </w:tcPr>
          <w:p>
            <w:pPr>
              <w:pStyle w:val="14"/>
              <w:rPr>
                <w:u w:val="single"/>
              </w:rPr>
            </w:pPr>
            <w:r>
              <w:rPr>
                <w:rFonts w:hint="eastAsia"/>
                <w:u w:val="single"/>
              </w:rPr>
              <w:t>占标率</w:t>
            </w:r>
          </w:p>
        </w:tc>
        <w:tc>
          <w:tcPr>
            <w:tcW w:w="437" w:type="pct"/>
            <w:vAlign w:val="center"/>
          </w:tcPr>
          <w:p>
            <w:pPr>
              <w:pStyle w:val="14"/>
              <w:rPr>
                <w:u w:val="single"/>
              </w:rPr>
            </w:pPr>
            <w:r>
              <w:rPr>
                <w:rFonts w:hint="eastAsia"/>
                <w:u w:val="single"/>
              </w:rPr>
              <w:t>5</w:t>
            </w:r>
            <w:r>
              <w:rPr>
                <w:u w:val="single"/>
              </w:rPr>
              <w:t>1.88</w:t>
            </w:r>
          </w:p>
        </w:tc>
        <w:tc>
          <w:tcPr>
            <w:tcW w:w="438" w:type="pct"/>
            <w:vAlign w:val="center"/>
          </w:tcPr>
          <w:p>
            <w:pPr>
              <w:pStyle w:val="14"/>
              <w:rPr>
                <w:u w:val="single"/>
              </w:rPr>
            </w:pPr>
            <w:r>
              <w:rPr>
                <w:rFonts w:hint="eastAsia"/>
                <w:u w:val="single"/>
              </w:rPr>
              <w:t>9</w:t>
            </w:r>
            <w:r>
              <w:rPr>
                <w:u w:val="single"/>
              </w:rPr>
              <w:t>1.84</w:t>
            </w:r>
          </w:p>
        </w:tc>
        <w:tc>
          <w:tcPr>
            <w:tcW w:w="438" w:type="pct"/>
            <w:vAlign w:val="center"/>
          </w:tcPr>
          <w:p>
            <w:pPr>
              <w:pStyle w:val="14"/>
              <w:rPr>
                <w:u w:val="single"/>
              </w:rPr>
            </w:pPr>
            <w:r>
              <w:rPr>
                <w:rFonts w:hint="eastAsia"/>
                <w:u w:val="single"/>
              </w:rPr>
              <w:t>8</w:t>
            </w:r>
            <w:r>
              <w:rPr>
                <w:u w:val="single"/>
              </w:rPr>
              <w:t>8.98</w:t>
            </w:r>
          </w:p>
        </w:tc>
        <w:tc>
          <w:tcPr>
            <w:tcW w:w="438" w:type="pct"/>
            <w:vAlign w:val="center"/>
          </w:tcPr>
          <w:p>
            <w:pPr>
              <w:pStyle w:val="14"/>
              <w:rPr>
                <w:u w:val="single"/>
              </w:rPr>
            </w:pPr>
            <w:r>
              <w:rPr>
                <w:rFonts w:hint="eastAsia"/>
                <w:u w:val="single"/>
              </w:rPr>
              <w:t>7</w:t>
            </w:r>
            <w:r>
              <w:rPr>
                <w:u w:val="single"/>
              </w:rPr>
              <w:t>6.29</w:t>
            </w:r>
          </w:p>
        </w:tc>
        <w:tc>
          <w:tcPr>
            <w:tcW w:w="438" w:type="pct"/>
            <w:vAlign w:val="center"/>
          </w:tcPr>
          <w:p>
            <w:pPr>
              <w:pStyle w:val="14"/>
              <w:rPr>
                <w:u w:val="single"/>
              </w:rPr>
            </w:pPr>
            <w:r>
              <w:rPr>
                <w:rFonts w:hint="eastAsia"/>
                <w:u w:val="single"/>
              </w:rPr>
              <w:t>4</w:t>
            </w:r>
            <w:r>
              <w:rPr>
                <w:u w:val="single"/>
              </w:rPr>
              <w:t>4.36</w:t>
            </w:r>
          </w:p>
        </w:tc>
        <w:tc>
          <w:tcPr>
            <w:tcW w:w="438" w:type="pct"/>
            <w:vAlign w:val="center"/>
          </w:tcPr>
          <w:p>
            <w:pPr>
              <w:pStyle w:val="14"/>
              <w:rPr>
                <w:u w:val="single"/>
              </w:rPr>
            </w:pPr>
            <w:r>
              <w:rPr>
                <w:rFonts w:hint="eastAsia"/>
                <w:u w:val="single"/>
              </w:rPr>
              <w:t>0</w:t>
            </w:r>
            <w:r>
              <w:rPr>
                <w:u w:val="single"/>
              </w:rPr>
              <w:t>.07</w:t>
            </w:r>
          </w:p>
        </w:tc>
        <w:tc>
          <w:tcPr>
            <w:tcW w:w="439" w:type="pct"/>
            <w:vAlign w:val="center"/>
          </w:tcPr>
          <w:p>
            <w:pPr>
              <w:pStyle w:val="14"/>
              <w:rPr>
                <w:u w:val="single"/>
              </w:rPr>
            </w:pPr>
            <w:r>
              <w:rPr>
                <w:rFonts w:hint="eastAsia"/>
                <w:u w:val="single"/>
              </w:rPr>
              <w:t>8</w:t>
            </w:r>
            <w:r>
              <w:rPr>
                <w:u w:val="single"/>
              </w:rPr>
              <w:t>7.95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continue"/>
            <w:vAlign w:val="center"/>
          </w:tcPr>
          <w:p>
            <w:pPr>
              <w:pStyle w:val="14"/>
              <w:rPr>
                <w:u w:val="single"/>
              </w:rPr>
            </w:pPr>
          </w:p>
        </w:tc>
        <w:tc>
          <w:tcPr>
            <w:tcW w:w="1038" w:type="pct"/>
            <w:vAlign w:val="center"/>
          </w:tcPr>
          <w:p>
            <w:pPr>
              <w:pStyle w:val="14"/>
              <w:rPr>
                <w:u w:val="single"/>
              </w:rPr>
            </w:pPr>
            <w:r>
              <w:rPr>
                <w:rFonts w:hint="eastAsia"/>
                <w:u w:val="single"/>
              </w:rPr>
              <w:t>2</w:t>
            </w:r>
            <w:r>
              <w:rPr>
                <w:u w:val="single"/>
              </w:rPr>
              <w:t>4</w:t>
            </w:r>
            <w:r>
              <w:rPr>
                <w:rFonts w:hint="eastAsia"/>
                <w:u w:val="single"/>
              </w:rPr>
              <w:t>h平均浓度ug</w:t>
            </w:r>
            <w:r>
              <w:rPr>
                <w:u w:val="single"/>
              </w:rPr>
              <w:t>/m</w:t>
            </w:r>
            <w:r>
              <w:rPr>
                <w:u w:val="single"/>
                <w:vertAlign w:val="superscript"/>
              </w:rPr>
              <w:t>3</w:t>
            </w:r>
          </w:p>
        </w:tc>
        <w:tc>
          <w:tcPr>
            <w:tcW w:w="437" w:type="pct"/>
            <w:vAlign w:val="center"/>
          </w:tcPr>
          <w:p>
            <w:pPr>
              <w:pStyle w:val="14"/>
              <w:rPr>
                <w:u w:val="single"/>
              </w:rPr>
            </w:pPr>
            <w:r>
              <w:rPr>
                <w:rFonts w:hint="eastAsia"/>
                <w:u w:val="single"/>
              </w:rPr>
              <w:t>3</w:t>
            </w:r>
            <w:r>
              <w:rPr>
                <w:u w:val="single"/>
              </w:rPr>
              <w:t>6.26</w:t>
            </w:r>
          </w:p>
        </w:tc>
        <w:tc>
          <w:tcPr>
            <w:tcW w:w="438" w:type="pct"/>
            <w:vAlign w:val="center"/>
          </w:tcPr>
          <w:p>
            <w:pPr>
              <w:pStyle w:val="14"/>
              <w:rPr>
                <w:u w:val="single"/>
              </w:rPr>
            </w:pPr>
            <w:r>
              <w:rPr>
                <w:rFonts w:hint="eastAsia"/>
                <w:u w:val="single"/>
              </w:rPr>
              <w:t>8</w:t>
            </w:r>
            <w:r>
              <w:rPr>
                <w:u w:val="single"/>
              </w:rPr>
              <w:t>5.72</w:t>
            </w:r>
          </w:p>
        </w:tc>
        <w:tc>
          <w:tcPr>
            <w:tcW w:w="438" w:type="pct"/>
            <w:vAlign w:val="center"/>
          </w:tcPr>
          <w:p>
            <w:pPr>
              <w:pStyle w:val="14"/>
              <w:rPr>
                <w:u w:val="single"/>
              </w:rPr>
            </w:pPr>
            <w:r>
              <w:rPr>
                <w:rFonts w:hint="eastAsia"/>
                <w:u w:val="single"/>
              </w:rPr>
              <w:t>4</w:t>
            </w:r>
            <w:r>
              <w:rPr>
                <w:u w:val="single"/>
              </w:rPr>
              <w:t>5.41</w:t>
            </w:r>
          </w:p>
        </w:tc>
        <w:tc>
          <w:tcPr>
            <w:tcW w:w="438" w:type="pct"/>
            <w:vAlign w:val="center"/>
          </w:tcPr>
          <w:p>
            <w:pPr>
              <w:pStyle w:val="14"/>
              <w:rPr>
                <w:u w:val="single"/>
              </w:rPr>
            </w:pPr>
            <w:r>
              <w:rPr>
                <w:rFonts w:hint="eastAsia"/>
                <w:u w:val="single"/>
              </w:rPr>
              <w:t>4</w:t>
            </w:r>
            <w:r>
              <w:rPr>
                <w:u w:val="single"/>
              </w:rPr>
              <w:t>1.25</w:t>
            </w:r>
          </w:p>
        </w:tc>
        <w:tc>
          <w:tcPr>
            <w:tcW w:w="438" w:type="pct"/>
            <w:vAlign w:val="center"/>
          </w:tcPr>
          <w:p>
            <w:pPr>
              <w:pStyle w:val="14"/>
              <w:rPr>
                <w:u w:val="single"/>
              </w:rPr>
            </w:pPr>
            <w:r>
              <w:rPr>
                <w:rFonts w:hint="eastAsia"/>
                <w:u w:val="single"/>
              </w:rPr>
              <w:t>1</w:t>
            </w:r>
            <w:r>
              <w:rPr>
                <w:u w:val="single"/>
              </w:rPr>
              <w:t>.31</w:t>
            </w:r>
          </w:p>
        </w:tc>
        <w:tc>
          <w:tcPr>
            <w:tcW w:w="438" w:type="pct"/>
            <w:vAlign w:val="center"/>
          </w:tcPr>
          <w:p>
            <w:pPr>
              <w:pStyle w:val="14"/>
              <w:rPr>
                <w:u w:val="single"/>
              </w:rPr>
            </w:pPr>
            <w:r>
              <w:rPr>
                <w:rFonts w:hint="eastAsia"/>
                <w:u w:val="single"/>
              </w:rPr>
              <w:t>0</w:t>
            </w:r>
            <w:r>
              <w:rPr>
                <w:u w:val="single"/>
              </w:rPr>
              <w:t>.12</w:t>
            </w:r>
          </w:p>
        </w:tc>
        <w:tc>
          <w:tcPr>
            <w:tcW w:w="439" w:type="pct"/>
            <w:vAlign w:val="center"/>
          </w:tcPr>
          <w:p>
            <w:pPr>
              <w:pStyle w:val="14"/>
              <w:rPr>
                <w:u w:val="single"/>
              </w:rPr>
            </w:pPr>
            <w:r>
              <w:rPr>
                <w:rFonts w:hint="eastAsia"/>
                <w:u w:val="single"/>
              </w:rPr>
              <w:t>6</w:t>
            </w:r>
            <w:r>
              <w:rPr>
                <w:u w:val="single"/>
              </w:rPr>
              <w:t>5.92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continue"/>
            <w:vAlign w:val="center"/>
          </w:tcPr>
          <w:p>
            <w:pPr>
              <w:pStyle w:val="14"/>
              <w:rPr>
                <w:u w:val="single"/>
              </w:rPr>
            </w:pPr>
          </w:p>
        </w:tc>
        <w:tc>
          <w:tcPr>
            <w:tcW w:w="1038" w:type="pct"/>
            <w:vAlign w:val="center"/>
          </w:tcPr>
          <w:p>
            <w:pPr>
              <w:pStyle w:val="14"/>
              <w:rPr>
                <w:u w:val="single"/>
              </w:rPr>
            </w:pPr>
            <w:r>
              <w:rPr>
                <w:rFonts w:hint="eastAsia"/>
                <w:u w:val="single"/>
              </w:rPr>
              <w:t>占标率</w:t>
            </w:r>
          </w:p>
        </w:tc>
        <w:tc>
          <w:tcPr>
            <w:tcW w:w="437" w:type="pct"/>
            <w:vAlign w:val="center"/>
          </w:tcPr>
          <w:p>
            <w:pPr>
              <w:pStyle w:val="14"/>
              <w:rPr>
                <w:u w:val="single"/>
              </w:rPr>
            </w:pPr>
            <w:r>
              <w:rPr>
                <w:rFonts w:hint="eastAsia"/>
                <w:u w:val="single"/>
              </w:rPr>
              <w:t>2</w:t>
            </w:r>
            <w:r>
              <w:rPr>
                <w:u w:val="single"/>
              </w:rPr>
              <w:t>4.18</w:t>
            </w:r>
          </w:p>
        </w:tc>
        <w:tc>
          <w:tcPr>
            <w:tcW w:w="438" w:type="pct"/>
            <w:vAlign w:val="center"/>
          </w:tcPr>
          <w:p>
            <w:pPr>
              <w:pStyle w:val="14"/>
              <w:rPr>
                <w:u w:val="single"/>
              </w:rPr>
            </w:pPr>
            <w:r>
              <w:rPr>
                <w:rFonts w:hint="eastAsia"/>
                <w:u w:val="single"/>
              </w:rPr>
              <w:t>8</w:t>
            </w:r>
            <w:r>
              <w:rPr>
                <w:u w:val="single"/>
              </w:rPr>
              <w:t>5.72</w:t>
            </w:r>
          </w:p>
        </w:tc>
        <w:tc>
          <w:tcPr>
            <w:tcW w:w="438" w:type="pct"/>
            <w:vAlign w:val="center"/>
          </w:tcPr>
          <w:p>
            <w:pPr>
              <w:pStyle w:val="14"/>
              <w:rPr>
                <w:u w:val="single"/>
              </w:rPr>
            </w:pPr>
            <w:r>
              <w:rPr>
                <w:rFonts w:hint="eastAsia"/>
                <w:u w:val="single"/>
              </w:rPr>
              <w:t>3</w:t>
            </w:r>
            <w:r>
              <w:rPr>
                <w:u w:val="single"/>
              </w:rPr>
              <w:t>0.27</w:t>
            </w:r>
          </w:p>
        </w:tc>
        <w:tc>
          <w:tcPr>
            <w:tcW w:w="438" w:type="pct"/>
            <w:vAlign w:val="center"/>
          </w:tcPr>
          <w:p>
            <w:pPr>
              <w:pStyle w:val="14"/>
              <w:rPr>
                <w:u w:val="single"/>
              </w:rPr>
            </w:pPr>
            <w:r>
              <w:rPr>
                <w:rFonts w:hint="eastAsia"/>
                <w:u w:val="single"/>
              </w:rPr>
              <w:t>1</w:t>
            </w:r>
            <w:r>
              <w:rPr>
                <w:u w:val="single"/>
              </w:rPr>
              <w:t>3.75</w:t>
            </w:r>
          </w:p>
        </w:tc>
        <w:tc>
          <w:tcPr>
            <w:tcW w:w="438" w:type="pct"/>
            <w:vAlign w:val="center"/>
          </w:tcPr>
          <w:p>
            <w:pPr>
              <w:pStyle w:val="14"/>
              <w:rPr>
                <w:u w:val="single"/>
              </w:rPr>
            </w:pPr>
            <w:r>
              <w:rPr>
                <w:rFonts w:hint="eastAsia"/>
                <w:u w:val="single"/>
              </w:rPr>
              <w:t>1</w:t>
            </w:r>
            <w:r>
              <w:rPr>
                <w:u w:val="single"/>
              </w:rPr>
              <w:t>8.71</w:t>
            </w:r>
          </w:p>
        </w:tc>
        <w:tc>
          <w:tcPr>
            <w:tcW w:w="438" w:type="pct"/>
            <w:vAlign w:val="center"/>
          </w:tcPr>
          <w:p>
            <w:pPr>
              <w:pStyle w:val="14"/>
              <w:rPr>
                <w:u w:val="single"/>
              </w:rPr>
            </w:pPr>
            <w:r>
              <w:rPr>
                <w:u w:val="single"/>
              </w:rPr>
              <w:t>0.02</w:t>
            </w:r>
          </w:p>
        </w:tc>
        <w:tc>
          <w:tcPr>
            <w:tcW w:w="439" w:type="pct"/>
            <w:vAlign w:val="center"/>
          </w:tcPr>
          <w:p>
            <w:pPr>
              <w:pStyle w:val="14"/>
              <w:rPr>
                <w:u w:val="single"/>
              </w:rPr>
            </w:pPr>
            <w:r>
              <w:rPr>
                <w:rFonts w:hint="eastAsia"/>
                <w:u w:val="single"/>
              </w:rPr>
              <w:t>8</w:t>
            </w:r>
            <w:r>
              <w:rPr>
                <w:u w:val="single"/>
              </w:rPr>
              <w:t>7.89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continue"/>
            <w:vAlign w:val="center"/>
          </w:tcPr>
          <w:p>
            <w:pPr>
              <w:pStyle w:val="14"/>
              <w:rPr>
                <w:u w:val="single"/>
              </w:rPr>
            </w:pPr>
          </w:p>
        </w:tc>
        <w:tc>
          <w:tcPr>
            <w:tcW w:w="1038" w:type="pct"/>
            <w:vAlign w:val="center"/>
          </w:tcPr>
          <w:p>
            <w:pPr>
              <w:pStyle w:val="14"/>
              <w:rPr>
                <w:u w:val="single"/>
              </w:rPr>
            </w:pPr>
            <w:r>
              <w:rPr>
                <w:rFonts w:hint="eastAsia"/>
                <w:u w:val="single"/>
              </w:rPr>
              <w:t>年平均浓度ug</w:t>
            </w:r>
            <w:r>
              <w:rPr>
                <w:u w:val="single"/>
              </w:rPr>
              <w:t>/m</w:t>
            </w:r>
            <w:r>
              <w:rPr>
                <w:u w:val="single"/>
                <w:vertAlign w:val="superscript"/>
              </w:rPr>
              <w:t>3</w:t>
            </w:r>
          </w:p>
        </w:tc>
        <w:tc>
          <w:tcPr>
            <w:tcW w:w="437" w:type="pct"/>
            <w:vAlign w:val="center"/>
          </w:tcPr>
          <w:p>
            <w:pPr>
              <w:pStyle w:val="14"/>
              <w:rPr>
                <w:u w:val="single"/>
              </w:rPr>
            </w:pPr>
            <w:r>
              <w:rPr>
                <w:rFonts w:hint="eastAsia"/>
                <w:u w:val="single"/>
              </w:rPr>
              <w:t>8</w:t>
            </w:r>
            <w:r>
              <w:rPr>
                <w:u w:val="single"/>
              </w:rPr>
              <w:t>.18</w:t>
            </w:r>
          </w:p>
        </w:tc>
        <w:tc>
          <w:tcPr>
            <w:tcW w:w="438" w:type="pct"/>
            <w:vAlign w:val="center"/>
          </w:tcPr>
          <w:p>
            <w:pPr>
              <w:pStyle w:val="14"/>
              <w:rPr>
                <w:u w:val="single"/>
              </w:rPr>
            </w:pPr>
            <w:r>
              <w:rPr>
                <w:u w:val="single"/>
              </w:rPr>
              <w:t>13.87</w:t>
            </w:r>
          </w:p>
        </w:tc>
        <w:tc>
          <w:tcPr>
            <w:tcW w:w="438" w:type="pct"/>
            <w:vAlign w:val="center"/>
          </w:tcPr>
          <w:p>
            <w:pPr>
              <w:pStyle w:val="14"/>
              <w:rPr>
                <w:u w:val="single"/>
              </w:rPr>
            </w:pPr>
            <w:r>
              <w:rPr>
                <w:rFonts w:hint="eastAsia"/>
                <w:u w:val="single"/>
              </w:rPr>
              <w:t>1</w:t>
            </w:r>
            <w:r>
              <w:rPr>
                <w:u w:val="single"/>
              </w:rPr>
              <w:t>8.93</w:t>
            </w:r>
          </w:p>
        </w:tc>
        <w:tc>
          <w:tcPr>
            <w:tcW w:w="438" w:type="pct"/>
            <w:vAlign w:val="center"/>
          </w:tcPr>
          <w:p>
            <w:pPr>
              <w:pStyle w:val="14"/>
              <w:rPr>
                <w:u w:val="single"/>
              </w:rPr>
            </w:pPr>
            <w:r>
              <w:rPr>
                <w:rFonts w:hint="eastAsia"/>
                <w:u w:val="single"/>
              </w:rPr>
              <w:t>1</w:t>
            </w:r>
            <w:r>
              <w:rPr>
                <w:u w:val="single"/>
              </w:rPr>
              <w:t>4.01</w:t>
            </w:r>
          </w:p>
        </w:tc>
        <w:tc>
          <w:tcPr>
            <w:tcW w:w="438" w:type="pct"/>
            <w:vAlign w:val="center"/>
          </w:tcPr>
          <w:p>
            <w:pPr>
              <w:pStyle w:val="14"/>
              <w:rPr>
                <w:u w:val="single"/>
              </w:rPr>
            </w:pPr>
            <w:r>
              <w:rPr>
                <w:rFonts w:hint="eastAsia"/>
                <w:u w:val="single"/>
              </w:rPr>
              <w:t>0</w:t>
            </w:r>
            <w:r>
              <w:rPr>
                <w:u w:val="single"/>
              </w:rPr>
              <w:t>.26</w:t>
            </w:r>
          </w:p>
        </w:tc>
        <w:tc>
          <w:tcPr>
            <w:tcW w:w="438" w:type="pct"/>
            <w:vAlign w:val="center"/>
          </w:tcPr>
          <w:p>
            <w:pPr>
              <w:pStyle w:val="14"/>
              <w:rPr>
                <w:u w:val="single"/>
              </w:rPr>
            </w:pPr>
            <w:r>
              <w:rPr>
                <w:rFonts w:hint="eastAsia"/>
                <w:u w:val="single"/>
              </w:rPr>
              <w:t>0</w:t>
            </w:r>
            <w:r>
              <w:rPr>
                <w:u w:val="single"/>
              </w:rPr>
              <w:t>.03</w:t>
            </w:r>
          </w:p>
        </w:tc>
        <w:tc>
          <w:tcPr>
            <w:tcW w:w="439" w:type="pct"/>
            <w:vAlign w:val="center"/>
          </w:tcPr>
          <w:p>
            <w:pPr>
              <w:pStyle w:val="14"/>
              <w:rPr>
                <w:u w:val="single"/>
              </w:rPr>
            </w:pPr>
            <w:r>
              <w:rPr>
                <w:rFonts w:hint="eastAsia"/>
                <w:u w:val="single"/>
              </w:rPr>
              <w:t>9</w:t>
            </w:r>
            <w:r>
              <w:rPr>
                <w:u w:val="single"/>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continue"/>
            <w:vAlign w:val="center"/>
          </w:tcPr>
          <w:p>
            <w:pPr>
              <w:pStyle w:val="14"/>
              <w:rPr>
                <w:u w:val="single"/>
              </w:rPr>
            </w:pPr>
          </w:p>
        </w:tc>
        <w:tc>
          <w:tcPr>
            <w:tcW w:w="1038" w:type="pct"/>
            <w:vAlign w:val="center"/>
          </w:tcPr>
          <w:p>
            <w:pPr>
              <w:pStyle w:val="14"/>
              <w:rPr>
                <w:u w:val="single"/>
              </w:rPr>
            </w:pPr>
            <w:r>
              <w:rPr>
                <w:rFonts w:hint="eastAsia"/>
                <w:u w:val="single"/>
              </w:rPr>
              <w:t>占标率</w:t>
            </w:r>
          </w:p>
        </w:tc>
        <w:tc>
          <w:tcPr>
            <w:tcW w:w="437" w:type="pct"/>
            <w:vAlign w:val="center"/>
          </w:tcPr>
          <w:p>
            <w:pPr>
              <w:pStyle w:val="14"/>
              <w:rPr>
                <w:u w:val="single"/>
              </w:rPr>
            </w:pPr>
            <w:r>
              <w:rPr>
                <w:rFonts w:hint="eastAsia"/>
                <w:u w:val="single"/>
              </w:rPr>
              <w:t>1</w:t>
            </w:r>
            <w:r>
              <w:rPr>
                <w:u w:val="single"/>
              </w:rPr>
              <w:t>3.63</w:t>
            </w:r>
          </w:p>
        </w:tc>
        <w:tc>
          <w:tcPr>
            <w:tcW w:w="438" w:type="pct"/>
            <w:vAlign w:val="center"/>
          </w:tcPr>
          <w:p>
            <w:pPr>
              <w:pStyle w:val="14"/>
              <w:rPr>
                <w:u w:val="single"/>
              </w:rPr>
            </w:pPr>
            <w:r>
              <w:rPr>
                <w:rFonts w:hint="eastAsia"/>
                <w:u w:val="single"/>
              </w:rPr>
              <w:t>2</w:t>
            </w:r>
            <w:r>
              <w:rPr>
                <w:u w:val="single"/>
              </w:rPr>
              <w:t>7.74</w:t>
            </w:r>
          </w:p>
        </w:tc>
        <w:tc>
          <w:tcPr>
            <w:tcW w:w="438" w:type="pct"/>
            <w:vAlign w:val="center"/>
          </w:tcPr>
          <w:p>
            <w:pPr>
              <w:pStyle w:val="14"/>
              <w:rPr>
                <w:u w:val="single"/>
              </w:rPr>
            </w:pPr>
            <w:r>
              <w:rPr>
                <w:rFonts w:hint="eastAsia"/>
                <w:u w:val="single"/>
              </w:rPr>
              <w:t>2</w:t>
            </w:r>
            <w:r>
              <w:rPr>
                <w:u w:val="single"/>
              </w:rPr>
              <w:t>7.04</w:t>
            </w:r>
          </w:p>
        </w:tc>
        <w:tc>
          <w:tcPr>
            <w:tcW w:w="438" w:type="pct"/>
            <w:vAlign w:val="center"/>
          </w:tcPr>
          <w:p>
            <w:pPr>
              <w:pStyle w:val="14"/>
              <w:rPr>
                <w:u w:val="single"/>
              </w:rPr>
            </w:pPr>
            <w:r>
              <w:rPr>
                <w:rFonts w:hint="eastAsia"/>
                <w:u w:val="single"/>
              </w:rPr>
              <w:t>7</w:t>
            </w:r>
            <w:r>
              <w:rPr>
                <w:u w:val="single"/>
              </w:rPr>
              <w:t>.0</w:t>
            </w:r>
          </w:p>
        </w:tc>
        <w:tc>
          <w:tcPr>
            <w:tcW w:w="438" w:type="pct"/>
            <w:vAlign w:val="center"/>
          </w:tcPr>
          <w:p>
            <w:pPr>
              <w:pStyle w:val="14"/>
              <w:rPr>
                <w:u w:val="single"/>
              </w:rPr>
            </w:pPr>
            <w:r>
              <w:rPr>
                <w:rFonts w:hint="eastAsia"/>
                <w:u w:val="single"/>
              </w:rPr>
              <w:t>/</w:t>
            </w:r>
          </w:p>
        </w:tc>
        <w:tc>
          <w:tcPr>
            <w:tcW w:w="438" w:type="pct"/>
            <w:vAlign w:val="center"/>
          </w:tcPr>
          <w:p>
            <w:pPr>
              <w:pStyle w:val="14"/>
              <w:rPr>
                <w:u w:val="single"/>
              </w:rPr>
            </w:pPr>
            <w:r>
              <w:rPr>
                <w:rFonts w:hint="eastAsia"/>
                <w:u w:val="single"/>
              </w:rPr>
              <w:t>/</w:t>
            </w:r>
          </w:p>
        </w:tc>
        <w:tc>
          <w:tcPr>
            <w:tcW w:w="439" w:type="pct"/>
            <w:vAlign w:val="center"/>
          </w:tcPr>
          <w:p>
            <w:pPr>
              <w:pStyle w:val="14"/>
              <w:rPr>
                <w:u w:val="single"/>
              </w:rPr>
            </w:pPr>
            <w:r>
              <w:rPr>
                <w:rFonts w:hint="eastAsia"/>
                <w:u w:val="single"/>
              </w:rPr>
              <w:t>2</w:t>
            </w:r>
            <w:r>
              <w:rPr>
                <w:u w:val="single"/>
              </w:rPr>
              <w:t>8.03</w:t>
            </w:r>
          </w:p>
        </w:tc>
      </w:tr>
    </w:tbl>
    <w:p>
      <w:pPr>
        <w:ind w:firstLine="0" w:firstLineChars="0"/>
        <w:jc w:val="center"/>
        <w:rPr>
          <w:rFonts w:cs="Times New Roman"/>
          <w:u w:val="single"/>
        </w:rPr>
      </w:pPr>
      <w:r>
        <w:rPr>
          <w:rFonts w:hint="eastAsia" w:cs="Times New Roman"/>
          <w:u w:val="single"/>
        </w:rPr>
        <w:t>表5</w:t>
      </w:r>
      <w:r>
        <w:rPr>
          <w:rFonts w:cs="Times New Roman"/>
          <w:u w:val="single"/>
        </w:rPr>
        <w:t>.2</w:t>
      </w:r>
      <w:r>
        <w:rPr>
          <w:rFonts w:hint="eastAsia" w:cs="Times New Roman"/>
          <w:u w:val="single"/>
        </w:rPr>
        <w:t>-</w:t>
      </w:r>
      <w:r>
        <w:rPr>
          <w:rFonts w:cs="Times New Roman"/>
          <w:u w:val="single"/>
        </w:rPr>
        <w:t xml:space="preserve">13  </w:t>
      </w:r>
      <w:r>
        <w:rPr>
          <w:rFonts w:hint="eastAsia" w:cs="Times New Roman"/>
          <w:u w:val="single"/>
        </w:rPr>
        <w:t>叠加现状浓度后预测结果表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4527"/>
        <w:gridCol w:w="1457"/>
        <w:gridCol w:w="1106"/>
        <w:gridCol w:w="4527"/>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Align w:val="center"/>
          </w:tcPr>
          <w:p>
            <w:pPr>
              <w:pStyle w:val="14"/>
              <w:rPr>
                <w:u w:val="single"/>
              </w:rPr>
            </w:pPr>
            <w:r>
              <w:rPr>
                <w:rFonts w:hint="eastAsia"/>
                <w:u w:val="single"/>
              </w:rPr>
              <w:t>污染物</w:t>
            </w:r>
          </w:p>
        </w:tc>
        <w:tc>
          <w:tcPr>
            <w:tcW w:w="1597" w:type="pct"/>
            <w:vAlign w:val="center"/>
          </w:tcPr>
          <w:p>
            <w:pPr>
              <w:pStyle w:val="14"/>
              <w:rPr>
                <w:u w:val="single"/>
              </w:rPr>
            </w:pPr>
            <w:r>
              <w:rPr>
                <w:rFonts w:hint="eastAsia"/>
                <w:u w:val="single"/>
              </w:rPr>
              <w:t>评价项目</w:t>
            </w:r>
          </w:p>
        </w:tc>
        <w:tc>
          <w:tcPr>
            <w:tcW w:w="514" w:type="pct"/>
            <w:vAlign w:val="center"/>
          </w:tcPr>
          <w:p>
            <w:pPr>
              <w:pStyle w:val="14"/>
              <w:rPr>
                <w:u w:val="single"/>
              </w:rPr>
            </w:pPr>
            <w:r>
              <w:rPr>
                <w:rFonts w:hint="eastAsia"/>
                <w:u w:val="single"/>
              </w:rPr>
              <w:t>数据/结果</w:t>
            </w:r>
          </w:p>
        </w:tc>
        <w:tc>
          <w:tcPr>
            <w:tcW w:w="390" w:type="pct"/>
            <w:vAlign w:val="center"/>
          </w:tcPr>
          <w:p>
            <w:pPr>
              <w:pStyle w:val="14"/>
              <w:rPr>
                <w:u w:val="single"/>
              </w:rPr>
            </w:pPr>
            <w:r>
              <w:rPr>
                <w:rFonts w:hint="eastAsia"/>
                <w:u w:val="single"/>
              </w:rPr>
              <w:t>污染物</w:t>
            </w:r>
          </w:p>
        </w:tc>
        <w:tc>
          <w:tcPr>
            <w:tcW w:w="1597" w:type="pct"/>
            <w:vAlign w:val="center"/>
          </w:tcPr>
          <w:p>
            <w:pPr>
              <w:pStyle w:val="14"/>
              <w:rPr>
                <w:u w:val="single"/>
              </w:rPr>
            </w:pPr>
            <w:r>
              <w:rPr>
                <w:rFonts w:hint="eastAsia"/>
                <w:u w:val="single"/>
              </w:rPr>
              <w:t>评价项目</w:t>
            </w:r>
          </w:p>
        </w:tc>
        <w:tc>
          <w:tcPr>
            <w:tcW w:w="512" w:type="pct"/>
            <w:vAlign w:val="center"/>
          </w:tcPr>
          <w:p>
            <w:pPr>
              <w:pStyle w:val="14"/>
              <w:rPr>
                <w:u w:val="single"/>
              </w:rPr>
            </w:pPr>
            <w:r>
              <w:rPr>
                <w:rFonts w:hint="eastAsia"/>
                <w:u w:val="single"/>
              </w:rPr>
              <w:t>数据/结果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restart"/>
            <w:vAlign w:val="center"/>
          </w:tcPr>
          <w:p>
            <w:pPr>
              <w:pStyle w:val="14"/>
              <w:rPr>
                <w:u w:val="single"/>
              </w:rPr>
            </w:pPr>
            <w:r>
              <w:rPr>
                <w:rFonts w:hint="eastAsia"/>
                <w:u w:val="single"/>
              </w:rPr>
              <w:t>SO</w:t>
            </w:r>
            <w:r>
              <w:rPr>
                <w:u w:val="single"/>
                <w:vertAlign w:val="subscript"/>
              </w:rPr>
              <w:t>2</w:t>
            </w:r>
          </w:p>
        </w:tc>
        <w:tc>
          <w:tcPr>
            <w:tcW w:w="1597" w:type="pct"/>
            <w:vAlign w:val="center"/>
          </w:tcPr>
          <w:p>
            <w:pPr>
              <w:pStyle w:val="14"/>
              <w:rPr>
                <w:u w:val="single"/>
              </w:rPr>
            </w:pPr>
            <w:r>
              <w:rPr>
                <w:u w:val="single"/>
              </w:rPr>
              <w:t>24</w:t>
            </w:r>
            <w:r>
              <w:rPr>
                <w:rFonts w:hint="eastAsia"/>
                <w:u w:val="single"/>
              </w:rPr>
              <w:t>h平均浓度贡献值ug</w:t>
            </w:r>
            <w:r>
              <w:rPr>
                <w:u w:val="single"/>
              </w:rPr>
              <w:t>/m</w:t>
            </w:r>
            <w:r>
              <w:rPr>
                <w:u w:val="single"/>
                <w:vertAlign w:val="superscript"/>
              </w:rPr>
              <w:t>3</w:t>
            </w:r>
          </w:p>
        </w:tc>
        <w:tc>
          <w:tcPr>
            <w:tcW w:w="514" w:type="pct"/>
            <w:vAlign w:val="center"/>
          </w:tcPr>
          <w:p>
            <w:pPr>
              <w:pStyle w:val="14"/>
              <w:rPr>
                <w:u w:val="single"/>
              </w:rPr>
            </w:pPr>
            <w:r>
              <w:rPr>
                <w:rFonts w:hint="eastAsia"/>
                <w:u w:val="single"/>
              </w:rPr>
              <w:t>3</w:t>
            </w:r>
            <w:r>
              <w:rPr>
                <w:u w:val="single"/>
              </w:rPr>
              <w:t>6.26</w:t>
            </w:r>
          </w:p>
        </w:tc>
        <w:tc>
          <w:tcPr>
            <w:tcW w:w="390" w:type="pct"/>
            <w:vMerge w:val="restart"/>
            <w:vAlign w:val="center"/>
          </w:tcPr>
          <w:p>
            <w:pPr>
              <w:pStyle w:val="14"/>
              <w:rPr>
                <w:u w:val="single"/>
              </w:rPr>
            </w:pPr>
            <w:r>
              <w:rPr>
                <w:rFonts w:hint="eastAsia"/>
                <w:u w:val="single"/>
              </w:rPr>
              <w:t>NO</w:t>
            </w:r>
            <w:r>
              <w:rPr>
                <w:rFonts w:hint="eastAsia"/>
                <w:u w:val="single"/>
                <w:vertAlign w:val="subscript"/>
              </w:rPr>
              <w:t>x</w:t>
            </w:r>
          </w:p>
        </w:tc>
        <w:tc>
          <w:tcPr>
            <w:tcW w:w="1597" w:type="pct"/>
            <w:vAlign w:val="center"/>
          </w:tcPr>
          <w:p>
            <w:pPr>
              <w:pStyle w:val="14"/>
              <w:rPr>
                <w:u w:val="single"/>
              </w:rPr>
            </w:pPr>
            <w:r>
              <w:rPr>
                <w:u w:val="single"/>
              </w:rPr>
              <w:t>24</w:t>
            </w:r>
            <w:r>
              <w:rPr>
                <w:rFonts w:hint="eastAsia"/>
                <w:u w:val="single"/>
              </w:rPr>
              <w:t>h平均浓度贡献值ug</w:t>
            </w:r>
            <w:r>
              <w:rPr>
                <w:u w:val="single"/>
              </w:rPr>
              <w:t>/m</w:t>
            </w:r>
            <w:r>
              <w:rPr>
                <w:u w:val="single"/>
                <w:vertAlign w:val="superscript"/>
              </w:rPr>
              <w:t>3</w:t>
            </w:r>
          </w:p>
        </w:tc>
        <w:tc>
          <w:tcPr>
            <w:tcW w:w="512" w:type="pct"/>
            <w:vAlign w:val="center"/>
          </w:tcPr>
          <w:p>
            <w:pPr>
              <w:pStyle w:val="14"/>
              <w:rPr>
                <w:u w:val="single"/>
              </w:rPr>
            </w:pPr>
            <w:r>
              <w:rPr>
                <w:rFonts w:hint="eastAsia"/>
                <w:u w:val="single"/>
              </w:rPr>
              <w:t>8</w:t>
            </w:r>
            <w:r>
              <w:rPr>
                <w:u w:val="single"/>
              </w:rPr>
              <w:t>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9</w:t>
            </w:r>
            <w:r>
              <w:rPr>
                <w:u w:val="single"/>
              </w:rPr>
              <w:t>8%</w:t>
            </w:r>
            <w:r>
              <w:rPr>
                <w:rFonts w:hint="eastAsia"/>
                <w:u w:val="single"/>
              </w:rPr>
              <w:t>分位数2</w:t>
            </w:r>
            <w:r>
              <w:rPr>
                <w:u w:val="single"/>
              </w:rPr>
              <w:t>4h</w:t>
            </w:r>
            <w:r>
              <w:rPr>
                <w:rFonts w:hint="eastAsia"/>
                <w:u w:val="single"/>
              </w:rPr>
              <w:t>均值现状浓度ug</w:t>
            </w:r>
            <w:r>
              <w:rPr>
                <w:u w:val="single"/>
              </w:rPr>
              <w:t>/m</w:t>
            </w:r>
            <w:r>
              <w:rPr>
                <w:u w:val="single"/>
                <w:vertAlign w:val="superscript"/>
              </w:rPr>
              <w:t>3</w:t>
            </w:r>
          </w:p>
        </w:tc>
        <w:tc>
          <w:tcPr>
            <w:tcW w:w="514" w:type="pct"/>
            <w:vAlign w:val="center"/>
          </w:tcPr>
          <w:p>
            <w:pPr>
              <w:pStyle w:val="14"/>
              <w:rPr>
                <w:u w:val="single"/>
              </w:rPr>
            </w:pPr>
            <w:r>
              <w:rPr>
                <w:rFonts w:hint="eastAsia"/>
                <w:u w:val="single"/>
              </w:rPr>
              <w:t>2</w:t>
            </w:r>
            <w:r>
              <w:rPr>
                <w:u w:val="single"/>
              </w:rPr>
              <w:t>3</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9</w:t>
            </w:r>
            <w:r>
              <w:rPr>
                <w:u w:val="single"/>
              </w:rPr>
              <w:t>8%</w:t>
            </w:r>
            <w:r>
              <w:rPr>
                <w:rFonts w:hint="eastAsia"/>
                <w:u w:val="single"/>
              </w:rPr>
              <w:t>分位数2</w:t>
            </w:r>
            <w:r>
              <w:rPr>
                <w:u w:val="single"/>
              </w:rPr>
              <w:t>4h</w:t>
            </w:r>
            <w:r>
              <w:rPr>
                <w:rFonts w:hint="eastAsia"/>
                <w:u w:val="single"/>
              </w:rPr>
              <w:t>均值现状浓度ug</w:t>
            </w:r>
            <w:r>
              <w:rPr>
                <w:u w:val="single"/>
              </w:rPr>
              <w:t>/m</w:t>
            </w:r>
            <w:r>
              <w:rPr>
                <w:u w:val="single"/>
                <w:vertAlign w:val="superscript"/>
              </w:rPr>
              <w:t>3</w:t>
            </w:r>
          </w:p>
        </w:tc>
        <w:tc>
          <w:tcPr>
            <w:tcW w:w="512" w:type="pct"/>
            <w:vAlign w:val="center"/>
          </w:tcPr>
          <w:p>
            <w:pPr>
              <w:pStyle w:val="14"/>
              <w:rPr>
                <w:u w:val="single"/>
              </w:rPr>
            </w:pPr>
            <w:r>
              <w:rPr>
                <w:rFonts w:hint="eastAsia"/>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叠加浓度ug</w:t>
            </w:r>
            <w:r>
              <w:rPr>
                <w:u w:val="single"/>
              </w:rPr>
              <w:t>/m</w:t>
            </w:r>
            <w:r>
              <w:rPr>
                <w:u w:val="single"/>
                <w:vertAlign w:val="superscript"/>
              </w:rPr>
              <w:t>3</w:t>
            </w:r>
          </w:p>
        </w:tc>
        <w:tc>
          <w:tcPr>
            <w:tcW w:w="514" w:type="pct"/>
            <w:vAlign w:val="center"/>
          </w:tcPr>
          <w:p>
            <w:pPr>
              <w:pStyle w:val="14"/>
              <w:rPr>
                <w:u w:val="single"/>
              </w:rPr>
            </w:pPr>
            <w:r>
              <w:rPr>
                <w:rFonts w:hint="eastAsia"/>
                <w:u w:val="single"/>
              </w:rPr>
              <w:t>5</w:t>
            </w:r>
            <w:r>
              <w:rPr>
                <w:u w:val="single"/>
              </w:rPr>
              <w:t>9.26</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叠加浓度ug</w:t>
            </w:r>
            <w:r>
              <w:rPr>
                <w:u w:val="single"/>
              </w:rPr>
              <w:t>/m</w:t>
            </w:r>
            <w:r>
              <w:rPr>
                <w:u w:val="single"/>
                <w:vertAlign w:val="superscript"/>
              </w:rPr>
              <w:t>3</w:t>
            </w:r>
          </w:p>
        </w:tc>
        <w:tc>
          <w:tcPr>
            <w:tcW w:w="512" w:type="pct"/>
            <w:vAlign w:val="center"/>
          </w:tcPr>
          <w:p>
            <w:pPr>
              <w:pStyle w:val="14"/>
              <w:rPr>
                <w:u w:val="single"/>
              </w:rPr>
            </w:pPr>
            <w:r>
              <w:rPr>
                <w:rFonts w:hint="eastAsia"/>
                <w:u w:val="single"/>
              </w:rPr>
              <w:t>8</w:t>
            </w:r>
            <w:r>
              <w:rPr>
                <w:u w:val="single"/>
              </w:rPr>
              <w:t>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0" w:type="pct"/>
            <w:vMerge w:val="continue"/>
            <w:vAlign w:val="center"/>
          </w:tcPr>
          <w:p>
            <w:pPr>
              <w:pStyle w:val="14"/>
              <w:rPr>
                <w:u w:val="single"/>
              </w:rPr>
            </w:pPr>
          </w:p>
        </w:tc>
        <w:tc>
          <w:tcPr>
            <w:tcW w:w="1597" w:type="pct"/>
            <w:vAlign w:val="center"/>
          </w:tcPr>
          <w:p>
            <w:pPr>
              <w:pStyle w:val="14"/>
              <w:rPr>
                <w:u w:val="single"/>
              </w:rPr>
            </w:pPr>
            <w:r>
              <w:rPr>
                <w:u w:val="single"/>
              </w:rPr>
              <w:t>24h</w:t>
            </w:r>
            <w:r>
              <w:rPr>
                <w:rFonts w:hint="eastAsia"/>
                <w:u w:val="single"/>
              </w:rPr>
              <w:t>平均浓度标准值ug</w:t>
            </w:r>
            <w:r>
              <w:rPr>
                <w:u w:val="single"/>
              </w:rPr>
              <w:t>/m</w:t>
            </w:r>
            <w:r>
              <w:rPr>
                <w:u w:val="single"/>
                <w:vertAlign w:val="superscript"/>
              </w:rPr>
              <w:t>3</w:t>
            </w:r>
          </w:p>
        </w:tc>
        <w:tc>
          <w:tcPr>
            <w:tcW w:w="514" w:type="pct"/>
            <w:vAlign w:val="center"/>
          </w:tcPr>
          <w:p>
            <w:pPr>
              <w:pStyle w:val="14"/>
              <w:rPr>
                <w:u w:val="single"/>
              </w:rPr>
            </w:pPr>
            <w:r>
              <w:rPr>
                <w:rFonts w:hint="eastAsia"/>
                <w:u w:val="single"/>
              </w:rPr>
              <w:t>1</w:t>
            </w:r>
            <w:r>
              <w:rPr>
                <w:u w:val="single"/>
              </w:rPr>
              <w:t>50</w:t>
            </w:r>
          </w:p>
        </w:tc>
        <w:tc>
          <w:tcPr>
            <w:tcW w:w="390" w:type="pct"/>
            <w:vMerge w:val="continue"/>
            <w:vAlign w:val="center"/>
          </w:tcPr>
          <w:p>
            <w:pPr>
              <w:pStyle w:val="14"/>
              <w:rPr>
                <w:u w:val="single"/>
              </w:rPr>
            </w:pPr>
          </w:p>
        </w:tc>
        <w:tc>
          <w:tcPr>
            <w:tcW w:w="1597" w:type="pct"/>
            <w:vAlign w:val="center"/>
          </w:tcPr>
          <w:p>
            <w:pPr>
              <w:pStyle w:val="14"/>
              <w:rPr>
                <w:u w:val="single"/>
              </w:rPr>
            </w:pPr>
            <w:r>
              <w:rPr>
                <w:u w:val="single"/>
              </w:rPr>
              <w:t>24h</w:t>
            </w:r>
            <w:r>
              <w:rPr>
                <w:rFonts w:hint="eastAsia"/>
                <w:u w:val="single"/>
              </w:rPr>
              <w:t>平均浓度标准值ug</w:t>
            </w:r>
            <w:r>
              <w:rPr>
                <w:u w:val="single"/>
              </w:rPr>
              <w:t>/m</w:t>
            </w:r>
            <w:r>
              <w:rPr>
                <w:u w:val="single"/>
                <w:vertAlign w:val="superscript"/>
              </w:rPr>
              <w:t>3</w:t>
            </w:r>
          </w:p>
        </w:tc>
        <w:tc>
          <w:tcPr>
            <w:tcW w:w="512" w:type="pct"/>
            <w:vAlign w:val="center"/>
          </w:tcPr>
          <w:p>
            <w:pPr>
              <w:pStyle w:val="14"/>
              <w:rPr>
                <w:u w:val="single"/>
              </w:rPr>
            </w:pPr>
            <w:r>
              <w:rPr>
                <w:rFonts w:hint="eastAsia"/>
                <w:u w:val="single"/>
              </w:rPr>
              <w:t>1</w:t>
            </w:r>
            <w:r>
              <w:rPr>
                <w:u w:val="single"/>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占标率%</w:t>
            </w:r>
          </w:p>
        </w:tc>
        <w:tc>
          <w:tcPr>
            <w:tcW w:w="514" w:type="pct"/>
            <w:vAlign w:val="center"/>
          </w:tcPr>
          <w:p>
            <w:pPr>
              <w:pStyle w:val="14"/>
              <w:rPr>
                <w:u w:val="single"/>
              </w:rPr>
            </w:pPr>
            <w:r>
              <w:rPr>
                <w:rFonts w:hint="eastAsia"/>
                <w:u w:val="single"/>
              </w:rPr>
              <w:t>3</w:t>
            </w:r>
            <w:r>
              <w:rPr>
                <w:u w:val="single"/>
              </w:rPr>
              <w:t>9.51</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占标率%</w:t>
            </w:r>
          </w:p>
        </w:tc>
        <w:tc>
          <w:tcPr>
            <w:tcW w:w="512" w:type="pct"/>
            <w:vAlign w:val="center"/>
          </w:tcPr>
          <w:p>
            <w:pPr>
              <w:pStyle w:val="14"/>
              <w:rPr>
                <w:u w:val="single"/>
              </w:rPr>
            </w:pPr>
            <w:r>
              <w:rPr>
                <w:rFonts w:hint="eastAsia"/>
                <w:u w:val="single"/>
              </w:rPr>
              <w:t>8</w:t>
            </w:r>
            <w:r>
              <w:rPr>
                <w:u w:val="single"/>
              </w:rPr>
              <w:t>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年平均浓度贡献值u</w:t>
            </w:r>
            <w:r>
              <w:rPr>
                <w:u w:val="single"/>
              </w:rPr>
              <w:t>g/m</w:t>
            </w:r>
            <w:r>
              <w:rPr>
                <w:u w:val="single"/>
                <w:vertAlign w:val="superscript"/>
              </w:rPr>
              <w:t>3</w:t>
            </w:r>
          </w:p>
        </w:tc>
        <w:tc>
          <w:tcPr>
            <w:tcW w:w="514" w:type="pct"/>
            <w:vAlign w:val="center"/>
          </w:tcPr>
          <w:p>
            <w:pPr>
              <w:pStyle w:val="14"/>
              <w:rPr>
                <w:u w:val="single"/>
              </w:rPr>
            </w:pPr>
            <w:r>
              <w:rPr>
                <w:rFonts w:hint="eastAsia"/>
                <w:u w:val="single"/>
              </w:rPr>
              <w:t>8</w:t>
            </w:r>
            <w:r>
              <w:rPr>
                <w:u w:val="single"/>
              </w:rPr>
              <w:t>.18</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年平均浓度贡献值u</w:t>
            </w:r>
            <w:r>
              <w:rPr>
                <w:u w:val="single"/>
              </w:rPr>
              <w:t>g/m</w:t>
            </w:r>
            <w:r>
              <w:rPr>
                <w:u w:val="single"/>
                <w:vertAlign w:val="superscript"/>
              </w:rPr>
              <w:t>3</w:t>
            </w:r>
          </w:p>
        </w:tc>
        <w:tc>
          <w:tcPr>
            <w:tcW w:w="512" w:type="pct"/>
            <w:vAlign w:val="center"/>
          </w:tcPr>
          <w:p>
            <w:pPr>
              <w:pStyle w:val="14"/>
              <w:rPr>
                <w:u w:val="single"/>
              </w:rPr>
            </w:pPr>
            <w:r>
              <w:rPr>
                <w:rFonts w:hint="eastAsia"/>
                <w:u w:val="single"/>
              </w:rPr>
              <w:t>1</w:t>
            </w:r>
            <w:r>
              <w:rPr>
                <w:u w:val="single"/>
              </w:rPr>
              <w:t>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年平均浓度现状值ug</w:t>
            </w:r>
            <w:r>
              <w:rPr>
                <w:u w:val="single"/>
              </w:rPr>
              <w:t>/m</w:t>
            </w:r>
            <w:r>
              <w:rPr>
                <w:u w:val="single"/>
                <w:vertAlign w:val="superscript"/>
              </w:rPr>
              <w:t>3</w:t>
            </w:r>
          </w:p>
        </w:tc>
        <w:tc>
          <w:tcPr>
            <w:tcW w:w="514" w:type="pct"/>
            <w:vAlign w:val="center"/>
          </w:tcPr>
          <w:p>
            <w:pPr>
              <w:pStyle w:val="14"/>
              <w:rPr>
                <w:u w:val="single"/>
              </w:rPr>
            </w:pPr>
            <w:r>
              <w:rPr>
                <w:rFonts w:hint="eastAsia"/>
                <w:u w:val="single"/>
              </w:rPr>
              <w:t>9</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年平均浓度现状值ug</w:t>
            </w:r>
            <w:r>
              <w:rPr>
                <w:u w:val="single"/>
              </w:rPr>
              <w:t>/m</w:t>
            </w:r>
            <w:r>
              <w:rPr>
                <w:u w:val="single"/>
                <w:vertAlign w:val="superscript"/>
              </w:rPr>
              <w:t>3</w:t>
            </w:r>
          </w:p>
        </w:tc>
        <w:tc>
          <w:tcPr>
            <w:tcW w:w="512" w:type="pct"/>
            <w:vAlign w:val="center"/>
          </w:tcPr>
          <w:p>
            <w:pPr>
              <w:pStyle w:val="14"/>
              <w:rPr>
                <w:u w:val="single"/>
              </w:rPr>
            </w:pPr>
            <w:r>
              <w:rPr>
                <w:rFonts w:hint="eastAsia"/>
                <w:u w:val="single"/>
              </w:rPr>
              <w:t>1</w:t>
            </w:r>
            <w:r>
              <w:rPr>
                <w:u w:val="singl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叠加浓度ug</w:t>
            </w:r>
            <w:r>
              <w:rPr>
                <w:u w:val="single"/>
              </w:rPr>
              <w:t>/m</w:t>
            </w:r>
            <w:r>
              <w:rPr>
                <w:u w:val="single"/>
                <w:vertAlign w:val="superscript"/>
              </w:rPr>
              <w:t>3</w:t>
            </w:r>
          </w:p>
        </w:tc>
        <w:tc>
          <w:tcPr>
            <w:tcW w:w="514" w:type="pct"/>
            <w:vAlign w:val="center"/>
          </w:tcPr>
          <w:p>
            <w:pPr>
              <w:pStyle w:val="14"/>
              <w:rPr>
                <w:u w:val="single"/>
              </w:rPr>
            </w:pPr>
            <w:r>
              <w:rPr>
                <w:rFonts w:hint="eastAsia"/>
                <w:u w:val="single"/>
              </w:rPr>
              <w:t>1</w:t>
            </w:r>
            <w:r>
              <w:rPr>
                <w:u w:val="single"/>
              </w:rPr>
              <w:t>7.18</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叠加浓度ug</w:t>
            </w:r>
            <w:r>
              <w:rPr>
                <w:u w:val="single"/>
              </w:rPr>
              <w:t>/m</w:t>
            </w:r>
            <w:r>
              <w:rPr>
                <w:u w:val="single"/>
                <w:vertAlign w:val="superscript"/>
              </w:rPr>
              <w:t>3</w:t>
            </w:r>
          </w:p>
        </w:tc>
        <w:tc>
          <w:tcPr>
            <w:tcW w:w="512" w:type="pct"/>
            <w:vAlign w:val="center"/>
          </w:tcPr>
          <w:p>
            <w:pPr>
              <w:pStyle w:val="14"/>
              <w:rPr>
                <w:u w:val="single"/>
              </w:rPr>
            </w:pPr>
            <w:r>
              <w:rPr>
                <w:rFonts w:hint="eastAsia"/>
                <w:u w:val="single"/>
              </w:rPr>
              <w:t>3</w:t>
            </w:r>
            <w:r>
              <w:rPr>
                <w:u w:val="single"/>
              </w:rPr>
              <w:t>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占标率%</w:t>
            </w:r>
          </w:p>
        </w:tc>
        <w:tc>
          <w:tcPr>
            <w:tcW w:w="514" w:type="pct"/>
            <w:vAlign w:val="center"/>
          </w:tcPr>
          <w:p>
            <w:pPr>
              <w:pStyle w:val="14"/>
              <w:rPr>
                <w:u w:val="single"/>
              </w:rPr>
            </w:pPr>
            <w:r>
              <w:rPr>
                <w:rFonts w:hint="eastAsia"/>
                <w:u w:val="single"/>
              </w:rPr>
              <w:t>2</w:t>
            </w:r>
            <w:r>
              <w:rPr>
                <w:u w:val="single"/>
              </w:rPr>
              <w:t>8.63</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占标率%</w:t>
            </w:r>
          </w:p>
        </w:tc>
        <w:tc>
          <w:tcPr>
            <w:tcW w:w="512" w:type="pct"/>
            <w:vAlign w:val="center"/>
          </w:tcPr>
          <w:p>
            <w:pPr>
              <w:pStyle w:val="14"/>
              <w:rPr>
                <w:u w:val="single"/>
              </w:rPr>
            </w:pPr>
            <w:r>
              <w:rPr>
                <w:u w:val="single"/>
              </w:rPr>
              <w:t>61.74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restart"/>
            <w:vAlign w:val="center"/>
          </w:tcPr>
          <w:p>
            <w:pPr>
              <w:pStyle w:val="14"/>
              <w:rPr>
                <w:u w:val="single"/>
              </w:rPr>
            </w:pPr>
            <w:r>
              <w:rPr>
                <w:rFonts w:hint="eastAsia"/>
                <w:u w:val="single"/>
              </w:rPr>
              <w:t>TSP</w:t>
            </w:r>
          </w:p>
        </w:tc>
        <w:tc>
          <w:tcPr>
            <w:tcW w:w="1597" w:type="pct"/>
            <w:vAlign w:val="center"/>
          </w:tcPr>
          <w:p>
            <w:pPr>
              <w:pStyle w:val="14"/>
              <w:rPr>
                <w:u w:val="single"/>
              </w:rPr>
            </w:pPr>
            <w:r>
              <w:rPr>
                <w:u w:val="single"/>
              </w:rPr>
              <w:t>24</w:t>
            </w:r>
            <w:r>
              <w:rPr>
                <w:rFonts w:hint="eastAsia"/>
                <w:u w:val="single"/>
              </w:rPr>
              <w:t>h平均浓度贡献值ug</w:t>
            </w:r>
            <w:r>
              <w:rPr>
                <w:u w:val="single"/>
              </w:rPr>
              <w:t>/m</w:t>
            </w:r>
            <w:r>
              <w:rPr>
                <w:u w:val="single"/>
                <w:vertAlign w:val="superscript"/>
              </w:rPr>
              <w:t>3</w:t>
            </w:r>
          </w:p>
        </w:tc>
        <w:tc>
          <w:tcPr>
            <w:tcW w:w="514" w:type="pct"/>
            <w:vAlign w:val="center"/>
          </w:tcPr>
          <w:p>
            <w:pPr>
              <w:pStyle w:val="14"/>
              <w:rPr>
                <w:u w:val="single"/>
              </w:rPr>
            </w:pPr>
            <w:r>
              <w:rPr>
                <w:rFonts w:hint="eastAsia"/>
                <w:u w:val="single"/>
              </w:rPr>
              <w:t>4</w:t>
            </w:r>
            <w:r>
              <w:rPr>
                <w:u w:val="single"/>
              </w:rPr>
              <w:t>1.25</w:t>
            </w:r>
          </w:p>
        </w:tc>
        <w:tc>
          <w:tcPr>
            <w:tcW w:w="390" w:type="pct"/>
            <w:vMerge w:val="restart"/>
            <w:vAlign w:val="center"/>
          </w:tcPr>
          <w:p>
            <w:pPr>
              <w:pStyle w:val="14"/>
              <w:rPr>
                <w:u w:val="single"/>
              </w:rPr>
            </w:pPr>
            <w:r>
              <w:rPr>
                <w:rFonts w:hint="eastAsia"/>
                <w:u w:val="single"/>
              </w:rPr>
              <w:t>PM</w:t>
            </w:r>
            <w:r>
              <w:rPr>
                <w:u w:val="single"/>
                <w:vertAlign w:val="subscript"/>
              </w:rPr>
              <w:t>10</w:t>
            </w:r>
          </w:p>
        </w:tc>
        <w:tc>
          <w:tcPr>
            <w:tcW w:w="1597" w:type="pct"/>
            <w:vAlign w:val="center"/>
          </w:tcPr>
          <w:p>
            <w:pPr>
              <w:pStyle w:val="14"/>
              <w:rPr>
                <w:u w:val="single"/>
              </w:rPr>
            </w:pPr>
            <w:r>
              <w:rPr>
                <w:u w:val="single"/>
              </w:rPr>
              <w:t>24</w:t>
            </w:r>
            <w:r>
              <w:rPr>
                <w:rFonts w:hint="eastAsia"/>
                <w:u w:val="single"/>
              </w:rPr>
              <w:t>h平均浓度贡献值ug</w:t>
            </w:r>
            <w:r>
              <w:rPr>
                <w:u w:val="single"/>
              </w:rPr>
              <w:t>/m</w:t>
            </w:r>
            <w:r>
              <w:rPr>
                <w:u w:val="single"/>
                <w:vertAlign w:val="superscript"/>
              </w:rPr>
              <w:t>3</w:t>
            </w:r>
          </w:p>
        </w:tc>
        <w:tc>
          <w:tcPr>
            <w:tcW w:w="512" w:type="pct"/>
            <w:vAlign w:val="center"/>
          </w:tcPr>
          <w:p>
            <w:pPr>
              <w:pStyle w:val="14"/>
              <w:rPr>
                <w:u w:val="single"/>
              </w:rPr>
            </w:pPr>
            <w:r>
              <w:rPr>
                <w:rFonts w:hint="eastAsia"/>
                <w:u w:val="single"/>
              </w:rPr>
              <w:t>4</w:t>
            </w:r>
            <w:r>
              <w:rPr>
                <w:u w:val="single"/>
              </w:rPr>
              <w:t>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9</w:t>
            </w:r>
            <w:r>
              <w:rPr>
                <w:u w:val="single"/>
              </w:rPr>
              <w:t>8%</w:t>
            </w:r>
            <w:r>
              <w:rPr>
                <w:rFonts w:hint="eastAsia"/>
                <w:u w:val="single"/>
              </w:rPr>
              <w:t>分位数2</w:t>
            </w:r>
            <w:r>
              <w:rPr>
                <w:u w:val="single"/>
              </w:rPr>
              <w:t>4h</w:t>
            </w:r>
            <w:r>
              <w:rPr>
                <w:rFonts w:hint="eastAsia"/>
                <w:u w:val="single"/>
              </w:rPr>
              <w:t>均值现状浓度ug</w:t>
            </w:r>
            <w:r>
              <w:rPr>
                <w:u w:val="single"/>
              </w:rPr>
              <w:t>/m</w:t>
            </w:r>
            <w:r>
              <w:rPr>
                <w:u w:val="single"/>
                <w:vertAlign w:val="superscript"/>
              </w:rPr>
              <w:t>3</w:t>
            </w:r>
          </w:p>
        </w:tc>
        <w:tc>
          <w:tcPr>
            <w:tcW w:w="514" w:type="pct"/>
            <w:vAlign w:val="center"/>
          </w:tcPr>
          <w:p>
            <w:pPr>
              <w:pStyle w:val="14"/>
              <w:rPr>
                <w:u w:val="single"/>
              </w:rPr>
            </w:pPr>
            <w:r>
              <w:rPr>
                <w:rFonts w:hint="eastAsia"/>
                <w:u w:val="single"/>
              </w:rPr>
              <w:t>1</w:t>
            </w:r>
            <w:r>
              <w:rPr>
                <w:u w:val="single"/>
              </w:rPr>
              <w:t>35</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9</w:t>
            </w:r>
            <w:r>
              <w:rPr>
                <w:u w:val="single"/>
              </w:rPr>
              <w:t>5%</w:t>
            </w:r>
            <w:r>
              <w:rPr>
                <w:rFonts w:hint="eastAsia"/>
                <w:u w:val="single"/>
              </w:rPr>
              <w:t>分位数2</w:t>
            </w:r>
            <w:r>
              <w:rPr>
                <w:u w:val="single"/>
              </w:rPr>
              <w:t>4h</w:t>
            </w:r>
            <w:r>
              <w:rPr>
                <w:rFonts w:hint="eastAsia"/>
                <w:u w:val="single"/>
              </w:rPr>
              <w:t>均值现状浓度ug</w:t>
            </w:r>
            <w:r>
              <w:rPr>
                <w:u w:val="single"/>
              </w:rPr>
              <w:t>/m</w:t>
            </w:r>
            <w:r>
              <w:rPr>
                <w:u w:val="single"/>
                <w:vertAlign w:val="superscript"/>
              </w:rPr>
              <w:t>3</w:t>
            </w:r>
          </w:p>
        </w:tc>
        <w:tc>
          <w:tcPr>
            <w:tcW w:w="512" w:type="pct"/>
            <w:vAlign w:val="center"/>
          </w:tcPr>
          <w:p>
            <w:pPr>
              <w:pStyle w:val="14"/>
              <w:rPr>
                <w:u w:val="single"/>
              </w:rPr>
            </w:pPr>
            <w:r>
              <w:rPr>
                <w:u w:val="single"/>
              </w:rPr>
              <w:t>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叠加浓度ug</w:t>
            </w:r>
            <w:r>
              <w:rPr>
                <w:u w:val="single"/>
              </w:rPr>
              <w:t>/m</w:t>
            </w:r>
            <w:r>
              <w:rPr>
                <w:u w:val="single"/>
                <w:vertAlign w:val="superscript"/>
              </w:rPr>
              <w:t>3</w:t>
            </w:r>
          </w:p>
        </w:tc>
        <w:tc>
          <w:tcPr>
            <w:tcW w:w="514" w:type="pct"/>
            <w:vAlign w:val="center"/>
          </w:tcPr>
          <w:p>
            <w:pPr>
              <w:pStyle w:val="14"/>
              <w:rPr>
                <w:u w:val="single"/>
              </w:rPr>
            </w:pPr>
            <w:r>
              <w:rPr>
                <w:rFonts w:hint="eastAsia"/>
                <w:u w:val="single"/>
              </w:rPr>
              <w:t>1</w:t>
            </w:r>
            <w:r>
              <w:rPr>
                <w:u w:val="single"/>
              </w:rPr>
              <w:t>76.25</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叠加浓度ug</w:t>
            </w:r>
            <w:r>
              <w:rPr>
                <w:u w:val="single"/>
              </w:rPr>
              <w:t>/m</w:t>
            </w:r>
            <w:r>
              <w:rPr>
                <w:u w:val="single"/>
                <w:vertAlign w:val="superscript"/>
              </w:rPr>
              <w:t>3</w:t>
            </w:r>
          </w:p>
        </w:tc>
        <w:tc>
          <w:tcPr>
            <w:tcW w:w="512" w:type="pct"/>
            <w:vAlign w:val="center"/>
          </w:tcPr>
          <w:p>
            <w:pPr>
              <w:pStyle w:val="14"/>
              <w:rPr>
                <w:u w:val="single"/>
              </w:rPr>
            </w:pPr>
            <w:r>
              <w:rPr>
                <w:rFonts w:hint="eastAsia"/>
                <w:u w:val="single"/>
              </w:rPr>
              <w:t>1</w:t>
            </w:r>
            <w:r>
              <w:rPr>
                <w:u w:val="single"/>
              </w:rPr>
              <w:t>79.41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u w:val="single"/>
              </w:rPr>
              <w:t>24h</w:t>
            </w:r>
            <w:r>
              <w:rPr>
                <w:rFonts w:hint="eastAsia"/>
                <w:u w:val="single"/>
              </w:rPr>
              <w:t>平均浓度标准值ug</w:t>
            </w:r>
            <w:r>
              <w:rPr>
                <w:u w:val="single"/>
              </w:rPr>
              <w:t>/m</w:t>
            </w:r>
            <w:r>
              <w:rPr>
                <w:u w:val="single"/>
                <w:vertAlign w:val="superscript"/>
              </w:rPr>
              <w:t>3</w:t>
            </w:r>
          </w:p>
        </w:tc>
        <w:tc>
          <w:tcPr>
            <w:tcW w:w="514" w:type="pct"/>
            <w:vAlign w:val="center"/>
          </w:tcPr>
          <w:p>
            <w:pPr>
              <w:pStyle w:val="14"/>
              <w:rPr>
                <w:u w:val="single"/>
              </w:rPr>
            </w:pPr>
            <w:r>
              <w:rPr>
                <w:rFonts w:hint="eastAsia"/>
                <w:u w:val="single"/>
              </w:rPr>
              <w:t>3</w:t>
            </w:r>
            <w:r>
              <w:rPr>
                <w:u w:val="single"/>
              </w:rPr>
              <w:t>00</w:t>
            </w:r>
          </w:p>
        </w:tc>
        <w:tc>
          <w:tcPr>
            <w:tcW w:w="390" w:type="pct"/>
            <w:vMerge w:val="continue"/>
            <w:vAlign w:val="center"/>
          </w:tcPr>
          <w:p>
            <w:pPr>
              <w:pStyle w:val="14"/>
              <w:rPr>
                <w:u w:val="single"/>
              </w:rPr>
            </w:pPr>
          </w:p>
        </w:tc>
        <w:tc>
          <w:tcPr>
            <w:tcW w:w="1597" w:type="pct"/>
            <w:vAlign w:val="center"/>
          </w:tcPr>
          <w:p>
            <w:pPr>
              <w:pStyle w:val="14"/>
              <w:rPr>
                <w:u w:val="single"/>
              </w:rPr>
            </w:pPr>
            <w:r>
              <w:rPr>
                <w:u w:val="single"/>
              </w:rPr>
              <w:t>24h</w:t>
            </w:r>
            <w:r>
              <w:rPr>
                <w:rFonts w:hint="eastAsia"/>
                <w:u w:val="single"/>
              </w:rPr>
              <w:t>平均浓度标准值ug</w:t>
            </w:r>
            <w:r>
              <w:rPr>
                <w:u w:val="single"/>
              </w:rPr>
              <w:t>/m</w:t>
            </w:r>
            <w:r>
              <w:rPr>
                <w:u w:val="single"/>
                <w:vertAlign w:val="superscript"/>
              </w:rPr>
              <w:t>3</w:t>
            </w:r>
          </w:p>
        </w:tc>
        <w:tc>
          <w:tcPr>
            <w:tcW w:w="512" w:type="pct"/>
            <w:vAlign w:val="center"/>
          </w:tcPr>
          <w:p>
            <w:pPr>
              <w:pStyle w:val="14"/>
              <w:rPr>
                <w:u w:val="single"/>
              </w:rPr>
            </w:pPr>
            <w:r>
              <w:rPr>
                <w:rFonts w:hint="eastAsia"/>
                <w:u w:val="single"/>
              </w:rPr>
              <w:t>1</w:t>
            </w:r>
            <w:r>
              <w:rPr>
                <w:u w:val="singl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占标率%</w:t>
            </w:r>
          </w:p>
        </w:tc>
        <w:tc>
          <w:tcPr>
            <w:tcW w:w="514" w:type="pct"/>
            <w:vAlign w:val="center"/>
          </w:tcPr>
          <w:p>
            <w:pPr>
              <w:pStyle w:val="14"/>
              <w:rPr>
                <w:u w:val="single"/>
              </w:rPr>
            </w:pPr>
            <w:r>
              <w:rPr>
                <w:rFonts w:hint="eastAsia"/>
                <w:u w:val="single"/>
              </w:rPr>
              <w:t>5</w:t>
            </w:r>
            <w:r>
              <w:rPr>
                <w:u w:val="single"/>
              </w:rPr>
              <w:t>8.75</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占标率%</w:t>
            </w:r>
          </w:p>
        </w:tc>
        <w:tc>
          <w:tcPr>
            <w:tcW w:w="512" w:type="pct"/>
            <w:vAlign w:val="center"/>
          </w:tcPr>
          <w:p>
            <w:pPr>
              <w:pStyle w:val="14"/>
              <w:rPr>
                <w:u w:val="single"/>
              </w:rPr>
            </w:pPr>
            <w:r>
              <w:rPr>
                <w:rFonts w:hint="eastAsia"/>
                <w:u w:val="single"/>
              </w:rPr>
              <w:t>1</w:t>
            </w:r>
            <w:r>
              <w:rPr>
                <w:u w:val="single"/>
              </w:rPr>
              <w:t>19.60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restart"/>
            <w:vAlign w:val="center"/>
          </w:tcPr>
          <w:p>
            <w:pPr>
              <w:pStyle w:val="14"/>
              <w:rPr>
                <w:u w:val="single"/>
              </w:rPr>
            </w:pPr>
            <w:r>
              <w:rPr>
                <w:rFonts w:hint="eastAsia"/>
                <w:u w:val="single"/>
              </w:rPr>
              <w:t>氟化物</w:t>
            </w:r>
          </w:p>
        </w:tc>
        <w:tc>
          <w:tcPr>
            <w:tcW w:w="1597" w:type="pct"/>
            <w:vAlign w:val="center"/>
          </w:tcPr>
          <w:p>
            <w:pPr>
              <w:pStyle w:val="14"/>
              <w:rPr>
                <w:u w:val="single"/>
              </w:rPr>
            </w:pPr>
            <w:r>
              <w:rPr>
                <w:u w:val="single"/>
              </w:rPr>
              <w:t>24</w:t>
            </w:r>
            <w:r>
              <w:rPr>
                <w:rFonts w:hint="eastAsia"/>
                <w:u w:val="single"/>
              </w:rPr>
              <w:t>h浓度贡献值ug</w:t>
            </w:r>
            <w:r>
              <w:rPr>
                <w:u w:val="single"/>
              </w:rPr>
              <w:t>/m</w:t>
            </w:r>
            <w:r>
              <w:rPr>
                <w:u w:val="single"/>
                <w:vertAlign w:val="superscript"/>
              </w:rPr>
              <w:t>3</w:t>
            </w:r>
          </w:p>
        </w:tc>
        <w:tc>
          <w:tcPr>
            <w:tcW w:w="514" w:type="pct"/>
            <w:vAlign w:val="center"/>
          </w:tcPr>
          <w:p>
            <w:pPr>
              <w:pStyle w:val="14"/>
              <w:rPr>
                <w:u w:val="single"/>
              </w:rPr>
            </w:pPr>
            <w:r>
              <w:rPr>
                <w:rFonts w:hint="eastAsia"/>
                <w:u w:val="single"/>
              </w:rPr>
              <w:t>1</w:t>
            </w:r>
            <w:r>
              <w:rPr>
                <w:u w:val="single"/>
              </w:rPr>
              <w:t>.31</w:t>
            </w:r>
          </w:p>
        </w:tc>
        <w:tc>
          <w:tcPr>
            <w:tcW w:w="390" w:type="pct"/>
            <w:vMerge w:val="restart"/>
            <w:vAlign w:val="center"/>
          </w:tcPr>
          <w:p>
            <w:pPr>
              <w:pStyle w:val="14"/>
              <w:rPr>
                <w:u w:val="single"/>
              </w:rPr>
            </w:pPr>
            <w:r>
              <w:rPr>
                <w:rFonts w:hint="eastAsia"/>
                <w:u w:val="single"/>
              </w:rPr>
              <w:t>VOCs</w:t>
            </w:r>
          </w:p>
        </w:tc>
        <w:tc>
          <w:tcPr>
            <w:tcW w:w="1597" w:type="pct"/>
            <w:vAlign w:val="center"/>
          </w:tcPr>
          <w:p>
            <w:pPr>
              <w:pStyle w:val="14"/>
              <w:rPr>
                <w:u w:val="single"/>
              </w:rPr>
            </w:pPr>
            <w:r>
              <w:rPr>
                <w:rFonts w:hint="eastAsia"/>
                <w:u w:val="single"/>
              </w:rPr>
              <w:t>1h浓度贡献值ug</w:t>
            </w:r>
            <w:r>
              <w:rPr>
                <w:u w:val="single"/>
              </w:rPr>
              <w:t>/m</w:t>
            </w:r>
            <w:r>
              <w:rPr>
                <w:u w:val="single"/>
                <w:vertAlign w:val="superscript"/>
              </w:rPr>
              <w:t>3</w:t>
            </w:r>
          </w:p>
        </w:tc>
        <w:tc>
          <w:tcPr>
            <w:tcW w:w="512" w:type="pct"/>
            <w:vAlign w:val="center"/>
          </w:tcPr>
          <w:p>
            <w:pPr>
              <w:pStyle w:val="14"/>
              <w:rPr>
                <w:u w:val="single"/>
              </w:rPr>
            </w:pPr>
            <w:r>
              <w:rPr>
                <w:rFonts w:hint="eastAsia"/>
                <w:u w:val="single"/>
              </w:rPr>
              <w:t>0</w:t>
            </w:r>
            <w:r>
              <w:rPr>
                <w:u w:val="single"/>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u w:val="single"/>
              </w:rPr>
              <w:t>24h</w:t>
            </w:r>
            <w:r>
              <w:rPr>
                <w:rFonts w:hint="eastAsia"/>
                <w:u w:val="single"/>
              </w:rPr>
              <w:t>浓度现状浓度ug</w:t>
            </w:r>
            <w:r>
              <w:rPr>
                <w:u w:val="single"/>
              </w:rPr>
              <w:t>/m</w:t>
            </w:r>
            <w:r>
              <w:rPr>
                <w:u w:val="single"/>
                <w:vertAlign w:val="superscript"/>
              </w:rPr>
              <w:t>3</w:t>
            </w:r>
          </w:p>
        </w:tc>
        <w:tc>
          <w:tcPr>
            <w:tcW w:w="514" w:type="pct"/>
            <w:vAlign w:val="center"/>
          </w:tcPr>
          <w:p>
            <w:pPr>
              <w:pStyle w:val="14"/>
              <w:rPr>
                <w:u w:val="single"/>
              </w:rPr>
            </w:pPr>
            <w:r>
              <w:rPr>
                <w:rFonts w:hint="eastAsia"/>
                <w:u w:val="single"/>
              </w:rPr>
              <w:t>0</w:t>
            </w:r>
            <w:r>
              <w:rPr>
                <w:u w:val="single"/>
              </w:rPr>
              <w:t>.34</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1</w:t>
            </w:r>
            <w:r>
              <w:rPr>
                <w:u w:val="single"/>
              </w:rPr>
              <w:t>h</w:t>
            </w:r>
            <w:r>
              <w:rPr>
                <w:rFonts w:hint="eastAsia"/>
                <w:u w:val="single"/>
              </w:rPr>
              <w:t>浓度现状浓度ug</w:t>
            </w:r>
            <w:r>
              <w:rPr>
                <w:u w:val="single"/>
              </w:rPr>
              <w:t>/m</w:t>
            </w:r>
            <w:r>
              <w:rPr>
                <w:u w:val="single"/>
                <w:vertAlign w:val="superscript"/>
              </w:rPr>
              <w:t>3</w:t>
            </w:r>
          </w:p>
        </w:tc>
        <w:tc>
          <w:tcPr>
            <w:tcW w:w="512" w:type="pct"/>
            <w:vAlign w:val="center"/>
          </w:tcPr>
          <w:p>
            <w:pPr>
              <w:pStyle w:val="14"/>
              <w:rPr>
                <w:u w:val="single"/>
              </w:rPr>
            </w:pPr>
            <w:r>
              <w:rPr>
                <w:rFonts w:hint="eastAsia"/>
                <w:u w:val="single"/>
              </w:rPr>
              <w:t>2</w:t>
            </w:r>
            <w:r>
              <w:rPr>
                <w:u w:val="single"/>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标准值ug</w:t>
            </w:r>
            <w:r>
              <w:rPr>
                <w:u w:val="single"/>
              </w:rPr>
              <w:t>/m</w:t>
            </w:r>
            <w:r>
              <w:rPr>
                <w:u w:val="single"/>
                <w:vertAlign w:val="superscript"/>
              </w:rPr>
              <w:t>3</w:t>
            </w:r>
          </w:p>
        </w:tc>
        <w:tc>
          <w:tcPr>
            <w:tcW w:w="514" w:type="pct"/>
            <w:vAlign w:val="center"/>
          </w:tcPr>
          <w:p>
            <w:pPr>
              <w:pStyle w:val="14"/>
              <w:rPr>
                <w:u w:val="single"/>
              </w:rPr>
            </w:pPr>
            <w:r>
              <w:rPr>
                <w:rFonts w:hint="eastAsia"/>
                <w:u w:val="single"/>
              </w:rPr>
              <w:t>7</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标准值ug</w:t>
            </w:r>
            <w:r>
              <w:rPr>
                <w:u w:val="single"/>
              </w:rPr>
              <w:t>/m</w:t>
            </w:r>
            <w:r>
              <w:rPr>
                <w:u w:val="single"/>
                <w:vertAlign w:val="superscript"/>
              </w:rPr>
              <w:t>3</w:t>
            </w:r>
          </w:p>
        </w:tc>
        <w:tc>
          <w:tcPr>
            <w:tcW w:w="512" w:type="pct"/>
            <w:vAlign w:val="center"/>
          </w:tcPr>
          <w:p>
            <w:pPr>
              <w:pStyle w:val="14"/>
              <w:rPr>
                <w:u w:val="single"/>
              </w:rPr>
            </w:pPr>
            <w:r>
              <w:rPr>
                <w:rFonts w:hint="eastAsia"/>
                <w:u w:val="single"/>
              </w:rPr>
              <w:t>1</w:t>
            </w:r>
            <w:r>
              <w:rPr>
                <w:u w:val="single"/>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达标情况</w:t>
            </w:r>
          </w:p>
        </w:tc>
        <w:tc>
          <w:tcPr>
            <w:tcW w:w="514" w:type="pct"/>
            <w:vAlign w:val="center"/>
          </w:tcPr>
          <w:p>
            <w:pPr>
              <w:pStyle w:val="14"/>
              <w:rPr>
                <w:u w:val="single"/>
              </w:rPr>
            </w:pPr>
            <w:r>
              <w:rPr>
                <w:rFonts w:hint="eastAsia"/>
                <w:u w:val="single"/>
              </w:rPr>
              <w:t>达标</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达标情况</w:t>
            </w:r>
          </w:p>
        </w:tc>
        <w:tc>
          <w:tcPr>
            <w:tcW w:w="512" w:type="pct"/>
            <w:vAlign w:val="center"/>
          </w:tcPr>
          <w:p>
            <w:pPr>
              <w:pStyle w:val="14"/>
              <w:rPr>
                <w:u w:val="single"/>
              </w:rPr>
            </w:pPr>
            <w:r>
              <w:rPr>
                <w:rFonts w:hint="eastAsia"/>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0" w:type="pct"/>
            <w:vMerge w:val="restart"/>
            <w:vAlign w:val="center"/>
          </w:tcPr>
          <w:p>
            <w:pPr>
              <w:pStyle w:val="14"/>
              <w:rPr>
                <w:u w:val="single"/>
                <w:vertAlign w:val="subscript"/>
              </w:rPr>
            </w:pPr>
            <w:r>
              <w:rPr>
                <w:rFonts w:hint="eastAsia"/>
                <w:u w:val="single"/>
              </w:rPr>
              <w:t>二次P</w:t>
            </w:r>
            <w:r>
              <w:rPr>
                <w:u w:val="single"/>
              </w:rPr>
              <w:t>M</w:t>
            </w:r>
            <w:r>
              <w:rPr>
                <w:u w:val="single"/>
                <w:vertAlign w:val="subscript"/>
              </w:rPr>
              <w:t>2.5</w:t>
            </w:r>
          </w:p>
        </w:tc>
        <w:tc>
          <w:tcPr>
            <w:tcW w:w="1597" w:type="pct"/>
            <w:vAlign w:val="center"/>
          </w:tcPr>
          <w:p>
            <w:pPr>
              <w:pStyle w:val="14"/>
              <w:rPr>
                <w:u w:val="single"/>
              </w:rPr>
            </w:pPr>
            <w:r>
              <w:rPr>
                <w:u w:val="single"/>
              </w:rPr>
              <w:t>24</w:t>
            </w:r>
            <w:r>
              <w:rPr>
                <w:rFonts w:hint="eastAsia"/>
                <w:u w:val="single"/>
              </w:rPr>
              <w:t>h平均浓度贡献值ug</w:t>
            </w:r>
            <w:r>
              <w:rPr>
                <w:u w:val="single"/>
              </w:rPr>
              <w:t>/m</w:t>
            </w:r>
            <w:r>
              <w:rPr>
                <w:u w:val="single"/>
                <w:vertAlign w:val="superscript"/>
              </w:rPr>
              <w:t>3</w:t>
            </w:r>
          </w:p>
        </w:tc>
        <w:tc>
          <w:tcPr>
            <w:tcW w:w="514" w:type="pct"/>
            <w:vAlign w:val="center"/>
          </w:tcPr>
          <w:p>
            <w:pPr>
              <w:pStyle w:val="14"/>
              <w:rPr>
                <w:u w:val="single"/>
              </w:rPr>
            </w:pPr>
            <w:r>
              <w:rPr>
                <w:rFonts w:hint="eastAsia"/>
                <w:u w:val="single"/>
              </w:rPr>
              <w:t>6</w:t>
            </w:r>
            <w:r>
              <w:rPr>
                <w:u w:val="single"/>
              </w:rPr>
              <w:t>5.92</w:t>
            </w:r>
          </w:p>
        </w:tc>
        <w:tc>
          <w:tcPr>
            <w:tcW w:w="390" w:type="pct"/>
            <w:vMerge w:val="restart"/>
            <w:vAlign w:val="center"/>
          </w:tcPr>
          <w:p>
            <w:pPr>
              <w:pStyle w:val="14"/>
              <w:rPr>
                <w:u w:val="single"/>
              </w:rPr>
            </w:pPr>
            <w:r>
              <w:rPr>
                <w:rFonts w:hint="eastAsia"/>
                <w:u w:val="single"/>
              </w:rPr>
              <w:t>二次P</w:t>
            </w:r>
            <w:r>
              <w:rPr>
                <w:u w:val="single"/>
              </w:rPr>
              <w:t>M</w:t>
            </w:r>
            <w:r>
              <w:rPr>
                <w:u w:val="single"/>
                <w:vertAlign w:val="subscript"/>
              </w:rPr>
              <w:t>2.5</w:t>
            </w:r>
          </w:p>
        </w:tc>
        <w:tc>
          <w:tcPr>
            <w:tcW w:w="1597" w:type="pct"/>
            <w:vAlign w:val="center"/>
          </w:tcPr>
          <w:p>
            <w:pPr>
              <w:pStyle w:val="14"/>
              <w:rPr>
                <w:u w:val="single"/>
              </w:rPr>
            </w:pPr>
            <w:r>
              <w:rPr>
                <w:rFonts w:hint="eastAsia"/>
                <w:u w:val="single"/>
              </w:rPr>
              <w:t>年平均浓度贡献值u</w:t>
            </w:r>
            <w:r>
              <w:rPr>
                <w:u w:val="single"/>
              </w:rPr>
              <w:t>g/m</w:t>
            </w:r>
            <w:r>
              <w:rPr>
                <w:u w:val="single"/>
                <w:vertAlign w:val="superscript"/>
              </w:rPr>
              <w:t>3</w:t>
            </w:r>
          </w:p>
        </w:tc>
        <w:tc>
          <w:tcPr>
            <w:tcW w:w="512" w:type="pct"/>
            <w:vAlign w:val="center"/>
          </w:tcPr>
          <w:p>
            <w:pPr>
              <w:pStyle w:val="14"/>
              <w:rPr>
                <w:u w:val="single"/>
              </w:rPr>
            </w:pPr>
            <w:r>
              <w:rPr>
                <w:rFonts w:hint="eastAsia"/>
                <w:u w:val="single"/>
              </w:rPr>
              <w:t>9</w:t>
            </w:r>
            <w:r>
              <w:rPr>
                <w:u w:val="single"/>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9</w:t>
            </w:r>
            <w:r>
              <w:rPr>
                <w:u w:val="single"/>
              </w:rPr>
              <w:t>5%</w:t>
            </w:r>
            <w:r>
              <w:rPr>
                <w:rFonts w:hint="eastAsia"/>
                <w:u w:val="single"/>
              </w:rPr>
              <w:t>分位数2</w:t>
            </w:r>
            <w:r>
              <w:rPr>
                <w:u w:val="single"/>
              </w:rPr>
              <w:t>4h</w:t>
            </w:r>
            <w:r>
              <w:rPr>
                <w:rFonts w:hint="eastAsia"/>
                <w:u w:val="single"/>
              </w:rPr>
              <w:t>均值现状浓度ug</w:t>
            </w:r>
            <w:r>
              <w:rPr>
                <w:u w:val="single"/>
              </w:rPr>
              <w:t>/m</w:t>
            </w:r>
            <w:r>
              <w:rPr>
                <w:u w:val="single"/>
                <w:vertAlign w:val="superscript"/>
              </w:rPr>
              <w:t>3</w:t>
            </w:r>
          </w:p>
        </w:tc>
        <w:tc>
          <w:tcPr>
            <w:tcW w:w="514" w:type="pct"/>
            <w:vAlign w:val="center"/>
          </w:tcPr>
          <w:p>
            <w:pPr>
              <w:pStyle w:val="14"/>
              <w:rPr>
                <w:u w:val="single"/>
              </w:rPr>
            </w:pPr>
            <w:r>
              <w:rPr>
                <w:rFonts w:hint="eastAsia"/>
                <w:u w:val="single"/>
              </w:rPr>
              <w:t>7</w:t>
            </w:r>
            <w:r>
              <w:rPr>
                <w:u w:val="single"/>
              </w:rPr>
              <w:t>2</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年平均浓度现状值ug</w:t>
            </w:r>
            <w:r>
              <w:rPr>
                <w:u w:val="single"/>
              </w:rPr>
              <w:t>/m</w:t>
            </w:r>
            <w:r>
              <w:rPr>
                <w:u w:val="single"/>
                <w:vertAlign w:val="superscript"/>
              </w:rPr>
              <w:t>3</w:t>
            </w:r>
          </w:p>
        </w:tc>
        <w:tc>
          <w:tcPr>
            <w:tcW w:w="512" w:type="pct"/>
            <w:vAlign w:val="center"/>
          </w:tcPr>
          <w:p>
            <w:pPr>
              <w:pStyle w:val="14"/>
              <w:rPr>
                <w:u w:val="single"/>
              </w:rPr>
            </w:pPr>
            <w:r>
              <w:rPr>
                <w:rFonts w:hint="eastAsia"/>
                <w:u w:val="single"/>
              </w:rPr>
              <w:t>3</w:t>
            </w:r>
            <w:r>
              <w:rPr>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叠加浓度ug</w:t>
            </w:r>
            <w:r>
              <w:rPr>
                <w:u w:val="single"/>
              </w:rPr>
              <w:t>/m</w:t>
            </w:r>
            <w:r>
              <w:rPr>
                <w:u w:val="single"/>
                <w:vertAlign w:val="superscript"/>
              </w:rPr>
              <w:t>3</w:t>
            </w:r>
          </w:p>
        </w:tc>
        <w:tc>
          <w:tcPr>
            <w:tcW w:w="514" w:type="pct"/>
            <w:vAlign w:val="center"/>
          </w:tcPr>
          <w:p>
            <w:pPr>
              <w:pStyle w:val="14"/>
              <w:rPr>
                <w:u w:val="single"/>
              </w:rPr>
            </w:pPr>
            <w:r>
              <w:rPr>
                <w:rFonts w:hint="eastAsia"/>
                <w:u w:val="single"/>
              </w:rPr>
              <w:t>1</w:t>
            </w:r>
            <w:r>
              <w:rPr>
                <w:u w:val="single"/>
              </w:rPr>
              <w:t>37.92</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叠加浓度ug</w:t>
            </w:r>
            <w:r>
              <w:rPr>
                <w:u w:val="single"/>
              </w:rPr>
              <w:t>/m</w:t>
            </w:r>
            <w:r>
              <w:rPr>
                <w:u w:val="single"/>
                <w:vertAlign w:val="superscript"/>
              </w:rPr>
              <w:t>3</w:t>
            </w:r>
          </w:p>
        </w:tc>
        <w:tc>
          <w:tcPr>
            <w:tcW w:w="512" w:type="pct"/>
            <w:vAlign w:val="center"/>
          </w:tcPr>
          <w:p>
            <w:pPr>
              <w:pStyle w:val="14"/>
              <w:rPr>
                <w:u w:val="single"/>
              </w:rPr>
            </w:pPr>
            <w:r>
              <w:rPr>
                <w:rFonts w:hint="eastAsia"/>
                <w:u w:val="single"/>
              </w:rPr>
              <w:t>4</w:t>
            </w:r>
            <w:r>
              <w:rPr>
                <w:u w:val="single"/>
              </w:rPr>
              <w:t>4.81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u w:val="single"/>
              </w:rPr>
              <w:t>24h</w:t>
            </w:r>
            <w:r>
              <w:rPr>
                <w:rFonts w:hint="eastAsia"/>
                <w:u w:val="single"/>
              </w:rPr>
              <w:t>平均浓度标准值ug</w:t>
            </w:r>
            <w:r>
              <w:rPr>
                <w:u w:val="single"/>
              </w:rPr>
              <w:t>/m</w:t>
            </w:r>
            <w:r>
              <w:rPr>
                <w:u w:val="single"/>
                <w:vertAlign w:val="superscript"/>
              </w:rPr>
              <w:t>3</w:t>
            </w:r>
          </w:p>
        </w:tc>
        <w:tc>
          <w:tcPr>
            <w:tcW w:w="514" w:type="pct"/>
            <w:vAlign w:val="center"/>
          </w:tcPr>
          <w:p>
            <w:pPr>
              <w:pStyle w:val="14"/>
              <w:rPr>
                <w:u w:val="single"/>
              </w:rPr>
            </w:pPr>
            <w:r>
              <w:rPr>
                <w:rFonts w:hint="eastAsia"/>
                <w:u w:val="single"/>
              </w:rPr>
              <w:t>7</w:t>
            </w:r>
            <w:r>
              <w:rPr>
                <w:u w:val="single"/>
              </w:rPr>
              <w:t>5</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年平均浓度标准值ug</w:t>
            </w:r>
            <w:r>
              <w:rPr>
                <w:u w:val="single"/>
              </w:rPr>
              <w:t>/m</w:t>
            </w:r>
            <w:r>
              <w:rPr>
                <w:u w:val="single"/>
                <w:vertAlign w:val="superscript"/>
              </w:rPr>
              <w:t>3</w:t>
            </w:r>
          </w:p>
        </w:tc>
        <w:tc>
          <w:tcPr>
            <w:tcW w:w="512" w:type="pct"/>
            <w:vAlign w:val="center"/>
          </w:tcPr>
          <w:p>
            <w:pPr>
              <w:pStyle w:val="14"/>
              <w:rPr>
                <w:u w:val="single"/>
              </w:rPr>
            </w:pPr>
            <w:r>
              <w:rPr>
                <w:rFonts w:hint="eastAsia"/>
                <w:u w:val="single"/>
              </w:rPr>
              <w:t>3</w:t>
            </w:r>
            <w:r>
              <w:rPr>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占标率%</w:t>
            </w:r>
          </w:p>
        </w:tc>
        <w:tc>
          <w:tcPr>
            <w:tcW w:w="514" w:type="pct"/>
            <w:vAlign w:val="center"/>
          </w:tcPr>
          <w:p>
            <w:pPr>
              <w:pStyle w:val="14"/>
              <w:rPr>
                <w:u w:val="single"/>
              </w:rPr>
            </w:pPr>
            <w:r>
              <w:rPr>
                <w:rFonts w:hint="eastAsia"/>
                <w:u w:val="single"/>
              </w:rPr>
              <w:t>1</w:t>
            </w:r>
            <w:r>
              <w:rPr>
                <w:u w:val="single"/>
              </w:rPr>
              <w:t>83.89</w:t>
            </w:r>
          </w:p>
        </w:tc>
        <w:tc>
          <w:tcPr>
            <w:tcW w:w="390" w:type="pct"/>
            <w:vMerge w:val="continue"/>
            <w:vAlign w:val="center"/>
          </w:tcPr>
          <w:p>
            <w:pPr>
              <w:pStyle w:val="14"/>
              <w:rPr>
                <w:u w:val="single"/>
              </w:rPr>
            </w:pPr>
          </w:p>
        </w:tc>
        <w:tc>
          <w:tcPr>
            <w:tcW w:w="1597" w:type="pct"/>
            <w:vAlign w:val="center"/>
          </w:tcPr>
          <w:p>
            <w:pPr>
              <w:pStyle w:val="14"/>
              <w:rPr>
                <w:u w:val="single"/>
              </w:rPr>
            </w:pPr>
            <w:r>
              <w:rPr>
                <w:rFonts w:hint="eastAsia"/>
                <w:u w:val="single"/>
              </w:rPr>
              <w:t>占标率%</w:t>
            </w:r>
          </w:p>
        </w:tc>
        <w:tc>
          <w:tcPr>
            <w:tcW w:w="512" w:type="pct"/>
            <w:vAlign w:val="center"/>
          </w:tcPr>
          <w:p>
            <w:pPr>
              <w:pStyle w:val="14"/>
              <w:rPr>
                <w:u w:val="single"/>
              </w:rPr>
            </w:pPr>
            <w:r>
              <w:rPr>
                <w:rFonts w:hint="eastAsia"/>
                <w:u w:val="single"/>
              </w:rPr>
              <w:t>1</w:t>
            </w:r>
            <w:r>
              <w:rPr>
                <w:u w:val="single"/>
              </w:rPr>
              <w:t>28.03</w:t>
            </w:r>
          </w:p>
        </w:tc>
      </w:tr>
    </w:tbl>
    <w:p>
      <w:pPr>
        <w:ind w:firstLine="0" w:firstLineChars="0"/>
        <w:jc w:val="center"/>
        <w:rPr>
          <w:rFonts w:cs="Times New Roman"/>
          <w:u w:val="single"/>
        </w:rPr>
      </w:pPr>
      <w:r>
        <w:rPr>
          <w:rFonts w:hint="eastAsia" w:cs="Times New Roman"/>
          <w:u w:val="single"/>
        </w:rPr>
        <w:t>表5</w:t>
      </w:r>
      <w:r>
        <w:rPr>
          <w:rFonts w:cs="Times New Roman"/>
          <w:u w:val="single"/>
        </w:rPr>
        <w:t>.2</w:t>
      </w:r>
      <w:r>
        <w:rPr>
          <w:rFonts w:hint="eastAsia" w:cs="Times New Roman"/>
          <w:u w:val="single"/>
        </w:rPr>
        <w:t>-</w:t>
      </w:r>
      <w:r>
        <w:rPr>
          <w:rFonts w:cs="Times New Roman"/>
          <w:u w:val="single"/>
        </w:rPr>
        <w:t xml:space="preserve">14  </w:t>
      </w:r>
      <w:r>
        <w:rPr>
          <w:rFonts w:hint="eastAsia" w:cs="Times New Roman"/>
          <w:u w:val="single"/>
        </w:rPr>
        <w:t>新增污染源非正常工况排放情况预测结果表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7"/>
        <w:gridCol w:w="2943"/>
        <w:gridCol w:w="1239"/>
        <w:gridCol w:w="1242"/>
        <w:gridCol w:w="1242"/>
        <w:gridCol w:w="1242"/>
        <w:gridCol w:w="1242"/>
        <w:gridCol w:w="1242"/>
        <w:gridCol w:w="12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restart"/>
            <w:vAlign w:val="center"/>
          </w:tcPr>
          <w:p>
            <w:pPr>
              <w:pStyle w:val="14"/>
              <w:rPr>
                <w:u w:val="single"/>
              </w:rPr>
            </w:pPr>
            <w:r>
              <w:rPr>
                <w:rFonts w:hint="eastAsia"/>
                <w:u w:val="single"/>
              </w:rPr>
              <w:t>预测点</w:t>
            </w:r>
          </w:p>
        </w:tc>
        <w:tc>
          <w:tcPr>
            <w:tcW w:w="1038" w:type="pct"/>
            <w:vMerge w:val="restart"/>
            <w:vAlign w:val="center"/>
          </w:tcPr>
          <w:p>
            <w:pPr>
              <w:pStyle w:val="14"/>
              <w:rPr>
                <w:u w:val="single"/>
              </w:rPr>
            </w:pPr>
            <w:r>
              <w:rPr>
                <w:rFonts w:hint="eastAsia"/>
                <w:u w:val="single"/>
              </w:rPr>
              <w:t>预测项目</w:t>
            </w:r>
          </w:p>
        </w:tc>
        <w:tc>
          <w:tcPr>
            <w:tcW w:w="3066" w:type="pct"/>
            <w:gridSpan w:val="7"/>
            <w:vAlign w:val="center"/>
          </w:tcPr>
          <w:p>
            <w:pPr>
              <w:pStyle w:val="14"/>
              <w:rPr>
                <w:u w:val="single"/>
              </w:rPr>
            </w:pPr>
            <w:r>
              <w:rPr>
                <w:rFonts w:hint="eastAsia"/>
                <w:u w:val="single"/>
              </w:rPr>
              <w:t>预测结果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continue"/>
            <w:vAlign w:val="center"/>
          </w:tcPr>
          <w:p>
            <w:pPr>
              <w:pStyle w:val="14"/>
              <w:rPr>
                <w:u w:val="single"/>
              </w:rPr>
            </w:pPr>
          </w:p>
        </w:tc>
        <w:tc>
          <w:tcPr>
            <w:tcW w:w="1038" w:type="pct"/>
            <w:vMerge w:val="continue"/>
            <w:vAlign w:val="center"/>
          </w:tcPr>
          <w:p>
            <w:pPr>
              <w:pStyle w:val="14"/>
              <w:rPr>
                <w:u w:val="single"/>
              </w:rPr>
            </w:pPr>
          </w:p>
        </w:tc>
        <w:tc>
          <w:tcPr>
            <w:tcW w:w="437" w:type="pct"/>
            <w:vAlign w:val="center"/>
          </w:tcPr>
          <w:p>
            <w:pPr>
              <w:pStyle w:val="14"/>
              <w:rPr>
                <w:u w:val="single"/>
              </w:rPr>
            </w:pPr>
            <w:r>
              <w:rPr>
                <w:rFonts w:hint="eastAsia"/>
                <w:u w:val="single"/>
              </w:rPr>
              <w:t>SO</w:t>
            </w:r>
            <w:r>
              <w:rPr>
                <w:u w:val="single"/>
                <w:vertAlign w:val="subscript"/>
              </w:rPr>
              <w:t>2</w:t>
            </w:r>
          </w:p>
        </w:tc>
        <w:tc>
          <w:tcPr>
            <w:tcW w:w="438" w:type="pct"/>
            <w:vAlign w:val="center"/>
          </w:tcPr>
          <w:p>
            <w:pPr>
              <w:pStyle w:val="14"/>
              <w:rPr>
                <w:u w:val="single"/>
                <w:vertAlign w:val="subscript"/>
              </w:rPr>
            </w:pPr>
            <w:r>
              <w:rPr>
                <w:rFonts w:hint="eastAsia"/>
                <w:u w:val="single"/>
              </w:rPr>
              <w:t>NOx</w:t>
            </w:r>
          </w:p>
        </w:tc>
        <w:tc>
          <w:tcPr>
            <w:tcW w:w="438" w:type="pct"/>
            <w:vAlign w:val="center"/>
          </w:tcPr>
          <w:p>
            <w:pPr>
              <w:pStyle w:val="14"/>
              <w:rPr>
                <w:u w:val="single"/>
              </w:rPr>
            </w:pPr>
            <w:r>
              <w:rPr>
                <w:rFonts w:hint="eastAsia"/>
                <w:u w:val="single"/>
              </w:rPr>
              <w:t>PM</w:t>
            </w:r>
            <w:r>
              <w:rPr>
                <w:u w:val="single"/>
                <w:vertAlign w:val="subscript"/>
              </w:rPr>
              <w:t>10</w:t>
            </w:r>
          </w:p>
        </w:tc>
        <w:tc>
          <w:tcPr>
            <w:tcW w:w="438" w:type="pct"/>
            <w:vAlign w:val="center"/>
          </w:tcPr>
          <w:p>
            <w:pPr>
              <w:pStyle w:val="14"/>
              <w:rPr>
                <w:u w:val="single"/>
              </w:rPr>
            </w:pPr>
            <w:r>
              <w:rPr>
                <w:rFonts w:hint="eastAsia"/>
                <w:u w:val="single"/>
              </w:rPr>
              <w:t>TSP</w:t>
            </w:r>
          </w:p>
        </w:tc>
        <w:tc>
          <w:tcPr>
            <w:tcW w:w="438" w:type="pct"/>
            <w:vAlign w:val="center"/>
          </w:tcPr>
          <w:p>
            <w:pPr>
              <w:pStyle w:val="14"/>
              <w:rPr>
                <w:u w:val="single"/>
              </w:rPr>
            </w:pPr>
            <w:r>
              <w:rPr>
                <w:rFonts w:hint="eastAsia"/>
                <w:u w:val="single"/>
              </w:rPr>
              <w:t>氟化物</w:t>
            </w:r>
          </w:p>
        </w:tc>
        <w:tc>
          <w:tcPr>
            <w:tcW w:w="438" w:type="pct"/>
            <w:vAlign w:val="center"/>
          </w:tcPr>
          <w:p>
            <w:pPr>
              <w:pStyle w:val="14"/>
              <w:rPr>
                <w:u w:val="single"/>
              </w:rPr>
            </w:pPr>
            <w:r>
              <w:rPr>
                <w:rFonts w:hint="eastAsia"/>
                <w:u w:val="single"/>
              </w:rPr>
              <w:t>V</w:t>
            </w:r>
            <w:r>
              <w:rPr>
                <w:u w:val="single"/>
              </w:rPr>
              <w:t>OCs</w:t>
            </w:r>
          </w:p>
        </w:tc>
        <w:tc>
          <w:tcPr>
            <w:tcW w:w="439" w:type="pct"/>
            <w:vAlign w:val="center"/>
          </w:tcPr>
          <w:p>
            <w:pPr>
              <w:pStyle w:val="14"/>
              <w:rPr>
                <w:u w:val="single"/>
                <w:vertAlign w:val="subscript"/>
              </w:rPr>
            </w:pPr>
            <w:r>
              <w:rPr>
                <w:rFonts w:hint="eastAsia"/>
                <w:u w:val="single"/>
              </w:rPr>
              <w:t>二次P</w:t>
            </w:r>
            <w:r>
              <w:rPr>
                <w:u w:val="single"/>
              </w:rPr>
              <w:t>M</w:t>
            </w:r>
            <w:r>
              <w:rPr>
                <w:u w:val="single"/>
                <w:vertAlign w:val="subscript"/>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restart"/>
            <w:vAlign w:val="center"/>
          </w:tcPr>
          <w:p>
            <w:pPr>
              <w:pStyle w:val="14"/>
              <w:rPr>
                <w:u w:val="single"/>
              </w:rPr>
            </w:pPr>
            <w:r>
              <w:rPr>
                <w:rFonts w:hint="eastAsia"/>
                <w:u w:val="single"/>
              </w:rPr>
              <w:t>新增污染源</w:t>
            </w:r>
          </w:p>
          <w:p>
            <w:pPr>
              <w:pStyle w:val="14"/>
              <w:rPr>
                <w:u w:val="single"/>
              </w:rPr>
            </w:pPr>
            <w:r>
              <w:rPr>
                <w:rFonts w:hint="eastAsia"/>
                <w:u w:val="single"/>
              </w:rPr>
              <w:t>正常工况</w:t>
            </w:r>
          </w:p>
          <w:p>
            <w:pPr>
              <w:pStyle w:val="14"/>
              <w:rPr>
                <w:u w:val="single"/>
              </w:rPr>
            </w:pPr>
            <w:r>
              <w:rPr>
                <w:rFonts w:hint="eastAsia"/>
                <w:u w:val="single"/>
              </w:rPr>
              <w:t>最大落</w:t>
            </w:r>
          </w:p>
          <w:p>
            <w:pPr>
              <w:pStyle w:val="14"/>
              <w:rPr>
                <w:u w:val="single"/>
              </w:rPr>
            </w:pPr>
            <w:r>
              <w:rPr>
                <w:rFonts w:hint="eastAsia"/>
                <w:u w:val="single"/>
              </w:rPr>
              <w:t>地浓度点</w:t>
            </w:r>
          </w:p>
        </w:tc>
        <w:tc>
          <w:tcPr>
            <w:tcW w:w="1038" w:type="pct"/>
            <w:vAlign w:val="center"/>
          </w:tcPr>
          <w:p>
            <w:pPr>
              <w:pStyle w:val="14"/>
              <w:rPr>
                <w:u w:val="single"/>
              </w:rPr>
            </w:pPr>
            <w:r>
              <w:rPr>
                <w:rFonts w:hint="eastAsia"/>
                <w:u w:val="single"/>
              </w:rPr>
              <w:t>1h平均浓度ug</w:t>
            </w:r>
            <w:r>
              <w:rPr>
                <w:u w:val="single"/>
              </w:rPr>
              <w:t>/m</w:t>
            </w:r>
            <w:r>
              <w:rPr>
                <w:u w:val="single"/>
                <w:vertAlign w:val="superscript"/>
              </w:rPr>
              <w:t>3</w:t>
            </w:r>
          </w:p>
        </w:tc>
        <w:tc>
          <w:tcPr>
            <w:tcW w:w="437" w:type="pct"/>
            <w:vAlign w:val="center"/>
          </w:tcPr>
          <w:p>
            <w:pPr>
              <w:pStyle w:val="14"/>
              <w:rPr>
                <w:u w:val="single"/>
              </w:rPr>
            </w:pPr>
            <w:r>
              <w:rPr>
                <w:rFonts w:hint="eastAsia"/>
                <w:u w:val="single"/>
              </w:rPr>
              <w:t>1</w:t>
            </w:r>
            <w:r>
              <w:rPr>
                <w:u w:val="single"/>
              </w:rPr>
              <w:t>729.33</w:t>
            </w:r>
          </w:p>
        </w:tc>
        <w:tc>
          <w:tcPr>
            <w:tcW w:w="438" w:type="pct"/>
            <w:vAlign w:val="center"/>
          </w:tcPr>
          <w:p>
            <w:pPr>
              <w:pStyle w:val="14"/>
              <w:rPr>
                <w:u w:val="single"/>
              </w:rPr>
            </w:pPr>
            <w:r>
              <w:rPr>
                <w:rFonts w:hint="eastAsia"/>
                <w:u w:val="single"/>
              </w:rPr>
              <w:t>1</w:t>
            </w:r>
            <w:r>
              <w:rPr>
                <w:u w:val="single"/>
              </w:rPr>
              <w:t>093.38</w:t>
            </w:r>
          </w:p>
        </w:tc>
        <w:tc>
          <w:tcPr>
            <w:tcW w:w="438" w:type="pct"/>
            <w:vAlign w:val="center"/>
          </w:tcPr>
          <w:p>
            <w:pPr>
              <w:pStyle w:val="14"/>
              <w:rPr>
                <w:u w:val="single"/>
              </w:rPr>
            </w:pPr>
            <w:r>
              <w:rPr>
                <w:rFonts w:hint="eastAsia"/>
                <w:u w:val="single"/>
              </w:rPr>
              <w:t>3</w:t>
            </w:r>
            <w:r>
              <w:rPr>
                <w:u w:val="single"/>
              </w:rPr>
              <w:t>580.91</w:t>
            </w:r>
          </w:p>
        </w:tc>
        <w:tc>
          <w:tcPr>
            <w:tcW w:w="438" w:type="pct"/>
            <w:vAlign w:val="center"/>
          </w:tcPr>
          <w:p>
            <w:pPr>
              <w:pStyle w:val="14"/>
              <w:rPr>
                <w:u w:val="single"/>
              </w:rPr>
            </w:pPr>
            <w:r>
              <w:rPr>
                <w:rFonts w:hint="eastAsia"/>
                <w:u w:val="single"/>
              </w:rPr>
              <w:t>6</w:t>
            </w:r>
            <w:r>
              <w:rPr>
                <w:u w:val="single"/>
              </w:rPr>
              <w:t>866.23</w:t>
            </w:r>
          </w:p>
        </w:tc>
        <w:tc>
          <w:tcPr>
            <w:tcW w:w="438" w:type="pct"/>
            <w:vAlign w:val="center"/>
          </w:tcPr>
          <w:p>
            <w:pPr>
              <w:pStyle w:val="14"/>
              <w:rPr>
                <w:u w:val="single"/>
              </w:rPr>
            </w:pPr>
            <w:r>
              <w:rPr>
                <w:rFonts w:hint="eastAsia"/>
                <w:u w:val="single"/>
              </w:rPr>
              <w:t>1</w:t>
            </w:r>
            <w:r>
              <w:rPr>
                <w:u w:val="single"/>
              </w:rPr>
              <w:t>7.74</w:t>
            </w:r>
          </w:p>
        </w:tc>
        <w:tc>
          <w:tcPr>
            <w:tcW w:w="438" w:type="pct"/>
            <w:vAlign w:val="center"/>
          </w:tcPr>
          <w:p>
            <w:pPr>
              <w:pStyle w:val="14"/>
              <w:rPr>
                <w:u w:val="single"/>
              </w:rPr>
            </w:pPr>
            <w:r>
              <w:rPr>
                <w:rFonts w:hint="eastAsia"/>
                <w:u w:val="single"/>
              </w:rPr>
              <w:t>0</w:t>
            </w:r>
            <w:r>
              <w:rPr>
                <w:u w:val="single"/>
              </w:rPr>
              <w:t>.79</w:t>
            </w:r>
          </w:p>
        </w:tc>
        <w:tc>
          <w:tcPr>
            <w:tcW w:w="439" w:type="pct"/>
            <w:vAlign w:val="center"/>
          </w:tcPr>
          <w:p>
            <w:pPr>
              <w:pStyle w:val="14"/>
              <w:rPr>
                <w:u w:val="single"/>
              </w:rPr>
            </w:pPr>
            <w:r>
              <w:rPr>
                <w:rFonts w:hint="eastAsia"/>
                <w:u w:val="single"/>
              </w:rPr>
              <w:t>1</w:t>
            </w:r>
            <w:r>
              <w:rPr>
                <w:u w:val="single"/>
              </w:rPr>
              <w:t>978.92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continue"/>
            <w:vAlign w:val="center"/>
          </w:tcPr>
          <w:p>
            <w:pPr>
              <w:pStyle w:val="14"/>
              <w:rPr>
                <w:u w:val="single"/>
              </w:rPr>
            </w:pPr>
          </w:p>
        </w:tc>
        <w:tc>
          <w:tcPr>
            <w:tcW w:w="1038" w:type="pct"/>
            <w:vAlign w:val="center"/>
          </w:tcPr>
          <w:p>
            <w:pPr>
              <w:pStyle w:val="14"/>
              <w:rPr>
                <w:u w:val="single"/>
              </w:rPr>
            </w:pPr>
            <w:r>
              <w:rPr>
                <w:rFonts w:hint="eastAsia"/>
                <w:u w:val="single"/>
              </w:rPr>
              <w:t>标准值ug</w:t>
            </w:r>
            <w:r>
              <w:rPr>
                <w:u w:val="single"/>
              </w:rPr>
              <w:t>/m</w:t>
            </w:r>
            <w:r>
              <w:rPr>
                <w:u w:val="single"/>
                <w:vertAlign w:val="superscript"/>
              </w:rPr>
              <w:t>3</w:t>
            </w:r>
          </w:p>
        </w:tc>
        <w:tc>
          <w:tcPr>
            <w:tcW w:w="437" w:type="pct"/>
            <w:vAlign w:val="center"/>
          </w:tcPr>
          <w:p>
            <w:pPr>
              <w:pStyle w:val="14"/>
              <w:rPr>
                <w:u w:val="single"/>
              </w:rPr>
            </w:pPr>
            <w:r>
              <w:rPr>
                <w:rFonts w:hint="eastAsia"/>
                <w:u w:val="single"/>
              </w:rPr>
              <w:t>5</w:t>
            </w:r>
            <w:r>
              <w:rPr>
                <w:u w:val="single"/>
              </w:rPr>
              <w:t>00</w:t>
            </w:r>
          </w:p>
        </w:tc>
        <w:tc>
          <w:tcPr>
            <w:tcW w:w="438" w:type="pct"/>
            <w:vAlign w:val="center"/>
          </w:tcPr>
          <w:p>
            <w:pPr>
              <w:pStyle w:val="14"/>
              <w:rPr>
                <w:u w:val="single"/>
              </w:rPr>
            </w:pPr>
            <w:r>
              <w:rPr>
                <w:rFonts w:hint="eastAsia"/>
                <w:u w:val="single"/>
              </w:rPr>
              <w:t>2</w:t>
            </w:r>
            <w:r>
              <w:rPr>
                <w:u w:val="single"/>
              </w:rPr>
              <w:t>50</w:t>
            </w:r>
          </w:p>
        </w:tc>
        <w:tc>
          <w:tcPr>
            <w:tcW w:w="438" w:type="pct"/>
            <w:vAlign w:val="center"/>
          </w:tcPr>
          <w:p>
            <w:pPr>
              <w:pStyle w:val="14"/>
              <w:rPr>
                <w:u w:val="single"/>
              </w:rPr>
            </w:pPr>
            <w:r>
              <w:rPr>
                <w:rFonts w:hint="eastAsia"/>
                <w:u w:val="single"/>
              </w:rPr>
              <w:t>4</w:t>
            </w:r>
            <w:r>
              <w:rPr>
                <w:u w:val="single"/>
              </w:rPr>
              <w:t>50</w:t>
            </w:r>
          </w:p>
        </w:tc>
        <w:tc>
          <w:tcPr>
            <w:tcW w:w="438" w:type="pct"/>
            <w:vAlign w:val="center"/>
          </w:tcPr>
          <w:p>
            <w:pPr>
              <w:pStyle w:val="14"/>
              <w:rPr>
                <w:u w:val="single"/>
              </w:rPr>
            </w:pPr>
            <w:r>
              <w:rPr>
                <w:rFonts w:hint="eastAsia"/>
                <w:u w:val="single"/>
              </w:rPr>
              <w:t>9</w:t>
            </w:r>
            <w:r>
              <w:rPr>
                <w:u w:val="single"/>
              </w:rPr>
              <w:t>00</w:t>
            </w:r>
          </w:p>
        </w:tc>
        <w:tc>
          <w:tcPr>
            <w:tcW w:w="438" w:type="pct"/>
            <w:vAlign w:val="center"/>
          </w:tcPr>
          <w:p>
            <w:pPr>
              <w:pStyle w:val="14"/>
              <w:rPr>
                <w:u w:val="single"/>
              </w:rPr>
            </w:pPr>
            <w:r>
              <w:rPr>
                <w:rFonts w:hint="eastAsia"/>
                <w:u w:val="single"/>
              </w:rPr>
              <w:t>2</w:t>
            </w:r>
            <w:r>
              <w:rPr>
                <w:u w:val="single"/>
              </w:rPr>
              <w:t>0</w:t>
            </w:r>
          </w:p>
        </w:tc>
        <w:tc>
          <w:tcPr>
            <w:tcW w:w="438" w:type="pct"/>
            <w:vAlign w:val="center"/>
          </w:tcPr>
          <w:p>
            <w:pPr>
              <w:pStyle w:val="14"/>
              <w:rPr>
                <w:u w:val="single"/>
              </w:rPr>
            </w:pPr>
            <w:r>
              <w:rPr>
                <w:rFonts w:hint="eastAsia"/>
                <w:u w:val="single"/>
              </w:rPr>
              <w:t>1</w:t>
            </w:r>
            <w:r>
              <w:rPr>
                <w:u w:val="single"/>
              </w:rPr>
              <w:t>200</w:t>
            </w:r>
          </w:p>
        </w:tc>
        <w:tc>
          <w:tcPr>
            <w:tcW w:w="439" w:type="pct"/>
            <w:vAlign w:val="center"/>
          </w:tcPr>
          <w:p>
            <w:pPr>
              <w:pStyle w:val="14"/>
              <w:rPr>
                <w:u w:val="single"/>
              </w:rPr>
            </w:pPr>
            <w:r>
              <w:rPr>
                <w:u w:val="single"/>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Merge w:val="continue"/>
            <w:vAlign w:val="center"/>
          </w:tcPr>
          <w:p>
            <w:pPr>
              <w:pStyle w:val="14"/>
              <w:rPr>
                <w:u w:val="single"/>
              </w:rPr>
            </w:pPr>
          </w:p>
        </w:tc>
        <w:tc>
          <w:tcPr>
            <w:tcW w:w="1038" w:type="pct"/>
            <w:vAlign w:val="center"/>
          </w:tcPr>
          <w:p>
            <w:pPr>
              <w:pStyle w:val="14"/>
              <w:rPr>
                <w:u w:val="single"/>
              </w:rPr>
            </w:pPr>
            <w:r>
              <w:rPr>
                <w:rFonts w:hint="eastAsia"/>
                <w:u w:val="single"/>
              </w:rPr>
              <w:t>占标率</w:t>
            </w:r>
          </w:p>
        </w:tc>
        <w:tc>
          <w:tcPr>
            <w:tcW w:w="437" w:type="pct"/>
            <w:vAlign w:val="center"/>
          </w:tcPr>
          <w:p>
            <w:pPr>
              <w:pStyle w:val="14"/>
              <w:rPr>
                <w:u w:val="single"/>
              </w:rPr>
            </w:pPr>
            <w:r>
              <w:rPr>
                <w:rFonts w:hint="eastAsia"/>
                <w:u w:val="single"/>
              </w:rPr>
              <w:t>3</w:t>
            </w:r>
            <w:r>
              <w:rPr>
                <w:u w:val="single"/>
              </w:rPr>
              <w:t>45.87</w:t>
            </w:r>
          </w:p>
        </w:tc>
        <w:tc>
          <w:tcPr>
            <w:tcW w:w="438" w:type="pct"/>
            <w:vAlign w:val="center"/>
          </w:tcPr>
          <w:p>
            <w:pPr>
              <w:pStyle w:val="14"/>
              <w:rPr>
                <w:u w:val="single"/>
              </w:rPr>
            </w:pPr>
            <w:r>
              <w:rPr>
                <w:rFonts w:hint="eastAsia"/>
                <w:u w:val="single"/>
              </w:rPr>
              <w:t>4</w:t>
            </w:r>
            <w:r>
              <w:rPr>
                <w:u w:val="single"/>
              </w:rPr>
              <w:t>37.35</w:t>
            </w:r>
          </w:p>
        </w:tc>
        <w:tc>
          <w:tcPr>
            <w:tcW w:w="438" w:type="pct"/>
            <w:vAlign w:val="center"/>
          </w:tcPr>
          <w:p>
            <w:pPr>
              <w:pStyle w:val="14"/>
              <w:rPr>
                <w:u w:val="single"/>
              </w:rPr>
            </w:pPr>
            <w:r>
              <w:rPr>
                <w:rFonts w:hint="eastAsia"/>
                <w:u w:val="single"/>
              </w:rPr>
              <w:t>7</w:t>
            </w:r>
            <w:r>
              <w:rPr>
                <w:u w:val="single"/>
              </w:rPr>
              <w:t>97.76</w:t>
            </w:r>
          </w:p>
        </w:tc>
        <w:tc>
          <w:tcPr>
            <w:tcW w:w="438" w:type="pct"/>
            <w:vAlign w:val="center"/>
          </w:tcPr>
          <w:p>
            <w:pPr>
              <w:pStyle w:val="14"/>
              <w:rPr>
                <w:u w:val="single"/>
              </w:rPr>
            </w:pPr>
            <w:r>
              <w:rPr>
                <w:rFonts w:hint="eastAsia"/>
                <w:u w:val="single"/>
              </w:rPr>
              <w:t>7</w:t>
            </w:r>
            <w:r>
              <w:rPr>
                <w:u w:val="single"/>
              </w:rPr>
              <w:t>62.91</w:t>
            </w:r>
          </w:p>
        </w:tc>
        <w:tc>
          <w:tcPr>
            <w:tcW w:w="438" w:type="pct"/>
            <w:vAlign w:val="center"/>
          </w:tcPr>
          <w:p>
            <w:pPr>
              <w:pStyle w:val="14"/>
              <w:rPr>
                <w:u w:val="single"/>
              </w:rPr>
            </w:pPr>
            <w:r>
              <w:rPr>
                <w:rFonts w:hint="eastAsia"/>
                <w:u w:val="single"/>
              </w:rPr>
              <w:t>8</w:t>
            </w:r>
            <w:r>
              <w:rPr>
                <w:u w:val="single"/>
              </w:rPr>
              <w:t>8.70</w:t>
            </w:r>
          </w:p>
        </w:tc>
        <w:tc>
          <w:tcPr>
            <w:tcW w:w="438" w:type="pct"/>
            <w:vAlign w:val="center"/>
          </w:tcPr>
          <w:p>
            <w:pPr>
              <w:pStyle w:val="14"/>
              <w:rPr>
                <w:u w:val="single"/>
              </w:rPr>
            </w:pPr>
            <w:r>
              <w:rPr>
                <w:rFonts w:hint="eastAsia"/>
                <w:u w:val="single"/>
              </w:rPr>
              <w:t>0</w:t>
            </w:r>
            <w:r>
              <w:rPr>
                <w:u w:val="single"/>
              </w:rPr>
              <w:t>.07</w:t>
            </w:r>
          </w:p>
        </w:tc>
        <w:tc>
          <w:tcPr>
            <w:tcW w:w="439" w:type="pct"/>
            <w:vAlign w:val="center"/>
          </w:tcPr>
          <w:p>
            <w:pPr>
              <w:pStyle w:val="14"/>
              <w:rPr>
                <w:u w:val="single"/>
              </w:rPr>
            </w:pPr>
            <w:r>
              <w:rPr>
                <w:rFonts w:hint="eastAsia"/>
                <w:u w:val="single"/>
              </w:rPr>
              <w:t>8</w:t>
            </w:r>
            <w:r>
              <w:rPr>
                <w:u w:val="single"/>
              </w:rPr>
              <w:t>79.52</w:t>
            </w:r>
          </w:p>
        </w:tc>
      </w:tr>
    </w:tbl>
    <w:p>
      <w:pPr>
        <w:ind w:firstLine="480"/>
        <w:rPr>
          <w:u w:val="single"/>
        </w:rPr>
      </w:pPr>
      <w:r>
        <w:rPr>
          <w:rFonts w:hint="eastAsia"/>
          <w:u w:val="single"/>
        </w:rPr>
        <w:t>7、敏感点预测结果</w:t>
      </w:r>
    </w:p>
    <w:p>
      <w:pPr>
        <w:ind w:firstLine="480"/>
        <w:rPr>
          <w:u w:val="single"/>
          <w:vertAlign w:val="subscript"/>
        </w:rPr>
      </w:pPr>
      <w:r>
        <w:rPr>
          <w:rFonts w:hint="eastAsia"/>
          <w:u w:val="single"/>
        </w:rPr>
        <w:t>（1）SO</w:t>
      </w:r>
      <w:r>
        <w:rPr>
          <w:u w:val="single"/>
          <w:vertAlign w:val="subscript"/>
        </w:rPr>
        <w:t>2</w:t>
      </w:r>
    </w:p>
    <w:p>
      <w:pPr>
        <w:ind w:firstLine="480"/>
        <w:rPr>
          <w:u w:val="single"/>
        </w:rPr>
      </w:pPr>
      <w:r>
        <w:rPr>
          <w:rFonts w:hint="eastAsia"/>
          <w:u w:val="single"/>
        </w:rPr>
        <w:t>根据预测结果可知，项目所有敏感点1h浓度贡献值均能达标，百分位日均浓度预测值及年均浓度预测值均能达标，具体预测结果如下：</w:t>
      </w:r>
    </w:p>
    <w:p>
      <w:pPr>
        <w:ind w:firstLine="0" w:firstLineChars="0"/>
        <w:jc w:val="center"/>
        <w:rPr>
          <w:u w:val="single"/>
        </w:rPr>
      </w:pPr>
      <w:r>
        <w:rPr>
          <w:rFonts w:hint="eastAsia"/>
          <w:u w:val="single"/>
        </w:rPr>
        <w:t>表5</w:t>
      </w:r>
      <w:r>
        <w:rPr>
          <w:u w:val="single"/>
        </w:rPr>
        <w:t>.2</w:t>
      </w:r>
      <w:r>
        <w:rPr>
          <w:rFonts w:hint="eastAsia"/>
          <w:u w:val="single"/>
        </w:rPr>
        <w:t>-</w:t>
      </w:r>
      <w:r>
        <w:rPr>
          <w:u w:val="single"/>
        </w:rPr>
        <w:t xml:space="preserve">15  </w:t>
      </w:r>
      <w:r>
        <w:rPr>
          <w:rFonts w:hint="eastAsia"/>
          <w:u w:val="single"/>
        </w:rPr>
        <w:t>敏感点SO</w:t>
      </w:r>
      <w:r>
        <w:rPr>
          <w:u w:val="single"/>
          <w:vertAlign w:val="subscript"/>
        </w:rPr>
        <w:t>2</w:t>
      </w:r>
      <w:r>
        <w:rPr>
          <w:rFonts w:hint="eastAsia"/>
          <w:u w:val="single"/>
        </w:rPr>
        <w:t>预测结果表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05"/>
        <w:gridCol w:w="751"/>
        <w:gridCol w:w="1100"/>
        <w:gridCol w:w="998"/>
        <w:gridCol w:w="1492"/>
        <w:gridCol w:w="998"/>
        <w:gridCol w:w="998"/>
        <w:gridCol w:w="1682"/>
        <w:gridCol w:w="998"/>
        <w:gridCol w:w="1984"/>
        <w:gridCol w:w="998"/>
        <w:gridCol w:w="958"/>
        <w:gridCol w:w="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序号</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点名称</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点坐标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地面高程</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山体高度尺度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浓度类型</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浓度增量</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出现时间</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(YYMMDDHH)</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背景浓度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叠加背景后的浓度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评价标准</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占标率%</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是否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方坳</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3,439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113.24</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29.45</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29.45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5.89</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3.10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26.10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17.40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0.42</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15.70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南塘</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-188,-97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17.14</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20122310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17.14</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3.43</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2.29</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25.29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16.86</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0.55</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9.55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15.92</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宝划堂</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-123,850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23.18</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20081720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4.64</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2.35</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25.35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16.90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0.24</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9.24</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15.40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白象村</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2354,15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121.14</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16.41</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20032509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16.41</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3.28</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24.38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16.25</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0.13</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15.22</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荷雅堂</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1946,-140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132.89</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19.22</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20032509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19.22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3.84</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1.62</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24.62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16.41</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0.21</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9.21</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15.36</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高阳村</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-1,011,655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20.48</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20081903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20.48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4.10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2.94</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25.94</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17.29</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0.26</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15.43</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太清村</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8,051,327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100.64</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39.42</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20061720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39.42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7.88</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10.45</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33.45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22.30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10.34</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17.24</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高桥村</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3,921,948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25.79</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20061503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25.79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5.16</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6.46</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29.46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19.64</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0.54</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9.54</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15.89</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高湾村</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3,242,459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106.86</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20.33</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20052007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20.33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4.07</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4.91</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27.91</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18.61</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0.43</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15.71</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富家塘</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-7,441,157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19.76</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20081720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19.76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3.95</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24.50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16.33</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0.13</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15.21</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畔塘</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-1,212,876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85.68</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13.58</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20082307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2.72</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24.13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16.09</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15.17</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纱帽山</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-637,791</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110.38</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19.82</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19.82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3.96</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24.70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16.47</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0.15</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15.26</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童知</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-260,879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97.14</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21.18</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20081720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21.18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4.24</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2.03</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16.69</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15.34</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裁冲</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1,512,509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21.50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20082412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21.50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4.30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5.49</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200726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28.49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19.00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0.53</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9.53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15.88</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老槽门</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1,718,638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17.37</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20071913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17.37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3.47</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4.81</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200726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27.81</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18.54</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15.66</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上如堂</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2,312,479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101.57</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18.01</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20071507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18.01</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1.77</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24.77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16.52</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0.16</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15.26</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芳玉堂</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1729,52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104.48</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19.31</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20082518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19.31</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3.86</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1.84</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24.84</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16.56</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0.28</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15.47</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众拱村</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1235,-381</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41.62</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20082718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41.62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8.32</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13.53</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200917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36.53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24.35</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2.77</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11.77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19.62</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唐福村</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-243,-1043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18.86</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20021808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3.77</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6.17</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29.17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19.45</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1.08</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16.79</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慈荫堂</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-869,-569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88.08</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18.37</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20122310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18.37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3.67</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2.09</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16.73</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0.29</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15.48</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曾老屋</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-996,-1712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15.10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20021208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15.10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3.02</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2.98</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25.98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17.32</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0.52</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9.52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15.87</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陈家堰</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858,-1009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91.94</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24.88</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20062319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24.88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4.98</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14.99</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201203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37.99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25.32</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21.50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横木塘</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731,-1348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97.46</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20.90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20083022</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20.90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4.18</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12.44</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35.44</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23.62</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12.20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20.34</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曹家塘</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231,-1797</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94.96</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18.90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20021708</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18.90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3.78</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7.30</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30.30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20.20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2.04</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11.04</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18.40</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w:t>
            </w:r>
          </w:p>
        </w:tc>
        <w:tc>
          <w:tcPr>
            <w:tcW w:w="26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高碧塘</w:t>
            </w:r>
          </w:p>
        </w:tc>
        <w:tc>
          <w:tcPr>
            <w:tcW w:w="39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-395,-239</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53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19.26</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20122310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19.26</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3.85</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2.13</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25.13</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16.76</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6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3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0.44</w:t>
            </w:r>
          </w:p>
        </w:tc>
        <w:tc>
          <w:tcPr>
            <w:tcW w:w="60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71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9.44</w:t>
            </w:r>
          </w:p>
        </w:tc>
        <w:tc>
          <w:tcPr>
            <w:tcW w:w="35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34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15.74</w:t>
            </w:r>
          </w:p>
        </w:tc>
        <w:tc>
          <w:tcPr>
            <w:tcW w:w="18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bl>
    <w:p>
      <w:pPr>
        <w:ind w:firstLine="480"/>
        <w:rPr>
          <w:u w:val="single"/>
          <w:vertAlign w:val="subscript"/>
        </w:rPr>
      </w:pPr>
      <w:r>
        <w:rPr>
          <w:rFonts w:hint="eastAsia"/>
          <w:u w:val="single"/>
        </w:rPr>
        <w:t>（2）NO</w:t>
      </w:r>
      <w:r>
        <w:rPr>
          <w:rFonts w:hint="eastAsia"/>
          <w:u w:val="single"/>
          <w:vertAlign w:val="subscript"/>
        </w:rPr>
        <w:t>x</w:t>
      </w:r>
    </w:p>
    <w:p>
      <w:pPr>
        <w:ind w:firstLine="480"/>
        <w:rPr>
          <w:u w:val="single"/>
        </w:rPr>
      </w:pPr>
      <w:r>
        <w:rPr>
          <w:rFonts w:hint="eastAsia"/>
          <w:u w:val="single"/>
        </w:rPr>
        <w:t>根据预测结果可知，所有敏感点NO</w:t>
      </w:r>
      <w:r>
        <w:rPr>
          <w:rFonts w:hint="eastAsia"/>
          <w:u w:val="single"/>
          <w:vertAlign w:val="subscript"/>
        </w:rPr>
        <w:t>x</w:t>
      </w:r>
      <w:r>
        <w:rPr>
          <w:rFonts w:hint="eastAsia"/>
          <w:u w:val="single"/>
        </w:rPr>
        <w:t>预测结果均能达标，具体如下：</w:t>
      </w:r>
    </w:p>
    <w:p>
      <w:pPr>
        <w:ind w:firstLine="0" w:firstLineChars="0"/>
        <w:jc w:val="center"/>
        <w:rPr>
          <w:u w:val="single"/>
        </w:rPr>
      </w:pPr>
      <w:r>
        <w:rPr>
          <w:rFonts w:hint="eastAsia"/>
          <w:u w:val="single"/>
        </w:rPr>
        <w:t>表5</w:t>
      </w:r>
      <w:r>
        <w:rPr>
          <w:u w:val="single"/>
        </w:rPr>
        <w:t>.2</w:t>
      </w:r>
      <w:r>
        <w:rPr>
          <w:rFonts w:hint="eastAsia"/>
          <w:u w:val="single"/>
        </w:rPr>
        <w:t>-</w:t>
      </w:r>
      <w:r>
        <w:rPr>
          <w:u w:val="single"/>
        </w:rPr>
        <w:t xml:space="preserve">16  </w:t>
      </w:r>
      <w:r>
        <w:rPr>
          <w:rFonts w:hint="eastAsia"/>
          <w:u w:val="single"/>
        </w:rPr>
        <w:t>NO</w:t>
      </w:r>
      <w:r>
        <w:rPr>
          <w:rFonts w:hint="eastAsia"/>
          <w:u w:val="single"/>
          <w:vertAlign w:val="subscript"/>
        </w:rPr>
        <w:t>x</w:t>
      </w:r>
      <w:r>
        <w:rPr>
          <w:rFonts w:hint="eastAsia"/>
          <w:u w:val="single"/>
        </w:rPr>
        <w:t>敏感点预测结果表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1"/>
        <w:gridCol w:w="842"/>
        <w:gridCol w:w="1125"/>
        <w:gridCol w:w="1040"/>
        <w:gridCol w:w="1443"/>
        <w:gridCol w:w="1040"/>
        <w:gridCol w:w="1040"/>
        <w:gridCol w:w="1596"/>
        <w:gridCol w:w="1040"/>
        <w:gridCol w:w="1843"/>
        <w:gridCol w:w="1040"/>
        <w:gridCol w:w="842"/>
        <w:gridCol w:w="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序号</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点名称</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点坐标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地面高程</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山体高度尺度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浓度类型</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浓度增量</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出现时间</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(YYMMDDHH)</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背景浓度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叠加背景后的浓度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评价标准</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占标率</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是否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方坳</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113.24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84.21958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84.21958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33.69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9.69693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57.69693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57.70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1.55748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19.55748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39.11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南塘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-188,-97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53.87523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20111903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53.87523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21.55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9.98107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57.98107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57.98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2.07704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20.07704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40.15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宝划堂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-123,850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86.11284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86.11284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34.45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8.48244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56.48244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56.48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0.78792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18.78792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37.58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白象村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2354,15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121.14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53.56961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20032509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53.56961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21.43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3.91011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51.91011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51.91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0.39549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18.39549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36.79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荷雅堂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1946,-140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132.89</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61.91934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20032509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61.91934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24.77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5.47283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53.47283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53.47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0.67055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18.67055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37.34</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高阳村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-1,011,655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69.71742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20081903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69.71742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27.89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9.21494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57.21494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57.21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0.84028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18.84028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37.68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太清村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8,051,327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100.64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123.9837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20081819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123.9837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49.59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35.64454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83.64454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83.64</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4.61598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22.61598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45.23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高桥村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3,921,948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84.31608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20061503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84.31608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33.73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21.25703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69.25703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69.26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1.80534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19.80534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39.61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高湾村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3,242,459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106.86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64.8807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64.8807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25.95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16.00116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64.00116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1.4068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19.4068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38.81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富家塘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-7,441,157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60.89127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60.89127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24.36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4.31872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52.31872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52.32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0.40394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18.40394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36.81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畔塘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-1,212,876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85.68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44.26284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44.26284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17.71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3.7918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51.7918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51.79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0.33082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18.33082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36.66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纱帽山</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-637,791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110.38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74.91424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74.91424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29.97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5.80636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53.80636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53.81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0.50937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18.50937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37.02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童知</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-260,879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74.72301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74.72301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29.89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7.23544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55.23544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55.24</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0.66172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18.66172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37.32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裁冲</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1,512,509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72.96903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20080915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72.96903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29.19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13.72049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61.72049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61.72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1.28117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19.28117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38.56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老槽门</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1,718,638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60.56855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20072511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60.56855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24.23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12.68391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200726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60.68391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60.68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1.00909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19.00909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38.02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上如堂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2,312,479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101.57</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54.6219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54.6219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21.85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4.99379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52.99379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52.99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0.43489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18.43489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36.87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芳玉堂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1729,52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104.48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65.14557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65.14557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26.06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6.52912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54.52912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54.53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0.86834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18.86834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37.74</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众拱村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1235,-381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118.1985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20082718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118.1985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47.28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37.93485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200917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85.93485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85.93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7.89684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25.89684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51.79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唐福村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-243,-1043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57.65405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20021808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57.65405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23.06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20.93196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68.93196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68.93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3.75583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21.75583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43.51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慈荫堂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-869,-569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88.08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55.05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55.05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22.02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6.7051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54.7051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54.71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1.01625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19.01625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38.03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曾老屋</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-996,-1712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47.0137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20021208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47.0137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10.15992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58.15992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58.16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1.75844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19.75844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39.52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陈家堰</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858,-1009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91.94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72.03675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20062321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72.03675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28.81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41.33103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89.33103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89.33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10.89784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28.89784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57.80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横木塘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731,-1348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97.46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63.72722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20092508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63.72722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25.49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35.70874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83.70874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83.71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9.22619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27.22619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54.45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曹家塘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231,-1797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94.96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59.90866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20021708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59.90866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23.96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22.60485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70.60485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70.60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6.28232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24.28232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48.56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高碧塘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-395,-239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57.93087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57.93087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7.73425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55.73425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55.73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1.62669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19.62669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39.25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bl>
    <w:p>
      <w:pPr>
        <w:ind w:firstLine="480"/>
        <w:rPr>
          <w:u w:val="single"/>
        </w:rPr>
      </w:pPr>
      <w:r>
        <w:rPr>
          <w:rFonts w:hint="eastAsia"/>
          <w:u w:val="single"/>
        </w:rPr>
        <w:t>（3）PM</w:t>
      </w:r>
      <w:r>
        <w:rPr>
          <w:u w:val="single"/>
          <w:vertAlign w:val="subscript"/>
        </w:rPr>
        <w:t>10</w:t>
      </w:r>
    </w:p>
    <w:p>
      <w:pPr>
        <w:ind w:firstLine="480"/>
        <w:rPr>
          <w:u w:val="single"/>
        </w:rPr>
      </w:pPr>
      <w:r>
        <w:rPr>
          <w:rFonts w:hint="eastAsia"/>
          <w:u w:val="single"/>
        </w:rPr>
        <w:t>根据预测结果可知，所有敏感点PM</w:t>
      </w:r>
      <w:r>
        <w:rPr>
          <w:u w:val="single"/>
          <w:vertAlign w:val="subscript"/>
        </w:rPr>
        <w:t>10</w:t>
      </w:r>
      <w:r>
        <w:rPr>
          <w:rFonts w:hint="eastAsia"/>
          <w:u w:val="single"/>
        </w:rPr>
        <w:t>预测结果均能达标，具体如下：</w:t>
      </w:r>
    </w:p>
    <w:p>
      <w:pPr>
        <w:ind w:firstLine="0" w:firstLineChars="0"/>
        <w:jc w:val="center"/>
        <w:rPr>
          <w:u w:val="single"/>
        </w:rPr>
      </w:pPr>
      <w:r>
        <w:rPr>
          <w:rFonts w:hint="eastAsia"/>
          <w:u w:val="single"/>
        </w:rPr>
        <w:t>表5</w:t>
      </w:r>
      <w:r>
        <w:rPr>
          <w:u w:val="single"/>
        </w:rPr>
        <w:t>.2</w:t>
      </w:r>
      <w:r>
        <w:rPr>
          <w:rFonts w:hint="eastAsia"/>
          <w:u w:val="single"/>
        </w:rPr>
        <w:t>-</w:t>
      </w:r>
      <w:r>
        <w:rPr>
          <w:u w:val="single"/>
        </w:rPr>
        <w:t xml:space="preserve">17  </w:t>
      </w:r>
      <w:r>
        <w:rPr>
          <w:rFonts w:hint="eastAsia"/>
          <w:u w:val="single"/>
        </w:rPr>
        <w:t>敏感点PM</w:t>
      </w:r>
      <w:r>
        <w:rPr>
          <w:u w:val="single"/>
          <w:vertAlign w:val="subscript"/>
        </w:rPr>
        <w:t>10</w:t>
      </w:r>
      <w:r>
        <w:rPr>
          <w:rFonts w:hint="eastAsia"/>
          <w:u w:val="single"/>
        </w:rPr>
        <w:t>预测结果表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1"/>
        <w:gridCol w:w="842"/>
        <w:gridCol w:w="1125"/>
        <w:gridCol w:w="1040"/>
        <w:gridCol w:w="1443"/>
        <w:gridCol w:w="1040"/>
        <w:gridCol w:w="1040"/>
        <w:gridCol w:w="1596"/>
        <w:gridCol w:w="1040"/>
        <w:gridCol w:w="1843"/>
        <w:gridCol w:w="1040"/>
        <w:gridCol w:w="842"/>
        <w:gridCol w:w="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序号</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点名称</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点坐标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地面高程</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山体高度尺度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浓度类型</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浓度增量</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出现时间</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(YYMMDDHH)</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背景浓度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叠加背景后的浓度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评价标准</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占标率</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是否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方坳</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113.24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43.53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20021305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43.53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9.67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92.13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60.49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86.41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南塘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-188,-97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32.76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20021205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32.76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139.79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93.19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60.54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86.48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宝划堂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-123,850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33.06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20050320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7.35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200401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137.21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91.47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60.37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86.25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白象村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2354,15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121.14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53.13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20013024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53.13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11.81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136.44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90.96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60.27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86.10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荷雅堂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1946,-140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132.89</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33.72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20081806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33.72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201102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137.06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91.37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60.52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86.46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高阳村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-1,011,655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21.88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20070421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21.88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136.70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91.13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86.20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太清村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8,051,327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100.64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37.65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20031801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37.65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8.37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141.08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94.05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61.23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87.48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高桥村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3,921,948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22.13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20060822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22.13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4.92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138.24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92.16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60.53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86.48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高湾村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3,242,459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106.86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18.94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20060822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18.94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137.24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91.49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60.43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86.33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富家塘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-7,441,157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21.02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20050320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135.99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90.66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畔塘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-1,212,876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85.68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16.78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20021305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16.78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135.25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90.16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85.93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纱帽山</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-637,791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110.38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27.80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20021305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27.80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136.47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90.98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60.25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86.07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童知</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-260,879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27.78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20050320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27.78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200401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136.70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91.13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60.31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86.16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裁冲</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1,512,509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92.71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20090823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92.71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20.60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9.36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200517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143.36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95.58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61.35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87.64</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老槽门</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1,718,638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20041222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200722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140.36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93.57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0.92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60.92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87.03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上如堂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2,312,479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101.57</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34.61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20051703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34.61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7.69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4.18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200517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92.12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60.31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86.16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芳玉堂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1729,52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104.48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39.48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20042503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8.77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201115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138.88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92.58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61.43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87.76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众拱村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1235,-381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51.59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20030601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51.59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11.46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11.82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201102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145.82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97.21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63.78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91.11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唐福村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-243,-1043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25.23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20040706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25.23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5.61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137.56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91.71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87.17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慈荫堂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-869,-569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88.08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19.57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20022501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19.57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4.35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137.30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91.53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60.33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86.18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曾老屋</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-996,-1712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13.33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20040706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13.33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136.51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60.50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86.42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陈家堰</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858,-1009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91.94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31.82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20031421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31.82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11.61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145.61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4.11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64.11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91.58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横木塘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731,-1348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97.46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26.65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20031421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26.65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5.92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143.15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95.43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3.19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90.27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曹家塘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231,-1797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94.96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19.41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20031521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19.41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4.31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4.95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138.95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92.63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61.88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88.41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高碧塘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-395,-239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33.57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20052721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33.57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139.43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92.95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60.50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86.42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bl>
    <w:p>
      <w:pPr>
        <w:ind w:firstLine="0" w:firstLineChars="0"/>
        <w:rPr>
          <w:u w:val="single"/>
        </w:rPr>
      </w:pPr>
    </w:p>
    <w:p>
      <w:pPr>
        <w:ind w:firstLine="480"/>
        <w:rPr>
          <w:u w:val="single"/>
        </w:rPr>
      </w:pPr>
      <w:r>
        <w:rPr>
          <w:rFonts w:hint="eastAsia"/>
          <w:u w:val="single"/>
        </w:rPr>
        <w:t>（4）TSP</w:t>
      </w:r>
    </w:p>
    <w:p>
      <w:pPr>
        <w:ind w:firstLine="480"/>
        <w:rPr>
          <w:u w:val="single"/>
        </w:rPr>
      </w:pPr>
      <w:r>
        <w:rPr>
          <w:rFonts w:hint="eastAsia"/>
          <w:u w:val="single"/>
        </w:rPr>
        <w:t>根据预测结果可知，所有敏感点TSP预测结果均能达标，具体如下：</w:t>
      </w:r>
    </w:p>
    <w:p>
      <w:pPr>
        <w:ind w:firstLine="0" w:firstLineChars="0"/>
        <w:jc w:val="center"/>
        <w:rPr>
          <w:u w:val="single"/>
        </w:rPr>
      </w:pPr>
      <w:r>
        <w:rPr>
          <w:rFonts w:hint="eastAsia"/>
          <w:u w:val="single"/>
        </w:rPr>
        <w:t>表5</w:t>
      </w:r>
      <w:r>
        <w:rPr>
          <w:u w:val="single"/>
        </w:rPr>
        <w:t>.2</w:t>
      </w:r>
      <w:r>
        <w:rPr>
          <w:rFonts w:hint="eastAsia"/>
          <w:u w:val="single"/>
        </w:rPr>
        <w:t>-</w:t>
      </w:r>
      <w:r>
        <w:rPr>
          <w:u w:val="single"/>
        </w:rPr>
        <w:t xml:space="preserve">18  </w:t>
      </w:r>
      <w:r>
        <w:rPr>
          <w:rFonts w:hint="eastAsia"/>
          <w:u w:val="single"/>
        </w:rPr>
        <w:t>敏感点TSP预测结果表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1"/>
        <w:gridCol w:w="842"/>
        <w:gridCol w:w="1125"/>
        <w:gridCol w:w="1040"/>
        <w:gridCol w:w="1443"/>
        <w:gridCol w:w="1040"/>
        <w:gridCol w:w="1040"/>
        <w:gridCol w:w="1596"/>
        <w:gridCol w:w="1040"/>
        <w:gridCol w:w="1843"/>
        <w:gridCol w:w="1040"/>
        <w:gridCol w:w="842"/>
        <w:gridCol w:w="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序号</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点名称</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点坐标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地面高程</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山体高度尺度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浓度类型</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浓度增量</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出现时间</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(YYMMDDHH)</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背景浓度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叠加背景后的浓度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评价标准</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占标率</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是否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方坳</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113.24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113.53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20021402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113.53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12.61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145.45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48.48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南塘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-188,-97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89.29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20021807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89.29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5.88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200225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140.88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46.96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宝划堂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-123,850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78.21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20020204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78.21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5.29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140.29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46.76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白象村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2354,15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121.14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93.40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20011906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93.40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10.38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4.73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139.73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46.58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荷雅堂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1946,-140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132.89</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173.25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20041401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173.25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19.25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143.69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47.90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高阳村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-1,011,655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61.45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20050402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61.45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6.83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138.62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46.21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太清村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8,051,327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100.64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94.18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20021202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145.19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48.40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高桥村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3,921,948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83.90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20021202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83.90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9.32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6.56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141.56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47.19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高湾村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3,242,459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106.86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67.68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20021002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67.68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5.56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140.56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46.85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富家塘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-7,441,157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73.17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20020204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73.17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8.13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46.02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畔塘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-1,212,876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85.68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42.78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20021118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42.78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4.75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2.87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137.87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45.96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纱帽山</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-637,791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110.38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61.84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20021118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61.84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6.87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139.64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46.55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童知</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-260,879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71.68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20020204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71.68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7.96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139.65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46.55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裁冲</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1,512,509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72.57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72.57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8.06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14.91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200517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149.91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49.97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0.90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老槽门</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1,718,638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147.38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20090823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147.38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16.38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11.68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200517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146.68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48.89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上如堂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2,312,479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101.57</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103.58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20090824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103.58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11.51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200728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140.14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46.71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芳玉堂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1729,52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104.48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99.66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20053024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99.66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145.13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48.38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0.87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众拱村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1235,-381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100.27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20072424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100.27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11.14</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17.81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200427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152.81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50.94</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唐福村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-243,-1043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61.87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20081924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61.87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6.87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139.23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46.41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慈荫堂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-869,-569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88.08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60.26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20021807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60.26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6.70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200225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138.60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46.20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0.15</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曾老屋</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-996,-1712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44.90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20032103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44.90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4.99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2.89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137.89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45.96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陈家堰</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858,-1009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91.94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85.10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20121021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144.80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48.27</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横木塘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731,-1348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97.46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76.44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20121021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76.44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8.49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8.48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143.48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47.83</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曹家塘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231,-1797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94.96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61.14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20122322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61.14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6.79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6.87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141.87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47.29</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高碧塘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-395,-239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87.81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20021807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87.81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9.76</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200225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140.75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46.92</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0.28</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bl>
    <w:p>
      <w:pPr>
        <w:ind w:firstLine="0" w:firstLineChars="0"/>
        <w:jc w:val="center"/>
        <w:rPr>
          <w:b/>
          <w:bCs/>
          <w:u w:val="single"/>
        </w:rPr>
      </w:pPr>
    </w:p>
    <w:p>
      <w:pPr>
        <w:ind w:firstLine="480"/>
        <w:rPr>
          <w:u w:val="single"/>
        </w:rPr>
      </w:pPr>
      <w:r>
        <w:rPr>
          <w:rFonts w:hint="eastAsia"/>
          <w:u w:val="single"/>
        </w:rPr>
        <w:t>（5）氟化物</w:t>
      </w:r>
    </w:p>
    <w:p>
      <w:pPr>
        <w:ind w:firstLine="480"/>
        <w:rPr>
          <w:u w:val="single"/>
        </w:rPr>
      </w:pPr>
      <w:r>
        <w:rPr>
          <w:rFonts w:hint="eastAsia"/>
          <w:u w:val="single"/>
        </w:rPr>
        <w:t>根据预测结果图可知，所有敏感点氟化物预测结果均能达标，具体如下：</w:t>
      </w:r>
    </w:p>
    <w:p>
      <w:pPr>
        <w:ind w:firstLine="0" w:firstLineChars="0"/>
        <w:jc w:val="center"/>
        <w:rPr>
          <w:u w:val="single"/>
        </w:rPr>
      </w:pPr>
      <w:r>
        <w:rPr>
          <w:rFonts w:hint="eastAsia"/>
          <w:u w:val="single"/>
        </w:rPr>
        <w:t>表5</w:t>
      </w:r>
      <w:r>
        <w:rPr>
          <w:u w:val="single"/>
        </w:rPr>
        <w:t>.2</w:t>
      </w:r>
      <w:r>
        <w:rPr>
          <w:rFonts w:hint="eastAsia"/>
          <w:u w:val="single"/>
        </w:rPr>
        <w:t>-</w:t>
      </w:r>
      <w:r>
        <w:rPr>
          <w:u w:val="single"/>
        </w:rPr>
        <w:t xml:space="preserve">19  </w:t>
      </w:r>
      <w:r>
        <w:rPr>
          <w:rFonts w:hint="eastAsia"/>
          <w:u w:val="single"/>
        </w:rPr>
        <w:t>各敏感点氟化物预测结果表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8"/>
        <w:gridCol w:w="958"/>
        <w:gridCol w:w="1278"/>
        <w:gridCol w:w="1006"/>
        <w:gridCol w:w="1392"/>
        <w:gridCol w:w="1006"/>
        <w:gridCol w:w="1006"/>
        <w:gridCol w:w="1542"/>
        <w:gridCol w:w="1006"/>
        <w:gridCol w:w="1780"/>
        <w:gridCol w:w="1007"/>
        <w:gridCol w:w="959"/>
        <w:gridCol w:w="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序号</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点名称</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点坐标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地面高程</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山体高度尺度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浓度类型</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浓度增量</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出现时间</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(YYMMDDHH)</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背景浓度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叠加背景后的浓度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评价标准</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占标率</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是否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方坳</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3,439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113.24</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0.86049</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0.86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4.30245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0.10653</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6.379</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0.01903</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南塘</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-188,-97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0.70517</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20111903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3.52585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0.13225</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6.746429</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0.0257</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宝划堂</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-123,850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1.12981</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5.64905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0.10215</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0.44</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6.316429</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0.00898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白象村</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2354,15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121.14</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0.6062</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20032509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3.031</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0.03965</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5.423571</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0.00419</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荷雅堂</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1946,-140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132.89</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0.69465</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20032509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3.47325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0.06339</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5.762714</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0.00735</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高阳村</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-1,011,655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0.81069</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20081903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0.81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4.05345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0.10551</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6.364429</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0.00948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太清村</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8,051,327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100.64</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1.3982</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20081819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6.991</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0.41497</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10.78529</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0.05401</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高桥村</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3,921,948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0.9545</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20061503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0.95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4.7725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0.2419</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8.312857</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0.02088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高湾村</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3,242,459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106.86</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0.73876</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20080521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0.74</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3.6938</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0.18088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7.441143</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0.016</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富家塘</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-7,441,157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0.66112</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20081720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3.3056</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0.04819</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5.545571</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0.00449</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畔塘</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-1,212,876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85.68</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0.5348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2.674</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0.04366</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5.480857</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0.00373</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纱帽山</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-637,791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110.38</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0.92579</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0.93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4.62895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0.06768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5.824</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0.00582</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童知</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-260,879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97.14</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0.97306</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0.97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4.8653</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0.08648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6.092571</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0.00751</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裁冲</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1,512,509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0.85827</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20080915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0.86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4.29135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0.12937</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6.705286</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0.01122</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老槽门</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1,718,638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0.72205</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20072511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3.61025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0.12234</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6.604857</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0.00927</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上如堂</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2,312,479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101.57</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0.58624</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20071507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2.9312</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0.05197</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5.599571</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0.00436</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芳玉堂</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1729,52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104.48</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0.75284</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20082518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3.7642</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0.07788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5.969714</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0.00941</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众拱村</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1235,-381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1.20404</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20082718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6.0202</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0.38202</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200917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10.31457</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0.08062</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唐福村</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-243,-1043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0.66158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20062223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3.3079</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0.24287</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8.326714</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0.0444</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慈荫堂</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-869,-569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88.08</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0.58525</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20122310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2.92625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0.07503</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5.929</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0.01206</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曾老屋</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-996,-1712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0.5145</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20021208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2.5725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0.11829</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6.547</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0.02037</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陈家堰</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858,-1009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91.94</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0.75915</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20062321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3.79575</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0.40959</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201203</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10.70843</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0.10944</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横木塘</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731,-1348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97.46</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0.68678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20092508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3.4339</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0.36666</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0.71</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10.09514</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0.09508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曹家塘</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231,-1797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94.96</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0.66452</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20021708</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3.3226</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0.25125</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200110</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8.446429</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0.06818</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0.07</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高碧塘</w:t>
            </w:r>
          </w:p>
        </w:tc>
        <w:tc>
          <w:tcPr>
            <w:tcW w:w="45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-395,-239</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49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0.64326</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20022824</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0.64</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3.2163</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0.10146</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0.34</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0.44</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6.306571</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338"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5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91"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0.01982</w:t>
            </w:r>
          </w:p>
        </w:tc>
        <w:tc>
          <w:tcPr>
            <w:tcW w:w="54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2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0.02</w:t>
            </w:r>
          </w:p>
        </w:tc>
        <w:tc>
          <w:tcPr>
            <w:tcW w:w="35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338"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1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bl>
    <w:p>
      <w:pPr>
        <w:ind w:firstLine="480"/>
        <w:rPr>
          <w:u w:val="single"/>
        </w:rPr>
      </w:pPr>
      <w:r>
        <w:rPr>
          <w:rFonts w:hint="eastAsia"/>
          <w:u w:val="single"/>
        </w:rPr>
        <w:t>（6）VOCs</w:t>
      </w:r>
    </w:p>
    <w:p>
      <w:pPr>
        <w:ind w:firstLine="480"/>
        <w:rPr>
          <w:u w:val="single"/>
        </w:rPr>
      </w:pPr>
      <w:r>
        <w:rPr>
          <w:rFonts w:hint="eastAsia"/>
          <w:u w:val="single"/>
        </w:rPr>
        <w:t>根据预测结果可知，所有敏感点VOCs均能达标，具体如下：</w:t>
      </w:r>
    </w:p>
    <w:p>
      <w:pPr>
        <w:ind w:firstLine="480"/>
        <w:rPr>
          <w:u w:val="single"/>
        </w:rPr>
      </w:pPr>
    </w:p>
    <w:p>
      <w:pPr>
        <w:ind w:firstLine="480"/>
        <w:rPr>
          <w:u w:val="single"/>
        </w:rPr>
      </w:pPr>
    </w:p>
    <w:p>
      <w:pPr>
        <w:ind w:firstLine="0" w:firstLineChars="0"/>
        <w:jc w:val="center"/>
        <w:rPr>
          <w:u w:val="single"/>
        </w:rPr>
      </w:pPr>
      <w:r>
        <w:rPr>
          <w:rFonts w:hint="eastAsia"/>
          <w:u w:val="single"/>
        </w:rPr>
        <w:t>表5</w:t>
      </w:r>
      <w:r>
        <w:rPr>
          <w:u w:val="single"/>
        </w:rPr>
        <w:t>.2</w:t>
      </w:r>
      <w:r>
        <w:rPr>
          <w:rFonts w:hint="eastAsia"/>
          <w:u w:val="single"/>
        </w:rPr>
        <w:t>-</w:t>
      </w:r>
      <w:r>
        <w:rPr>
          <w:u w:val="single"/>
        </w:rPr>
        <w:t xml:space="preserve">20  </w:t>
      </w:r>
      <w:r>
        <w:rPr>
          <w:rFonts w:hint="eastAsia"/>
          <w:u w:val="single"/>
        </w:rPr>
        <w:t>各敏感点VOCs预测结果表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1"/>
        <w:gridCol w:w="842"/>
        <w:gridCol w:w="1125"/>
        <w:gridCol w:w="1040"/>
        <w:gridCol w:w="1443"/>
        <w:gridCol w:w="1040"/>
        <w:gridCol w:w="1040"/>
        <w:gridCol w:w="1596"/>
        <w:gridCol w:w="1040"/>
        <w:gridCol w:w="1843"/>
        <w:gridCol w:w="1040"/>
        <w:gridCol w:w="842"/>
        <w:gridCol w:w="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序号</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点名称</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点坐标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地面高程</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山体高度尺度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浓度类型</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浓度增量</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出现时间</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(YYMMDDHH)</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背景浓度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叠加背景后的浓度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评价标准</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占标率</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是否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方坳</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113.24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南塘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-188,-97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宝划堂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-123,850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20081219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白象村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2354,15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121.14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20040301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荷雅堂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1946,-140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132.89</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20032509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高阳村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-1,011,655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20052007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太清村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8,051,327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100.64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0.075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20080802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0.075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高桥村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3,921,948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20052007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高湾村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3,242,459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106.86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20052007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富家塘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-7,441,157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20081219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畔塘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-1,212,876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85.68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0.031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20010717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0.031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纱帽山</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-637,791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110.38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20081219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童知</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-260,879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20081219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裁冲</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1,512,509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0.111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20080101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0.111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0.027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264.027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老槽门</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1,718,638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0.105</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20080101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0.020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上如堂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2,312,479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101.57</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20080919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芳玉堂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1729,52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104.48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20060416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众拱村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1235,-381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0.127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20082718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0.127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0.037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264.037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唐福村</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-243,-1043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20082918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0.002</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慈荫堂</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-869,-569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88.08</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0.037</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0.037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曾老屋</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-996,-1712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0.036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20031907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0.036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陈家堰</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858,-1009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91.94</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20083022</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0.068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264.040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44.01</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横木塘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731,-1348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97.46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20061905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0.053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0.029</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264.029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0.008</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曹家塘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231,-1797</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94.96</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0.043</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20021708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0.016</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200103</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264.016</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高碧塘</w:t>
            </w:r>
          </w:p>
        </w:tc>
        <w:tc>
          <w:tcPr>
            <w:tcW w:w="3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-395,-239</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509"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0.040</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20122310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0.040</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0.004</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264.004</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44.00</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9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509"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563"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5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0.001</w:t>
            </w:r>
          </w:p>
        </w:tc>
        <w:tc>
          <w:tcPr>
            <w:tcW w:w="36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297"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无标准</w:t>
            </w:r>
          </w:p>
        </w:tc>
        <w:tc>
          <w:tcPr>
            <w:tcW w:w="22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未知</w:t>
            </w:r>
          </w:p>
        </w:tc>
      </w:tr>
    </w:tbl>
    <w:p>
      <w:pPr>
        <w:ind w:firstLine="480"/>
        <w:rPr>
          <w:u w:val="single"/>
        </w:rPr>
      </w:pPr>
      <w:r>
        <w:rPr>
          <w:rFonts w:hint="eastAsia"/>
          <w:u w:val="single"/>
        </w:rPr>
        <w:t>（7）二次PM</w:t>
      </w:r>
      <w:r>
        <w:rPr>
          <w:u w:val="single"/>
          <w:vertAlign w:val="subscript"/>
        </w:rPr>
        <w:t>2.5</w:t>
      </w:r>
    </w:p>
    <w:p>
      <w:pPr>
        <w:ind w:firstLine="480"/>
        <w:rPr>
          <w:u w:val="single"/>
        </w:rPr>
      </w:pPr>
      <w:r>
        <w:rPr>
          <w:rFonts w:hint="eastAsia"/>
          <w:u w:val="single"/>
        </w:rPr>
        <w:t>根据预测结果可知，所有敏感点</w:t>
      </w:r>
      <w:r>
        <w:rPr>
          <w:u w:val="single"/>
        </w:rPr>
        <w:t>PM</w:t>
      </w:r>
      <w:r>
        <w:rPr>
          <w:u w:val="single"/>
          <w:vertAlign w:val="subscript"/>
        </w:rPr>
        <w:t>2.5</w:t>
      </w:r>
      <w:r>
        <w:rPr>
          <w:rFonts w:hint="eastAsia"/>
          <w:u w:val="single"/>
        </w:rPr>
        <w:t>贡献值均能达标，叠加现状浓度后均超标，主要超标原因为现状本底浓度值超标。具体如下：</w:t>
      </w:r>
    </w:p>
    <w:p>
      <w:pPr>
        <w:ind w:firstLine="0" w:firstLineChars="0"/>
        <w:jc w:val="center"/>
        <w:rPr>
          <w:u w:val="single"/>
        </w:rPr>
      </w:pPr>
      <w:r>
        <w:rPr>
          <w:rFonts w:hint="eastAsia"/>
          <w:u w:val="single"/>
        </w:rPr>
        <w:t>表</w:t>
      </w:r>
      <w:r>
        <w:rPr>
          <w:u w:val="single"/>
        </w:rPr>
        <w:t>5.2</w:t>
      </w:r>
      <w:r>
        <w:rPr>
          <w:rFonts w:hint="eastAsia"/>
          <w:u w:val="single"/>
        </w:rPr>
        <w:t>-</w:t>
      </w:r>
      <w:r>
        <w:rPr>
          <w:u w:val="single"/>
        </w:rPr>
        <w:t xml:space="preserve">21  </w:t>
      </w:r>
      <w:r>
        <w:rPr>
          <w:rFonts w:hint="eastAsia"/>
          <w:u w:val="single"/>
        </w:rPr>
        <w:t>各敏感点PM</w:t>
      </w:r>
      <w:r>
        <w:rPr>
          <w:u w:val="single"/>
          <w:vertAlign w:val="subscript"/>
        </w:rPr>
        <w:t>2.5</w:t>
      </w:r>
      <w:r>
        <w:rPr>
          <w:rFonts w:hint="eastAsia"/>
          <w:u w:val="single"/>
        </w:rPr>
        <w:t>预测结果表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7"/>
        <w:gridCol w:w="781"/>
        <w:gridCol w:w="1049"/>
        <w:gridCol w:w="970"/>
        <w:gridCol w:w="1344"/>
        <w:gridCol w:w="970"/>
        <w:gridCol w:w="970"/>
        <w:gridCol w:w="970"/>
        <w:gridCol w:w="1488"/>
        <w:gridCol w:w="970"/>
        <w:gridCol w:w="1715"/>
        <w:gridCol w:w="970"/>
        <w:gridCol w:w="782"/>
        <w:gridCol w:w="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序号</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点名称</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点坐标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地面高程</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山体高度尺度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离地高度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(m)</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浓度类型</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浓度增量</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出现时间</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(YYMMDDHH)</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背景浓度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叠加背景后的浓度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评价标准</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(μg/m^3)</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占标率</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是否</w:t>
            </w:r>
          </w:p>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方坳</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3,439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113.24</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54.14</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54.14</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24.06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6.06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78.06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104.09</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0.93</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35.93</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南塘</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-188,-97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98.16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32.83</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20061307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32.83</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14.59</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5.72</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77.72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103.62</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36.23</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103.52</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宝划堂</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-123,850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49.58</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49.58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22.03</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5.10</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77.10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102.79</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0.49</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35.49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101.39</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白象村</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2354,15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121.14</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33.09</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20032509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33.09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14.71</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2.52</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74.52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99.36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0.25</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35.25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100.72</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荷雅堂</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1946,-140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132.89</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38.39</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20032509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38.39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17.06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3.35</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75.35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100.46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0.42</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35.42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101.20</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高阳村</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-1,011,655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42.56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20081903</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42.56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18.91</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5.73</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77.73</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103.64</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0.52</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35.52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101.49</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太清村</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8,051,327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100.64</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134</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76.66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20081819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76.66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34.07</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21.74</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93.74</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124.99</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2.81</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37.81</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108.03</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高桥村</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3,921,948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52.06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20061503</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52.06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23.14</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13.10</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85.10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113.47</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36.10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103.16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高湾村</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3,242,459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106.86</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39.96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20080521</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39.96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17.76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9.89</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81.89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109.18</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0.87</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35.87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102.48</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富家塘</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-7,441,157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97.05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38.25</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20081720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38.25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17.00</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2.77</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200520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74.77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99.69</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0.25</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35.25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100.72</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畔塘</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-1,212,876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85.68</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27.14</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20082307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27.14</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2.32</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74.32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99.10</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0.20</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35.20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100.59</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纱帽山</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-637,791</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110.38</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44.46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44.46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19.76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3.54</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75.54</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100.72</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0.31</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35.31</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100.90</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童知</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-260,879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97.14</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43.19</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20081719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43.19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19.20</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4.36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76.36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101.82</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0.41</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35.41</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101.17</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裁冲</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1,512,509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125.65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44.28</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20080915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44.28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19.68</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9.08</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81.08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108.10</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0.87</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35.87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102.48</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老槽门</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1,718,638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129.13</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36.54</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20072511</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36.54</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16.24</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8.37</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200726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80.37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107.16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0.67</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35.67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101.92</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上如堂</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2,312,479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101.57</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34.48</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20071507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34.48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15.32</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3.19</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200712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75.19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100.26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0.28</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35.28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100.80</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芳玉堂</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1729,52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104.48</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39.86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20082518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39.86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17.72</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3.94</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200905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75.94</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101.25</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0.55</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35.55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101.56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18</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众拱村</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1235,-381</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102.5</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76.15</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20082718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76.15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33.84</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24.54</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200917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96.54</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128.71</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5.08</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40.08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114.52</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19</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唐福村</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-243,-1043</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102.67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36.31</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20021808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36.31</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16.14</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12.79</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84.79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113.05</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2.28</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37.28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106.50</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慈荫堂</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-869,-569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88.08</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34.88</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20122310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34.88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15.50</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4.16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200120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76.16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101.55</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0.61</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35.61</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101.76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21</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曾老屋</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-996,-1712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82.12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29.44</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20021208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29.44</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13.09</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6.20</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78.20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104.26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1.08</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103.07</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陈家堰</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858,-1009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91.94</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45.80</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20062321</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45.80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20.35</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26.88</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201203</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98.88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131.84</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7.06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42.06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120.16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横木塘</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731,-1348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97.46</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40.16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20092508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40.16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17.85</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22.93</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94.93</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126.57</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5.92</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40.92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116.90</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24</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曹家塘</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231,-1797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94.96</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518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37.32</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20021708</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37.32</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16.59</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14.07</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200110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86.07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114.76</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3.95</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38.95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111.28</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高碧塘</w:t>
            </w:r>
          </w:p>
        </w:tc>
        <w:tc>
          <w:tcPr>
            <w:tcW w:w="370"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-395,-239</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474"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110.05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1小时</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36.66</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20122310</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36.66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225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16.29</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日平均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4.45</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200106</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72</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76.45</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75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101.94</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p>
        </w:tc>
        <w:tc>
          <w:tcPr>
            <w:tcW w:w="276"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70"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474"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kern w:val="0"/>
                <w:sz w:val="18"/>
                <w:szCs w:val="18"/>
                <w:u w:val="single"/>
              </w:rPr>
            </w:pP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年平均</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0.97</w:t>
            </w:r>
          </w:p>
        </w:tc>
        <w:tc>
          <w:tcPr>
            <w:tcW w:w="52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平均值</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605"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35.97</w:t>
            </w:r>
          </w:p>
        </w:tc>
        <w:tc>
          <w:tcPr>
            <w:tcW w:w="342"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35</w:t>
            </w:r>
          </w:p>
        </w:tc>
        <w:tc>
          <w:tcPr>
            <w:tcW w:w="276"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102.78</w:t>
            </w:r>
          </w:p>
        </w:tc>
        <w:tc>
          <w:tcPr>
            <w:tcW w:w="211" w:type="pct"/>
            <w:shd w:val="clear" w:color="auto" w:fill="auto"/>
            <w:noWrap/>
            <w:vAlign w:val="center"/>
          </w:tcPr>
          <w:p>
            <w:pPr>
              <w:widowControl/>
              <w:spacing w:line="240" w:lineRule="auto"/>
              <w:ind w:firstLine="0" w:firstLineChars="0"/>
              <w:jc w:val="center"/>
              <w:rPr>
                <w:rFonts w:cs="Times New Roman"/>
                <w:color w:val="000000"/>
                <w:kern w:val="0"/>
                <w:sz w:val="18"/>
                <w:szCs w:val="18"/>
                <w:u w:val="single"/>
              </w:rPr>
            </w:pPr>
            <w:r>
              <w:rPr>
                <w:rFonts w:cs="Times New Roman"/>
                <w:color w:val="000000"/>
                <w:kern w:val="0"/>
                <w:sz w:val="18"/>
                <w:szCs w:val="18"/>
                <w:u w:val="single"/>
              </w:rPr>
              <w:t>超标</w:t>
            </w:r>
          </w:p>
        </w:tc>
      </w:tr>
    </w:tbl>
    <w:p>
      <w:pPr>
        <w:ind w:firstLine="480"/>
        <w:rPr>
          <w:u w:val="single"/>
        </w:rPr>
      </w:pPr>
      <w:r>
        <w:rPr>
          <w:u w:val="single"/>
        </w:rPr>
        <w:t>8</w:t>
      </w:r>
      <w:r>
        <w:rPr>
          <w:rFonts w:hint="eastAsia"/>
          <w:u w:val="single"/>
        </w:rPr>
        <w:t>、网格点预测结果</w:t>
      </w:r>
    </w:p>
    <w:p>
      <w:pPr>
        <w:ind w:firstLine="480"/>
        <w:rPr>
          <w:u w:val="single"/>
        </w:rPr>
      </w:pPr>
      <w:r>
        <w:rPr>
          <w:rFonts w:hint="eastAsia"/>
          <w:u w:val="single"/>
        </w:rPr>
        <w:t>（1）SO</w:t>
      </w:r>
      <w:r>
        <w:rPr>
          <w:u w:val="single"/>
          <w:vertAlign w:val="subscript"/>
        </w:rPr>
        <w:t>2</w:t>
      </w:r>
    </w:p>
    <w:p>
      <w:pPr>
        <w:ind w:firstLine="0" w:firstLineChars="0"/>
        <w:rPr>
          <w:u w:val="single"/>
        </w:rPr>
      </w:pPr>
      <w:r>
        <w:rPr>
          <w:u w:val="single"/>
        </w:rPr>
        <w:drawing>
          <wp:inline distT="0" distB="0" distL="0" distR="0">
            <wp:extent cx="7581265" cy="3843020"/>
            <wp:effectExtent l="0" t="0" r="635"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7581265" cy="3843020"/>
                    </a:xfrm>
                    <a:prstGeom prst="rect">
                      <a:avLst/>
                    </a:prstGeom>
                    <a:noFill/>
                    <a:ln>
                      <a:noFill/>
                    </a:ln>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1  </w:t>
      </w:r>
      <w:r>
        <w:rPr>
          <w:rFonts w:hint="eastAsia"/>
          <w:u w:val="single"/>
        </w:rPr>
        <w:t>SO</w:t>
      </w:r>
      <w:r>
        <w:rPr>
          <w:u w:val="single"/>
          <w:vertAlign w:val="subscript"/>
        </w:rPr>
        <w:t>2</w:t>
      </w:r>
      <w:r>
        <w:rPr>
          <w:u w:val="single"/>
        </w:rPr>
        <w:t>1</w:t>
      </w:r>
      <w:r>
        <w:rPr>
          <w:rFonts w:hint="eastAsia"/>
          <w:u w:val="single"/>
        </w:rPr>
        <w:t>h浓度贡献值预测结果图</w:t>
      </w:r>
    </w:p>
    <w:p>
      <w:pPr>
        <w:ind w:firstLine="0" w:firstLineChars="0"/>
        <w:jc w:val="center"/>
        <w:rPr>
          <w:u w:val="single"/>
        </w:rPr>
      </w:pPr>
      <w:r>
        <w:rPr>
          <w:u w:val="single"/>
        </w:rPr>
        <w:drawing>
          <wp:inline distT="0" distB="0" distL="0" distR="0">
            <wp:extent cx="8863330" cy="4491355"/>
            <wp:effectExtent l="0" t="0" r="0"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75"/>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2  </w:t>
      </w:r>
      <w:r>
        <w:rPr>
          <w:rFonts w:hint="eastAsia"/>
          <w:u w:val="single"/>
        </w:rPr>
        <w:t>SO</w:t>
      </w:r>
      <w:r>
        <w:rPr>
          <w:u w:val="single"/>
          <w:vertAlign w:val="subscript"/>
        </w:rPr>
        <w:t>2</w:t>
      </w:r>
      <w:r>
        <w:rPr>
          <w:u w:val="single"/>
        </w:rPr>
        <w:t>24</w:t>
      </w:r>
      <w:r>
        <w:rPr>
          <w:rFonts w:hint="eastAsia"/>
          <w:u w:val="single"/>
        </w:rPr>
        <w:t>h浓度贡献值预测结果图</w:t>
      </w:r>
    </w:p>
    <w:p>
      <w:pPr>
        <w:ind w:firstLine="0" w:firstLineChars="0"/>
        <w:jc w:val="center"/>
        <w:rPr>
          <w:u w:val="single"/>
        </w:rPr>
      </w:pPr>
      <w:r>
        <w:rPr>
          <w:u w:val="single"/>
        </w:rPr>
        <w:drawing>
          <wp:inline distT="0" distB="0" distL="0" distR="0">
            <wp:extent cx="8863330" cy="4491355"/>
            <wp:effectExtent l="0" t="0" r="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76"/>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3  </w:t>
      </w:r>
      <w:r>
        <w:rPr>
          <w:rFonts w:hint="eastAsia"/>
          <w:u w:val="single"/>
        </w:rPr>
        <w:t>SO</w:t>
      </w:r>
      <w:r>
        <w:rPr>
          <w:u w:val="single"/>
          <w:vertAlign w:val="subscript"/>
        </w:rPr>
        <w:t>2</w:t>
      </w:r>
      <w:r>
        <w:rPr>
          <w:rFonts w:hint="eastAsia"/>
          <w:u w:val="single"/>
        </w:rPr>
        <w:t>年均浓度贡献值预测结果图</w:t>
      </w:r>
    </w:p>
    <w:p>
      <w:pPr>
        <w:ind w:firstLine="480"/>
        <w:rPr>
          <w:u w:val="single"/>
        </w:rPr>
      </w:pPr>
      <w:r>
        <w:rPr>
          <w:rFonts w:hint="eastAsia"/>
          <w:u w:val="single"/>
        </w:rPr>
        <w:t>（2）NO</w:t>
      </w:r>
      <w:r>
        <w:rPr>
          <w:rFonts w:hint="eastAsia"/>
          <w:u w:val="single"/>
          <w:vertAlign w:val="subscript"/>
        </w:rPr>
        <w:t>x</w:t>
      </w:r>
    </w:p>
    <w:p>
      <w:pPr>
        <w:ind w:firstLine="0" w:firstLineChars="0"/>
        <w:rPr>
          <w:u w:val="single"/>
        </w:rPr>
      </w:pPr>
      <w:r>
        <w:rPr>
          <w:u w:val="single"/>
        </w:rPr>
        <w:drawing>
          <wp:inline distT="0" distB="0" distL="0" distR="0">
            <wp:extent cx="7581265" cy="3843020"/>
            <wp:effectExtent l="0" t="0" r="635"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7581265" cy="3843020"/>
                    </a:xfrm>
                    <a:prstGeom prst="rect">
                      <a:avLst/>
                    </a:prstGeom>
                    <a:noFill/>
                    <a:ln>
                      <a:noFill/>
                    </a:ln>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4  </w:t>
      </w:r>
      <w:r>
        <w:rPr>
          <w:rFonts w:hint="eastAsia"/>
          <w:u w:val="single"/>
        </w:rPr>
        <w:t>NO</w:t>
      </w:r>
      <w:r>
        <w:rPr>
          <w:rFonts w:hint="eastAsia"/>
          <w:u w:val="single"/>
          <w:vertAlign w:val="subscript"/>
        </w:rPr>
        <w:t>x</w:t>
      </w:r>
      <w:r>
        <w:rPr>
          <w:rFonts w:hint="eastAsia"/>
          <w:u w:val="single"/>
        </w:rPr>
        <w:t>1h浓度贡献值预测结果图</w:t>
      </w:r>
    </w:p>
    <w:p>
      <w:pPr>
        <w:ind w:firstLine="0" w:firstLineChars="0"/>
        <w:jc w:val="center"/>
        <w:rPr>
          <w:u w:val="single"/>
        </w:rPr>
      </w:pPr>
      <w:r>
        <w:rPr>
          <w:u w:val="single"/>
        </w:rPr>
        <w:drawing>
          <wp:inline distT="0" distB="0" distL="0" distR="0">
            <wp:extent cx="7581265" cy="3843020"/>
            <wp:effectExtent l="0" t="0" r="635"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7581265" cy="3843020"/>
                    </a:xfrm>
                    <a:prstGeom prst="rect">
                      <a:avLst/>
                    </a:prstGeom>
                    <a:noFill/>
                    <a:ln>
                      <a:noFill/>
                    </a:ln>
                  </pic:spPr>
                </pic:pic>
              </a:graphicData>
            </a:graphic>
          </wp:inline>
        </w:drawing>
      </w:r>
    </w:p>
    <w:p>
      <w:pPr>
        <w:ind w:firstLine="0" w:firstLineChars="0"/>
        <w:jc w:val="center"/>
        <w:rPr>
          <w:u w:val="single"/>
          <w:vertAlign w:val="superscript"/>
        </w:rPr>
      </w:pPr>
      <w:r>
        <w:rPr>
          <w:rFonts w:hint="eastAsia"/>
          <w:u w:val="single"/>
        </w:rPr>
        <w:t>图5</w:t>
      </w:r>
      <w:r>
        <w:rPr>
          <w:u w:val="single"/>
        </w:rPr>
        <w:t>.2</w:t>
      </w:r>
      <w:r>
        <w:rPr>
          <w:rFonts w:hint="eastAsia"/>
          <w:u w:val="single"/>
        </w:rPr>
        <w:t>-</w:t>
      </w:r>
      <w:r>
        <w:rPr>
          <w:u w:val="single"/>
        </w:rPr>
        <w:t xml:space="preserve">5  </w:t>
      </w:r>
      <w:r>
        <w:rPr>
          <w:rFonts w:hint="eastAsia"/>
          <w:u w:val="single"/>
        </w:rPr>
        <w:t>NO</w:t>
      </w:r>
      <w:r>
        <w:rPr>
          <w:rFonts w:hint="eastAsia"/>
          <w:u w:val="single"/>
          <w:vertAlign w:val="subscript"/>
        </w:rPr>
        <w:t>x</w:t>
      </w:r>
      <w:r>
        <w:rPr>
          <w:u w:val="single"/>
        </w:rPr>
        <w:t>24</w:t>
      </w:r>
      <w:r>
        <w:rPr>
          <w:rFonts w:hint="eastAsia"/>
          <w:u w:val="single"/>
        </w:rPr>
        <w:t xml:space="preserve">h浓度贡献值预测结果图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jc w:val="center"/>
        <w:rPr>
          <w:u w:val="single"/>
        </w:rPr>
      </w:pPr>
      <w:r>
        <w:rPr>
          <w:u w:val="single"/>
        </w:rPr>
        <w:drawing>
          <wp:inline distT="0" distB="0" distL="0" distR="0">
            <wp:extent cx="7581265" cy="3843020"/>
            <wp:effectExtent l="0" t="0" r="635" b="508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7581265" cy="3843020"/>
                    </a:xfrm>
                    <a:prstGeom prst="rect">
                      <a:avLst/>
                    </a:prstGeom>
                    <a:noFill/>
                    <a:ln>
                      <a:noFill/>
                    </a:ln>
                  </pic:spPr>
                </pic:pic>
              </a:graphicData>
            </a:graphic>
          </wp:inline>
        </w:drawing>
      </w:r>
    </w:p>
    <w:p>
      <w:pPr>
        <w:ind w:firstLine="0" w:firstLineChars="0"/>
        <w:jc w:val="center"/>
        <w:rPr>
          <w:u w:val="single"/>
        </w:rPr>
      </w:pPr>
      <w:r>
        <w:rPr>
          <w:rFonts w:hint="eastAsia"/>
          <w:u w:val="single"/>
        </w:rPr>
        <w:t>图</w:t>
      </w:r>
      <w:r>
        <w:rPr>
          <w:u w:val="single"/>
        </w:rPr>
        <w:t>5.2</w:t>
      </w:r>
      <w:r>
        <w:rPr>
          <w:rFonts w:hint="eastAsia"/>
          <w:u w:val="single"/>
        </w:rPr>
        <w:t>-</w:t>
      </w:r>
      <w:r>
        <w:rPr>
          <w:u w:val="single"/>
        </w:rPr>
        <w:t xml:space="preserve">6  </w:t>
      </w:r>
      <w:r>
        <w:rPr>
          <w:rFonts w:hint="eastAsia"/>
          <w:u w:val="single"/>
        </w:rPr>
        <w:t>NO</w:t>
      </w:r>
      <w:r>
        <w:rPr>
          <w:rFonts w:hint="eastAsia"/>
          <w:u w:val="single"/>
          <w:vertAlign w:val="subscript"/>
        </w:rPr>
        <w:t>x</w:t>
      </w:r>
      <w:r>
        <w:rPr>
          <w:rFonts w:hint="eastAsia"/>
          <w:u w:val="single"/>
        </w:rPr>
        <w:t>年均浓度贡献值预测结果图</w:t>
      </w:r>
    </w:p>
    <w:p>
      <w:pPr>
        <w:ind w:firstLine="480"/>
        <w:rPr>
          <w:u w:val="single"/>
        </w:rPr>
      </w:pPr>
      <w:r>
        <w:rPr>
          <w:rFonts w:hint="eastAsia"/>
          <w:u w:val="single"/>
        </w:rPr>
        <w:t>（3）PM</w:t>
      </w:r>
      <w:r>
        <w:rPr>
          <w:u w:val="single"/>
          <w:vertAlign w:val="subscript"/>
        </w:rPr>
        <w:t>10</w:t>
      </w:r>
    </w:p>
    <w:p>
      <w:pPr>
        <w:ind w:firstLine="0" w:firstLineChars="0"/>
        <w:rPr>
          <w:u w:val="single"/>
        </w:rPr>
      </w:pPr>
      <w:r>
        <w:rPr>
          <w:u w:val="single"/>
        </w:rPr>
        <w:drawing>
          <wp:inline distT="0" distB="0" distL="0" distR="0">
            <wp:extent cx="8863330" cy="4491355"/>
            <wp:effectExtent l="0" t="0" r="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80"/>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7  </w:t>
      </w:r>
      <w:r>
        <w:rPr>
          <w:rFonts w:hint="eastAsia"/>
          <w:u w:val="single"/>
        </w:rPr>
        <w:t>PM</w:t>
      </w:r>
      <w:r>
        <w:rPr>
          <w:u w:val="single"/>
          <w:vertAlign w:val="subscript"/>
        </w:rPr>
        <w:t>10</w:t>
      </w:r>
      <w:r>
        <w:rPr>
          <w:u w:val="single"/>
        </w:rPr>
        <w:t>1</w:t>
      </w:r>
      <w:r>
        <w:rPr>
          <w:rFonts w:hint="eastAsia"/>
          <w:u w:val="single"/>
        </w:rPr>
        <w:t xml:space="preserve">h浓度贡献值预测结果图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jc w:val="center"/>
        <w:rPr>
          <w:u w:val="single"/>
        </w:rPr>
      </w:pPr>
      <w:r>
        <w:rPr>
          <w:u w:val="single"/>
        </w:rPr>
        <w:drawing>
          <wp:inline distT="0" distB="0" distL="0" distR="0">
            <wp:extent cx="8863330" cy="4491355"/>
            <wp:effectExtent l="0" t="0" r="0" b="4445"/>
            <wp:docPr id="1120" name="图片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图片 1120"/>
                    <pic:cNvPicPr>
                      <a:picLocks noChangeAspect="1"/>
                    </pic:cNvPicPr>
                  </pic:nvPicPr>
                  <pic:blipFill>
                    <a:blip r:embed="rId81"/>
                    <a:stretch>
                      <a:fillRect/>
                    </a:stretch>
                  </pic:blipFill>
                  <pic:spPr>
                    <a:xfrm>
                      <a:off x="0" y="0"/>
                      <a:ext cx="8863330" cy="4491355"/>
                    </a:xfrm>
                    <a:prstGeom prst="rect">
                      <a:avLst/>
                    </a:prstGeom>
                  </pic:spPr>
                </pic:pic>
              </a:graphicData>
            </a:graphic>
          </wp:inline>
        </w:drawing>
      </w:r>
    </w:p>
    <w:p>
      <w:pPr>
        <w:ind w:firstLine="0" w:firstLineChars="0"/>
        <w:jc w:val="center"/>
        <w:rPr>
          <w:u w:val="single"/>
          <w:vertAlign w:val="subscript"/>
        </w:rPr>
      </w:pPr>
      <w:r>
        <w:rPr>
          <w:rFonts w:hint="eastAsia"/>
          <w:u w:val="single"/>
        </w:rPr>
        <w:t>图5</w:t>
      </w:r>
      <w:r>
        <w:rPr>
          <w:u w:val="single"/>
        </w:rPr>
        <w:t>.2</w:t>
      </w:r>
      <w:r>
        <w:rPr>
          <w:rFonts w:hint="eastAsia"/>
          <w:u w:val="single"/>
        </w:rPr>
        <w:t>-</w:t>
      </w:r>
      <w:r>
        <w:rPr>
          <w:u w:val="single"/>
        </w:rPr>
        <w:t xml:space="preserve">8  </w:t>
      </w:r>
      <w:r>
        <w:rPr>
          <w:rFonts w:hint="eastAsia"/>
          <w:u w:val="single"/>
        </w:rPr>
        <w:t>PM</w:t>
      </w:r>
      <w:r>
        <w:rPr>
          <w:u w:val="single"/>
          <w:vertAlign w:val="subscript"/>
        </w:rPr>
        <w:t>10</w:t>
      </w:r>
      <w:r>
        <w:rPr>
          <w:u w:val="single"/>
        </w:rPr>
        <w:t>24</w:t>
      </w:r>
      <w:r>
        <w:rPr>
          <w:rFonts w:hint="eastAsia"/>
          <w:u w:val="single"/>
        </w:rPr>
        <w:t xml:space="preserve">h浓度贡献值预测结果图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jc w:val="center"/>
        <w:rPr>
          <w:u w:val="single"/>
        </w:rPr>
      </w:pPr>
      <w:r>
        <w:rPr>
          <w:u w:val="single"/>
        </w:rPr>
        <w:drawing>
          <wp:inline distT="0" distB="0" distL="0" distR="0">
            <wp:extent cx="8863330" cy="4491355"/>
            <wp:effectExtent l="0" t="0" r="0" b="4445"/>
            <wp:docPr id="1121" name="图片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图片 1121"/>
                    <pic:cNvPicPr>
                      <a:picLocks noChangeAspect="1"/>
                    </pic:cNvPicPr>
                  </pic:nvPicPr>
                  <pic:blipFill>
                    <a:blip r:embed="rId82"/>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9  </w:t>
      </w:r>
      <w:r>
        <w:rPr>
          <w:rFonts w:hint="eastAsia"/>
          <w:u w:val="single"/>
        </w:rPr>
        <w:t>PM</w:t>
      </w:r>
      <w:r>
        <w:rPr>
          <w:u w:val="single"/>
          <w:vertAlign w:val="subscript"/>
        </w:rPr>
        <w:t>10</w:t>
      </w:r>
      <w:r>
        <w:rPr>
          <w:rFonts w:hint="eastAsia"/>
          <w:u w:val="single"/>
        </w:rPr>
        <w:t xml:space="preserve">年均浓度贡献值预测结果图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jc w:val="center"/>
        <w:rPr>
          <w:u w:val="single"/>
        </w:rPr>
      </w:pPr>
    </w:p>
    <w:p>
      <w:pPr>
        <w:ind w:firstLine="480"/>
        <w:rPr>
          <w:u w:val="single"/>
        </w:rPr>
      </w:pPr>
      <w:r>
        <w:rPr>
          <w:rFonts w:hint="eastAsia"/>
          <w:u w:val="single"/>
        </w:rPr>
        <w:t>（4）TSP</w:t>
      </w:r>
    </w:p>
    <w:p>
      <w:pPr>
        <w:ind w:firstLine="0" w:firstLineChars="0"/>
        <w:rPr>
          <w:u w:val="single"/>
        </w:rPr>
      </w:pPr>
      <w:r>
        <w:rPr>
          <w:u w:val="single"/>
        </w:rPr>
        <w:drawing>
          <wp:inline distT="0" distB="0" distL="0" distR="0">
            <wp:extent cx="8863330" cy="4491355"/>
            <wp:effectExtent l="0" t="0" r="0" b="4445"/>
            <wp:docPr id="1122" name="图片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图片 1122"/>
                    <pic:cNvPicPr>
                      <a:picLocks noChangeAspect="1"/>
                    </pic:cNvPicPr>
                  </pic:nvPicPr>
                  <pic:blipFill>
                    <a:blip r:embed="rId83"/>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10  </w:t>
      </w:r>
      <w:r>
        <w:rPr>
          <w:rFonts w:hint="eastAsia"/>
          <w:u w:val="single"/>
        </w:rPr>
        <w:t>TSP</w:t>
      </w:r>
      <w:r>
        <w:rPr>
          <w:u w:val="single"/>
        </w:rPr>
        <w:t>1</w:t>
      </w:r>
      <w:r>
        <w:rPr>
          <w:rFonts w:hint="eastAsia"/>
          <w:u w:val="single"/>
        </w:rPr>
        <w:t xml:space="preserve">h平均浓度贡献值预测结果图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rPr>
          <w:u w:val="single"/>
        </w:rPr>
      </w:pPr>
      <w:r>
        <w:rPr>
          <w:u w:val="single"/>
        </w:rPr>
        <w:drawing>
          <wp:inline distT="0" distB="0" distL="0" distR="0">
            <wp:extent cx="8863330" cy="4491355"/>
            <wp:effectExtent l="0" t="0" r="0" b="4445"/>
            <wp:docPr id="1123" name="图片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图片 1123"/>
                    <pic:cNvPicPr>
                      <a:picLocks noChangeAspect="1"/>
                    </pic:cNvPicPr>
                  </pic:nvPicPr>
                  <pic:blipFill>
                    <a:blip r:embed="rId84"/>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11  </w:t>
      </w:r>
      <w:r>
        <w:rPr>
          <w:rFonts w:hint="eastAsia"/>
          <w:u w:val="single"/>
        </w:rPr>
        <w:t>TSP</w:t>
      </w:r>
      <w:r>
        <w:rPr>
          <w:u w:val="single"/>
        </w:rPr>
        <w:t>24</w:t>
      </w:r>
      <w:r>
        <w:rPr>
          <w:rFonts w:hint="eastAsia"/>
          <w:u w:val="single"/>
        </w:rPr>
        <w:t xml:space="preserve">h平均浓度贡献值预测结果图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jc w:val="center"/>
        <w:rPr>
          <w:u w:val="single"/>
        </w:rPr>
      </w:pPr>
      <w:r>
        <w:rPr>
          <w:u w:val="single"/>
        </w:rPr>
        <w:drawing>
          <wp:inline distT="0" distB="0" distL="0" distR="0">
            <wp:extent cx="8863330" cy="4491355"/>
            <wp:effectExtent l="0" t="0" r="0" b="4445"/>
            <wp:docPr id="1124" name="图片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图片 1124"/>
                    <pic:cNvPicPr>
                      <a:picLocks noChangeAspect="1"/>
                    </pic:cNvPicPr>
                  </pic:nvPicPr>
                  <pic:blipFill>
                    <a:blip r:embed="rId85"/>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12  </w:t>
      </w:r>
      <w:r>
        <w:rPr>
          <w:rFonts w:hint="eastAsia"/>
          <w:u w:val="single"/>
        </w:rPr>
        <w:t xml:space="preserve">TSP年均浓度贡献值预测结果图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480"/>
        <w:rPr>
          <w:u w:val="single"/>
        </w:rPr>
      </w:pPr>
      <w:r>
        <w:rPr>
          <w:rFonts w:hint="eastAsia"/>
          <w:u w:val="single"/>
        </w:rPr>
        <w:t>（5）氟化物</w:t>
      </w:r>
    </w:p>
    <w:p>
      <w:pPr>
        <w:ind w:firstLine="0" w:firstLineChars="0"/>
        <w:jc w:val="center"/>
        <w:rPr>
          <w:u w:val="single"/>
        </w:rPr>
      </w:pPr>
      <w:r>
        <w:rPr>
          <w:u w:val="single"/>
        </w:rPr>
        <w:drawing>
          <wp:inline distT="0" distB="0" distL="0" distR="0">
            <wp:extent cx="8863330" cy="4491355"/>
            <wp:effectExtent l="0" t="0" r="0" b="4445"/>
            <wp:docPr id="1125" name="图片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图片 1125"/>
                    <pic:cNvPicPr>
                      <a:picLocks noChangeAspect="1"/>
                    </pic:cNvPicPr>
                  </pic:nvPicPr>
                  <pic:blipFill>
                    <a:blip r:embed="rId86"/>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13  </w:t>
      </w:r>
      <w:r>
        <w:rPr>
          <w:rFonts w:hint="eastAsia"/>
          <w:u w:val="single"/>
        </w:rPr>
        <w:t xml:space="preserve">氟化物1h平均浓度贡献值预测结果图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jc w:val="center"/>
        <w:rPr>
          <w:u w:val="single"/>
        </w:rPr>
      </w:pPr>
      <w:r>
        <w:rPr>
          <w:u w:val="single"/>
        </w:rPr>
        <w:drawing>
          <wp:inline distT="0" distB="0" distL="0" distR="0">
            <wp:extent cx="8863330" cy="4491355"/>
            <wp:effectExtent l="0" t="0" r="0" b="4445"/>
            <wp:docPr id="1126" name="图片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图片 1126"/>
                    <pic:cNvPicPr>
                      <a:picLocks noChangeAspect="1"/>
                    </pic:cNvPicPr>
                  </pic:nvPicPr>
                  <pic:blipFill>
                    <a:blip r:embed="rId87"/>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14  </w:t>
      </w:r>
      <w:r>
        <w:rPr>
          <w:rFonts w:hint="eastAsia"/>
          <w:u w:val="single"/>
        </w:rPr>
        <w:t>氟化物2</w:t>
      </w:r>
      <w:r>
        <w:rPr>
          <w:u w:val="single"/>
        </w:rPr>
        <w:t>4</w:t>
      </w:r>
      <w:r>
        <w:rPr>
          <w:rFonts w:hint="eastAsia"/>
          <w:u w:val="single"/>
        </w:rPr>
        <w:t xml:space="preserve">h平均浓度贡献值预测结果图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jc w:val="center"/>
        <w:rPr>
          <w:u w:val="single"/>
        </w:rPr>
      </w:pPr>
      <w:r>
        <w:rPr>
          <w:u w:val="single"/>
        </w:rPr>
        <w:drawing>
          <wp:inline distT="0" distB="0" distL="0" distR="0">
            <wp:extent cx="8863330" cy="4491355"/>
            <wp:effectExtent l="0" t="0" r="0" b="4445"/>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图片 1139"/>
                    <pic:cNvPicPr>
                      <a:picLocks noChangeAspect="1"/>
                    </pic:cNvPicPr>
                  </pic:nvPicPr>
                  <pic:blipFill>
                    <a:blip r:embed="rId88"/>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15  </w:t>
      </w:r>
      <w:r>
        <w:rPr>
          <w:rFonts w:hint="eastAsia"/>
          <w:u w:val="single"/>
        </w:rPr>
        <w:t xml:space="preserve">氟化物年平均浓度贡献值预测结果图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480"/>
        <w:rPr>
          <w:u w:val="single"/>
        </w:rPr>
      </w:pPr>
      <w:r>
        <w:rPr>
          <w:rFonts w:hint="eastAsia"/>
          <w:u w:val="single"/>
        </w:rPr>
        <w:t>（6）VOCs</w:t>
      </w:r>
    </w:p>
    <w:p>
      <w:pPr>
        <w:ind w:firstLine="0" w:firstLineChars="0"/>
        <w:rPr>
          <w:u w:val="single"/>
        </w:rPr>
      </w:pPr>
      <w:r>
        <w:rPr>
          <w:u w:val="single"/>
        </w:rPr>
        <w:drawing>
          <wp:inline distT="0" distB="0" distL="0" distR="0">
            <wp:extent cx="8863330" cy="4491355"/>
            <wp:effectExtent l="0" t="0" r="0" b="4445"/>
            <wp:docPr id="1140" name="图片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图片 1140"/>
                    <pic:cNvPicPr>
                      <a:picLocks noChangeAspect="1"/>
                    </pic:cNvPicPr>
                  </pic:nvPicPr>
                  <pic:blipFill>
                    <a:blip r:embed="rId89"/>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16  </w:t>
      </w:r>
      <w:r>
        <w:rPr>
          <w:rFonts w:hint="eastAsia"/>
          <w:u w:val="single"/>
        </w:rPr>
        <w:t>VOCs</w:t>
      </w:r>
      <w:r>
        <w:rPr>
          <w:u w:val="single"/>
        </w:rPr>
        <w:t>1h</w:t>
      </w:r>
      <w:r>
        <w:rPr>
          <w:rFonts w:hint="eastAsia"/>
          <w:u w:val="single"/>
        </w:rPr>
        <w:t xml:space="preserve">平均浓度贡献值预测结果图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jc w:val="center"/>
        <w:rPr>
          <w:u w:val="single"/>
        </w:rPr>
      </w:pPr>
      <w:r>
        <w:rPr>
          <w:u w:val="single"/>
        </w:rPr>
        <w:drawing>
          <wp:inline distT="0" distB="0" distL="0" distR="0">
            <wp:extent cx="8863330" cy="4491355"/>
            <wp:effectExtent l="0" t="0" r="0" b="4445"/>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1141"/>
                    <pic:cNvPicPr>
                      <a:picLocks noChangeAspect="1"/>
                    </pic:cNvPicPr>
                  </pic:nvPicPr>
                  <pic:blipFill>
                    <a:blip r:embed="rId90"/>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17  </w:t>
      </w:r>
      <w:r>
        <w:rPr>
          <w:rFonts w:hint="eastAsia"/>
          <w:u w:val="single"/>
        </w:rPr>
        <w:t>VOCs</w:t>
      </w:r>
      <w:r>
        <w:rPr>
          <w:u w:val="single"/>
        </w:rPr>
        <w:t>24</w:t>
      </w:r>
      <w:r>
        <w:rPr>
          <w:rFonts w:hint="eastAsia"/>
          <w:u w:val="single"/>
        </w:rPr>
        <w:t xml:space="preserve">h平均浓度贡献值预测结果图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jc w:val="center"/>
        <w:rPr>
          <w:u w:val="single"/>
        </w:rPr>
      </w:pPr>
      <w:r>
        <w:rPr>
          <w:u w:val="single"/>
        </w:rPr>
        <w:drawing>
          <wp:inline distT="0" distB="0" distL="0" distR="0">
            <wp:extent cx="8863330" cy="4491355"/>
            <wp:effectExtent l="0" t="0" r="0" b="4445"/>
            <wp:docPr id="1160" name="图片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图片 1160"/>
                    <pic:cNvPicPr>
                      <a:picLocks noChangeAspect="1"/>
                    </pic:cNvPicPr>
                  </pic:nvPicPr>
                  <pic:blipFill>
                    <a:blip r:embed="rId91"/>
                    <a:stretch>
                      <a:fillRect/>
                    </a:stretch>
                  </pic:blipFill>
                  <pic:spPr>
                    <a:xfrm>
                      <a:off x="0" y="0"/>
                      <a:ext cx="8863330" cy="4491355"/>
                    </a:xfrm>
                    <a:prstGeom prst="rect">
                      <a:avLst/>
                    </a:prstGeom>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18  </w:t>
      </w:r>
      <w:r>
        <w:rPr>
          <w:rFonts w:hint="eastAsia"/>
          <w:u w:val="single"/>
        </w:rPr>
        <w:t xml:space="preserve">VOCs年均浓度贡献值预测结果图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480"/>
        <w:rPr>
          <w:u w:val="single"/>
          <w:vertAlign w:val="subscript"/>
        </w:rPr>
      </w:pPr>
      <w:r>
        <w:rPr>
          <w:rFonts w:hint="eastAsia"/>
          <w:u w:val="single"/>
        </w:rPr>
        <w:t>（7）二次PM</w:t>
      </w:r>
      <w:r>
        <w:rPr>
          <w:u w:val="single"/>
          <w:vertAlign w:val="subscript"/>
        </w:rPr>
        <w:t>2.5</w:t>
      </w:r>
    </w:p>
    <w:p>
      <w:pPr>
        <w:ind w:firstLine="0" w:firstLineChars="0"/>
        <w:rPr>
          <w:u w:val="single"/>
        </w:rPr>
      </w:pPr>
      <w:r>
        <w:rPr>
          <w:u w:val="single"/>
        </w:rPr>
        <w:drawing>
          <wp:inline distT="0" distB="0" distL="0" distR="0">
            <wp:extent cx="7581265" cy="3843020"/>
            <wp:effectExtent l="0" t="0" r="635" b="5080"/>
            <wp:docPr id="1161" name="图片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图片 116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7581265" cy="3843020"/>
                    </a:xfrm>
                    <a:prstGeom prst="rect">
                      <a:avLst/>
                    </a:prstGeom>
                    <a:noFill/>
                    <a:ln>
                      <a:noFill/>
                    </a:ln>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19  </w:t>
      </w:r>
      <w:r>
        <w:rPr>
          <w:rFonts w:hint="eastAsia"/>
          <w:u w:val="single"/>
        </w:rPr>
        <w:t>PM</w:t>
      </w:r>
      <w:r>
        <w:rPr>
          <w:u w:val="single"/>
          <w:vertAlign w:val="subscript"/>
        </w:rPr>
        <w:t>2.5</w:t>
      </w:r>
      <w:r>
        <w:rPr>
          <w:u w:val="single"/>
        </w:rPr>
        <w:t>1</w:t>
      </w:r>
      <w:r>
        <w:rPr>
          <w:rFonts w:hint="eastAsia"/>
          <w:u w:val="single"/>
        </w:rPr>
        <w:t xml:space="preserve">h平均浓度贡献值预测结果图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jc w:val="center"/>
        <w:rPr>
          <w:u w:val="single"/>
        </w:rPr>
      </w:pPr>
      <w:r>
        <w:rPr>
          <w:u w:val="single"/>
        </w:rPr>
        <w:drawing>
          <wp:inline distT="0" distB="0" distL="0" distR="0">
            <wp:extent cx="7581265" cy="3843020"/>
            <wp:effectExtent l="0" t="0" r="635" b="5080"/>
            <wp:docPr id="1162" name="图片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图片 116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7581265" cy="3843020"/>
                    </a:xfrm>
                    <a:prstGeom prst="rect">
                      <a:avLst/>
                    </a:prstGeom>
                    <a:noFill/>
                    <a:ln>
                      <a:noFill/>
                    </a:ln>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20  </w:t>
      </w:r>
      <w:r>
        <w:rPr>
          <w:rFonts w:hint="eastAsia"/>
          <w:u w:val="single"/>
        </w:rPr>
        <w:t>PM</w:t>
      </w:r>
      <w:r>
        <w:rPr>
          <w:u w:val="single"/>
          <w:vertAlign w:val="subscript"/>
        </w:rPr>
        <w:t>2.5</w:t>
      </w:r>
      <w:r>
        <w:rPr>
          <w:u w:val="single"/>
        </w:rPr>
        <w:t>24</w:t>
      </w:r>
      <w:r>
        <w:rPr>
          <w:rFonts w:hint="eastAsia"/>
          <w:u w:val="single"/>
        </w:rPr>
        <w:t xml:space="preserve">h平均浓度贡献值预测结果图 </w:t>
      </w:r>
      <w:r>
        <w:rPr>
          <w:u w:val="single"/>
        </w:rPr>
        <w:t xml:space="preserve"> </w:t>
      </w:r>
      <w:r>
        <w:rPr>
          <w:rFonts w:hint="eastAsia"/>
          <w:u w:val="single"/>
        </w:rPr>
        <w:t>单位：ug</w:t>
      </w:r>
      <w:r>
        <w:rPr>
          <w:u w:val="single"/>
        </w:rPr>
        <w:t>/m</w:t>
      </w:r>
      <w:r>
        <w:rPr>
          <w:u w:val="single"/>
          <w:vertAlign w:val="superscript"/>
        </w:rPr>
        <w:t>3</w:t>
      </w:r>
    </w:p>
    <w:p>
      <w:pPr>
        <w:ind w:firstLine="0" w:firstLineChars="0"/>
        <w:jc w:val="center"/>
        <w:rPr>
          <w:u w:val="single"/>
        </w:rPr>
      </w:pPr>
      <w:r>
        <w:rPr>
          <w:u w:val="single"/>
        </w:rPr>
        <w:drawing>
          <wp:inline distT="0" distB="0" distL="0" distR="0">
            <wp:extent cx="7581265" cy="3843020"/>
            <wp:effectExtent l="0" t="0" r="635" b="5080"/>
            <wp:docPr id="1163" name="图片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图片 116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7581265" cy="3843020"/>
                    </a:xfrm>
                    <a:prstGeom prst="rect">
                      <a:avLst/>
                    </a:prstGeom>
                    <a:noFill/>
                    <a:ln>
                      <a:noFill/>
                    </a:ln>
                  </pic:spPr>
                </pic:pic>
              </a:graphicData>
            </a:graphic>
          </wp:inline>
        </w:drawing>
      </w:r>
    </w:p>
    <w:p>
      <w:pPr>
        <w:ind w:firstLine="0" w:firstLineChars="0"/>
        <w:jc w:val="center"/>
        <w:rPr>
          <w:u w:val="single"/>
        </w:rPr>
      </w:pPr>
      <w:r>
        <w:rPr>
          <w:rFonts w:hint="eastAsia"/>
          <w:u w:val="single"/>
        </w:rPr>
        <w:t>图5</w:t>
      </w:r>
      <w:r>
        <w:rPr>
          <w:u w:val="single"/>
        </w:rPr>
        <w:t>.2</w:t>
      </w:r>
      <w:r>
        <w:rPr>
          <w:rFonts w:hint="eastAsia"/>
          <w:u w:val="single"/>
        </w:rPr>
        <w:t>-</w:t>
      </w:r>
      <w:r>
        <w:rPr>
          <w:u w:val="single"/>
        </w:rPr>
        <w:t xml:space="preserve">21  </w:t>
      </w:r>
      <w:r>
        <w:rPr>
          <w:rFonts w:hint="eastAsia"/>
          <w:u w:val="single"/>
        </w:rPr>
        <w:t>PM</w:t>
      </w:r>
      <w:r>
        <w:rPr>
          <w:u w:val="single"/>
          <w:vertAlign w:val="subscript"/>
        </w:rPr>
        <w:t>2.5</w:t>
      </w:r>
      <w:r>
        <w:rPr>
          <w:rFonts w:hint="eastAsia"/>
          <w:u w:val="single"/>
        </w:rPr>
        <w:t>年平均浓度贡献值预测结果图</w:t>
      </w:r>
    </w:p>
    <w:p>
      <w:pPr>
        <w:ind w:firstLine="480"/>
        <w:rPr>
          <w:u w:val="single"/>
          <w:vertAlign w:val="subscript"/>
        </w:rPr>
      </w:pPr>
    </w:p>
    <w:p>
      <w:pPr>
        <w:ind w:firstLine="480"/>
        <w:rPr>
          <w:u w:val="single"/>
        </w:rPr>
        <w:sectPr>
          <w:pgSz w:w="16838" w:h="11906" w:orient="landscape"/>
          <w:pgMar w:top="1800" w:right="1440" w:bottom="1800" w:left="1440" w:header="851" w:footer="992" w:gutter="0"/>
          <w:cols w:space="425" w:num="1"/>
          <w:docGrid w:type="lines" w:linePitch="326" w:charSpace="0"/>
        </w:sectPr>
      </w:pPr>
    </w:p>
    <w:p>
      <w:pPr>
        <w:pStyle w:val="5"/>
        <w:rPr>
          <w:u w:val="single"/>
        </w:rPr>
      </w:pPr>
      <w:r>
        <w:rPr>
          <w:rFonts w:hint="eastAsia"/>
          <w:u w:val="single"/>
        </w:rPr>
        <w:t>5</w:t>
      </w:r>
      <w:r>
        <w:rPr>
          <w:u w:val="single"/>
        </w:rPr>
        <w:t>.2.3.3</w:t>
      </w:r>
      <w:r>
        <w:rPr>
          <w:rFonts w:hint="eastAsia"/>
          <w:u w:val="single"/>
        </w:rPr>
        <w:t>大气预测结果评价</w:t>
      </w:r>
    </w:p>
    <w:p>
      <w:pPr>
        <w:ind w:firstLine="480"/>
        <w:rPr>
          <w:rFonts w:cs="Times New Roman"/>
          <w:u w:val="single"/>
        </w:rPr>
      </w:pPr>
      <w:r>
        <w:rPr>
          <w:rFonts w:hint="eastAsia" w:cs="Times New Roman"/>
          <w:u w:val="single"/>
        </w:rPr>
        <w:t>本项目所处区域为不达标区，根据《导则》要求，不达标区的的建设项目环境影响评价，当同时满足以下条件时，则认为环境影响可以接受：</w:t>
      </w:r>
    </w:p>
    <w:p>
      <w:pPr>
        <w:ind w:firstLine="480"/>
        <w:rPr>
          <w:rFonts w:cs="Times New Roman"/>
          <w:u w:val="single"/>
        </w:rPr>
      </w:pPr>
      <w:r>
        <w:rPr>
          <w:rFonts w:hint="eastAsia" w:cs="Times New Roman"/>
          <w:u w:val="single"/>
        </w:rPr>
        <w:t>1）达标规划未包含的新增污染源建设项目，需另有替代源的削减方案；</w:t>
      </w:r>
    </w:p>
    <w:p>
      <w:pPr>
        <w:ind w:firstLine="480"/>
        <w:rPr>
          <w:rFonts w:cs="Times New Roman"/>
          <w:u w:val="single"/>
        </w:rPr>
      </w:pPr>
      <w:r>
        <w:rPr>
          <w:rFonts w:hint="eastAsia" w:cs="Times New Roman"/>
          <w:u w:val="single"/>
        </w:rPr>
        <w:t>2）新增污染源正常排放下污染物短期浓度贡献值的最大浓度占标率≤</w:t>
      </w:r>
      <w:r>
        <w:rPr>
          <w:rFonts w:cs="Times New Roman"/>
          <w:u w:val="single"/>
        </w:rPr>
        <w:t>100</w:t>
      </w:r>
      <w:r>
        <w:rPr>
          <w:rFonts w:hint="eastAsia" w:cs="Times New Roman"/>
          <w:u w:val="single"/>
        </w:rPr>
        <w:t>%；</w:t>
      </w:r>
    </w:p>
    <w:p>
      <w:pPr>
        <w:ind w:firstLine="480"/>
        <w:rPr>
          <w:rFonts w:cs="Times New Roman"/>
          <w:u w:val="single"/>
        </w:rPr>
      </w:pPr>
      <w:r>
        <w:rPr>
          <w:rFonts w:hint="eastAsia" w:cs="Times New Roman"/>
          <w:u w:val="single"/>
        </w:rPr>
        <w:t>3）新增污染源正常排放下污染物年均浓度贡献值的最大占标率≤3</w:t>
      </w:r>
      <w:r>
        <w:rPr>
          <w:rFonts w:cs="Times New Roman"/>
          <w:u w:val="single"/>
        </w:rPr>
        <w:t>0</w:t>
      </w:r>
      <w:r>
        <w:rPr>
          <w:rFonts w:hint="eastAsia" w:cs="Times New Roman"/>
          <w:u w:val="single"/>
        </w:rPr>
        <w:t>%（其中一类区≤1</w:t>
      </w:r>
      <w:r>
        <w:rPr>
          <w:rFonts w:cs="Times New Roman"/>
          <w:u w:val="single"/>
        </w:rPr>
        <w:t>0</w:t>
      </w:r>
      <w:r>
        <w:rPr>
          <w:rFonts w:hint="eastAsia" w:cs="Times New Roman"/>
          <w:u w:val="single"/>
        </w:rPr>
        <w:t>%）；</w:t>
      </w:r>
    </w:p>
    <w:p>
      <w:pPr>
        <w:ind w:firstLine="480"/>
        <w:rPr>
          <w:rFonts w:cs="Times New Roman"/>
          <w:u w:val="single"/>
        </w:rPr>
      </w:pPr>
      <w:r>
        <w:rPr>
          <w:rFonts w:cs="Times New Roman"/>
          <w:u w:val="single"/>
        </w:rPr>
        <w:t>4</w:t>
      </w:r>
      <w:r>
        <w:rPr>
          <w:rFonts w:hint="eastAsia" w:cs="Times New Roman"/>
          <w:u w:val="single"/>
        </w:rPr>
        <w:t>）项目环境影响符合环境功能区划或满足区域环境质量改善目标。现状浓度超标的污染物评价，叠加达标年目标浓度、区域削减污染源以及在建、拟建项目的环境影响后，污染物的保证率日平均质量浓度和年平均质量浓度均符合环境质量标准或满足达标规划确定的区域环境质量改善目标，或按8.8.4计算的预测范围内年平均质量浓度变化率k≤-20%;对于现状达标的污染物评价，叠加后污染物浓度符合环境质量标准:对于项目排放的主要污染物仅有短期浓度限值的，叠加后的短期浓度符合环境质量标准。</w:t>
      </w:r>
    </w:p>
    <w:p>
      <w:pPr>
        <w:ind w:firstLine="480"/>
        <w:rPr>
          <w:rFonts w:cs="Times New Roman"/>
          <w:u w:val="single"/>
        </w:rPr>
      </w:pPr>
      <w:r>
        <w:rPr>
          <w:rFonts w:hint="eastAsia" w:cs="Times New Roman"/>
          <w:u w:val="single"/>
        </w:rPr>
        <w:t>（1）替代源削减方案</w:t>
      </w:r>
    </w:p>
    <w:p>
      <w:pPr>
        <w:ind w:firstLine="480"/>
        <w:rPr>
          <w:u w:val="single"/>
        </w:rPr>
      </w:pPr>
      <w:r>
        <w:rPr>
          <w:rFonts w:hint="eastAsia" w:cs="Times New Roman"/>
          <w:u w:val="single"/>
        </w:rPr>
        <w:t>本项目不属于达标规划中的新增污染源，根据当地生态环境主管部门提供资料，项目的替代源包括</w:t>
      </w:r>
      <w:r>
        <w:rPr>
          <w:rFonts w:hint="eastAsia"/>
          <w:u w:val="single"/>
        </w:rPr>
        <w:t>板市乡子园砖厂、西渡镇宏伟砖厂、演陂镇正源砖厂、渣江镇油库砖厂、渣江镇河西砖厂、大安乡上升砖厂、西渡镇咸育砖厂，总计减少产能为2</w:t>
      </w:r>
      <w:r>
        <w:rPr>
          <w:u w:val="single"/>
        </w:rPr>
        <w:t>.6</w:t>
      </w:r>
      <w:r>
        <w:rPr>
          <w:rFonts w:hint="eastAsia"/>
          <w:u w:val="single"/>
        </w:rPr>
        <w:t>亿块砖，根据调查这7个砖厂能源均为燃煤，均采用隧道窑工艺，且未采取废气治理措施，参照《排放源统计调查产排污核算方法和系数手册-303砖瓦、石材等建筑材料制造行业系数手册》，二氧化硫产污系数为1</w:t>
      </w:r>
      <w:r>
        <w:rPr>
          <w:u w:val="single"/>
        </w:rPr>
        <w:t>4.8</w:t>
      </w:r>
      <w:r>
        <w:rPr>
          <w:rFonts w:hint="eastAsia"/>
          <w:u w:val="single"/>
        </w:rPr>
        <w:t>kg</w:t>
      </w:r>
      <w:r>
        <w:rPr>
          <w:u w:val="single"/>
        </w:rPr>
        <w:t>/</w:t>
      </w:r>
      <w:r>
        <w:rPr>
          <w:rFonts w:hint="eastAsia"/>
          <w:u w:val="single"/>
        </w:rPr>
        <w:t>万块标砖，氮氧化物产污系数为</w:t>
      </w:r>
      <w:r>
        <w:rPr>
          <w:u w:val="single"/>
        </w:rPr>
        <w:t>3.66</w:t>
      </w:r>
      <w:r>
        <w:rPr>
          <w:rFonts w:hint="eastAsia"/>
          <w:u w:val="single"/>
        </w:rPr>
        <w:t>kg</w:t>
      </w:r>
      <w:r>
        <w:rPr>
          <w:u w:val="single"/>
        </w:rPr>
        <w:t>/</w:t>
      </w:r>
      <w:r>
        <w:rPr>
          <w:rFonts w:hint="eastAsia"/>
          <w:u w:val="single"/>
        </w:rPr>
        <w:t>万块标砖，则关闭这7家砖厂，可为本项目提供替代削减量为：SO</w:t>
      </w:r>
      <w:r>
        <w:rPr>
          <w:u w:val="single"/>
          <w:vertAlign w:val="subscript"/>
        </w:rPr>
        <w:t>2</w:t>
      </w:r>
      <w:r>
        <w:rPr>
          <w:u w:val="single"/>
        </w:rPr>
        <w:t>384.8</w:t>
      </w:r>
      <w:r>
        <w:rPr>
          <w:rFonts w:hint="eastAsia"/>
          <w:u w:val="single"/>
        </w:rPr>
        <w:t>t</w:t>
      </w:r>
      <w:r>
        <w:rPr>
          <w:u w:val="single"/>
        </w:rPr>
        <w:t>/a</w:t>
      </w:r>
      <w:r>
        <w:rPr>
          <w:rFonts w:hint="eastAsia"/>
          <w:u w:val="single"/>
        </w:rPr>
        <w:t>，NO</w:t>
      </w:r>
      <w:r>
        <w:rPr>
          <w:rFonts w:hint="eastAsia"/>
          <w:u w:val="single"/>
          <w:vertAlign w:val="subscript"/>
        </w:rPr>
        <w:t>x</w:t>
      </w:r>
      <w:r>
        <w:rPr>
          <w:u w:val="single"/>
        </w:rPr>
        <w:t>95.16</w:t>
      </w:r>
      <w:r>
        <w:rPr>
          <w:rFonts w:hint="eastAsia"/>
          <w:u w:val="single"/>
        </w:rPr>
        <w:t>t</w:t>
      </w:r>
      <w:r>
        <w:rPr>
          <w:u w:val="single"/>
        </w:rPr>
        <w:t>/a</w:t>
      </w:r>
      <w:r>
        <w:rPr>
          <w:rFonts w:hint="eastAsia"/>
          <w:u w:val="single"/>
        </w:rPr>
        <w:t>；其次衡阳县总计有1</w:t>
      </w:r>
      <w:r>
        <w:rPr>
          <w:u w:val="single"/>
        </w:rPr>
        <w:t>4</w:t>
      </w:r>
      <w:r>
        <w:rPr>
          <w:rFonts w:hint="eastAsia"/>
          <w:u w:val="single"/>
        </w:rPr>
        <w:t>家砖厂进行了脱硫脱硝改造，改造后脱硫效率增加了8</w:t>
      </w:r>
      <w:r>
        <w:rPr>
          <w:u w:val="single"/>
        </w:rPr>
        <w:t>0</w:t>
      </w:r>
      <w:r>
        <w:rPr>
          <w:rFonts w:hint="eastAsia"/>
          <w:u w:val="single"/>
        </w:rPr>
        <w:t>%，脱硝效率增加了5</w:t>
      </w:r>
      <w:r>
        <w:rPr>
          <w:u w:val="single"/>
        </w:rPr>
        <w:t>0</w:t>
      </w:r>
      <w:r>
        <w:rPr>
          <w:rFonts w:hint="eastAsia"/>
          <w:u w:val="single"/>
        </w:rPr>
        <w:t>%，1</w:t>
      </w:r>
      <w:r>
        <w:rPr>
          <w:u w:val="single"/>
        </w:rPr>
        <w:t>4</w:t>
      </w:r>
      <w:r>
        <w:rPr>
          <w:rFonts w:hint="eastAsia"/>
          <w:u w:val="single"/>
        </w:rPr>
        <w:t>家砖厂总计产能为5</w:t>
      </w:r>
      <w:r>
        <w:rPr>
          <w:u w:val="single"/>
        </w:rPr>
        <w:t>.1</w:t>
      </w:r>
      <w:r>
        <w:rPr>
          <w:rFonts w:hint="eastAsia"/>
          <w:u w:val="single"/>
        </w:rPr>
        <w:t>亿块砖，因此改造前污染物排放量为SO</w:t>
      </w:r>
      <w:r>
        <w:rPr>
          <w:u w:val="single"/>
          <w:vertAlign w:val="subscript"/>
        </w:rPr>
        <w:t>2</w:t>
      </w:r>
      <w:r>
        <w:rPr>
          <w:rFonts w:hint="eastAsia"/>
          <w:u w:val="single"/>
        </w:rPr>
        <w:t>：7</w:t>
      </w:r>
      <w:r>
        <w:rPr>
          <w:u w:val="single"/>
        </w:rPr>
        <w:t>54.8t/a</w:t>
      </w:r>
      <w:r>
        <w:rPr>
          <w:rFonts w:hint="eastAsia"/>
          <w:u w:val="single"/>
        </w:rPr>
        <w:t>、NO</w:t>
      </w:r>
      <w:r>
        <w:rPr>
          <w:rFonts w:hint="eastAsia"/>
          <w:u w:val="single"/>
          <w:vertAlign w:val="subscript"/>
        </w:rPr>
        <w:t>x</w:t>
      </w:r>
      <w:r>
        <w:rPr>
          <w:u w:val="single"/>
        </w:rPr>
        <w:t>:186.7t</w:t>
      </w:r>
      <w:r>
        <w:rPr>
          <w:rFonts w:hint="eastAsia"/>
          <w:u w:val="single"/>
        </w:rPr>
        <w:t>/</w:t>
      </w:r>
      <w:r>
        <w:rPr>
          <w:u w:val="single"/>
        </w:rPr>
        <w:t>a</w:t>
      </w:r>
      <w:r>
        <w:rPr>
          <w:rFonts w:hint="eastAsia"/>
          <w:u w:val="single"/>
        </w:rPr>
        <w:t>，整改后污染物削减量为SO</w:t>
      </w:r>
      <w:r>
        <w:rPr>
          <w:u w:val="single"/>
          <w:vertAlign w:val="subscript"/>
        </w:rPr>
        <w:t>2</w:t>
      </w:r>
      <w:r>
        <w:rPr>
          <w:rFonts w:hint="eastAsia"/>
          <w:u w:val="single"/>
        </w:rPr>
        <w:t>：</w:t>
      </w:r>
      <w:r>
        <w:rPr>
          <w:u w:val="single"/>
        </w:rPr>
        <w:t>603.84t/a</w:t>
      </w:r>
      <w:r>
        <w:rPr>
          <w:rFonts w:hint="eastAsia"/>
          <w:u w:val="single"/>
        </w:rPr>
        <w:t>、NO</w:t>
      </w:r>
      <w:r>
        <w:rPr>
          <w:rFonts w:hint="eastAsia"/>
          <w:u w:val="single"/>
          <w:vertAlign w:val="subscript"/>
        </w:rPr>
        <w:t>x</w:t>
      </w:r>
      <w:r>
        <w:rPr>
          <w:u w:val="single"/>
        </w:rPr>
        <w:t>:93.35t</w:t>
      </w:r>
      <w:r>
        <w:rPr>
          <w:rFonts w:hint="eastAsia"/>
          <w:u w:val="single"/>
        </w:rPr>
        <w:t>/</w:t>
      </w:r>
      <w:r>
        <w:rPr>
          <w:u w:val="single"/>
        </w:rPr>
        <w:t>a</w:t>
      </w:r>
      <w:r>
        <w:rPr>
          <w:rFonts w:hint="eastAsia"/>
          <w:u w:val="single"/>
        </w:rPr>
        <w:t>。则总计削减量为SO</w:t>
      </w:r>
      <w:r>
        <w:rPr>
          <w:u w:val="single"/>
          <w:vertAlign w:val="subscript"/>
        </w:rPr>
        <w:t>2</w:t>
      </w:r>
      <w:r>
        <w:rPr>
          <w:rFonts w:hint="eastAsia"/>
          <w:u w:val="single"/>
        </w:rPr>
        <w:t>：</w:t>
      </w:r>
      <w:r>
        <w:rPr>
          <w:u w:val="single"/>
        </w:rPr>
        <w:t>988.64t/a</w:t>
      </w:r>
      <w:r>
        <w:rPr>
          <w:rFonts w:hint="eastAsia"/>
          <w:u w:val="single"/>
        </w:rPr>
        <w:t>、NO</w:t>
      </w:r>
      <w:r>
        <w:rPr>
          <w:rFonts w:hint="eastAsia"/>
          <w:u w:val="single"/>
          <w:vertAlign w:val="subscript"/>
        </w:rPr>
        <w:t>x</w:t>
      </w:r>
      <w:r>
        <w:rPr>
          <w:u w:val="single"/>
        </w:rPr>
        <w:t>:188.51t</w:t>
      </w:r>
      <w:r>
        <w:rPr>
          <w:rFonts w:hint="eastAsia"/>
          <w:u w:val="single"/>
        </w:rPr>
        <w:t>/</w:t>
      </w:r>
      <w:r>
        <w:rPr>
          <w:u w:val="single"/>
        </w:rPr>
        <w:t>a</w:t>
      </w:r>
      <w:r>
        <w:rPr>
          <w:rFonts w:hint="eastAsia"/>
          <w:u w:val="single"/>
        </w:rPr>
        <w:t>。</w:t>
      </w:r>
    </w:p>
    <w:p>
      <w:pPr>
        <w:ind w:firstLine="480"/>
        <w:rPr>
          <w:u w:val="single"/>
        </w:rPr>
      </w:pPr>
      <w:r>
        <w:rPr>
          <w:rFonts w:hint="eastAsia"/>
          <w:u w:val="single"/>
        </w:rPr>
        <w:t>本项目总计排放SO</w:t>
      </w:r>
      <w:r>
        <w:rPr>
          <w:u w:val="single"/>
          <w:vertAlign w:val="subscript"/>
        </w:rPr>
        <w:t>2</w:t>
      </w:r>
      <w:r>
        <w:rPr>
          <w:rFonts w:hint="eastAsia"/>
          <w:u w:val="single"/>
        </w:rPr>
        <w:t>：</w:t>
      </w:r>
      <w:r>
        <w:rPr>
          <w:u w:val="single"/>
        </w:rPr>
        <w:t>155.16</w:t>
      </w:r>
      <w:r>
        <w:rPr>
          <w:rFonts w:hint="eastAsia"/>
          <w:u w:val="single"/>
        </w:rPr>
        <w:t>t</w:t>
      </w:r>
      <w:r>
        <w:rPr>
          <w:u w:val="single"/>
        </w:rPr>
        <w:t>/a</w:t>
      </w:r>
      <w:r>
        <w:rPr>
          <w:rFonts w:hint="eastAsia"/>
          <w:u w:val="single"/>
        </w:rPr>
        <w:t>，NO</w:t>
      </w:r>
      <w:r>
        <w:rPr>
          <w:u w:val="single"/>
          <w:vertAlign w:val="subscript"/>
        </w:rPr>
        <w:t>x</w:t>
      </w:r>
      <w:r>
        <w:rPr>
          <w:rFonts w:hint="eastAsia"/>
          <w:u w:val="single"/>
        </w:rPr>
        <w:t>：</w:t>
      </w:r>
      <w:r>
        <w:rPr>
          <w:u w:val="single"/>
        </w:rPr>
        <w:t>407.19</w:t>
      </w:r>
      <w:r>
        <w:rPr>
          <w:rFonts w:hint="eastAsia"/>
          <w:u w:val="single"/>
        </w:rPr>
        <w:t>t</w:t>
      </w:r>
      <w:r>
        <w:rPr>
          <w:u w:val="single"/>
        </w:rPr>
        <w:t>/a</w:t>
      </w:r>
      <w:r>
        <w:rPr>
          <w:rFonts w:hint="eastAsia"/>
          <w:u w:val="single"/>
        </w:rPr>
        <w:t>，根据要求需要进行倍量削减替代，则需要削减SO</w:t>
      </w:r>
      <w:r>
        <w:rPr>
          <w:u w:val="single"/>
          <w:vertAlign w:val="subscript"/>
        </w:rPr>
        <w:t>2</w:t>
      </w:r>
      <w:r>
        <w:rPr>
          <w:rFonts w:hint="eastAsia"/>
          <w:u w:val="single"/>
        </w:rPr>
        <w:t>：3</w:t>
      </w:r>
      <w:r>
        <w:rPr>
          <w:u w:val="single"/>
        </w:rPr>
        <w:t>10.32</w:t>
      </w:r>
      <w:r>
        <w:rPr>
          <w:rFonts w:hint="eastAsia"/>
          <w:u w:val="single"/>
        </w:rPr>
        <w:t>t</w:t>
      </w:r>
      <w:r>
        <w:rPr>
          <w:u w:val="single"/>
        </w:rPr>
        <w:t>/a</w:t>
      </w:r>
      <w:r>
        <w:rPr>
          <w:rFonts w:hint="eastAsia"/>
          <w:u w:val="single"/>
        </w:rPr>
        <w:t>，NO</w:t>
      </w:r>
      <w:r>
        <w:rPr>
          <w:u w:val="single"/>
          <w:vertAlign w:val="subscript"/>
        </w:rPr>
        <w:t>x</w:t>
      </w:r>
      <w:r>
        <w:rPr>
          <w:rFonts w:hint="eastAsia"/>
          <w:u w:val="single"/>
        </w:rPr>
        <w:t>：</w:t>
      </w:r>
      <w:r>
        <w:rPr>
          <w:u w:val="single"/>
        </w:rPr>
        <w:t>814.38</w:t>
      </w:r>
      <w:r>
        <w:rPr>
          <w:rFonts w:hint="eastAsia"/>
          <w:u w:val="single"/>
        </w:rPr>
        <w:t>t</w:t>
      </w:r>
      <w:r>
        <w:rPr>
          <w:u w:val="single"/>
        </w:rPr>
        <w:t>/a</w:t>
      </w:r>
      <w:r>
        <w:rPr>
          <w:rFonts w:hint="eastAsia"/>
          <w:u w:val="single"/>
        </w:rPr>
        <w:t>。衡阳县生态环境局提供的7家关闭砖厂及1</w:t>
      </w:r>
      <w:r>
        <w:rPr>
          <w:u w:val="single"/>
        </w:rPr>
        <w:t>4</w:t>
      </w:r>
      <w:r>
        <w:rPr>
          <w:rFonts w:hint="eastAsia"/>
          <w:u w:val="single"/>
        </w:rPr>
        <w:t>家整改装车的削减量能够满足项目SO</w:t>
      </w:r>
      <w:r>
        <w:rPr>
          <w:u w:val="single"/>
          <w:vertAlign w:val="subscript"/>
        </w:rPr>
        <w:t>2</w:t>
      </w:r>
      <w:r>
        <w:rPr>
          <w:rFonts w:hint="eastAsia"/>
          <w:u w:val="single"/>
        </w:rPr>
        <w:t>的倍量削减需求，但NO</w:t>
      </w:r>
      <w:r>
        <w:rPr>
          <w:rFonts w:hint="eastAsia"/>
          <w:u w:val="single"/>
          <w:vertAlign w:val="subscript"/>
        </w:rPr>
        <w:t>x</w:t>
      </w:r>
      <w:r>
        <w:rPr>
          <w:rFonts w:hint="eastAsia"/>
          <w:u w:val="single"/>
        </w:rPr>
        <w:t>的削减需求仍差6</w:t>
      </w:r>
      <w:r>
        <w:rPr>
          <w:u w:val="single"/>
        </w:rPr>
        <w:t>25.87</w:t>
      </w:r>
      <w:r>
        <w:rPr>
          <w:rFonts w:hint="eastAsia"/>
          <w:u w:val="single"/>
        </w:rPr>
        <w:t>t</w:t>
      </w:r>
      <w:r>
        <w:rPr>
          <w:u w:val="single"/>
        </w:rPr>
        <w:t>/a</w:t>
      </w:r>
      <w:r>
        <w:rPr>
          <w:rFonts w:hint="eastAsia"/>
          <w:u w:val="single"/>
        </w:rPr>
        <w:t>，因此NO</w:t>
      </w:r>
      <w:r>
        <w:rPr>
          <w:rFonts w:hint="eastAsia"/>
          <w:u w:val="single"/>
          <w:vertAlign w:val="subscript"/>
        </w:rPr>
        <w:t>x</w:t>
      </w:r>
      <w:r>
        <w:rPr>
          <w:rFonts w:hint="eastAsia"/>
          <w:u w:val="single"/>
        </w:rPr>
        <w:t>采用异地削减的方法，衡阳县界牌陶瓷工业园购买了湖南柳化桂成化工有限公司NO</w:t>
      </w:r>
      <w:r>
        <w:rPr>
          <w:rFonts w:hint="eastAsia"/>
          <w:u w:val="single"/>
          <w:vertAlign w:val="subscript"/>
        </w:rPr>
        <w:t>x</w:t>
      </w:r>
      <w:r>
        <w:rPr>
          <w:rFonts w:hint="eastAsia"/>
          <w:u w:val="single"/>
        </w:rPr>
        <w:t>总量7</w:t>
      </w:r>
      <w:r>
        <w:rPr>
          <w:u w:val="single"/>
        </w:rPr>
        <w:t>56.13</w:t>
      </w:r>
      <w:r>
        <w:rPr>
          <w:rFonts w:hint="eastAsia"/>
          <w:u w:val="single"/>
        </w:rPr>
        <w:t>t</w:t>
      </w:r>
      <w:r>
        <w:rPr>
          <w:u w:val="single"/>
        </w:rPr>
        <w:t>/a</w:t>
      </w:r>
      <w:r>
        <w:rPr>
          <w:rFonts w:hint="eastAsia"/>
          <w:u w:val="single"/>
        </w:rPr>
        <w:t>，可作为本项目的削减源，湖南柳化桂成化工有限公司由于自身原因原有的NO</w:t>
      </w:r>
      <w:r>
        <w:rPr>
          <w:rFonts w:hint="eastAsia"/>
          <w:u w:val="single"/>
          <w:vertAlign w:val="subscript"/>
        </w:rPr>
        <w:t>x</w:t>
      </w:r>
      <w:r>
        <w:rPr>
          <w:rFonts w:hint="eastAsia"/>
          <w:u w:val="single"/>
        </w:rPr>
        <w:t>排放量削减了7</w:t>
      </w:r>
      <w:r>
        <w:rPr>
          <w:u w:val="single"/>
        </w:rPr>
        <w:t>56.13</w:t>
      </w:r>
      <w:r>
        <w:rPr>
          <w:rFonts w:hint="eastAsia"/>
          <w:u w:val="single"/>
        </w:rPr>
        <w:t>t</w:t>
      </w:r>
      <w:r>
        <w:rPr>
          <w:u w:val="single"/>
        </w:rPr>
        <w:t>/a</w:t>
      </w:r>
      <w:r>
        <w:rPr>
          <w:rFonts w:hint="eastAsia"/>
          <w:u w:val="single"/>
        </w:rPr>
        <w:t>，正好为闲置排放量，交易后作为本项目排放使用。</w:t>
      </w:r>
    </w:p>
    <w:p>
      <w:pPr>
        <w:pStyle w:val="168"/>
        <w:spacing w:before="0" w:beforeAutospacing="0" w:after="0" w:afterAutospacing="0" w:line="360" w:lineRule="auto"/>
        <w:ind w:firstLine="482"/>
        <w:rPr>
          <w:u w:val="single"/>
        </w:rPr>
      </w:pPr>
      <w:r>
        <w:rPr>
          <w:rFonts w:hint="eastAsia"/>
          <w:u w:val="single"/>
        </w:rPr>
        <w:t>（2）短期浓度占标率</w:t>
      </w:r>
    </w:p>
    <w:p>
      <w:pPr>
        <w:pStyle w:val="168"/>
        <w:spacing w:before="0" w:beforeAutospacing="0" w:after="0" w:afterAutospacing="0" w:line="360" w:lineRule="auto"/>
        <w:ind w:firstLine="482"/>
        <w:rPr>
          <w:u w:val="single"/>
        </w:rPr>
      </w:pPr>
      <w:r>
        <w:rPr>
          <w:rFonts w:hint="eastAsia"/>
          <w:u w:val="single"/>
        </w:rPr>
        <w:t>根据预测结果可知，项目各污染物最大贡献值短期浓度占标率如下：</w:t>
      </w:r>
    </w:p>
    <w:p>
      <w:pPr>
        <w:pStyle w:val="168"/>
        <w:jc w:val="center"/>
        <w:rPr>
          <w:u w:val="single"/>
        </w:rPr>
      </w:pPr>
      <w:r>
        <w:rPr>
          <w:rFonts w:hint="eastAsia"/>
          <w:u w:val="single"/>
        </w:rPr>
        <w:t>表5</w:t>
      </w:r>
      <w:r>
        <w:rPr>
          <w:u w:val="single"/>
        </w:rPr>
        <w:t>.2</w:t>
      </w:r>
      <w:r>
        <w:rPr>
          <w:rFonts w:hint="eastAsia"/>
          <w:u w:val="single"/>
        </w:rPr>
        <w:t>-</w:t>
      </w:r>
      <w:r>
        <w:rPr>
          <w:u w:val="single"/>
        </w:rPr>
        <w:t xml:space="preserve">23  </w:t>
      </w:r>
      <w:r>
        <w:rPr>
          <w:rFonts w:hint="eastAsia"/>
          <w:u w:val="single"/>
        </w:rPr>
        <w:t>短期浓度占标率</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80"/>
        <w:gridCol w:w="689"/>
        <w:gridCol w:w="689"/>
        <w:gridCol w:w="732"/>
        <w:gridCol w:w="689"/>
        <w:gridCol w:w="945"/>
        <w:gridCol w:w="827"/>
        <w:gridCol w:w="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8" w:type="pct"/>
          </w:tcPr>
          <w:p>
            <w:pPr>
              <w:pStyle w:val="14"/>
              <w:rPr>
                <w:u w:val="single"/>
              </w:rPr>
            </w:pPr>
            <w:r>
              <w:rPr>
                <w:rFonts w:hint="eastAsia"/>
                <w:u w:val="single"/>
              </w:rPr>
              <w:t>项目</w:t>
            </w:r>
          </w:p>
        </w:tc>
        <w:tc>
          <w:tcPr>
            <w:tcW w:w="371" w:type="pct"/>
          </w:tcPr>
          <w:p>
            <w:pPr>
              <w:pStyle w:val="14"/>
              <w:rPr>
                <w:u w:val="single"/>
              </w:rPr>
            </w:pPr>
            <w:r>
              <w:rPr>
                <w:rFonts w:hint="eastAsia"/>
                <w:u w:val="single"/>
              </w:rPr>
              <w:t>SO</w:t>
            </w:r>
            <w:r>
              <w:rPr>
                <w:u w:val="single"/>
                <w:vertAlign w:val="subscript"/>
              </w:rPr>
              <w:t>2</w:t>
            </w:r>
          </w:p>
        </w:tc>
        <w:tc>
          <w:tcPr>
            <w:tcW w:w="395" w:type="pct"/>
          </w:tcPr>
          <w:p>
            <w:pPr>
              <w:pStyle w:val="14"/>
              <w:rPr>
                <w:u w:val="single"/>
              </w:rPr>
            </w:pPr>
            <w:r>
              <w:rPr>
                <w:rFonts w:hint="eastAsia"/>
                <w:u w:val="single"/>
              </w:rPr>
              <w:t>NO</w:t>
            </w:r>
            <w:r>
              <w:rPr>
                <w:rFonts w:hint="eastAsia"/>
                <w:u w:val="single"/>
                <w:vertAlign w:val="subscript"/>
              </w:rPr>
              <w:t>x</w:t>
            </w:r>
          </w:p>
        </w:tc>
        <w:tc>
          <w:tcPr>
            <w:tcW w:w="442" w:type="pct"/>
          </w:tcPr>
          <w:p>
            <w:pPr>
              <w:pStyle w:val="14"/>
              <w:rPr>
                <w:u w:val="single"/>
              </w:rPr>
            </w:pPr>
            <w:r>
              <w:rPr>
                <w:rFonts w:hint="eastAsia"/>
                <w:u w:val="single"/>
              </w:rPr>
              <w:t>PM</w:t>
            </w:r>
            <w:r>
              <w:rPr>
                <w:u w:val="single"/>
                <w:vertAlign w:val="subscript"/>
              </w:rPr>
              <w:t>10</w:t>
            </w:r>
          </w:p>
        </w:tc>
        <w:tc>
          <w:tcPr>
            <w:tcW w:w="387" w:type="pct"/>
          </w:tcPr>
          <w:p>
            <w:pPr>
              <w:pStyle w:val="14"/>
              <w:rPr>
                <w:u w:val="single"/>
              </w:rPr>
            </w:pPr>
            <w:r>
              <w:rPr>
                <w:rFonts w:hint="eastAsia"/>
                <w:u w:val="single"/>
              </w:rPr>
              <w:t>TSP</w:t>
            </w:r>
          </w:p>
        </w:tc>
        <w:tc>
          <w:tcPr>
            <w:tcW w:w="566" w:type="pct"/>
          </w:tcPr>
          <w:p>
            <w:pPr>
              <w:pStyle w:val="14"/>
              <w:rPr>
                <w:u w:val="single"/>
              </w:rPr>
            </w:pPr>
            <w:r>
              <w:rPr>
                <w:rFonts w:hint="eastAsia"/>
                <w:u w:val="single"/>
              </w:rPr>
              <w:t>氟化物</w:t>
            </w:r>
          </w:p>
        </w:tc>
        <w:tc>
          <w:tcPr>
            <w:tcW w:w="497" w:type="pct"/>
          </w:tcPr>
          <w:p>
            <w:pPr>
              <w:pStyle w:val="14"/>
              <w:rPr>
                <w:u w:val="single"/>
              </w:rPr>
            </w:pPr>
            <w:r>
              <w:rPr>
                <w:rFonts w:hint="eastAsia"/>
                <w:u w:val="single"/>
              </w:rPr>
              <w:t>VOCs</w:t>
            </w:r>
          </w:p>
        </w:tc>
        <w:tc>
          <w:tcPr>
            <w:tcW w:w="465" w:type="pct"/>
          </w:tcPr>
          <w:p>
            <w:pPr>
              <w:pStyle w:val="14"/>
              <w:rPr>
                <w:u w:val="single"/>
              </w:rPr>
            </w:pPr>
            <w:r>
              <w:rPr>
                <w:rFonts w:hint="eastAsia"/>
                <w:u w:val="single"/>
              </w:rPr>
              <w:t>PM</w:t>
            </w:r>
            <w:r>
              <w:rPr>
                <w:u w:val="single"/>
                <w:vertAlign w:val="subscript"/>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78" w:type="pct"/>
          </w:tcPr>
          <w:p>
            <w:pPr>
              <w:pStyle w:val="14"/>
              <w:rPr>
                <w:u w:val="single"/>
              </w:rPr>
            </w:pPr>
            <w:r>
              <w:rPr>
                <w:rFonts w:hint="eastAsia"/>
                <w:u w:val="single"/>
              </w:rPr>
              <w:t>最大1h浓度贡献值占标率%</w:t>
            </w:r>
          </w:p>
        </w:tc>
        <w:tc>
          <w:tcPr>
            <w:tcW w:w="371" w:type="pct"/>
          </w:tcPr>
          <w:p>
            <w:pPr>
              <w:pStyle w:val="14"/>
              <w:rPr>
                <w:u w:val="single"/>
              </w:rPr>
            </w:pPr>
            <w:r>
              <w:rPr>
                <w:rFonts w:hint="eastAsia"/>
                <w:u w:val="single"/>
              </w:rPr>
              <w:t>5</w:t>
            </w:r>
            <w:r>
              <w:rPr>
                <w:u w:val="single"/>
              </w:rPr>
              <w:t>1.88</w:t>
            </w:r>
          </w:p>
        </w:tc>
        <w:tc>
          <w:tcPr>
            <w:tcW w:w="395" w:type="pct"/>
          </w:tcPr>
          <w:p>
            <w:pPr>
              <w:pStyle w:val="14"/>
              <w:rPr>
                <w:u w:val="single"/>
              </w:rPr>
            </w:pPr>
            <w:r>
              <w:rPr>
                <w:rFonts w:hint="eastAsia"/>
                <w:u w:val="single"/>
              </w:rPr>
              <w:t>9</w:t>
            </w:r>
            <w:r>
              <w:rPr>
                <w:u w:val="single"/>
              </w:rPr>
              <w:t>1.84</w:t>
            </w:r>
          </w:p>
        </w:tc>
        <w:tc>
          <w:tcPr>
            <w:tcW w:w="442" w:type="pct"/>
          </w:tcPr>
          <w:p>
            <w:pPr>
              <w:pStyle w:val="14"/>
              <w:rPr>
                <w:u w:val="single"/>
              </w:rPr>
            </w:pPr>
            <w:r>
              <w:rPr>
                <w:rFonts w:hint="eastAsia"/>
                <w:u w:val="single"/>
              </w:rPr>
              <w:t>8</w:t>
            </w:r>
            <w:r>
              <w:rPr>
                <w:u w:val="single"/>
              </w:rPr>
              <w:t>8.98</w:t>
            </w:r>
          </w:p>
        </w:tc>
        <w:tc>
          <w:tcPr>
            <w:tcW w:w="387" w:type="pct"/>
          </w:tcPr>
          <w:p>
            <w:pPr>
              <w:pStyle w:val="14"/>
              <w:rPr>
                <w:u w:val="single"/>
              </w:rPr>
            </w:pPr>
            <w:r>
              <w:rPr>
                <w:rFonts w:hint="eastAsia"/>
                <w:u w:val="single"/>
              </w:rPr>
              <w:t>7</w:t>
            </w:r>
            <w:r>
              <w:rPr>
                <w:u w:val="single"/>
              </w:rPr>
              <w:t>6.29</w:t>
            </w:r>
          </w:p>
        </w:tc>
        <w:tc>
          <w:tcPr>
            <w:tcW w:w="566" w:type="pct"/>
          </w:tcPr>
          <w:p>
            <w:pPr>
              <w:pStyle w:val="14"/>
              <w:rPr>
                <w:u w:val="single"/>
              </w:rPr>
            </w:pPr>
            <w:r>
              <w:rPr>
                <w:rFonts w:hint="eastAsia"/>
                <w:u w:val="single"/>
              </w:rPr>
              <w:t>4</w:t>
            </w:r>
            <w:r>
              <w:rPr>
                <w:u w:val="single"/>
              </w:rPr>
              <w:t>4.36</w:t>
            </w:r>
          </w:p>
        </w:tc>
        <w:tc>
          <w:tcPr>
            <w:tcW w:w="497" w:type="pct"/>
          </w:tcPr>
          <w:p>
            <w:pPr>
              <w:pStyle w:val="14"/>
              <w:rPr>
                <w:u w:val="single"/>
              </w:rPr>
            </w:pPr>
            <w:r>
              <w:rPr>
                <w:rFonts w:hint="eastAsia"/>
                <w:u w:val="single"/>
              </w:rPr>
              <w:t>0</w:t>
            </w:r>
            <w:r>
              <w:rPr>
                <w:u w:val="single"/>
              </w:rPr>
              <w:t>.07</w:t>
            </w:r>
          </w:p>
        </w:tc>
        <w:tc>
          <w:tcPr>
            <w:tcW w:w="465" w:type="pct"/>
          </w:tcPr>
          <w:p>
            <w:pPr>
              <w:pStyle w:val="14"/>
              <w:rPr>
                <w:u w:val="single"/>
              </w:rPr>
            </w:pPr>
            <w:r>
              <w:rPr>
                <w:rFonts w:hint="eastAsia"/>
                <w:u w:val="single"/>
              </w:rPr>
              <w:t>8</w:t>
            </w:r>
            <w:r>
              <w:rPr>
                <w:u w:val="single"/>
              </w:rPr>
              <w:t>7.95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8" w:type="pct"/>
          </w:tcPr>
          <w:p>
            <w:pPr>
              <w:pStyle w:val="14"/>
              <w:rPr>
                <w:u w:val="single"/>
              </w:rPr>
            </w:pPr>
            <w:r>
              <w:rPr>
                <w:rFonts w:hint="eastAsia"/>
                <w:u w:val="single"/>
              </w:rPr>
              <w:t>最大2</w:t>
            </w:r>
            <w:r>
              <w:rPr>
                <w:u w:val="single"/>
              </w:rPr>
              <w:t>4</w:t>
            </w:r>
            <w:r>
              <w:rPr>
                <w:rFonts w:hint="eastAsia"/>
                <w:u w:val="single"/>
              </w:rPr>
              <w:t>h浓贡献值占标率%</w:t>
            </w:r>
          </w:p>
        </w:tc>
        <w:tc>
          <w:tcPr>
            <w:tcW w:w="371" w:type="pct"/>
          </w:tcPr>
          <w:p>
            <w:pPr>
              <w:pStyle w:val="14"/>
              <w:rPr>
                <w:u w:val="single"/>
              </w:rPr>
            </w:pPr>
            <w:r>
              <w:rPr>
                <w:rFonts w:hint="eastAsia"/>
                <w:u w:val="single"/>
              </w:rPr>
              <w:t>2</w:t>
            </w:r>
            <w:r>
              <w:rPr>
                <w:u w:val="single"/>
              </w:rPr>
              <w:t>4.18</w:t>
            </w:r>
          </w:p>
        </w:tc>
        <w:tc>
          <w:tcPr>
            <w:tcW w:w="395" w:type="pct"/>
          </w:tcPr>
          <w:p>
            <w:pPr>
              <w:pStyle w:val="14"/>
              <w:rPr>
                <w:u w:val="single"/>
              </w:rPr>
            </w:pPr>
            <w:r>
              <w:rPr>
                <w:rFonts w:hint="eastAsia"/>
                <w:u w:val="single"/>
              </w:rPr>
              <w:t>8</w:t>
            </w:r>
            <w:r>
              <w:rPr>
                <w:u w:val="single"/>
              </w:rPr>
              <w:t>5.72</w:t>
            </w:r>
          </w:p>
        </w:tc>
        <w:tc>
          <w:tcPr>
            <w:tcW w:w="442" w:type="pct"/>
          </w:tcPr>
          <w:p>
            <w:pPr>
              <w:pStyle w:val="14"/>
              <w:rPr>
                <w:u w:val="single"/>
              </w:rPr>
            </w:pPr>
            <w:r>
              <w:rPr>
                <w:rFonts w:hint="eastAsia"/>
                <w:u w:val="single"/>
              </w:rPr>
              <w:t>3</w:t>
            </w:r>
            <w:r>
              <w:rPr>
                <w:u w:val="single"/>
              </w:rPr>
              <w:t>0.27</w:t>
            </w:r>
          </w:p>
        </w:tc>
        <w:tc>
          <w:tcPr>
            <w:tcW w:w="387" w:type="pct"/>
          </w:tcPr>
          <w:p>
            <w:pPr>
              <w:pStyle w:val="14"/>
              <w:rPr>
                <w:u w:val="single"/>
              </w:rPr>
            </w:pPr>
            <w:r>
              <w:rPr>
                <w:rFonts w:hint="eastAsia"/>
                <w:u w:val="single"/>
              </w:rPr>
              <w:t>1</w:t>
            </w:r>
            <w:r>
              <w:rPr>
                <w:u w:val="single"/>
              </w:rPr>
              <w:t>3.75</w:t>
            </w:r>
          </w:p>
        </w:tc>
        <w:tc>
          <w:tcPr>
            <w:tcW w:w="566" w:type="pct"/>
          </w:tcPr>
          <w:p>
            <w:pPr>
              <w:pStyle w:val="14"/>
              <w:rPr>
                <w:u w:val="single"/>
              </w:rPr>
            </w:pPr>
            <w:r>
              <w:rPr>
                <w:rFonts w:hint="eastAsia"/>
                <w:u w:val="single"/>
              </w:rPr>
              <w:t>1</w:t>
            </w:r>
            <w:r>
              <w:rPr>
                <w:u w:val="single"/>
              </w:rPr>
              <w:t>8.71</w:t>
            </w:r>
          </w:p>
        </w:tc>
        <w:tc>
          <w:tcPr>
            <w:tcW w:w="497" w:type="pct"/>
          </w:tcPr>
          <w:p>
            <w:pPr>
              <w:pStyle w:val="14"/>
              <w:rPr>
                <w:u w:val="single"/>
              </w:rPr>
            </w:pPr>
            <w:r>
              <w:rPr>
                <w:rFonts w:hint="eastAsia"/>
                <w:u w:val="single"/>
              </w:rPr>
              <w:t>0</w:t>
            </w:r>
            <w:r>
              <w:rPr>
                <w:u w:val="single"/>
              </w:rPr>
              <w:t>.02</w:t>
            </w:r>
          </w:p>
        </w:tc>
        <w:tc>
          <w:tcPr>
            <w:tcW w:w="465" w:type="pct"/>
          </w:tcPr>
          <w:p>
            <w:pPr>
              <w:pStyle w:val="14"/>
              <w:rPr>
                <w:u w:val="single"/>
              </w:rPr>
            </w:pPr>
            <w:r>
              <w:rPr>
                <w:rFonts w:hint="eastAsia"/>
                <w:u w:val="single"/>
              </w:rPr>
              <w:t>8</w:t>
            </w:r>
            <w:r>
              <w:rPr>
                <w:u w:val="single"/>
              </w:rPr>
              <w:t>7.89</w:t>
            </w:r>
          </w:p>
        </w:tc>
      </w:tr>
    </w:tbl>
    <w:p>
      <w:pPr>
        <w:pStyle w:val="168"/>
        <w:spacing w:before="0" w:beforeAutospacing="0" w:after="0" w:afterAutospacing="0" w:line="360" w:lineRule="auto"/>
        <w:ind w:firstLine="482"/>
        <w:rPr>
          <w:u w:val="single"/>
        </w:rPr>
      </w:pPr>
      <w:r>
        <w:rPr>
          <w:rFonts w:hint="eastAsia"/>
          <w:u w:val="single"/>
        </w:rPr>
        <w:t>根据上表可知，项目各污染物短期浓度占标率均低于1</w:t>
      </w:r>
      <w:r>
        <w:rPr>
          <w:u w:val="single"/>
        </w:rPr>
        <w:t>00</w:t>
      </w:r>
      <w:r>
        <w:rPr>
          <w:rFonts w:hint="eastAsia"/>
          <w:u w:val="single"/>
        </w:rPr>
        <w:t>%，因此大气环境影响可以接受。</w:t>
      </w:r>
    </w:p>
    <w:p>
      <w:pPr>
        <w:pStyle w:val="168"/>
        <w:spacing w:before="0" w:beforeAutospacing="0" w:after="0" w:afterAutospacing="0" w:line="360" w:lineRule="auto"/>
        <w:ind w:firstLine="482"/>
        <w:rPr>
          <w:u w:val="single"/>
        </w:rPr>
      </w:pPr>
      <w:r>
        <w:rPr>
          <w:rFonts w:hint="eastAsia"/>
          <w:u w:val="single"/>
        </w:rPr>
        <w:t>（3）贡献值长期浓度占标率</w:t>
      </w:r>
    </w:p>
    <w:p>
      <w:pPr>
        <w:pStyle w:val="168"/>
        <w:spacing w:before="0" w:beforeAutospacing="0" w:after="0" w:afterAutospacing="0" w:line="360" w:lineRule="auto"/>
        <w:ind w:firstLine="482"/>
        <w:rPr>
          <w:u w:val="single"/>
        </w:rPr>
      </w:pPr>
      <w:r>
        <w:rPr>
          <w:rFonts w:hint="eastAsia"/>
          <w:u w:val="single"/>
        </w:rPr>
        <w:t>根据预测结果可知，项目各污染物最大贡献值长期浓度占标率如下：</w:t>
      </w:r>
    </w:p>
    <w:p>
      <w:pPr>
        <w:pStyle w:val="168"/>
        <w:spacing w:before="0" w:beforeAutospacing="0" w:after="0" w:afterAutospacing="0" w:line="360" w:lineRule="auto"/>
        <w:jc w:val="center"/>
        <w:rPr>
          <w:u w:val="single"/>
        </w:rPr>
      </w:pPr>
      <w:r>
        <w:rPr>
          <w:rFonts w:hint="eastAsia"/>
          <w:u w:val="single"/>
        </w:rPr>
        <w:t>表5</w:t>
      </w:r>
      <w:r>
        <w:rPr>
          <w:u w:val="single"/>
        </w:rPr>
        <w:t>.2</w:t>
      </w:r>
      <w:r>
        <w:rPr>
          <w:rFonts w:hint="eastAsia"/>
          <w:u w:val="single"/>
        </w:rPr>
        <w:t>-</w:t>
      </w:r>
      <w:r>
        <w:rPr>
          <w:u w:val="single"/>
        </w:rPr>
        <w:t xml:space="preserve">24  </w:t>
      </w:r>
      <w:r>
        <w:rPr>
          <w:rFonts w:hint="eastAsia"/>
          <w:u w:val="single"/>
        </w:rPr>
        <w:t>短期浓度占标率</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88"/>
        <w:gridCol w:w="689"/>
        <w:gridCol w:w="689"/>
        <w:gridCol w:w="741"/>
        <w:gridCol w:w="648"/>
        <w:gridCol w:w="953"/>
        <w:gridCol w:w="835"/>
        <w:gridCol w:w="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8" w:type="pct"/>
          </w:tcPr>
          <w:p>
            <w:pPr>
              <w:pStyle w:val="14"/>
              <w:rPr>
                <w:u w:val="single"/>
              </w:rPr>
            </w:pPr>
            <w:r>
              <w:rPr>
                <w:rFonts w:hint="eastAsia"/>
                <w:u w:val="single"/>
              </w:rPr>
              <w:t>项目</w:t>
            </w:r>
          </w:p>
        </w:tc>
        <w:tc>
          <w:tcPr>
            <w:tcW w:w="371" w:type="pct"/>
          </w:tcPr>
          <w:p>
            <w:pPr>
              <w:pStyle w:val="14"/>
              <w:rPr>
                <w:u w:val="single"/>
              </w:rPr>
            </w:pPr>
            <w:r>
              <w:rPr>
                <w:rFonts w:hint="eastAsia"/>
                <w:u w:val="single"/>
              </w:rPr>
              <w:t>SO</w:t>
            </w:r>
            <w:r>
              <w:rPr>
                <w:u w:val="single"/>
                <w:vertAlign w:val="subscript"/>
              </w:rPr>
              <w:t>2</w:t>
            </w:r>
          </w:p>
        </w:tc>
        <w:tc>
          <w:tcPr>
            <w:tcW w:w="395" w:type="pct"/>
          </w:tcPr>
          <w:p>
            <w:pPr>
              <w:pStyle w:val="14"/>
              <w:rPr>
                <w:u w:val="single"/>
              </w:rPr>
            </w:pPr>
            <w:r>
              <w:rPr>
                <w:rFonts w:hint="eastAsia"/>
                <w:u w:val="single"/>
              </w:rPr>
              <w:t>NO</w:t>
            </w:r>
            <w:r>
              <w:rPr>
                <w:rFonts w:hint="eastAsia"/>
                <w:u w:val="single"/>
                <w:vertAlign w:val="subscript"/>
              </w:rPr>
              <w:t>x</w:t>
            </w:r>
          </w:p>
        </w:tc>
        <w:tc>
          <w:tcPr>
            <w:tcW w:w="442" w:type="pct"/>
          </w:tcPr>
          <w:p>
            <w:pPr>
              <w:pStyle w:val="14"/>
              <w:rPr>
                <w:u w:val="single"/>
              </w:rPr>
            </w:pPr>
            <w:r>
              <w:rPr>
                <w:rFonts w:hint="eastAsia"/>
                <w:u w:val="single"/>
              </w:rPr>
              <w:t>PM</w:t>
            </w:r>
            <w:r>
              <w:rPr>
                <w:u w:val="single"/>
                <w:vertAlign w:val="subscript"/>
              </w:rPr>
              <w:t>10</w:t>
            </w:r>
          </w:p>
        </w:tc>
        <w:tc>
          <w:tcPr>
            <w:tcW w:w="387" w:type="pct"/>
          </w:tcPr>
          <w:p>
            <w:pPr>
              <w:pStyle w:val="14"/>
              <w:rPr>
                <w:u w:val="single"/>
              </w:rPr>
            </w:pPr>
            <w:r>
              <w:rPr>
                <w:rFonts w:hint="eastAsia"/>
                <w:u w:val="single"/>
              </w:rPr>
              <w:t>TSP</w:t>
            </w:r>
          </w:p>
        </w:tc>
        <w:tc>
          <w:tcPr>
            <w:tcW w:w="566" w:type="pct"/>
          </w:tcPr>
          <w:p>
            <w:pPr>
              <w:pStyle w:val="14"/>
              <w:rPr>
                <w:u w:val="single"/>
              </w:rPr>
            </w:pPr>
            <w:r>
              <w:rPr>
                <w:rFonts w:hint="eastAsia"/>
                <w:u w:val="single"/>
              </w:rPr>
              <w:t>氟化物</w:t>
            </w:r>
          </w:p>
        </w:tc>
        <w:tc>
          <w:tcPr>
            <w:tcW w:w="497" w:type="pct"/>
          </w:tcPr>
          <w:p>
            <w:pPr>
              <w:pStyle w:val="14"/>
              <w:rPr>
                <w:u w:val="single"/>
              </w:rPr>
            </w:pPr>
            <w:r>
              <w:rPr>
                <w:rFonts w:hint="eastAsia"/>
                <w:u w:val="single"/>
              </w:rPr>
              <w:t>VOCs</w:t>
            </w:r>
          </w:p>
        </w:tc>
        <w:tc>
          <w:tcPr>
            <w:tcW w:w="464" w:type="pct"/>
          </w:tcPr>
          <w:p>
            <w:pPr>
              <w:pStyle w:val="14"/>
              <w:rPr>
                <w:u w:val="single"/>
              </w:rPr>
            </w:pPr>
            <w:r>
              <w:rPr>
                <w:rFonts w:hint="eastAsia"/>
                <w:u w:val="single"/>
              </w:rPr>
              <w:t>PM</w:t>
            </w:r>
            <w:r>
              <w:rPr>
                <w:u w:val="single"/>
                <w:vertAlign w:val="subscript"/>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8" w:type="pct"/>
          </w:tcPr>
          <w:p>
            <w:pPr>
              <w:pStyle w:val="14"/>
              <w:rPr>
                <w:u w:val="single"/>
              </w:rPr>
            </w:pPr>
            <w:r>
              <w:rPr>
                <w:rFonts w:hint="eastAsia"/>
                <w:u w:val="single"/>
              </w:rPr>
              <w:t>最大年均浓度贡献值占标率%</w:t>
            </w:r>
          </w:p>
        </w:tc>
        <w:tc>
          <w:tcPr>
            <w:tcW w:w="371" w:type="pct"/>
          </w:tcPr>
          <w:p>
            <w:pPr>
              <w:pStyle w:val="14"/>
              <w:rPr>
                <w:u w:val="single"/>
              </w:rPr>
            </w:pPr>
            <w:r>
              <w:rPr>
                <w:rFonts w:hint="eastAsia"/>
                <w:u w:val="single"/>
              </w:rPr>
              <w:t>1</w:t>
            </w:r>
            <w:r>
              <w:rPr>
                <w:u w:val="single"/>
              </w:rPr>
              <w:t>3.63</w:t>
            </w:r>
          </w:p>
        </w:tc>
        <w:tc>
          <w:tcPr>
            <w:tcW w:w="395" w:type="pct"/>
          </w:tcPr>
          <w:p>
            <w:pPr>
              <w:pStyle w:val="14"/>
              <w:rPr>
                <w:u w:val="single"/>
              </w:rPr>
            </w:pPr>
            <w:r>
              <w:rPr>
                <w:rFonts w:hint="eastAsia"/>
                <w:u w:val="single"/>
              </w:rPr>
              <w:t>2</w:t>
            </w:r>
            <w:r>
              <w:rPr>
                <w:u w:val="single"/>
              </w:rPr>
              <w:t>7.74</w:t>
            </w:r>
          </w:p>
        </w:tc>
        <w:tc>
          <w:tcPr>
            <w:tcW w:w="442" w:type="pct"/>
          </w:tcPr>
          <w:p>
            <w:pPr>
              <w:pStyle w:val="14"/>
              <w:rPr>
                <w:u w:val="single"/>
              </w:rPr>
            </w:pPr>
            <w:r>
              <w:rPr>
                <w:rFonts w:hint="eastAsia"/>
                <w:u w:val="single"/>
              </w:rPr>
              <w:t>2</w:t>
            </w:r>
            <w:r>
              <w:rPr>
                <w:u w:val="single"/>
              </w:rPr>
              <w:t>7.04</w:t>
            </w:r>
          </w:p>
        </w:tc>
        <w:tc>
          <w:tcPr>
            <w:tcW w:w="387" w:type="pct"/>
          </w:tcPr>
          <w:p>
            <w:pPr>
              <w:pStyle w:val="14"/>
              <w:rPr>
                <w:u w:val="single"/>
              </w:rPr>
            </w:pPr>
            <w:r>
              <w:rPr>
                <w:rFonts w:hint="eastAsia"/>
                <w:u w:val="single"/>
              </w:rPr>
              <w:t>7</w:t>
            </w:r>
            <w:r>
              <w:rPr>
                <w:u w:val="single"/>
              </w:rPr>
              <w:t>.0</w:t>
            </w:r>
          </w:p>
        </w:tc>
        <w:tc>
          <w:tcPr>
            <w:tcW w:w="566" w:type="pct"/>
          </w:tcPr>
          <w:p>
            <w:pPr>
              <w:pStyle w:val="14"/>
              <w:rPr>
                <w:u w:val="single"/>
              </w:rPr>
            </w:pPr>
            <w:r>
              <w:rPr>
                <w:rFonts w:hint="eastAsia"/>
                <w:u w:val="single"/>
              </w:rPr>
              <w:t>/</w:t>
            </w:r>
          </w:p>
        </w:tc>
        <w:tc>
          <w:tcPr>
            <w:tcW w:w="497" w:type="pct"/>
          </w:tcPr>
          <w:p>
            <w:pPr>
              <w:pStyle w:val="14"/>
              <w:rPr>
                <w:u w:val="single"/>
              </w:rPr>
            </w:pPr>
            <w:r>
              <w:rPr>
                <w:rFonts w:hint="eastAsia"/>
                <w:u w:val="single"/>
              </w:rPr>
              <w:t>/</w:t>
            </w:r>
          </w:p>
        </w:tc>
        <w:tc>
          <w:tcPr>
            <w:tcW w:w="464" w:type="pct"/>
          </w:tcPr>
          <w:p>
            <w:pPr>
              <w:pStyle w:val="14"/>
              <w:rPr>
                <w:u w:val="single"/>
              </w:rPr>
            </w:pPr>
            <w:r>
              <w:rPr>
                <w:rFonts w:hint="eastAsia"/>
                <w:u w:val="single"/>
              </w:rPr>
              <w:t>2</w:t>
            </w:r>
            <w:r>
              <w:rPr>
                <w:u w:val="single"/>
              </w:rPr>
              <w:t>8.03</w:t>
            </w:r>
          </w:p>
        </w:tc>
      </w:tr>
    </w:tbl>
    <w:p>
      <w:pPr>
        <w:pStyle w:val="168"/>
        <w:spacing w:before="0" w:beforeAutospacing="0" w:after="0" w:afterAutospacing="0" w:line="360" w:lineRule="auto"/>
        <w:ind w:firstLine="480"/>
        <w:rPr>
          <w:u w:val="single"/>
        </w:rPr>
      </w:pPr>
      <w:r>
        <w:rPr>
          <w:rFonts w:hint="eastAsia"/>
          <w:u w:val="single"/>
        </w:rPr>
        <w:t>根据上表可知，项目各污染物年均浓度占标率均低于3</w:t>
      </w:r>
      <w:r>
        <w:rPr>
          <w:u w:val="single"/>
        </w:rPr>
        <w:t>0</w:t>
      </w:r>
      <w:r>
        <w:rPr>
          <w:rFonts w:hint="eastAsia"/>
          <w:u w:val="single"/>
        </w:rPr>
        <w:t>%，因此大气环境影响可以接受。</w:t>
      </w:r>
    </w:p>
    <w:p>
      <w:pPr>
        <w:pStyle w:val="168"/>
        <w:spacing w:before="0" w:beforeAutospacing="0" w:after="0" w:afterAutospacing="0" w:line="360" w:lineRule="auto"/>
        <w:ind w:firstLine="480"/>
        <w:rPr>
          <w:u w:val="single"/>
        </w:rPr>
      </w:pPr>
      <w:r>
        <w:rPr>
          <w:rFonts w:hint="eastAsia"/>
          <w:u w:val="single"/>
        </w:rPr>
        <w:t>（4）叠加浓度评价</w:t>
      </w:r>
    </w:p>
    <w:p>
      <w:pPr>
        <w:pStyle w:val="168"/>
        <w:spacing w:before="0" w:beforeAutospacing="0" w:after="0" w:afterAutospacing="0" w:line="360" w:lineRule="auto"/>
        <w:ind w:firstLine="480"/>
        <w:rPr>
          <w:u w:val="single"/>
        </w:rPr>
      </w:pPr>
      <w:r>
        <w:rPr>
          <w:rFonts w:hint="eastAsia"/>
          <w:u w:val="single"/>
        </w:rPr>
        <w:t>根据预测结果可知，项目各污染物叠加浓度如下：</w:t>
      </w:r>
    </w:p>
    <w:p>
      <w:pPr>
        <w:pStyle w:val="168"/>
        <w:spacing w:before="0" w:beforeAutospacing="0" w:after="0" w:afterAutospacing="0" w:line="360" w:lineRule="auto"/>
        <w:jc w:val="center"/>
        <w:rPr>
          <w:u w:val="single"/>
        </w:rPr>
      </w:pPr>
      <w:r>
        <w:rPr>
          <w:rFonts w:hint="eastAsia"/>
          <w:u w:val="single"/>
        </w:rPr>
        <w:t>表5</w:t>
      </w:r>
      <w:r>
        <w:rPr>
          <w:u w:val="single"/>
        </w:rPr>
        <w:t>.2</w:t>
      </w:r>
      <w:r>
        <w:rPr>
          <w:rFonts w:hint="eastAsia"/>
          <w:u w:val="single"/>
        </w:rPr>
        <w:t>-</w:t>
      </w:r>
      <w:r>
        <w:rPr>
          <w:u w:val="single"/>
        </w:rPr>
        <w:t xml:space="preserve">25  </w:t>
      </w:r>
      <w:r>
        <w:rPr>
          <w:rFonts w:hint="eastAsia"/>
          <w:u w:val="single"/>
        </w:rPr>
        <w:t>短期浓度占标率</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6"/>
        <w:gridCol w:w="814"/>
        <w:gridCol w:w="815"/>
        <w:gridCol w:w="815"/>
        <w:gridCol w:w="815"/>
        <w:gridCol w:w="829"/>
        <w:gridCol w:w="794"/>
        <w:gridCol w:w="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项目</w:t>
            </w:r>
          </w:p>
        </w:tc>
        <w:tc>
          <w:tcPr>
            <w:tcW w:w="479" w:type="pct"/>
            <w:vAlign w:val="center"/>
          </w:tcPr>
          <w:p>
            <w:pPr>
              <w:pStyle w:val="14"/>
              <w:rPr>
                <w:u w:val="single"/>
              </w:rPr>
            </w:pPr>
            <w:r>
              <w:rPr>
                <w:rFonts w:hint="eastAsia"/>
                <w:u w:val="single"/>
              </w:rPr>
              <w:t>SO</w:t>
            </w:r>
            <w:r>
              <w:rPr>
                <w:u w:val="single"/>
                <w:vertAlign w:val="subscript"/>
              </w:rPr>
              <w:t>2</w:t>
            </w:r>
          </w:p>
        </w:tc>
        <w:tc>
          <w:tcPr>
            <w:tcW w:w="479" w:type="pct"/>
            <w:vAlign w:val="center"/>
          </w:tcPr>
          <w:p>
            <w:pPr>
              <w:pStyle w:val="14"/>
              <w:rPr>
                <w:u w:val="single"/>
              </w:rPr>
            </w:pPr>
            <w:r>
              <w:rPr>
                <w:rFonts w:hint="eastAsia"/>
                <w:u w:val="single"/>
              </w:rPr>
              <w:t>NO</w:t>
            </w:r>
            <w:r>
              <w:rPr>
                <w:rFonts w:hint="eastAsia"/>
                <w:u w:val="single"/>
                <w:vertAlign w:val="subscript"/>
              </w:rPr>
              <w:t>x</w:t>
            </w:r>
          </w:p>
        </w:tc>
        <w:tc>
          <w:tcPr>
            <w:tcW w:w="479" w:type="pct"/>
            <w:vAlign w:val="center"/>
          </w:tcPr>
          <w:p>
            <w:pPr>
              <w:pStyle w:val="14"/>
              <w:rPr>
                <w:u w:val="single"/>
              </w:rPr>
            </w:pPr>
            <w:r>
              <w:rPr>
                <w:rFonts w:hint="eastAsia"/>
                <w:u w:val="single"/>
              </w:rPr>
              <w:t>PM</w:t>
            </w:r>
            <w:r>
              <w:rPr>
                <w:u w:val="single"/>
                <w:vertAlign w:val="subscript"/>
              </w:rPr>
              <w:t>10</w:t>
            </w:r>
          </w:p>
        </w:tc>
        <w:tc>
          <w:tcPr>
            <w:tcW w:w="479" w:type="pct"/>
            <w:vAlign w:val="center"/>
          </w:tcPr>
          <w:p>
            <w:pPr>
              <w:pStyle w:val="14"/>
              <w:rPr>
                <w:u w:val="single"/>
              </w:rPr>
            </w:pPr>
            <w:r>
              <w:rPr>
                <w:rFonts w:hint="eastAsia"/>
                <w:u w:val="single"/>
              </w:rPr>
              <w:t>TSP</w:t>
            </w:r>
          </w:p>
        </w:tc>
        <w:tc>
          <w:tcPr>
            <w:tcW w:w="487" w:type="pct"/>
            <w:vAlign w:val="center"/>
          </w:tcPr>
          <w:p>
            <w:pPr>
              <w:pStyle w:val="14"/>
              <w:rPr>
                <w:u w:val="single"/>
              </w:rPr>
            </w:pPr>
            <w:r>
              <w:rPr>
                <w:rFonts w:hint="eastAsia"/>
                <w:u w:val="single"/>
              </w:rPr>
              <w:t>氟化物</w:t>
            </w:r>
          </w:p>
        </w:tc>
        <w:tc>
          <w:tcPr>
            <w:tcW w:w="460" w:type="pct"/>
            <w:vAlign w:val="center"/>
          </w:tcPr>
          <w:p>
            <w:pPr>
              <w:pStyle w:val="14"/>
              <w:rPr>
                <w:u w:val="single"/>
              </w:rPr>
            </w:pPr>
            <w:r>
              <w:rPr>
                <w:rFonts w:hint="eastAsia"/>
                <w:u w:val="single"/>
              </w:rPr>
              <w:t>VOCs</w:t>
            </w:r>
          </w:p>
        </w:tc>
        <w:tc>
          <w:tcPr>
            <w:tcW w:w="479" w:type="pct"/>
            <w:vAlign w:val="center"/>
          </w:tcPr>
          <w:p>
            <w:pPr>
              <w:pStyle w:val="14"/>
              <w:rPr>
                <w:u w:val="single"/>
              </w:rPr>
            </w:pPr>
            <w:r>
              <w:rPr>
                <w:rFonts w:hint="eastAsia"/>
                <w:u w:val="single"/>
              </w:rPr>
              <w:t>PM</w:t>
            </w:r>
            <w:r>
              <w:rPr>
                <w:u w:val="single"/>
                <w:vertAlign w:val="subscript"/>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1h浓度贡献值ug</w:t>
            </w:r>
            <w:r>
              <w:rPr>
                <w:u w:val="single"/>
              </w:rPr>
              <w:t>/m</w:t>
            </w:r>
            <w:r>
              <w:rPr>
                <w:u w:val="single"/>
                <w:vertAlign w:val="superscript"/>
              </w:rPr>
              <w:t>3</w:t>
            </w:r>
          </w:p>
        </w:tc>
        <w:tc>
          <w:tcPr>
            <w:tcW w:w="479" w:type="pct"/>
          </w:tcPr>
          <w:p>
            <w:pPr>
              <w:pStyle w:val="14"/>
              <w:rPr>
                <w:u w:val="single"/>
              </w:rPr>
            </w:pPr>
            <w:r>
              <w:rPr>
                <w:u w:val="single"/>
              </w:rPr>
              <w:t>259.40</w:t>
            </w:r>
          </w:p>
        </w:tc>
        <w:tc>
          <w:tcPr>
            <w:tcW w:w="479" w:type="pct"/>
          </w:tcPr>
          <w:p>
            <w:pPr>
              <w:pStyle w:val="14"/>
              <w:rPr>
                <w:u w:val="single"/>
              </w:rPr>
            </w:pPr>
            <w:r>
              <w:rPr>
                <w:u w:val="single"/>
              </w:rPr>
              <w:t>229.61</w:t>
            </w:r>
          </w:p>
        </w:tc>
        <w:tc>
          <w:tcPr>
            <w:tcW w:w="479" w:type="pct"/>
          </w:tcPr>
          <w:p>
            <w:pPr>
              <w:pStyle w:val="14"/>
              <w:rPr>
                <w:u w:val="single"/>
              </w:rPr>
            </w:pPr>
            <w:r>
              <w:rPr>
                <w:u w:val="single"/>
              </w:rPr>
              <w:t>350.89</w:t>
            </w:r>
          </w:p>
        </w:tc>
        <w:tc>
          <w:tcPr>
            <w:tcW w:w="479" w:type="pct"/>
          </w:tcPr>
          <w:p>
            <w:pPr>
              <w:pStyle w:val="14"/>
              <w:rPr>
                <w:u w:val="single"/>
              </w:rPr>
            </w:pPr>
            <w:r>
              <w:rPr>
                <w:u w:val="single"/>
              </w:rPr>
              <w:t>686.62</w:t>
            </w:r>
          </w:p>
        </w:tc>
        <w:tc>
          <w:tcPr>
            <w:tcW w:w="487" w:type="pct"/>
          </w:tcPr>
          <w:p>
            <w:pPr>
              <w:pStyle w:val="14"/>
              <w:rPr>
                <w:u w:val="single"/>
              </w:rPr>
            </w:pPr>
            <w:r>
              <w:rPr>
                <w:u w:val="single"/>
              </w:rPr>
              <w:t>8.87</w:t>
            </w:r>
          </w:p>
        </w:tc>
        <w:tc>
          <w:tcPr>
            <w:tcW w:w="460" w:type="pct"/>
          </w:tcPr>
          <w:p>
            <w:pPr>
              <w:pStyle w:val="14"/>
              <w:rPr>
                <w:u w:val="single"/>
              </w:rPr>
            </w:pPr>
            <w:r>
              <w:rPr>
                <w:u w:val="single"/>
              </w:rPr>
              <w:t>0.79</w:t>
            </w:r>
          </w:p>
        </w:tc>
        <w:tc>
          <w:tcPr>
            <w:tcW w:w="479" w:type="pct"/>
          </w:tcPr>
          <w:p>
            <w:pPr>
              <w:pStyle w:val="14"/>
              <w:rPr>
                <w:u w:val="single"/>
              </w:rPr>
            </w:pPr>
            <w:r>
              <w:rPr>
                <w:u w:val="single"/>
              </w:rPr>
              <w:t>197.89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1</w:t>
            </w:r>
            <w:r>
              <w:rPr>
                <w:u w:val="single"/>
              </w:rPr>
              <w:t>h</w:t>
            </w:r>
            <w:r>
              <w:rPr>
                <w:rFonts w:hint="eastAsia"/>
                <w:u w:val="single"/>
              </w:rPr>
              <w:t>浓度现状值ug</w:t>
            </w:r>
            <w:r>
              <w:rPr>
                <w:u w:val="single"/>
              </w:rPr>
              <w:t>/m</w:t>
            </w:r>
            <w:r>
              <w:rPr>
                <w:u w:val="single"/>
                <w:vertAlign w:val="superscript"/>
              </w:rPr>
              <w:t>3</w:t>
            </w:r>
          </w:p>
        </w:tc>
        <w:tc>
          <w:tcPr>
            <w:tcW w:w="479" w:type="pct"/>
            <w:vAlign w:val="center"/>
          </w:tcPr>
          <w:p>
            <w:pPr>
              <w:pStyle w:val="14"/>
              <w:rPr>
                <w:u w:val="single"/>
              </w:rPr>
            </w:pPr>
            <w:r>
              <w:rPr>
                <w:rFonts w:hint="eastAsia"/>
                <w:u w:val="single"/>
              </w:rPr>
              <w:t>/</w:t>
            </w:r>
          </w:p>
        </w:tc>
        <w:tc>
          <w:tcPr>
            <w:tcW w:w="479" w:type="pct"/>
            <w:vAlign w:val="center"/>
          </w:tcPr>
          <w:p>
            <w:pPr>
              <w:pStyle w:val="14"/>
              <w:rPr>
                <w:u w:val="single"/>
              </w:rPr>
            </w:pPr>
            <w:r>
              <w:rPr>
                <w:rFonts w:hint="eastAsia"/>
                <w:u w:val="single"/>
              </w:rPr>
              <w:t>/</w:t>
            </w:r>
          </w:p>
        </w:tc>
        <w:tc>
          <w:tcPr>
            <w:tcW w:w="479" w:type="pct"/>
            <w:vAlign w:val="center"/>
          </w:tcPr>
          <w:p>
            <w:pPr>
              <w:pStyle w:val="14"/>
              <w:rPr>
                <w:u w:val="single"/>
              </w:rPr>
            </w:pPr>
            <w:r>
              <w:rPr>
                <w:rFonts w:hint="eastAsia"/>
                <w:u w:val="single"/>
              </w:rPr>
              <w:t>/</w:t>
            </w:r>
          </w:p>
        </w:tc>
        <w:tc>
          <w:tcPr>
            <w:tcW w:w="479" w:type="pct"/>
            <w:vAlign w:val="center"/>
          </w:tcPr>
          <w:p>
            <w:pPr>
              <w:pStyle w:val="14"/>
              <w:rPr>
                <w:u w:val="single"/>
              </w:rPr>
            </w:pPr>
            <w:r>
              <w:rPr>
                <w:rFonts w:hint="eastAsia"/>
                <w:u w:val="single"/>
              </w:rPr>
              <w:t>/</w:t>
            </w:r>
          </w:p>
        </w:tc>
        <w:tc>
          <w:tcPr>
            <w:tcW w:w="487" w:type="pct"/>
            <w:vAlign w:val="center"/>
          </w:tcPr>
          <w:p>
            <w:pPr>
              <w:pStyle w:val="14"/>
              <w:rPr>
                <w:u w:val="single"/>
              </w:rPr>
            </w:pPr>
            <w:r>
              <w:rPr>
                <w:rFonts w:hint="eastAsia"/>
                <w:u w:val="single"/>
              </w:rPr>
              <w:t>/</w:t>
            </w:r>
          </w:p>
        </w:tc>
        <w:tc>
          <w:tcPr>
            <w:tcW w:w="460" w:type="pct"/>
            <w:vAlign w:val="center"/>
          </w:tcPr>
          <w:p>
            <w:pPr>
              <w:pStyle w:val="14"/>
              <w:rPr>
                <w:u w:val="single"/>
              </w:rPr>
            </w:pPr>
            <w:r>
              <w:rPr>
                <w:rFonts w:hint="eastAsia"/>
                <w:u w:val="single"/>
              </w:rPr>
              <w:t>/</w:t>
            </w:r>
          </w:p>
        </w:tc>
        <w:tc>
          <w:tcPr>
            <w:tcW w:w="479" w:type="pct"/>
            <w:vAlign w:val="center"/>
          </w:tcPr>
          <w:p>
            <w:pPr>
              <w:pStyle w:val="14"/>
              <w:rPr>
                <w:u w:val="single"/>
              </w:rPr>
            </w:pPr>
            <w:r>
              <w:rPr>
                <w:rFonts w:hint="eastAsia"/>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在建/拟建污染源1h</w:t>
            </w:r>
          </w:p>
          <w:p>
            <w:pPr>
              <w:pStyle w:val="14"/>
              <w:rPr>
                <w:u w:val="single"/>
              </w:rPr>
            </w:pPr>
            <w:r>
              <w:rPr>
                <w:rFonts w:hint="eastAsia"/>
                <w:u w:val="single"/>
              </w:rPr>
              <w:t>浓度贡献值ug</w:t>
            </w:r>
            <w:r>
              <w:rPr>
                <w:u w:val="single"/>
              </w:rPr>
              <w:t>/m</w:t>
            </w:r>
            <w:r>
              <w:rPr>
                <w:u w:val="single"/>
                <w:vertAlign w:val="superscript"/>
              </w:rPr>
              <w:t>3</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87" w:type="pct"/>
            <w:vAlign w:val="center"/>
          </w:tcPr>
          <w:p>
            <w:pPr>
              <w:pStyle w:val="14"/>
              <w:rPr>
                <w:u w:val="single"/>
              </w:rPr>
            </w:pPr>
            <w:r>
              <w:rPr>
                <w:rFonts w:hint="eastAsia"/>
                <w:u w:val="single"/>
              </w:rPr>
              <w:t>0</w:t>
            </w:r>
          </w:p>
        </w:tc>
        <w:tc>
          <w:tcPr>
            <w:tcW w:w="460"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削减污染源1h浓</w:t>
            </w:r>
          </w:p>
          <w:p>
            <w:pPr>
              <w:pStyle w:val="14"/>
              <w:rPr>
                <w:u w:val="single"/>
              </w:rPr>
            </w:pPr>
            <w:r>
              <w:rPr>
                <w:rFonts w:hint="eastAsia"/>
                <w:u w:val="single"/>
              </w:rPr>
              <w:t>度贡献值ug</w:t>
            </w:r>
            <w:r>
              <w:rPr>
                <w:u w:val="single"/>
              </w:rPr>
              <w:t>/m</w:t>
            </w:r>
            <w:r>
              <w:rPr>
                <w:u w:val="single"/>
                <w:vertAlign w:val="superscript"/>
              </w:rPr>
              <w:t>3</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87" w:type="pct"/>
            <w:vAlign w:val="center"/>
          </w:tcPr>
          <w:p>
            <w:pPr>
              <w:pStyle w:val="14"/>
              <w:rPr>
                <w:u w:val="single"/>
              </w:rPr>
            </w:pPr>
            <w:r>
              <w:rPr>
                <w:rFonts w:hint="eastAsia"/>
                <w:u w:val="single"/>
              </w:rPr>
              <w:t>0</w:t>
            </w:r>
          </w:p>
        </w:tc>
        <w:tc>
          <w:tcPr>
            <w:tcW w:w="460"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vertAlign w:val="superscript"/>
              </w:rPr>
            </w:pPr>
            <w:r>
              <w:rPr>
                <w:rFonts w:hint="eastAsia"/>
                <w:u w:val="single"/>
              </w:rPr>
              <w:t>1h浓度叠加值ug</w:t>
            </w:r>
            <w:r>
              <w:rPr>
                <w:u w:val="single"/>
              </w:rPr>
              <w:t>/m</w:t>
            </w:r>
            <w:r>
              <w:rPr>
                <w:u w:val="single"/>
                <w:vertAlign w:val="superscript"/>
              </w:rPr>
              <w:t>3</w:t>
            </w:r>
          </w:p>
        </w:tc>
        <w:tc>
          <w:tcPr>
            <w:tcW w:w="479" w:type="pct"/>
          </w:tcPr>
          <w:p>
            <w:pPr>
              <w:pStyle w:val="14"/>
              <w:rPr>
                <w:u w:val="single"/>
              </w:rPr>
            </w:pPr>
            <w:r>
              <w:rPr>
                <w:u w:val="single"/>
              </w:rPr>
              <w:t>259.40</w:t>
            </w:r>
          </w:p>
        </w:tc>
        <w:tc>
          <w:tcPr>
            <w:tcW w:w="479" w:type="pct"/>
          </w:tcPr>
          <w:p>
            <w:pPr>
              <w:pStyle w:val="14"/>
              <w:rPr>
                <w:u w:val="single"/>
              </w:rPr>
            </w:pPr>
            <w:r>
              <w:rPr>
                <w:u w:val="single"/>
              </w:rPr>
              <w:t>229.61</w:t>
            </w:r>
          </w:p>
        </w:tc>
        <w:tc>
          <w:tcPr>
            <w:tcW w:w="479" w:type="pct"/>
          </w:tcPr>
          <w:p>
            <w:pPr>
              <w:pStyle w:val="14"/>
              <w:rPr>
                <w:u w:val="single"/>
              </w:rPr>
            </w:pPr>
            <w:r>
              <w:rPr>
                <w:u w:val="single"/>
              </w:rPr>
              <w:t>350.89</w:t>
            </w:r>
          </w:p>
        </w:tc>
        <w:tc>
          <w:tcPr>
            <w:tcW w:w="479" w:type="pct"/>
          </w:tcPr>
          <w:p>
            <w:pPr>
              <w:pStyle w:val="14"/>
              <w:rPr>
                <w:u w:val="single"/>
              </w:rPr>
            </w:pPr>
            <w:r>
              <w:rPr>
                <w:u w:val="single"/>
              </w:rPr>
              <w:t>686.62</w:t>
            </w:r>
          </w:p>
        </w:tc>
        <w:tc>
          <w:tcPr>
            <w:tcW w:w="487" w:type="pct"/>
          </w:tcPr>
          <w:p>
            <w:pPr>
              <w:pStyle w:val="14"/>
              <w:rPr>
                <w:u w:val="single"/>
              </w:rPr>
            </w:pPr>
            <w:r>
              <w:rPr>
                <w:u w:val="single"/>
              </w:rPr>
              <w:t>8.87</w:t>
            </w:r>
          </w:p>
        </w:tc>
        <w:tc>
          <w:tcPr>
            <w:tcW w:w="460" w:type="pct"/>
          </w:tcPr>
          <w:p>
            <w:pPr>
              <w:pStyle w:val="14"/>
              <w:rPr>
                <w:u w:val="single"/>
              </w:rPr>
            </w:pPr>
            <w:r>
              <w:rPr>
                <w:u w:val="single"/>
              </w:rPr>
              <w:t>0.79</w:t>
            </w:r>
          </w:p>
        </w:tc>
        <w:tc>
          <w:tcPr>
            <w:tcW w:w="479" w:type="pct"/>
          </w:tcPr>
          <w:p>
            <w:pPr>
              <w:pStyle w:val="14"/>
              <w:rPr>
                <w:u w:val="single"/>
              </w:rPr>
            </w:pPr>
            <w:r>
              <w:rPr>
                <w:u w:val="single"/>
              </w:rPr>
              <w:t>197.89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1</w:t>
            </w:r>
            <w:r>
              <w:rPr>
                <w:u w:val="single"/>
              </w:rPr>
              <w:t>h</w:t>
            </w:r>
            <w:r>
              <w:rPr>
                <w:rFonts w:hint="eastAsia"/>
                <w:u w:val="single"/>
              </w:rPr>
              <w:t>浓度标准值ug</w:t>
            </w:r>
            <w:r>
              <w:rPr>
                <w:u w:val="single"/>
              </w:rPr>
              <w:t>/m</w:t>
            </w:r>
            <w:r>
              <w:rPr>
                <w:u w:val="single"/>
                <w:vertAlign w:val="superscript"/>
              </w:rPr>
              <w:t>3</w:t>
            </w:r>
          </w:p>
        </w:tc>
        <w:tc>
          <w:tcPr>
            <w:tcW w:w="479" w:type="pct"/>
            <w:vAlign w:val="center"/>
          </w:tcPr>
          <w:p>
            <w:pPr>
              <w:pStyle w:val="14"/>
              <w:rPr>
                <w:u w:val="single"/>
              </w:rPr>
            </w:pPr>
            <w:r>
              <w:rPr>
                <w:rFonts w:hint="eastAsia"/>
                <w:u w:val="single"/>
              </w:rPr>
              <w:t>5</w:t>
            </w:r>
            <w:r>
              <w:rPr>
                <w:u w:val="single"/>
              </w:rPr>
              <w:t>00</w:t>
            </w:r>
          </w:p>
        </w:tc>
        <w:tc>
          <w:tcPr>
            <w:tcW w:w="479" w:type="pct"/>
            <w:vAlign w:val="center"/>
          </w:tcPr>
          <w:p>
            <w:pPr>
              <w:pStyle w:val="14"/>
              <w:rPr>
                <w:u w:val="single"/>
              </w:rPr>
            </w:pPr>
            <w:r>
              <w:rPr>
                <w:rFonts w:hint="eastAsia"/>
                <w:u w:val="single"/>
              </w:rPr>
              <w:t>2</w:t>
            </w:r>
            <w:r>
              <w:rPr>
                <w:u w:val="single"/>
              </w:rPr>
              <w:t>50</w:t>
            </w:r>
          </w:p>
        </w:tc>
        <w:tc>
          <w:tcPr>
            <w:tcW w:w="479" w:type="pct"/>
            <w:vAlign w:val="center"/>
          </w:tcPr>
          <w:p>
            <w:pPr>
              <w:pStyle w:val="14"/>
              <w:rPr>
                <w:u w:val="single"/>
              </w:rPr>
            </w:pPr>
            <w:r>
              <w:rPr>
                <w:rFonts w:hint="eastAsia"/>
                <w:u w:val="single"/>
              </w:rPr>
              <w:t>4</w:t>
            </w:r>
            <w:r>
              <w:rPr>
                <w:u w:val="single"/>
              </w:rPr>
              <w:t>50</w:t>
            </w:r>
          </w:p>
        </w:tc>
        <w:tc>
          <w:tcPr>
            <w:tcW w:w="479" w:type="pct"/>
            <w:vAlign w:val="center"/>
          </w:tcPr>
          <w:p>
            <w:pPr>
              <w:pStyle w:val="14"/>
              <w:rPr>
                <w:u w:val="single"/>
              </w:rPr>
            </w:pPr>
            <w:r>
              <w:rPr>
                <w:rFonts w:hint="eastAsia"/>
                <w:u w:val="single"/>
              </w:rPr>
              <w:t>9</w:t>
            </w:r>
            <w:r>
              <w:rPr>
                <w:u w:val="single"/>
              </w:rPr>
              <w:t>00</w:t>
            </w:r>
          </w:p>
        </w:tc>
        <w:tc>
          <w:tcPr>
            <w:tcW w:w="487" w:type="pct"/>
            <w:vAlign w:val="center"/>
          </w:tcPr>
          <w:p>
            <w:pPr>
              <w:pStyle w:val="14"/>
              <w:rPr>
                <w:u w:val="single"/>
              </w:rPr>
            </w:pPr>
            <w:r>
              <w:rPr>
                <w:rFonts w:hint="eastAsia"/>
                <w:u w:val="single"/>
              </w:rPr>
              <w:t>2</w:t>
            </w:r>
            <w:r>
              <w:rPr>
                <w:u w:val="single"/>
              </w:rPr>
              <w:t>0</w:t>
            </w:r>
          </w:p>
        </w:tc>
        <w:tc>
          <w:tcPr>
            <w:tcW w:w="460" w:type="pct"/>
            <w:vAlign w:val="center"/>
          </w:tcPr>
          <w:p>
            <w:pPr>
              <w:pStyle w:val="14"/>
              <w:rPr>
                <w:u w:val="single"/>
              </w:rPr>
            </w:pPr>
            <w:r>
              <w:rPr>
                <w:rFonts w:hint="eastAsia"/>
                <w:u w:val="single"/>
              </w:rPr>
              <w:t>1</w:t>
            </w:r>
            <w:r>
              <w:rPr>
                <w:u w:val="single"/>
              </w:rPr>
              <w:t>200</w:t>
            </w:r>
          </w:p>
        </w:tc>
        <w:tc>
          <w:tcPr>
            <w:tcW w:w="479" w:type="pct"/>
            <w:vAlign w:val="center"/>
          </w:tcPr>
          <w:p>
            <w:pPr>
              <w:pStyle w:val="14"/>
              <w:rPr>
                <w:u w:val="single"/>
              </w:rPr>
            </w:pPr>
            <w:r>
              <w:rPr>
                <w:u w:val="single"/>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1h浓度达标分析</w:t>
            </w:r>
          </w:p>
        </w:tc>
        <w:tc>
          <w:tcPr>
            <w:tcW w:w="479" w:type="pct"/>
            <w:vAlign w:val="center"/>
          </w:tcPr>
          <w:p>
            <w:pPr>
              <w:pStyle w:val="14"/>
              <w:rPr>
                <w:u w:val="single"/>
              </w:rPr>
            </w:pPr>
            <w:r>
              <w:rPr>
                <w:rFonts w:hint="eastAsia"/>
                <w:u w:val="single"/>
              </w:rPr>
              <w:t>达标</w:t>
            </w:r>
          </w:p>
        </w:tc>
        <w:tc>
          <w:tcPr>
            <w:tcW w:w="479" w:type="pct"/>
          </w:tcPr>
          <w:p>
            <w:pPr>
              <w:pStyle w:val="14"/>
              <w:rPr>
                <w:u w:val="single"/>
              </w:rPr>
            </w:pPr>
            <w:r>
              <w:rPr>
                <w:rFonts w:hint="eastAsia"/>
                <w:u w:val="single"/>
              </w:rPr>
              <w:t>达标</w:t>
            </w:r>
          </w:p>
        </w:tc>
        <w:tc>
          <w:tcPr>
            <w:tcW w:w="479" w:type="pct"/>
          </w:tcPr>
          <w:p>
            <w:pPr>
              <w:pStyle w:val="14"/>
              <w:rPr>
                <w:u w:val="single"/>
              </w:rPr>
            </w:pPr>
            <w:r>
              <w:rPr>
                <w:rFonts w:hint="eastAsia"/>
                <w:u w:val="single"/>
              </w:rPr>
              <w:t>达标</w:t>
            </w:r>
          </w:p>
        </w:tc>
        <w:tc>
          <w:tcPr>
            <w:tcW w:w="479" w:type="pct"/>
          </w:tcPr>
          <w:p>
            <w:pPr>
              <w:pStyle w:val="14"/>
              <w:rPr>
                <w:u w:val="single"/>
              </w:rPr>
            </w:pPr>
            <w:r>
              <w:rPr>
                <w:rFonts w:hint="eastAsia"/>
                <w:u w:val="single"/>
              </w:rPr>
              <w:t>达标</w:t>
            </w:r>
          </w:p>
        </w:tc>
        <w:tc>
          <w:tcPr>
            <w:tcW w:w="487" w:type="pct"/>
          </w:tcPr>
          <w:p>
            <w:pPr>
              <w:pStyle w:val="14"/>
              <w:rPr>
                <w:u w:val="single"/>
              </w:rPr>
            </w:pPr>
            <w:r>
              <w:rPr>
                <w:rFonts w:hint="eastAsia"/>
                <w:u w:val="single"/>
              </w:rPr>
              <w:t>达标</w:t>
            </w:r>
          </w:p>
        </w:tc>
        <w:tc>
          <w:tcPr>
            <w:tcW w:w="460" w:type="pct"/>
          </w:tcPr>
          <w:p>
            <w:pPr>
              <w:pStyle w:val="14"/>
              <w:rPr>
                <w:u w:val="single"/>
              </w:rPr>
            </w:pPr>
            <w:r>
              <w:rPr>
                <w:rFonts w:hint="eastAsia"/>
                <w:u w:val="single"/>
              </w:rPr>
              <w:t>达标</w:t>
            </w:r>
          </w:p>
        </w:tc>
        <w:tc>
          <w:tcPr>
            <w:tcW w:w="479" w:type="pct"/>
          </w:tcPr>
          <w:p>
            <w:pPr>
              <w:pStyle w:val="14"/>
              <w:rPr>
                <w:u w:val="single"/>
              </w:rPr>
            </w:pPr>
            <w:r>
              <w:rPr>
                <w:rFonts w:hint="eastAsia"/>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日平均浓度</w:t>
            </w:r>
          </w:p>
          <w:p>
            <w:pPr>
              <w:pStyle w:val="14"/>
              <w:rPr>
                <w:u w:val="single"/>
              </w:rPr>
            </w:pPr>
            <w:r>
              <w:rPr>
                <w:rFonts w:hint="eastAsia"/>
                <w:u w:val="single"/>
              </w:rPr>
              <w:t>贡献值ug</w:t>
            </w:r>
            <w:r>
              <w:rPr>
                <w:u w:val="single"/>
              </w:rPr>
              <w:t>/m</w:t>
            </w:r>
            <w:r>
              <w:rPr>
                <w:u w:val="single"/>
                <w:vertAlign w:val="superscript"/>
              </w:rPr>
              <w:t>3</w:t>
            </w:r>
          </w:p>
        </w:tc>
        <w:tc>
          <w:tcPr>
            <w:tcW w:w="479" w:type="pct"/>
            <w:vAlign w:val="center"/>
          </w:tcPr>
          <w:p>
            <w:pPr>
              <w:pStyle w:val="14"/>
              <w:rPr>
                <w:u w:val="single"/>
              </w:rPr>
            </w:pPr>
            <w:r>
              <w:rPr>
                <w:rFonts w:hint="eastAsia"/>
                <w:u w:val="single"/>
              </w:rPr>
              <w:t>3</w:t>
            </w:r>
            <w:r>
              <w:rPr>
                <w:u w:val="single"/>
              </w:rPr>
              <w:t>6.26</w:t>
            </w:r>
          </w:p>
        </w:tc>
        <w:tc>
          <w:tcPr>
            <w:tcW w:w="479" w:type="pct"/>
            <w:vAlign w:val="center"/>
          </w:tcPr>
          <w:p>
            <w:pPr>
              <w:pStyle w:val="14"/>
              <w:rPr>
                <w:u w:val="single"/>
              </w:rPr>
            </w:pPr>
            <w:r>
              <w:rPr>
                <w:rFonts w:hint="eastAsia"/>
                <w:u w:val="single"/>
              </w:rPr>
              <w:t>8</w:t>
            </w:r>
            <w:r>
              <w:rPr>
                <w:u w:val="single"/>
              </w:rPr>
              <w:t>5.72</w:t>
            </w:r>
          </w:p>
        </w:tc>
        <w:tc>
          <w:tcPr>
            <w:tcW w:w="479" w:type="pct"/>
            <w:vAlign w:val="center"/>
          </w:tcPr>
          <w:p>
            <w:pPr>
              <w:pStyle w:val="14"/>
              <w:rPr>
                <w:u w:val="single"/>
              </w:rPr>
            </w:pPr>
            <w:r>
              <w:rPr>
                <w:rFonts w:hint="eastAsia"/>
                <w:u w:val="single"/>
              </w:rPr>
              <w:t>4</w:t>
            </w:r>
            <w:r>
              <w:rPr>
                <w:u w:val="single"/>
              </w:rPr>
              <w:t>5.41</w:t>
            </w:r>
          </w:p>
        </w:tc>
        <w:tc>
          <w:tcPr>
            <w:tcW w:w="479" w:type="pct"/>
            <w:vAlign w:val="center"/>
          </w:tcPr>
          <w:p>
            <w:pPr>
              <w:pStyle w:val="14"/>
              <w:rPr>
                <w:u w:val="single"/>
              </w:rPr>
            </w:pPr>
            <w:r>
              <w:rPr>
                <w:rFonts w:hint="eastAsia"/>
                <w:u w:val="single"/>
              </w:rPr>
              <w:t>4</w:t>
            </w:r>
            <w:r>
              <w:rPr>
                <w:u w:val="single"/>
              </w:rPr>
              <w:t>1.25</w:t>
            </w:r>
          </w:p>
        </w:tc>
        <w:tc>
          <w:tcPr>
            <w:tcW w:w="487" w:type="pct"/>
            <w:vAlign w:val="center"/>
          </w:tcPr>
          <w:p>
            <w:pPr>
              <w:pStyle w:val="14"/>
              <w:rPr>
                <w:u w:val="single"/>
              </w:rPr>
            </w:pPr>
            <w:r>
              <w:rPr>
                <w:rFonts w:hint="eastAsia"/>
                <w:u w:val="single"/>
              </w:rPr>
              <w:t>1</w:t>
            </w:r>
            <w:r>
              <w:rPr>
                <w:u w:val="single"/>
              </w:rPr>
              <w:t>.31</w:t>
            </w:r>
          </w:p>
        </w:tc>
        <w:tc>
          <w:tcPr>
            <w:tcW w:w="460" w:type="pct"/>
            <w:vAlign w:val="center"/>
          </w:tcPr>
          <w:p>
            <w:pPr>
              <w:pStyle w:val="14"/>
              <w:rPr>
                <w:u w:val="single"/>
              </w:rPr>
            </w:pPr>
            <w:r>
              <w:rPr>
                <w:rFonts w:hint="eastAsia"/>
                <w:u w:val="single"/>
              </w:rPr>
              <w:t>0</w:t>
            </w:r>
            <w:r>
              <w:rPr>
                <w:u w:val="single"/>
              </w:rPr>
              <w:t>.12</w:t>
            </w:r>
          </w:p>
        </w:tc>
        <w:tc>
          <w:tcPr>
            <w:tcW w:w="479" w:type="pct"/>
            <w:vAlign w:val="center"/>
          </w:tcPr>
          <w:p>
            <w:pPr>
              <w:pStyle w:val="14"/>
              <w:rPr>
                <w:u w:val="single"/>
              </w:rPr>
            </w:pPr>
            <w:r>
              <w:rPr>
                <w:rFonts w:hint="eastAsia"/>
                <w:u w:val="single"/>
              </w:rPr>
              <w:t>6</w:t>
            </w:r>
            <w:r>
              <w:rPr>
                <w:u w:val="single"/>
              </w:rPr>
              <w:t>5.92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保证率日平均浓</w:t>
            </w:r>
          </w:p>
          <w:p>
            <w:pPr>
              <w:pStyle w:val="14"/>
              <w:rPr>
                <w:u w:val="single"/>
              </w:rPr>
            </w:pPr>
            <w:r>
              <w:rPr>
                <w:rFonts w:hint="eastAsia"/>
                <w:u w:val="single"/>
              </w:rPr>
              <w:t>度现状值ug</w:t>
            </w:r>
            <w:r>
              <w:rPr>
                <w:u w:val="single"/>
              </w:rPr>
              <w:t>/m</w:t>
            </w:r>
            <w:r>
              <w:rPr>
                <w:u w:val="single"/>
                <w:vertAlign w:val="superscript"/>
              </w:rPr>
              <w:t>3</w:t>
            </w:r>
          </w:p>
        </w:tc>
        <w:tc>
          <w:tcPr>
            <w:tcW w:w="479" w:type="pct"/>
            <w:vAlign w:val="center"/>
          </w:tcPr>
          <w:p>
            <w:pPr>
              <w:pStyle w:val="14"/>
              <w:rPr>
                <w:u w:val="single"/>
              </w:rPr>
            </w:pPr>
            <w:r>
              <w:rPr>
                <w:rFonts w:hint="eastAsia"/>
                <w:u w:val="single"/>
              </w:rPr>
              <w:t>2</w:t>
            </w:r>
            <w:r>
              <w:rPr>
                <w:u w:val="single"/>
              </w:rPr>
              <w:t>3</w:t>
            </w:r>
          </w:p>
        </w:tc>
        <w:tc>
          <w:tcPr>
            <w:tcW w:w="479" w:type="pct"/>
            <w:vAlign w:val="center"/>
          </w:tcPr>
          <w:p>
            <w:pPr>
              <w:pStyle w:val="14"/>
              <w:rPr>
                <w:u w:val="single"/>
              </w:rPr>
            </w:pPr>
            <w:r>
              <w:rPr>
                <w:u w:val="single"/>
              </w:rPr>
              <w:t>48</w:t>
            </w:r>
          </w:p>
        </w:tc>
        <w:tc>
          <w:tcPr>
            <w:tcW w:w="479" w:type="pct"/>
            <w:vAlign w:val="center"/>
          </w:tcPr>
          <w:p>
            <w:pPr>
              <w:pStyle w:val="14"/>
              <w:rPr>
                <w:u w:val="single"/>
              </w:rPr>
            </w:pPr>
            <w:r>
              <w:rPr>
                <w:u w:val="single"/>
              </w:rPr>
              <w:t>134</w:t>
            </w:r>
          </w:p>
        </w:tc>
        <w:tc>
          <w:tcPr>
            <w:tcW w:w="479" w:type="pct"/>
            <w:vAlign w:val="center"/>
          </w:tcPr>
          <w:p>
            <w:pPr>
              <w:pStyle w:val="14"/>
              <w:rPr>
                <w:u w:val="single"/>
              </w:rPr>
            </w:pPr>
            <w:r>
              <w:rPr>
                <w:rFonts w:hint="eastAsia"/>
                <w:u w:val="single"/>
              </w:rPr>
              <w:t>1</w:t>
            </w:r>
            <w:r>
              <w:rPr>
                <w:u w:val="single"/>
              </w:rPr>
              <w:t>35</w:t>
            </w:r>
          </w:p>
        </w:tc>
        <w:tc>
          <w:tcPr>
            <w:tcW w:w="487" w:type="pct"/>
            <w:vAlign w:val="center"/>
          </w:tcPr>
          <w:p>
            <w:pPr>
              <w:pStyle w:val="14"/>
              <w:rPr>
                <w:u w:val="single"/>
              </w:rPr>
            </w:pPr>
            <w:r>
              <w:rPr>
                <w:rFonts w:hint="eastAsia"/>
                <w:u w:val="single"/>
              </w:rPr>
              <w:t>0</w:t>
            </w:r>
            <w:r>
              <w:rPr>
                <w:u w:val="single"/>
              </w:rPr>
              <w:t>.34</w:t>
            </w:r>
          </w:p>
        </w:tc>
        <w:tc>
          <w:tcPr>
            <w:tcW w:w="460" w:type="pct"/>
            <w:vAlign w:val="center"/>
          </w:tcPr>
          <w:p>
            <w:pPr>
              <w:pStyle w:val="14"/>
              <w:rPr>
                <w:u w:val="single"/>
              </w:rPr>
            </w:pPr>
            <w:r>
              <w:rPr>
                <w:rFonts w:hint="eastAsia"/>
                <w:u w:val="single"/>
              </w:rPr>
              <w:t>2</w:t>
            </w:r>
            <w:r>
              <w:rPr>
                <w:u w:val="single"/>
              </w:rPr>
              <w:t>64</w:t>
            </w:r>
          </w:p>
        </w:tc>
        <w:tc>
          <w:tcPr>
            <w:tcW w:w="479" w:type="pct"/>
            <w:vAlign w:val="center"/>
          </w:tcPr>
          <w:p>
            <w:pPr>
              <w:pStyle w:val="14"/>
              <w:rPr>
                <w:u w:val="single"/>
              </w:rPr>
            </w:pPr>
            <w:r>
              <w:rPr>
                <w:rFonts w:hint="eastAsia"/>
                <w:u w:val="single"/>
              </w:rPr>
              <w:t>7</w:t>
            </w:r>
            <w:r>
              <w:rPr>
                <w:u w:val="singl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在建/拟建污染源</w:t>
            </w:r>
          </w:p>
          <w:p>
            <w:pPr>
              <w:pStyle w:val="14"/>
              <w:rPr>
                <w:u w:val="single"/>
              </w:rPr>
            </w:pPr>
            <w:r>
              <w:rPr>
                <w:rFonts w:hint="eastAsia"/>
                <w:u w:val="single"/>
              </w:rPr>
              <w:t>日平均浓度贡献值ug</w:t>
            </w:r>
            <w:r>
              <w:rPr>
                <w:u w:val="single"/>
              </w:rPr>
              <w:t>/m</w:t>
            </w:r>
            <w:r>
              <w:rPr>
                <w:u w:val="single"/>
                <w:vertAlign w:val="superscript"/>
              </w:rPr>
              <w:t>3</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87" w:type="pct"/>
            <w:vAlign w:val="center"/>
          </w:tcPr>
          <w:p>
            <w:pPr>
              <w:pStyle w:val="14"/>
              <w:rPr>
                <w:u w:val="single"/>
              </w:rPr>
            </w:pPr>
            <w:r>
              <w:rPr>
                <w:rFonts w:hint="eastAsia"/>
                <w:u w:val="single"/>
              </w:rPr>
              <w:t>0</w:t>
            </w:r>
          </w:p>
        </w:tc>
        <w:tc>
          <w:tcPr>
            <w:tcW w:w="460"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削减污染源日平</w:t>
            </w:r>
          </w:p>
          <w:p>
            <w:pPr>
              <w:pStyle w:val="14"/>
              <w:rPr>
                <w:u w:val="single"/>
              </w:rPr>
            </w:pPr>
            <w:r>
              <w:rPr>
                <w:rFonts w:hint="eastAsia"/>
                <w:u w:val="single"/>
              </w:rPr>
              <w:t>均浓度贡献值ug</w:t>
            </w:r>
            <w:r>
              <w:rPr>
                <w:u w:val="single"/>
              </w:rPr>
              <w:t>/m</w:t>
            </w:r>
            <w:r>
              <w:rPr>
                <w:u w:val="single"/>
                <w:vertAlign w:val="superscript"/>
              </w:rPr>
              <w:t>3</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87" w:type="pct"/>
            <w:vAlign w:val="center"/>
          </w:tcPr>
          <w:p>
            <w:pPr>
              <w:pStyle w:val="14"/>
              <w:rPr>
                <w:u w:val="single"/>
              </w:rPr>
            </w:pPr>
            <w:r>
              <w:rPr>
                <w:rFonts w:hint="eastAsia"/>
                <w:u w:val="single"/>
              </w:rPr>
              <w:t>0</w:t>
            </w:r>
          </w:p>
        </w:tc>
        <w:tc>
          <w:tcPr>
            <w:tcW w:w="460"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日平均浓度叠加值ug</w:t>
            </w:r>
            <w:r>
              <w:rPr>
                <w:u w:val="single"/>
              </w:rPr>
              <w:t>/m</w:t>
            </w:r>
            <w:r>
              <w:rPr>
                <w:u w:val="single"/>
                <w:vertAlign w:val="superscript"/>
              </w:rPr>
              <w:t>3</w:t>
            </w:r>
          </w:p>
        </w:tc>
        <w:tc>
          <w:tcPr>
            <w:tcW w:w="479" w:type="pct"/>
            <w:vAlign w:val="center"/>
          </w:tcPr>
          <w:p>
            <w:pPr>
              <w:pStyle w:val="14"/>
              <w:rPr>
                <w:u w:val="single"/>
              </w:rPr>
            </w:pPr>
            <w:r>
              <w:rPr>
                <w:rFonts w:hint="eastAsia"/>
                <w:u w:val="single"/>
              </w:rPr>
              <w:t>5</w:t>
            </w:r>
            <w:r>
              <w:rPr>
                <w:u w:val="single"/>
              </w:rPr>
              <w:t>9.26</w:t>
            </w:r>
          </w:p>
        </w:tc>
        <w:tc>
          <w:tcPr>
            <w:tcW w:w="479" w:type="pct"/>
            <w:vAlign w:val="center"/>
          </w:tcPr>
          <w:p>
            <w:pPr>
              <w:pStyle w:val="14"/>
              <w:rPr>
                <w:u w:val="single"/>
              </w:rPr>
            </w:pPr>
            <w:r>
              <w:rPr>
                <w:u w:val="single"/>
              </w:rPr>
              <w:t>133.72</w:t>
            </w:r>
          </w:p>
        </w:tc>
        <w:tc>
          <w:tcPr>
            <w:tcW w:w="479" w:type="pct"/>
            <w:vAlign w:val="center"/>
          </w:tcPr>
          <w:p>
            <w:pPr>
              <w:pStyle w:val="14"/>
              <w:rPr>
                <w:u w:val="single"/>
              </w:rPr>
            </w:pPr>
            <w:r>
              <w:rPr>
                <w:rFonts w:hint="eastAsia"/>
                <w:u w:val="single"/>
              </w:rPr>
              <w:t>1</w:t>
            </w:r>
            <w:r>
              <w:rPr>
                <w:u w:val="single"/>
              </w:rPr>
              <w:t>79.41</w:t>
            </w:r>
          </w:p>
        </w:tc>
        <w:tc>
          <w:tcPr>
            <w:tcW w:w="479" w:type="pct"/>
            <w:vAlign w:val="center"/>
          </w:tcPr>
          <w:p>
            <w:pPr>
              <w:pStyle w:val="14"/>
              <w:rPr>
                <w:u w:val="single"/>
              </w:rPr>
            </w:pPr>
            <w:r>
              <w:rPr>
                <w:rFonts w:hint="eastAsia"/>
                <w:u w:val="single"/>
              </w:rPr>
              <w:t>1</w:t>
            </w:r>
            <w:r>
              <w:rPr>
                <w:u w:val="single"/>
              </w:rPr>
              <w:t>76.25</w:t>
            </w:r>
          </w:p>
        </w:tc>
        <w:tc>
          <w:tcPr>
            <w:tcW w:w="487" w:type="pct"/>
            <w:vAlign w:val="center"/>
          </w:tcPr>
          <w:p>
            <w:pPr>
              <w:pStyle w:val="14"/>
              <w:rPr>
                <w:u w:val="single"/>
              </w:rPr>
            </w:pPr>
            <w:r>
              <w:rPr>
                <w:rFonts w:hint="eastAsia"/>
                <w:u w:val="single"/>
              </w:rPr>
              <w:t>1</w:t>
            </w:r>
            <w:r>
              <w:rPr>
                <w:u w:val="single"/>
              </w:rPr>
              <w:t>.65</w:t>
            </w:r>
          </w:p>
        </w:tc>
        <w:tc>
          <w:tcPr>
            <w:tcW w:w="460" w:type="pct"/>
            <w:vAlign w:val="center"/>
          </w:tcPr>
          <w:p>
            <w:pPr>
              <w:pStyle w:val="14"/>
              <w:rPr>
                <w:u w:val="single"/>
              </w:rPr>
            </w:pPr>
            <w:r>
              <w:rPr>
                <w:rFonts w:hint="eastAsia"/>
                <w:u w:val="single"/>
              </w:rPr>
              <w:t>2</w:t>
            </w:r>
            <w:r>
              <w:rPr>
                <w:u w:val="single"/>
              </w:rPr>
              <w:t>64.12</w:t>
            </w:r>
          </w:p>
        </w:tc>
        <w:tc>
          <w:tcPr>
            <w:tcW w:w="479" w:type="pct"/>
            <w:vAlign w:val="center"/>
          </w:tcPr>
          <w:p>
            <w:pPr>
              <w:pStyle w:val="14"/>
              <w:rPr>
                <w:u w:val="single"/>
              </w:rPr>
            </w:pPr>
            <w:r>
              <w:rPr>
                <w:rFonts w:hint="eastAsia"/>
                <w:u w:val="single"/>
              </w:rPr>
              <w:t>1</w:t>
            </w:r>
            <w:r>
              <w:rPr>
                <w:u w:val="single"/>
              </w:rPr>
              <w:t>37.92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日平均浓度标准值ug</w:t>
            </w:r>
            <w:r>
              <w:rPr>
                <w:u w:val="single"/>
              </w:rPr>
              <w:t>/m</w:t>
            </w:r>
            <w:r>
              <w:rPr>
                <w:u w:val="single"/>
                <w:vertAlign w:val="superscript"/>
              </w:rPr>
              <w:t>3</w:t>
            </w:r>
          </w:p>
        </w:tc>
        <w:tc>
          <w:tcPr>
            <w:tcW w:w="479" w:type="pct"/>
            <w:vAlign w:val="center"/>
          </w:tcPr>
          <w:p>
            <w:pPr>
              <w:pStyle w:val="14"/>
              <w:rPr>
                <w:u w:val="single"/>
              </w:rPr>
            </w:pPr>
            <w:r>
              <w:rPr>
                <w:rFonts w:hint="eastAsia"/>
                <w:u w:val="single"/>
              </w:rPr>
              <w:t>1</w:t>
            </w:r>
            <w:r>
              <w:rPr>
                <w:u w:val="single"/>
              </w:rPr>
              <w:t>50</w:t>
            </w:r>
          </w:p>
        </w:tc>
        <w:tc>
          <w:tcPr>
            <w:tcW w:w="479" w:type="pct"/>
            <w:vAlign w:val="center"/>
          </w:tcPr>
          <w:p>
            <w:pPr>
              <w:pStyle w:val="14"/>
              <w:rPr>
                <w:u w:val="single"/>
              </w:rPr>
            </w:pPr>
            <w:r>
              <w:rPr>
                <w:rFonts w:hint="eastAsia"/>
                <w:u w:val="single"/>
              </w:rPr>
              <w:t>1</w:t>
            </w:r>
            <w:r>
              <w:rPr>
                <w:u w:val="single"/>
              </w:rPr>
              <w:t>00</w:t>
            </w:r>
          </w:p>
        </w:tc>
        <w:tc>
          <w:tcPr>
            <w:tcW w:w="479" w:type="pct"/>
            <w:vAlign w:val="center"/>
          </w:tcPr>
          <w:p>
            <w:pPr>
              <w:pStyle w:val="14"/>
              <w:rPr>
                <w:u w:val="single"/>
              </w:rPr>
            </w:pPr>
            <w:r>
              <w:rPr>
                <w:rFonts w:hint="eastAsia"/>
                <w:u w:val="single"/>
              </w:rPr>
              <w:t>1</w:t>
            </w:r>
            <w:r>
              <w:rPr>
                <w:u w:val="single"/>
              </w:rPr>
              <w:t>50</w:t>
            </w:r>
          </w:p>
        </w:tc>
        <w:tc>
          <w:tcPr>
            <w:tcW w:w="479" w:type="pct"/>
            <w:vAlign w:val="center"/>
          </w:tcPr>
          <w:p>
            <w:pPr>
              <w:pStyle w:val="14"/>
              <w:rPr>
                <w:u w:val="single"/>
              </w:rPr>
            </w:pPr>
            <w:r>
              <w:rPr>
                <w:rFonts w:hint="eastAsia"/>
                <w:u w:val="single"/>
              </w:rPr>
              <w:t>3</w:t>
            </w:r>
            <w:r>
              <w:rPr>
                <w:u w:val="single"/>
              </w:rPr>
              <w:t>00</w:t>
            </w:r>
          </w:p>
        </w:tc>
        <w:tc>
          <w:tcPr>
            <w:tcW w:w="487" w:type="pct"/>
            <w:vAlign w:val="center"/>
          </w:tcPr>
          <w:p>
            <w:pPr>
              <w:pStyle w:val="14"/>
              <w:rPr>
                <w:u w:val="single"/>
              </w:rPr>
            </w:pPr>
            <w:r>
              <w:rPr>
                <w:rFonts w:hint="eastAsia"/>
                <w:u w:val="single"/>
              </w:rPr>
              <w:t>2</w:t>
            </w:r>
            <w:r>
              <w:rPr>
                <w:u w:val="single"/>
              </w:rPr>
              <w:t>0</w:t>
            </w:r>
          </w:p>
        </w:tc>
        <w:tc>
          <w:tcPr>
            <w:tcW w:w="460" w:type="pct"/>
            <w:vAlign w:val="center"/>
          </w:tcPr>
          <w:p>
            <w:pPr>
              <w:pStyle w:val="14"/>
              <w:rPr>
                <w:u w:val="single"/>
              </w:rPr>
            </w:pPr>
            <w:r>
              <w:rPr>
                <w:rFonts w:hint="eastAsia"/>
                <w:u w:val="single"/>
              </w:rPr>
              <w:t>1</w:t>
            </w:r>
            <w:r>
              <w:rPr>
                <w:u w:val="single"/>
              </w:rPr>
              <w:t>200</w:t>
            </w:r>
          </w:p>
        </w:tc>
        <w:tc>
          <w:tcPr>
            <w:tcW w:w="479" w:type="pct"/>
            <w:vAlign w:val="center"/>
          </w:tcPr>
          <w:p>
            <w:pPr>
              <w:pStyle w:val="14"/>
              <w:rPr>
                <w:u w:val="single"/>
              </w:rPr>
            </w:pPr>
            <w:r>
              <w:rPr>
                <w:rFonts w:hint="eastAsia"/>
                <w:u w:val="single"/>
              </w:rPr>
              <w:t>7</w:t>
            </w:r>
            <w:r>
              <w:rPr>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日平均浓度达标分析</w:t>
            </w:r>
          </w:p>
        </w:tc>
        <w:tc>
          <w:tcPr>
            <w:tcW w:w="479" w:type="pct"/>
            <w:vAlign w:val="center"/>
          </w:tcPr>
          <w:p>
            <w:pPr>
              <w:pStyle w:val="14"/>
              <w:rPr>
                <w:u w:val="single"/>
              </w:rPr>
            </w:pPr>
            <w:r>
              <w:rPr>
                <w:rFonts w:hint="eastAsia"/>
                <w:u w:val="single"/>
              </w:rPr>
              <w:t>达标</w:t>
            </w:r>
          </w:p>
        </w:tc>
        <w:tc>
          <w:tcPr>
            <w:tcW w:w="479" w:type="pct"/>
            <w:vAlign w:val="center"/>
          </w:tcPr>
          <w:p>
            <w:pPr>
              <w:pStyle w:val="14"/>
              <w:rPr>
                <w:u w:val="single"/>
              </w:rPr>
            </w:pPr>
            <w:r>
              <w:rPr>
                <w:rFonts w:hint="eastAsia"/>
                <w:u w:val="single"/>
              </w:rPr>
              <w:t>超标</w:t>
            </w:r>
          </w:p>
        </w:tc>
        <w:tc>
          <w:tcPr>
            <w:tcW w:w="479" w:type="pct"/>
            <w:vAlign w:val="center"/>
          </w:tcPr>
          <w:p>
            <w:pPr>
              <w:pStyle w:val="14"/>
              <w:rPr>
                <w:u w:val="single"/>
              </w:rPr>
            </w:pPr>
            <w:r>
              <w:rPr>
                <w:rFonts w:hint="eastAsia"/>
                <w:u w:val="single"/>
              </w:rPr>
              <w:t>超标</w:t>
            </w:r>
          </w:p>
        </w:tc>
        <w:tc>
          <w:tcPr>
            <w:tcW w:w="479" w:type="pct"/>
            <w:vAlign w:val="center"/>
          </w:tcPr>
          <w:p>
            <w:pPr>
              <w:pStyle w:val="14"/>
              <w:rPr>
                <w:u w:val="single"/>
              </w:rPr>
            </w:pPr>
            <w:r>
              <w:rPr>
                <w:rFonts w:hint="eastAsia"/>
                <w:u w:val="single"/>
              </w:rPr>
              <w:t>达标</w:t>
            </w:r>
          </w:p>
        </w:tc>
        <w:tc>
          <w:tcPr>
            <w:tcW w:w="487" w:type="pct"/>
            <w:vAlign w:val="center"/>
          </w:tcPr>
          <w:p>
            <w:pPr>
              <w:pStyle w:val="14"/>
              <w:rPr>
                <w:u w:val="single"/>
              </w:rPr>
            </w:pPr>
            <w:r>
              <w:rPr>
                <w:rFonts w:hint="eastAsia"/>
                <w:u w:val="single"/>
              </w:rPr>
              <w:t>达标</w:t>
            </w:r>
          </w:p>
        </w:tc>
        <w:tc>
          <w:tcPr>
            <w:tcW w:w="460" w:type="pct"/>
            <w:vAlign w:val="center"/>
          </w:tcPr>
          <w:p>
            <w:pPr>
              <w:pStyle w:val="14"/>
              <w:rPr>
                <w:u w:val="single"/>
              </w:rPr>
            </w:pPr>
            <w:r>
              <w:rPr>
                <w:rFonts w:hint="eastAsia"/>
                <w:u w:val="single"/>
              </w:rPr>
              <w:t>达标</w:t>
            </w:r>
          </w:p>
        </w:tc>
        <w:tc>
          <w:tcPr>
            <w:tcW w:w="479" w:type="pct"/>
            <w:vAlign w:val="center"/>
          </w:tcPr>
          <w:p>
            <w:pPr>
              <w:pStyle w:val="14"/>
              <w:rPr>
                <w:u w:val="single"/>
              </w:rPr>
            </w:pPr>
            <w:r>
              <w:rPr>
                <w:rFonts w:hint="eastAsia"/>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年平均浓度贡献值ug</w:t>
            </w:r>
            <w:r>
              <w:rPr>
                <w:u w:val="single"/>
              </w:rPr>
              <w:t>/m</w:t>
            </w:r>
            <w:r>
              <w:rPr>
                <w:u w:val="single"/>
                <w:vertAlign w:val="superscript"/>
              </w:rPr>
              <w:t>3</w:t>
            </w:r>
          </w:p>
        </w:tc>
        <w:tc>
          <w:tcPr>
            <w:tcW w:w="479" w:type="pct"/>
            <w:vAlign w:val="center"/>
          </w:tcPr>
          <w:p>
            <w:pPr>
              <w:pStyle w:val="14"/>
              <w:rPr>
                <w:u w:val="single"/>
              </w:rPr>
            </w:pPr>
            <w:r>
              <w:rPr>
                <w:rFonts w:hint="eastAsia"/>
                <w:u w:val="single"/>
              </w:rPr>
              <w:t>8</w:t>
            </w:r>
            <w:r>
              <w:rPr>
                <w:u w:val="single"/>
              </w:rPr>
              <w:t>.18</w:t>
            </w:r>
          </w:p>
        </w:tc>
        <w:tc>
          <w:tcPr>
            <w:tcW w:w="479" w:type="pct"/>
            <w:vAlign w:val="center"/>
          </w:tcPr>
          <w:p>
            <w:pPr>
              <w:pStyle w:val="14"/>
              <w:rPr>
                <w:u w:val="single"/>
              </w:rPr>
            </w:pPr>
            <w:r>
              <w:rPr>
                <w:u w:val="single"/>
              </w:rPr>
              <w:t>13.87</w:t>
            </w:r>
          </w:p>
        </w:tc>
        <w:tc>
          <w:tcPr>
            <w:tcW w:w="479" w:type="pct"/>
            <w:vAlign w:val="center"/>
          </w:tcPr>
          <w:p>
            <w:pPr>
              <w:pStyle w:val="14"/>
              <w:rPr>
                <w:u w:val="single"/>
              </w:rPr>
            </w:pPr>
            <w:r>
              <w:rPr>
                <w:rFonts w:hint="eastAsia"/>
                <w:u w:val="single"/>
              </w:rPr>
              <w:t>1</w:t>
            </w:r>
            <w:r>
              <w:rPr>
                <w:u w:val="single"/>
              </w:rPr>
              <w:t>8.93</w:t>
            </w:r>
          </w:p>
        </w:tc>
        <w:tc>
          <w:tcPr>
            <w:tcW w:w="479" w:type="pct"/>
            <w:vAlign w:val="center"/>
          </w:tcPr>
          <w:p>
            <w:pPr>
              <w:pStyle w:val="14"/>
              <w:rPr>
                <w:u w:val="single"/>
              </w:rPr>
            </w:pPr>
            <w:r>
              <w:rPr>
                <w:rFonts w:hint="eastAsia"/>
                <w:u w:val="single"/>
              </w:rPr>
              <w:t>1</w:t>
            </w:r>
            <w:r>
              <w:rPr>
                <w:u w:val="single"/>
              </w:rPr>
              <w:t>4.01</w:t>
            </w:r>
          </w:p>
        </w:tc>
        <w:tc>
          <w:tcPr>
            <w:tcW w:w="487" w:type="pct"/>
            <w:vAlign w:val="center"/>
          </w:tcPr>
          <w:p>
            <w:pPr>
              <w:pStyle w:val="14"/>
              <w:rPr>
                <w:u w:val="single"/>
              </w:rPr>
            </w:pPr>
            <w:r>
              <w:rPr>
                <w:rFonts w:hint="eastAsia"/>
                <w:u w:val="single"/>
              </w:rPr>
              <w:t>0</w:t>
            </w:r>
            <w:r>
              <w:rPr>
                <w:u w:val="single"/>
              </w:rPr>
              <w:t>.26</w:t>
            </w:r>
          </w:p>
        </w:tc>
        <w:tc>
          <w:tcPr>
            <w:tcW w:w="460" w:type="pct"/>
            <w:vAlign w:val="center"/>
          </w:tcPr>
          <w:p>
            <w:pPr>
              <w:pStyle w:val="14"/>
              <w:rPr>
                <w:u w:val="single"/>
              </w:rPr>
            </w:pPr>
            <w:r>
              <w:rPr>
                <w:rFonts w:hint="eastAsia"/>
                <w:u w:val="single"/>
              </w:rPr>
              <w:t>0</w:t>
            </w:r>
            <w:r>
              <w:rPr>
                <w:u w:val="single"/>
              </w:rPr>
              <w:t>.03</w:t>
            </w:r>
          </w:p>
        </w:tc>
        <w:tc>
          <w:tcPr>
            <w:tcW w:w="479" w:type="pct"/>
            <w:vAlign w:val="center"/>
          </w:tcPr>
          <w:p>
            <w:pPr>
              <w:pStyle w:val="14"/>
              <w:rPr>
                <w:u w:val="single"/>
              </w:rPr>
            </w:pPr>
            <w:r>
              <w:rPr>
                <w:rFonts w:hint="eastAsia"/>
                <w:u w:val="single"/>
              </w:rPr>
              <w:t>9</w:t>
            </w:r>
            <w:r>
              <w:rPr>
                <w:u w:val="single"/>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年平均浓度现状值ug</w:t>
            </w:r>
            <w:r>
              <w:rPr>
                <w:u w:val="single"/>
              </w:rPr>
              <w:t>/m</w:t>
            </w:r>
            <w:r>
              <w:rPr>
                <w:u w:val="single"/>
                <w:vertAlign w:val="superscript"/>
              </w:rPr>
              <w:t>3</w:t>
            </w:r>
          </w:p>
        </w:tc>
        <w:tc>
          <w:tcPr>
            <w:tcW w:w="479" w:type="pct"/>
            <w:vAlign w:val="center"/>
          </w:tcPr>
          <w:p>
            <w:pPr>
              <w:pStyle w:val="14"/>
              <w:rPr>
                <w:u w:val="single"/>
              </w:rPr>
            </w:pPr>
            <w:r>
              <w:rPr>
                <w:rFonts w:hint="eastAsia"/>
                <w:u w:val="single"/>
              </w:rPr>
              <w:t>9</w:t>
            </w:r>
          </w:p>
        </w:tc>
        <w:tc>
          <w:tcPr>
            <w:tcW w:w="479" w:type="pct"/>
            <w:vAlign w:val="center"/>
          </w:tcPr>
          <w:p>
            <w:pPr>
              <w:pStyle w:val="14"/>
              <w:rPr>
                <w:u w:val="single"/>
              </w:rPr>
            </w:pPr>
            <w:r>
              <w:rPr>
                <w:rFonts w:hint="eastAsia"/>
                <w:u w:val="single"/>
              </w:rPr>
              <w:t>1</w:t>
            </w:r>
            <w:r>
              <w:rPr>
                <w:u w:val="single"/>
              </w:rPr>
              <w:t>7</w:t>
            </w:r>
          </w:p>
        </w:tc>
        <w:tc>
          <w:tcPr>
            <w:tcW w:w="479" w:type="pct"/>
            <w:vAlign w:val="center"/>
          </w:tcPr>
          <w:p>
            <w:pPr>
              <w:pStyle w:val="14"/>
              <w:rPr>
                <w:u w:val="single"/>
              </w:rPr>
            </w:pPr>
            <w:r>
              <w:rPr>
                <w:rFonts w:hint="eastAsia"/>
                <w:u w:val="single"/>
              </w:rPr>
              <w:t>6</w:t>
            </w:r>
            <w:r>
              <w:rPr>
                <w:u w:val="single"/>
              </w:rPr>
              <w:t>0</w:t>
            </w:r>
          </w:p>
        </w:tc>
        <w:tc>
          <w:tcPr>
            <w:tcW w:w="479" w:type="pct"/>
            <w:vAlign w:val="center"/>
          </w:tcPr>
          <w:p>
            <w:pPr>
              <w:pStyle w:val="14"/>
              <w:rPr>
                <w:u w:val="single"/>
              </w:rPr>
            </w:pPr>
            <w:r>
              <w:rPr>
                <w:rFonts w:hint="eastAsia"/>
                <w:u w:val="single"/>
              </w:rPr>
              <w:t>/</w:t>
            </w:r>
          </w:p>
        </w:tc>
        <w:tc>
          <w:tcPr>
            <w:tcW w:w="487" w:type="pct"/>
            <w:vAlign w:val="center"/>
          </w:tcPr>
          <w:p>
            <w:pPr>
              <w:pStyle w:val="14"/>
              <w:rPr>
                <w:u w:val="single"/>
              </w:rPr>
            </w:pPr>
            <w:r>
              <w:rPr>
                <w:rFonts w:hint="eastAsia"/>
                <w:u w:val="single"/>
              </w:rPr>
              <w:t>/</w:t>
            </w:r>
          </w:p>
        </w:tc>
        <w:tc>
          <w:tcPr>
            <w:tcW w:w="460" w:type="pct"/>
            <w:vAlign w:val="center"/>
          </w:tcPr>
          <w:p>
            <w:pPr>
              <w:pStyle w:val="14"/>
              <w:rPr>
                <w:u w:val="single"/>
              </w:rPr>
            </w:pPr>
            <w:r>
              <w:rPr>
                <w:rFonts w:hint="eastAsia"/>
                <w:u w:val="single"/>
              </w:rPr>
              <w:t>/</w:t>
            </w:r>
          </w:p>
        </w:tc>
        <w:tc>
          <w:tcPr>
            <w:tcW w:w="479" w:type="pct"/>
            <w:vAlign w:val="center"/>
          </w:tcPr>
          <w:p>
            <w:pPr>
              <w:pStyle w:val="14"/>
              <w:rPr>
                <w:u w:val="single"/>
              </w:rPr>
            </w:pPr>
            <w:r>
              <w:rPr>
                <w:rFonts w:hint="eastAsia"/>
                <w:u w:val="single"/>
              </w:rPr>
              <w:t>3</w:t>
            </w:r>
            <w:r>
              <w:rPr>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在建/拟建污染源</w:t>
            </w:r>
          </w:p>
          <w:p>
            <w:pPr>
              <w:pStyle w:val="14"/>
              <w:rPr>
                <w:u w:val="single"/>
              </w:rPr>
            </w:pPr>
            <w:r>
              <w:rPr>
                <w:rFonts w:hint="eastAsia"/>
                <w:u w:val="single"/>
              </w:rPr>
              <w:t>年平均浓度贡献值ug</w:t>
            </w:r>
            <w:r>
              <w:rPr>
                <w:u w:val="single"/>
              </w:rPr>
              <w:t>/m</w:t>
            </w:r>
            <w:r>
              <w:rPr>
                <w:u w:val="single"/>
                <w:vertAlign w:val="superscript"/>
              </w:rPr>
              <w:t>3</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87" w:type="pct"/>
            <w:vAlign w:val="center"/>
          </w:tcPr>
          <w:p>
            <w:pPr>
              <w:pStyle w:val="14"/>
              <w:rPr>
                <w:u w:val="single"/>
              </w:rPr>
            </w:pPr>
            <w:r>
              <w:rPr>
                <w:rFonts w:hint="eastAsia"/>
                <w:u w:val="single"/>
              </w:rPr>
              <w:t>0</w:t>
            </w:r>
          </w:p>
        </w:tc>
        <w:tc>
          <w:tcPr>
            <w:tcW w:w="460"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59" w:type="pct"/>
            <w:vAlign w:val="center"/>
          </w:tcPr>
          <w:p>
            <w:pPr>
              <w:pStyle w:val="14"/>
              <w:rPr>
                <w:u w:val="single"/>
              </w:rPr>
            </w:pPr>
            <w:r>
              <w:rPr>
                <w:rFonts w:hint="eastAsia"/>
                <w:u w:val="single"/>
              </w:rPr>
              <w:t>削减污染源年平</w:t>
            </w:r>
          </w:p>
          <w:p>
            <w:pPr>
              <w:pStyle w:val="14"/>
              <w:rPr>
                <w:u w:val="single"/>
              </w:rPr>
            </w:pPr>
            <w:r>
              <w:rPr>
                <w:rFonts w:hint="eastAsia"/>
                <w:u w:val="single"/>
              </w:rPr>
              <w:t>均浓度贡献值ug</w:t>
            </w:r>
            <w:r>
              <w:rPr>
                <w:u w:val="single"/>
              </w:rPr>
              <w:t>/m</w:t>
            </w:r>
            <w:r>
              <w:rPr>
                <w:u w:val="single"/>
                <w:vertAlign w:val="superscript"/>
              </w:rPr>
              <w:t>3</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c>
          <w:tcPr>
            <w:tcW w:w="487" w:type="pct"/>
            <w:vAlign w:val="center"/>
          </w:tcPr>
          <w:p>
            <w:pPr>
              <w:pStyle w:val="14"/>
              <w:rPr>
                <w:u w:val="single"/>
              </w:rPr>
            </w:pPr>
            <w:r>
              <w:rPr>
                <w:rFonts w:hint="eastAsia"/>
                <w:u w:val="single"/>
              </w:rPr>
              <w:t>0</w:t>
            </w:r>
          </w:p>
        </w:tc>
        <w:tc>
          <w:tcPr>
            <w:tcW w:w="460" w:type="pct"/>
            <w:vAlign w:val="center"/>
          </w:tcPr>
          <w:p>
            <w:pPr>
              <w:pStyle w:val="14"/>
              <w:rPr>
                <w:u w:val="single"/>
              </w:rPr>
            </w:pPr>
            <w:r>
              <w:rPr>
                <w:rFonts w:hint="eastAsia"/>
                <w:u w:val="single"/>
              </w:rPr>
              <w:t>0</w:t>
            </w:r>
          </w:p>
        </w:tc>
        <w:tc>
          <w:tcPr>
            <w:tcW w:w="479" w:type="pct"/>
            <w:vAlign w:val="center"/>
          </w:tcPr>
          <w:p>
            <w:pPr>
              <w:pStyle w:val="14"/>
              <w:rPr>
                <w:u w:val="single"/>
              </w:rPr>
            </w:pPr>
            <w:r>
              <w:rPr>
                <w:rFonts w:hint="eastAsia"/>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年平均浓度叠加值ug</w:t>
            </w:r>
            <w:r>
              <w:rPr>
                <w:u w:val="single"/>
              </w:rPr>
              <w:t>/m</w:t>
            </w:r>
            <w:r>
              <w:rPr>
                <w:u w:val="single"/>
                <w:vertAlign w:val="superscript"/>
              </w:rPr>
              <w:t>3</w:t>
            </w:r>
          </w:p>
        </w:tc>
        <w:tc>
          <w:tcPr>
            <w:tcW w:w="479" w:type="pct"/>
            <w:vAlign w:val="center"/>
          </w:tcPr>
          <w:p>
            <w:pPr>
              <w:pStyle w:val="14"/>
              <w:rPr>
                <w:u w:val="single"/>
              </w:rPr>
            </w:pPr>
            <w:r>
              <w:rPr>
                <w:rFonts w:hint="eastAsia"/>
                <w:u w:val="single"/>
              </w:rPr>
              <w:t>1</w:t>
            </w:r>
            <w:r>
              <w:rPr>
                <w:u w:val="single"/>
              </w:rPr>
              <w:t>7.18</w:t>
            </w:r>
          </w:p>
        </w:tc>
        <w:tc>
          <w:tcPr>
            <w:tcW w:w="479" w:type="pct"/>
            <w:vAlign w:val="center"/>
          </w:tcPr>
          <w:p>
            <w:pPr>
              <w:pStyle w:val="14"/>
              <w:rPr>
                <w:u w:val="single"/>
              </w:rPr>
            </w:pPr>
            <w:r>
              <w:rPr>
                <w:rFonts w:hint="eastAsia"/>
                <w:u w:val="single"/>
              </w:rPr>
              <w:t>3</w:t>
            </w:r>
            <w:r>
              <w:rPr>
                <w:u w:val="single"/>
              </w:rPr>
              <w:t>0.87</w:t>
            </w:r>
          </w:p>
        </w:tc>
        <w:tc>
          <w:tcPr>
            <w:tcW w:w="479" w:type="pct"/>
            <w:vAlign w:val="center"/>
          </w:tcPr>
          <w:p>
            <w:pPr>
              <w:pStyle w:val="14"/>
              <w:rPr>
                <w:u w:val="single"/>
              </w:rPr>
            </w:pPr>
            <w:r>
              <w:rPr>
                <w:rFonts w:hint="eastAsia"/>
                <w:u w:val="single"/>
              </w:rPr>
              <w:t>7</w:t>
            </w:r>
            <w:r>
              <w:rPr>
                <w:u w:val="single"/>
              </w:rPr>
              <w:t>8.93</w:t>
            </w:r>
          </w:p>
        </w:tc>
        <w:tc>
          <w:tcPr>
            <w:tcW w:w="479" w:type="pct"/>
            <w:vAlign w:val="center"/>
          </w:tcPr>
          <w:p>
            <w:pPr>
              <w:pStyle w:val="14"/>
              <w:rPr>
                <w:u w:val="single"/>
              </w:rPr>
            </w:pPr>
            <w:r>
              <w:rPr>
                <w:rFonts w:hint="eastAsia"/>
                <w:u w:val="single"/>
              </w:rPr>
              <w:t>/</w:t>
            </w:r>
          </w:p>
        </w:tc>
        <w:tc>
          <w:tcPr>
            <w:tcW w:w="487" w:type="pct"/>
            <w:vAlign w:val="center"/>
          </w:tcPr>
          <w:p>
            <w:pPr>
              <w:pStyle w:val="14"/>
              <w:rPr>
                <w:u w:val="single"/>
              </w:rPr>
            </w:pPr>
            <w:r>
              <w:rPr>
                <w:rFonts w:hint="eastAsia"/>
                <w:u w:val="single"/>
              </w:rPr>
              <w:t>/</w:t>
            </w:r>
          </w:p>
        </w:tc>
        <w:tc>
          <w:tcPr>
            <w:tcW w:w="460" w:type="pct"/>
            <w:vAlign w:val="center"/>
          </w:tcPr>
          <w:p>
            <w:pPr>
              <w:pStyle w:val="14"/>
              <w:rPr>
                <w:u w:val="single"/>
              </w:rPr>
            </w:pPr>
            <w:r>
              <w:rPr>
                <w:rFonts w:hint="eastAsia"/>
                <w:u w:val="single"/>
              </w:rPr>
              <w:t>/</w:t>
            </w:r>
          </w:p>
        </w:tc>
        <w:tc>
          <w:tcPr>
            <w:tcW w:w="479" w:type="pct"/>
            <w:vAlign w:val="center"/>
          </w:tcPr>
          <w:p>
            <w:pPr>
              <w:pStyle w:val="14"/>
              <w:rPr>
                <w:u w:val="single"/>
              </w:rPr>
            </w:pPr>
            <w:r>
              <w:rPr>
                <w:rFonts w:hint="eastAsia"/>
                <w:u w:val="single"/>
              </w:rPr>
              <w:t>4</w:t>
            </w:r>
            <w:r>
              <w:rPr>
                <w:u w:val="single"/>
              </w:rPr>
              <w:t>4.81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年平均浓度标准值ug</w:t>
            </w:r>
            <w:r>
              <w:rPr>
                <w:u w:val="single"/>
              </w:rPr>
              <w:t>/m</w:t>
            </w:r>
            <w:r>
              <w:rPr>
                <w:u w:val="single"/>
                <w:vertAlign w:val="superscript"/>
              </w:rPr>
              <w:t>3</w:t>
            </w:r>
          </w:p>
        </w:tc>
        <w:tc>
          <w:tcPr>
            <w:tcW w:w="479" w:type="pct"/>
            <w:vAlign w:val="center"/>
          </w:tcPr>
          <w:p>
            <w:pPr>
              <w:pStyle w:val="14"/>
              <w:rPr>
                <w:u w:val="single"/>
              </w:rPr>
            </w:pPr>
            <w:r>
              <w:rPr>
                <w:rFonts w:hint="eastAsia"/>
                <w:u w:val="single"/>
              </w:rPr>
              <w:t>6</w:t>
            </w:r>
            <w:r>
              <w:rPr>
                <w:u w:val="single"/>
              </w:rPr>
              <w:t>0</w:t>
            </w:r>
          </w:p>
        </w:tc>
        <w:tc>
          <w:tcPr>
            <w:tcW w:w="479" w:type="pct"/>
            <w:vAlign w:val="center"/>
          </w:tcPr>
          <w:p>
            <w:pPr>
              <w:pStyle w:val="14"/>
              <w:rPr>
                <w:u w:val="single"/>
              </w:rPr>
            </w:pPr>
            <w:r>
              <w:rPr>
                <w:rFonts w:hint="eastAsia"/>
                <w:u w:val="single"/>
              </w:rPr>
              <w:t>5</w:t>
            </w:r>
            <w:r>
              <w:rPr>
                <w:u w:val="single"/>
              </w:rPr>
              <w:t>0</w:t>
            </w:r>
          </w:p>
        </w:tc>
        <w:tc>
          <w:tcPr>
            <w:tcW w:w="479" w:type="pct"/>
            <w:vAlign w:val="center"/>
          </w:tcPr>
          <w:p>
            <w:pPr>
              <w:pStyle w:val="14"/>
              <w:rPr>
                <w:u w:val="single"/>
              </w:rPr>
            </w:pPr>
            <w:r>
              <w:rPr>
                <w:rFonts w:hint="eastAsia"/>
                <w:u w:val="single"/>
              </w:rPr>
              <w:t>7</w:t>
            </w:r>
            <w:r>
              <w:rPr>
                <w:u w:val="single"/>
              </w:rPr>
              <w:t>0</w:t>
            </w:r>
          </w:p>
        </w:tc>
        <w:tc>
          <w:tcPr>
            <w:tcW w:w="479" w:type="pct"/>
            <w:vAlign w:val="center"/>
          </w:tcPr>
          <w:p>
            <w:pPr>
              <w:pStyle w:val="14"/>
              <w:rPr>
                <w:u w:val="single"/>
              </w:rPr>
            </w:pPr>
            <w:r>
              <w:rPr>
                <w:rFonts w:hint="eastAsia"/>
                <w:u w:val="single"/>
              </w:rPr>
              <w:t>/</w:t>
            </w:r>
          </w:p>
        </w:tc>
        <w:tc>
          <w:tcPr>
            <w:tcW w:w="487" w:type="pct"/>
            <w:vAlign w:val="center"/>
          </w:tcPr>
          <w:p>
            <w:pPr>
              <w:pStyle w:val="14"/>
              <w:rPr>
                <w:u w:val="single"/>
              </w:rPr>
            </w:pPr>
            <w:r>
              <w:rPr>
                <w:rFonts w:hint="eastAsia"/>
                <w:u w:val="single"/>
              </w:rPr>
              <w:t>/</w:t>
            </w:r>
          </w:p>
        </w:tc>
        <w:tc>
          <w:tcPr>
            <w:tcW w:w="460" w:type="pct"/>
            <w:vAlign w:val="center"/>
          </w:tcPr>
          <w:p>
            <w:pPr>
              <w:pStyle w:val="14"/>
              <w:rPr>
                <w:u w:val="single"/>
              </w:rPr>
            </w:pPr>
            <w:r>
              <w:rPr>
                <w:rFonts w:hint="eastAsia"/>
                <w:u w:val="single"/>
              </w:rPr>
              <w:t>/</w:t>
            </w:r>
          </w:p>
        </w:tc>
        <w:tc>
          <w:tcPr>
            <w:tcW w:w="479" w:type="pct"/>
            <w:vAlign w:val="center"/>
          </w:tcPr>
          <w:p>
            <w:pPr>
              <w:pStyle w:val="14"/>
              <w:rPr>
                <w:u w:val="single"/>
              </w:rPr>
            </w:pPr>
            <w:r>
              <w:rPr>
                <w:rFonts w:hint="eastAsia"/>
                <w:u w:val="single"/>
              </w:rPr>
              <w:t>3</w:t>
            </w:r>
            <w:r>
              <w:rPr>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pct"/>
            <w:vAlign w:val="center"/>
          </w:tcPr>
          <w:p>
            <w:pPr>
              <w:pStyle w:val="14"/>
              <w:rPr>
                <w:u w:val="single"/>
              </w:rPr>
            </w:pPr>
            <w:r>
              <w:rPr>
                <w:rFonts w:hint="eastAsia"/>
                <w:u w:val="single"/>
              </w:rPr>
              <w:t>年平均浓度达标分析</w:t>
            </w:r>
          </w:p>
        </w:tc>
        <w:tc>
          <w:tcPr>
            <w:tcW w:w="479" w:type="pct"/>
            <w:vAlign w:val="center"/>
          </w:tcPr>
          <w:p>
            <w:pPr>
              <w:pStyle w:val="14"/>
              <w:rPr>
                <w:u w:val="single"/>
              </w:rPr>
            </w:pPr>
            <w:r>
              <w:rPr>
                <w:rFonts w:hint="eastAsia"/>
                <w:u w:val="single"/>
              </w:rPr>
              <w:t>达标</w:t>
            </w:r>
          </w:p>
        </w:tc>
        <w:tc>
          <w:tcPr>
            <w:tcW w:w="479" w:type="pct"/>
            <w:vAlign w:val="center"/>
          </w:tcPr>
          <w:p>
            <w:pPr>
              <w:pStyle w:val="14"/>
              <w:rPr>
                <w:u w:val="single"/>
              </w:rPr>
            </w:pPr>
            <w:r>
              <w:rPr>
                <w:rFonts w:hint="eastAsia"/>
                <w:u w:val="single"/>
              </w:rPr>
              <w:t>达标</w:t>
            </w:r>
          </w:p>
        </w:tc>
        <w:tc>
          <w:tcPr>
            <w:tcW w:w="479" w:type="pct"/>
            <w:vAlign w:val="center"/>
          </w:tcPr>
          <w:p>
            <w:pPr>
              <w:pStyle w:val="14"/>
              <w:rPr>
                <w:u w:val="single"/>
              </w:rPr>
            </w:pPr>
            <w:r>
              <w:rPr>
                <w:rFonts w:hint="eastAsia"/>
                <w:u w:val="single"/>
              </w:rPr>
              <w:t>超标</w:t>
            </w:r>
          </w:p>
        </w:tc>
        <w:tc>
          <w:tcPr>
            <w:tcW w:w="479" w:type="pct"/>
            <w:vAlign w:val="center"/>
          </w:tcPr>
          <w:p>
            <w:pPr>
              <w:pStyle w:val="14"/>
              <w:rPr>
                <w:u w:val="single"/>
              </w:rPr>
            </w:pPr>
            <w:r>
              <w:rPr>
                <w:rFonts w:hint="eastAsia"/>
                <w:u w:val="single"/>
              </w:rPr>
              <w:t>/</w:t>
            </w:r>
          </w:p>
        </w:tc>
        <w:tc>
          <w:tcPr>
            <w:tcW w:w="487" w:type="pct"/>
            <w:vAlign w:val="center"/>
          </w:tcPr>
          <w:p>
            <w:pPr>
              <w:pStyle w:val="14"/>
              <w:rPr>
                <w:u w:val="single"/>
              </w:rPr>
            </w:pPr>
            <w:r>
              <w:rPr>
                <w:rFonts w:hint="eastAsia"/>
                <w:u w:val="single"/>
              </w:rPr>
              <w:t>/</w:t>
            </w:r>
          </w:p>
        </w:tc>
        <w:tc>
          <w:tcPr>
            <w:tcW w:w="460" w:type="pct"/>
            <w:vAlign w:val="center"/>
          </w:tcPr>
          <w:p>
            <w:pPr>
              <w:pStyle w:val="14"/>
              <w:rPr>
                <w:u w:val="single"/>
              </w:rPr>
            </w:pPr>
            <w:r>
              <w:rPr>
                <w:rFonts w:hint="eastAsia"/>
                <w:u w:val="single"/>
              </w:rPr>
              <w:t>/</w:t>
            </w:r>
          </w:p>
        </w:tc>
        <w:tc>
          <w:tcPr>
            <w:tcW w:w="479" w:type="pct"/>
            <w:vAlign w:val="center"/>
          </w:tcPr>
          <w:p>
            <w:pPr>
              <w:pStyle w:val="14"/>
              <w:rPr>
                <w:u w:val="single"/>
              </w:rPr>
            </w:pPr>
            <w:r>
              <w:rPr>
                <w:rFonts w:hint="eastAsia"/>
                <w:u w:val="single"/>
              </w:rPr>
              <w:t>超标</w:t>
            </w:r>
          </w:p>
        </w:tc>
      </w:tr>
    </w:tbl>
    <w:p>
      <w:pPr>
        <w:pStyle w:val="168"/>
        <w:spacing w:before="0" w:beforeAutospacing="0" w:after="0" w:afterAutospacing="0" w:line="360" w:lineRule="auto"/>
        <w:ind w:firstLine="482"/>
        <w:rPr>
          <w:u w:val="single"/>
        </w:rPr>
      </w:pPr>
      <w:r>
        <w:rPr>
          <w:rFonts w:hint="eastAsia"/>
          <w:u w:val="single"/>
        </w:rPr>
        <w:t>由上表可知，SO</w:t>
      </w:r>
      <w:r>
        <w:rPr>
          <w:u w:val="single"/>
          <w:vertAlign w:val="subscript"/>
        </w:rPr>
        <w:t>2</w:t>
      </w:r>
      <w:r>
        <w:rPr>
          <w:rFonts w:hint="eastAsia"/>
          <w:u w:val="single"/>
        </w:rPr>
        <w:t>的9</w:t>
      </w:r>
      <w:r>
        <w:rPr>
          <w:u w:val="single"/>
        </w:rPr>
        <w:t>8</w:t>
      </w:r>
      <w:r>
        <w:rPr>
          <w:rFonts w:hint="eastAsia"/>
          <w:u w:val="single"/>
        </w:rPr>
        <w:t>%保证率日平均浓度叠加值和年平均浓度叠加值均能达标；NO</w:t>
      </w:r>
      <w:r>
        <w:rPr>
          <w:rFonts w:hint="eastAsia"/>
          <w:u w:val="single"/>
          <w:vertAlign w:val="subscript"/>
        </w:rPr>
        <w:t>x</w:t>
      </w:r>
      <w:r>
        <w:rPr>
          <w:u w:val="single"/>
        </w:rPr>
        <w:t>98</w:t>
      </w:r>
      <w:r>
        <w:rPr>
          <w:rFonts w:hint="eastAsia"/>
          <w:u w:val="single"/>
        </w:rPr>
        <w:t>%保证率日平均浓度叠加值超标，年平均浓度叠加值达标；PM</w:t>
      </w:r>
      <w:r>
        <w:rPr>
          <w:u w:val="single"/>
          <w:vertAlign w:val="subscript"/>
        </w:rPr>
        <w:t>10</w:t>
      </w:r>
      <w:r>
        <w:rPr>
          <w:u w:val="single"/>
        </w:rPr>
        <w:t>95</w:t>
      </w:r>
      <w:r>
        <w:rPr>
          <w:rFonts w:hint="eastAsia"/>
          <w:u w:val="single"/>
        </w:rPr>
        <w:t>%保证率日平均浓度叠加值和年平均浓度叠加值均超标；TSP日平均浓度叠加值达标；氟化物日平均浓度叠加值达标；VOCs日平均浓度叠加值达标；PM</w:t>
      </w:r>
      <w:r>
        <w:rPr>
          <w:u w:val="single"/>
          <w:vertAlign w:val="subscript"/>
        </w:rPr>
        <w:t>2.5</w:t>
      </w:r>
      <w:r>
        <w:rPr>
          <w:u w:val="single"/>
        </w:rPr>
        <w:t>95</w:t>
      </w:r>
      <w:r>
        <w:rPr>
          <w:rFonts w:hint="eastAsia"/>
          <w:u w:val="single"/>
        </w:rPr>
        <w:t>%保证率日平均浓度叠加值和年平均浓度叠加值均超标。</w:t>
      </w:r>
    </w:p>
    <w:p>
      <w:pPr>
        <w:pStyle w:val="168"/>
        <w:spacing w:before="0" w:beforeAutospacing="0" w:after="0" w:afterAutospacing="0" w:line="360" w:lineRule="auto"/>
        <w:ind w:firstLine="482"/>
        <w:rPr>
          <w:rFonts w:cs="Times New Roman"/>
          <w:u w:val="single"/>
        </w:rPr>
      </w:pPr>
      <w:r>
        <w:rPr>
          <w:rFonts w:hint="eastAsia"/>
          <w:u w:val="single"/>
        </w:rPr>
        <w:t>主要超标因子包括NO</w:t>
      </w:r>
      <w:r>
        <w:rPr>
          <w:rFonts w:hint="eastAsia"/>
          <w:u w:val="single"/>
          <w:vertAlign w:val="subscript"/>
        </w:rPr>
        <w:t>x</w:t>
      </w:r>
      <w:r>
        <w:rPr>
          <w:rFonts w:hint="eastAsia"/>
          <w:u w:val="single"/>
        </w:rPr>
        <w:t>、PM</w:t>
      </w:r>
      <w:r>
        <w:rPr>
          <w:u w:val="single"/>
          <w:vertAlign w:val="subscript"/>
        </w:rPr>
        <w:t>10</w:t>
      </w:r>
      <w:r>
        <w:rPr>
          <w:rFonts w:hint="eastAsia"/>
          <w:u w:val="single"/>
        </w:rPr>
        <w:t>、PM</w:t>
      </w:r>
      <w:r>
        <w:rPr>
          <w:u w:val="single"/>
          <w:vertAlign w:val="subscript"/>
        </w:rPr>
        <w:t>2.5</w:t>
      </w:r>
      <w:r>
        <w:rPr>
          <w:rFonts w:hint="eastAsia"/>
          <w:u w:val="single"/>
        </w:rPr>
        <w:t>，根据导则要求，</w:t>
      </w:r>
      <w:r>
        <w:rPr>
          <w:rFonts w:hint="eastAsia" w:cs="Times New Roman"/>
          <w:u w:val="single"/>
        </w:rPr>
        <w:t>按8.8.4计算的预测范围内年平均质量浓度变化率k≤-20%。</w:t>
      </w:r>
    </w:p>
    <w:p>
      <w:pPr>
        <w:pStyle w:val="168"/>
        <w:spacing w:before="0" w:beforeAutospacing="0" w:after="0" w:afterAutospacing="0" w:line="360" w:lineRule="auto"/>
        <w:ind w:firstLine="482"/>
        <w:rPr>
          <w:rFonts w:cs="Times New Roman"/>
          <w:u w:val="single"/>
        </w:rPr>
      </w:pPr>
      <w:r>
        <w:rPr>
          <w:rFonts w:hint="eastAsia" w:cs="Times New Roman"/>
          <w:u w:val="single"/>
        </w:rPr>
        <w:t>1）NO</w:t>
      </w:r>
      <w:r>
        <w:rPr>
          <w:rFonts w:hint="eastAsia" w:cs="Times New Roman"/>
          <w:u w:val="single"/>
          <w:vertAlign w:val="subscript"/>
        </w:rPr>
        <w:t>x</w:t>
      </w:r>
      <w:r>
        <w:rPr>
          <w:rFonts w:hint="eastAsia" w:cs="Times New Roman"/>
          <w:u w:val="single"/>
        </w:rPr>
        <w:t>年平均质量浓度变化率K计算</w:t>
      </w:r>
    </w:p>
    <w:p>
      <w:pPr>
        <w:pStyle w:val="168"/>
        <w:spacing w:before="0" w:beforeAutospacing="0" w:after="0" w:afterAutospacing="0" w:line="360" w:lineRule="auto"/>
        <w:ind w:firstLine="482"/>
        <w:rPr>
          <w:rFonts w:cs="Times New Roman"/>
          <w:u w:val="single"/>
        </w:rPr>
      </w:pPr>
      <w:r>
        <w:rPr>
          <w:rFonts w:hint="eastAsia" w:cs="Times New Roman"/>
          <w:u w:val="single"/>
        </w:rPr>
        <w:t>根据项目替代源削减方案可知，区域削减NO</w:t>
      </w:r>
      <w:r>
        <w:rPr>
          <w:rFonts w:hint="eastAsia" w:cs="Times New Roman"/>
          <w:u w:val="single"/>
          <w:vertAlign w:val="subscript"/>
        </w:rPr>
        <w:t>x</w:t>
      </w:r>
      <w:r>
        <w:rPr>
          <w:rFonts w:hint="eastAsia" w:cs="Times New Roman"/>
          <w:u w:val="single"/>
        </w:rPr>
        <w:t>量可达</w:t>
      </w:r>
      <w:r>
        <w:rPr>
          <w:rFonts w:cs="Times New Roman"/>
          <w:u w:val="single"/>
        </w:rPr>
        <w:t>951.6</w:t>
      </w:r>
      <w:r>
        <w:rPr>
          <w:rFonts w:hint="eastAsia" w:cs="Times New Roman"/>
          <w:u w:val="single"/>
        </w:rPr>
        <w:t>t</w:t>
      </w:r>
      <w:r>
        <w:rPr>
          <w:rFonts w:cs="Times New Roman"/>
          <w:u w:val="single"/>
        </w:rPr>
        <w:t>/a</w:t>
      </w:r>
      <w:r>
        <w:rPr>
          <w:rFonts w:hint="eastAsia" w:cs="Times New Roman"/>
          <w:u w:val="single"/>
        </w:rPr>
        <w:t>，采用AERMOD进行预测，K值计算公式如下：</w:t>
      </w:r>
    </w:p>
    <w:p>
      <w:pPr>
        <w:pStyle w:val="168"/>
        <w:spacing w:before="0" w:beforeAutospacing="0" w:after="0" w:afterAutospacing="0" w:line="360" w:lineRule="auto"/>
        <w:rPr>
          <w:u w:val="single"/>
        </w:rPr>
      </w:pPr>
      <m:oMathPara>
        <m:oMath>
          <m:r>
            <m:rPr/>
            <w:rPr>
              <w:rFonts w:hint="eastAsia" w:ascii="Cambria Math" w:hAnsi="Cambria Math"/>
              <w:u w:val="single"/>
            </w:rPr>
            <m:t>K=</m:t>
          </m:r>
          <m:f>
            <m:fPr>
              <m:ctrlPr>
                <w:rPr>
                  <w:rFonts w:ascii="Cambria Math" w:hAnsi="Cambria Math"/>
                  <w:i/>
                  <w:u w:val="single"/>
                </w:rPr>
              </m:ctrlPr>
            </m:fPr>
            <m:num>
              <m:sSub>
                <m:sSubPr>
                  <m:ctrlPr>
                    <w:rPr>
                      <w:rFonts w:ascii="Cambria Math" w:hAnsi="Cambria Math"/>
                      <w:i/>
                      <w:u w:val="single"/>
                    </w:rPr>
                  </m:ctrlPr>
                </m:sSubPr>
                <m:e>
                  <m:r>
                    <m:rPr/>
                    <w:rPr>
                      <w:rFonts w:hint="eastAsia" w:ascii="Cambria Math" w:hAnsi="Cambria Math"/>
                      <w:u w:val="single"/>
                    </w:rPr>
                    <m:t>C</m:t>
                  </m:r>
                  <m:ctrlPr>
                    <w:rPr>
                      <w:rFonts w:ascii="Cambria Math" w:hAnsi="Cambria Math"/>
                      <w:i/>
                      <w:u w:val="single"/>
                    </w:rPr>
                  </m:ctrlPr>
                </m:e>
                <m:sub>
                  <m:r>
                    <m:rPr/>
                    <w:rPr>
                      <w:rFonts w:hint="eastAsia" w:ascii="Cambria Math" w:hAnsi="Cambria Math"/>
                      <w:u w:val="single"/>
                    </w:rPr>
                    <m:t>本项目</m:t>
                  </m:r>
                  <m:ctrlPr>
                    <w:rPr>
                      <w:rFonts w:ascii="Cambria Math" w:hAnsi="Cambria Math"/>
                      <w:i/>
                      <w:u w:val="single"/>
                    </w:rPr>
                  </m:ctrlPr>
                </m:sub>
              </m:sSub>
              <m:r>
                <m:rPr/>
                <w:rPr>
                  <w:rFonts w:hint="eastAsia" w:ascii="微软雅黑" w:hAnsi="微软雅黑" w:eastAsia="微软雅黑" w:cs="微软雅黑"/>
                  <w:u w:val="single"/>
                </w:rPr>
                <m:t>−</m:t>
              </m:r>
              <m:sSub>
                <m:sSubPr>
                  <m:ctrlPr>
                    <w:rPr>
                      <w:rFonts w:ascii="Cambria Math" w:hAnsi="Cambria Math"/>
                      <w:i/>
                      <w:u w:val="single"/>
                    </w:rPr>
                  </m:ctrlPr>
                </m:sSubPr>
                <m:e>
                  <m:r>
                    <m:rPr/>
                    <w:rPr>
                      <w:rFonts w:hint="eastAsia" w:ascii="Cambria Math" w:hAnsi="Cambria Math"/>
                      <w:u w:val="single"/>
                    </w:rPr>
                    <m:t>C</m:t>
                  </m:r>
                  <m:ctrlPr>
                    <w:rPr>
                      <w:rFonts w:ascii="Cambria Math" w:hAnsi="Cambria Math"/>
                      <w:i/>
                      <w:u w:val="single"/>
                    </w:rPr>
                  </m:ctrlPr>
                </m:e>
                <m:sub>
                  <m:r>
                    <m:rPr/>
                    <w:rPr>
                      <w:rFonts w:hint="eastAsia" w:ascii="Cambria Math" w:hAnsi="Cambria Math"/>
                      <w:u w:val="single"/>
                    </w:rPr>
                    <m:t>削减</m:t>
                  </m:r>
                  <m:ctrlPr>
                    <w:rPr>
                      <w:rFonts w:ascii="Cambria Math" w:hAnsi="Cambria Math"/>
                      <w:i/>
                      <w:u w:val="single"/>
                    </w:rPr>
                  </m:ctrlPr>
                </m:sub>
              </m:sSub>
              <m:ctrlPr>
                <w:rPr>
                  <w:rFonts w:ascii="Cambria Math" w:hAnsi="Cambria Math"/>
                  <w:i/>
                  <w:u w:val="single"/>
                </w:rPr>
              </m:ctrlPr>
            </m:num>
            <m:den>
              <m:sSub>
                <m:sSubPr>
                  <m:ctrlPr>
                    <w:rPr>
                      <w:rFonts w:ascii="Cambria Math" w:hAnsi="Cambria Math"/>
                      <w:i/>
                      <w:u w:val="single"/>
                    </w:rPr>
                  </m:ctrlPr>
                </m:sSubPr>
                <m:e>
                  <m:r>
                    <m:rPr/>
                    <w:rPr>
                      <w:rFonts w:hint="eastAsia" w:ascii="Cambria Math" w:hAnsi="Cambria Math"/>
                      <w:u w:val="single"/>
                    </w:rPr>
                    <m:t>C</m:t>
                  </m:r>
                  <m:ctrlPr>
                    <w:rPr>
                      <w:rFonts w:ascii="Cambria Math" w:hAnsi="Cambria Math"/>
                      <w:i/>
                      <w:u w:val="single"/>
                    </w:rPr>
                  </m:ctrlPr>
                </m:e>
                <m:sub>
                  <m:r>
                    <m:rPr/>
                    <w:rPr>
                      <w:rFonts w:hint="eastAsia" w:ascii="Cambria Math" w:hAnsi="Cambria Math"/>
                      <w:u w:val="single"/>
                    </w:rPr>
                    <m:t>削减</m:t>
                  </m:r>
                  <m:ctrlPr>
                    <w:rPr>
                      <w:rFonts w:ascii="Cambria Math" w:hAnsi="Cambria Math"/>
                      <w:i/>
                      <w:u w:val="single"/>
                    </w:rPr>
                  </m:ctrlPr>
                </m:sub>
              </m:sSub>
              <m:ctrlPr>
                <w:rPr>
                  <w:rFonts w:ascii="Cambria Math" w:hAnsi="Cambria Math"/>
                  <w:i/>
                  <w:u w:val="single"/>
                </w:rPr>
              </m:ctrlPr>
            </m:den>
          </m:f>
          <m:r>
            <m:rPr/>
            <w:rPr>
              <w:rFonts w:ascii="Cambria Math" w:hAnsi="Cambria Math"/>
              <w:u w:val="single"/>
            </w:rPr>
            <m:t>×100</m:t>
          </m:r>
          <m:r>
            <m:rPr/>
            <w:rPr>
              <w:rFonts w:hint="eastAsia" w:ascii="Cambria Math" w:hAnsi="Cambria Math"/>
              <w:u w:val="single"/>
            </w:rPr>
            <m:t>%</m:t>
          </m:r>
        </m:oMath>
      </m:oMathPara>
    </w:p>
    <w:p>
      <w:pPr>
        <w:pStyle w:val="168"/>
        <w:spacing w:before="0" w:beforeAutospacing="0" w:after="0" w:afterAutospacing="0" w:line="360" w:lineRule="auto"/>
        <w:ind w:firstLine="480" w:firstLineChars="200"/>
        <w:rPr>
          <w:u w:val="single"/>
        </w:rPr>
      </w:pPr>
      <w:r>
        <w:rPr>
          <w:rFonts w:hint="eastAsia"/>
          <w:u w:val="single"/>
        </w:rPr>
        <w:t>式中：C</w:t>
      </w:r>
      <w:r>
        <w:rPr>
          <w:rFonts w:hint="eastAsia"/>
          <w:u w:val="single"/>
          <w:vertAlign w:val="subscript"/>
        </w:rPr>
        <w:t>本项目</w:t>
      </w:r>
      <w:r>
        <w:rPr>
          <w:rFonts w:hint="eastAsia"/>
          <w:u w:val="single"/>
        </w:rPr>
        <w:t>——本项目污染物年均浓度贡献值，ug</w:t>
      </w:r>
      <w:r>
        <w:rPr>
          <w:u w:val="single"/>
        </w:rPr>
        <w:t>/m</w:t>
      </w:r>
      <w:r>
        <w:rPr>
          <w:u w:val="single"/>
          <w:vertAlign w:val="superscript"/>
        </w:rPr>
        <w:t>3</w:t>
      </w:r>
      <w:r>
        <w:rPr>
          <w:rFonts w:hint="eastAsia"/>
          <w:u w:val="single"/>
        </w:rPr>
        <w:t>；</w:t>
      </w:r>
    </w:p>
    <w:p>
      <w:pPr>
        <w:pStyle w:val="168"/>
        <w:spacing w:before="0" w:beforeAutospacing="0" w:after="0" w:afterAutospacing="0" w:line="360" w:lineRule="auto"/>
        <w:ind w:firstLine="480" w:firstLineChars="200"/>
        <w:rPr>
          <w:u w:val="single"/>
        </w:rPr>
      </w:pPr>
      <w:r>
        <w:rPr>
          <w:rFonts w:hint="eastAsia"/>
          <w:u w:val="single"/>
        </w:rPr>
        <w:t>根据上述公式计算，计算结果如下：</w:t>
      </w:r>
    </w:p>
    <w:p>
      <w:pPr>
        <w:pStyle w:val="168"/>
        <w:spacing w:before="0" w:beforeAutospacing="0" w:after="0" w:afterAutospacing="0" w:line="360" w:lineRule="auto"/>
        <w:jc w:val="center"/>
        <w:rPr>
          <w:u w:val="single"/>
        </w:rPr>
      </w:pPr>
      <w:r>
        <w:rPr>
          <w:rFonts w:hint="eastAsia"/>
          <w:u w:val="single"/>
        </w:rPr>
        <w:t>表5</w:t>
      </w:r>
      <w:r>
        <w:rPr>
          <w:u w:val="single"/>
        </w:rPr>
        <w:t>.2</w:t>
      </w:r>
      <w:r>
        <w:rPr>
          <w:rFonts w:hint="eastAsia"/>
          <w:u w:val="single"/>
        </w:rPr>
        <w:t>-</w:t>
      </w:r>
      <w:r>
        <w:rPr>
          <w:u w:val="single"/>
        </w:rPr>
        <w:t xml:space="preserve">26  </w:t>
      </w:r>
      <w:r>
        <w:rPr>
          <w:rFonts w:hint="eastAsia"/>
          <w:u w:val="single"/>
        </w:rPr>
        <w:t>NO</w:t>
      </w:r>
      <w:r>
        <w:rPr>
          <w:rFonts w:hint="eastAsia"/>
          <w:u w:val="single"/>
          <w:vertAlign w:val="subscript"/>
        </w:rPr>
        <w:t>x</w:t>
      </w:r>
      <w:r>
        <w:rPr>
          <w:rFonts w:hint="eastAsia"/>
          <w:u w:val="single"/>
        </w:rPr>
        <w:t>变化率K值计算结果表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2841"/>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tcPr>
          <w:p>
            <w:pPr>
              <w:pStyle w:val="14"/>
              <w:rPr>
                <w:u w:val="single"/>
                <w:vertAlign w:val="subscript"/>
              </w:rPr>
            </w:pPr>
            <w:r>
              <w:rPr>
                <w:rFonts w:hint="eastAsia"/>
                <w:u w:val="single"/>
              </w:rPr>
              <w:t>C</w:t>
            </w:r>
            <w:r>
              <w:rPr>
                <w:rFonts w:hint="eastAsia"/>
                <w:u w:val="single"/>
                <w:vertAlign w:val="subscript"/>
              </w:rPr>
              <w:t>本项目</w:t>
            </w:r>
          </w:p>
        </w:tc>
        <w:tc>
          <w:tcPr>
            <w:tcW w:w="1667" w:type="pct"/>
          </w:tcPr>
          <w:p>
            <w:pPr>
              <w:pStyle w:val="14"/>
              <w:rPr>
                <w:u w:val="single"/>
                <w:vertAlign w:val="subscript"/>
              </w:rPr>
            </w:pPr>
            <w:r>
              <w:rPr>
                <w:rFonts w:hint="eastAsia"/>
                <w:u w:val="single"/>
              </w:rPr>
              <w:t>C</w:t>
            </w:r>
            <w:r>
              <w:rPr>
                <w:rFonts w:hint="eastAsia"/>
                <w:u w:val="single"/>
                <w:vertAlign w:val="subscript"/>
              </w:rPr>
              <w:t>削减</w:t>
            </w:r>
          </w:p>
        </w:tc>
        <w:tc>
          <w:tcPr>
            <w:tcW w:w="1667" w:type="pct"/>
          </w:tcPr>
          <w:p>
            <w:pPr>
              <w:pStyle w:val="14"/>
              <w:rPr>
                <w:u w:val="single"/>
              </w:rPr>
            </w:pPr>
            <w:r>
              <w:rPr>
                <w:rFonts w:hint="eastAsia"/>
                <w:u w:val="single"/>
              </w:rPr>
              <w:t>K值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pPr>
              <w:pStyle w:val="14"/>
              <w:rPr>
                <w:u w:val="single"/>
              </w:rPr>
            </w:pPr>
            <w:r>
              <w:rPr>
                <w:rFonts w:hint="eastAsia"/>
                <w:u w:val="single"/>
              </w:rPr>
              <w:t>9</w:t>
            </w:r>
            <w:r>
              <w:rPr>
                <w:u w:val="single"/>
              </w:rPr>
              <w:t>.81</w:t>
            </w:r>
            <w:r>
              <w:rPr>
                <w:rFonts w:hint="eastAsia"/>
                <w:u w:val="single"/>
              </w:rPr>
              <w:t>ug</w:t>
            </w:r>
            <w:r>
              <w:rPr>
                <w:u w:val="single"/>
              </w:rPr>
              <w:t>/m</w:t>
            </w:r>
            <w:r>
              <w:rPr>
                <w:u w:val="single"/>
                <w:vertAlign w:val="superscript"/>
              </w:rPr>
              <w:t>3</w:t>
            </w:r>
          </w:p>
        </w:tc>
        <w:tc>
          <w:tcPr>
            <w:tcW w:w="1667" w:type="pct"/>
          </w:tcPr>
          <w:p>
            <w:pPr>
              <w:pStyle w:val="14"/>
              <w:rPr>
                <w:u w:val="single"/>
              </w:rPr>
            </w:pPr>
            <w:r>
              <w:rPr>
                <w:u w:val="single"/>
              </w:rPr>
              <w:t>17.54</w:t>
            </w:r>
            <w:r>
              <w:rPr>
                <w:rFonts w:hint="eastAsia"/>
                <w:u w:val="single"/>
              </w:rPr>
              <w:t>ug</w:t>
            </w:r>
            <w:r>
              <w:rPr>
                <w:u w:val="single"/>
              </w:rPr>
              <w:t>/m</w:t>
            </w:r>
            <w:r>
              <w:rPr>
                <w:u w:val="single"/>
                <w:vertAlign w:val="superscript"/>
              </w:rPr>
              <w:t>3</w:t>
            </w:r>
          </w:p>
        </w:tc>
        <w:tc>
          <w:tcPr>
            <w:tcW w:w="1667" w:type="pct"/>
          </w:tcPr>
          <w:p>
            <w:pPr>
              <w:pStyle w:val="14"/>
              <w:rPr>
                <w:u w:val="single"/>
              </w:rPr>
            </w:pPr>
            <w:r>
              <w:rPr>
                <w:rFonts w:hint="eastAsia"/>
                <w:u w:val="single"/>
              </w:rPr>
              <w:t>-</w:t>
            </w:r>
            <w:r>
              <w:rPr>
                <w:u w:val="single"/>
              </w:rPr>
              <w:t>49.49</w:t>
            </w:r>
            <w:r>
              <w:rPr>
                <w:rFonts w:hint="eastAsia"/>
                <w:u w:val="single"/>
              </w:rPr>
              <w:t>%</w:t>
            </w:r>
          </w:p>
        </w:tc>
      </w:tr>
    </w:tbl>
    <w:p>
      <w:pPr>
        <w:pStyle w:val="168"/>
        <w:spacing w:before="0" w:beforeAutospacing="0" w:after="0" w:afterAutospacing="0" w:line="360" w:lineRule="auto"/>
        <w:ind w:firstLine="480" w:firstLineChars="200"/>
        <w:rPr>
          <w:rFonts w:cs="Times New Roman"/>
          <w:u w:val="single"/>
        </w:rPr>
      </w:pPr>
      <w:r>
        <w:rPr>
          <w:rFonts w:hint="eastAsia"/>
          <w:u w:val="single"/>
        </w:rPr>
        <w:t>根据计算结果，NO</w:t>
      </w:r>
      <w:r>
        <w:rPr>
          <w:rFonts w:hint="eastAsia"/>
          <w:u w:val="single"/>
          <w:vertAlign w:val="subscript"/>
        </w:rPr>
        <w:t>x</w:t>
      </w:r>
      <w:r>
        <w:rPr>
          <w:rFonts w:hint="eastAsia" w:cs="Times New Roman"/>
          <w:u w:val="single"/>
        </w:rPr>
        <w:t>年平均质量浓度变化率K小于-</w:t>
      </w:r>
      <w:r>
        <w:rPr>
          <w:rFonts w:cs="Times New Roman"/>
          <w:u w:val="single"/>
        </w:rPr>
        <w:t>20</w:t>
      </w:r>
      <w:r>
        <w:rPr>
          <w:rFonts w:hint="eastAsia" w:cs="Times New Roman"/>
          <w:u w:val="single"/>
        </w:rPr>
        <w:t>%，根据《导则》，项目NO</w:t>
      </w:r>
      <w:r>
        <w:rPr>
          <w:rFonts w:hint="eastAsia" w:cs="Times New Roman"/>
          <w:u w:val="single"/>
          <w:vertAlign w:val="subscript"/>
        </w:rPr>
        <w:t>x</w:t>
      </w:r>
      <w:r>
        <w:rPr>
          <w:rFonts w:hint="eastAsia" w:cs="Times New Roman"/>
          <w:u w:val="single"/>
        </w:rPr>
        <w:t>大气环境影响属于可接受程度范围内。</w:t>
      </w:r>
    </w:p>
    <w:p>
      <w:pPr>
        <w:pStyle w:val="168"/>
        <w:spacing w:before="0" w:beforeAutospacing="0" w:after="0" w:afterAutospacing="0" w:line="360" w:lineRule="auto"/>
        <w:ind w:firstLine="480" w:firstLineChars="200"/>
        <w:rPr>
          <w:rFonts w:cs="Times New Roman"/>
          <w:u w:val="single"/>
        </w:rPr>
      </w:pPr>
      <w:r>
        <w:rPr>
          <w:rFonts w:hint="eastAsia" w:cs="Times New Roman"/>
          <w:u w:val="single"/>
        </w:rPr>
        <w:t>2）PM</w:t>
      </w:r>
      <w:r>
        <w:rPr>
          <w:rFonts w:cs="Times New Roman"/>
          <w:u w:val="single"/>
          <w:vertAlign w:val="subscript"/>
        </w:rPr>
        <w:t>10</w:t>
      </w:r>
      <w:r>
        <w:rPr>
          <w:rFonts w:hint="eastAsia" w:cs="Times New Roman"/>
          <w:u w:val="single"/>
        </w:rPr>
        <w:t>年平均浓度变化率K计算</w:t>
      </w:r>
    </w:p>
    <w:p>
      <w:pPr>
        <w:pStyle w:val="168"/>
        <w:spacing w:before="0" w:beforeAutospacing="0" w:after="0" w:afterAutospacing="0" w:line="360" w:lineRule="auto"/>
        <w:ind w:firstLine="480" w:firstLineChars="200"/>
        <w:rPr>
          <w:rFonts w:cs="Times New Roman"/>
          <w:u w:val="single"/>
        </w:rPr>
      </w:pPr>
      <w:r>
        <w:rPr>
          <w:rFonts w:hint="eastAsia" w:cs="Times New Roman"/>
          <w:u w:val="single"/>
        </w:rPr>
        <w:t>根据项目替代削减源方案，总计可削减颗粒物（PM</w:t>
      </w:r>
      <w:r>
        <w:rPr>
          <w:rFonts w:cs="Times New Roman"/>
          <w:u w:val="single"/>
          <w:vertAlign w:val="subscript"/>
        </w:rPr>
        <w:t>10</w:t>
      </w:r>
      <w:r>
        <w:rPr>
          <w:rFonts w:hint="eastAsia" w:cs="Times New Roman"/>
          <w:u w:val="single"/>
        </w:rPr>
        <w:t>）排放量约为</w:t>
      </w:r>
      <w:r>
        <w:rPr>
          <w:rFonts w:cs="Times New Roman"/>
          <w:u w:val="single"/>
        </w:rPr>
        <w:t>3848</w:t>
      </w:r>
      <w:r>
        <w:rPr>
          <w:rFonts w:hint="eastAsia" w:cs="Times New Roman"/>
          <w:u w:val="single"/>
        </w:rPr>
        <w:t>t</w:t>
      </w:r>
      <w:r>
        <w:rPr>
          <w:rFonts w:cs="Times New Roman"/>
          <w:u w:val="single"/>
        </w:rPr>
        <w:t>/a</w:t>
      </w:r>
      <w:r>
        <w:rPr>
          <w:rFonts w:hint="eastAsia" w:cs="Times New Roman"/>
          <w:u w:val="single"/>
        </w:rPr>
        <w:t>，采用AERMOD进行预测，K值计算结果如下：</w:t>
      </w:r>
    </w:p>
    <w:p>
      <w:pPr>
        <w:pStyle w:val="168"/>
        <w:spacing w:before="0" w:beforeAutospacing="0" w:after="0" w:afterAutospacing="0" w:line="360" w:lineRule="auto"/>
        <w:jc w:val="center"/>
        <w:rPr>
          <w:u w:val="single"/>
        </w:rPr>
      </w:pPr>
      <w:r>
        <w:rPr>
          <w:rFonts w:hint="eastAsia"/>
          <w:u w:val="single"/>
        </w:rPr>
        <w:t>表5</w:t>
      </w:r>
      <w:r>
        <w:rPr>
          <w:u w:val="single"/>
        </w:rPr>
        <w:t>.2</w:t>
      </w:r>
      <w:r>
        <w:rPr>
          <w:rFonts w:hint="eastAsia"/>
          <w:u w:val="single"/>
        </w:rPr>
        <w:t>-</w:t>
      </w:r>
      <w:r>
        <w:rPr>
          <w:u w:val="single"/>
        </w:rPr>
        <w:t xml:space="preserve">27  </w:t>
      </w:r>
      <w:r>
        <w:rPr>
          <w:rFonts w:hint="eastAsia"/>
          <w:u w:val="single"/>
        </w:rPr>
        <w:t>PM</w:t>
      </w:r>
      <w:r>
        <w:rPr>
          <w:u w:val="single"/>
          <w:vertAlign w:val="subscript"/>
        </w:rPr>
        <w:t>10</w:t>
      </w:r>
      <w:r>
        <w:rPr>
          <w:rFonts w:hint="eastAsia"/>
          <w:u w:val="single"/>
        </w:rPr>
        <w:t>变化率K值计算结果表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2841"/>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tcPr>
          <w:p>
            <w:pPr>
              <w:pStyle w:val="14"/>
              <w:rPr>
                <w:u w:val="single"/>
                <w:vertAlign w:val="subscript"/>
              </w:rPr>
            </w:pPr>
            <w:r>
              <w:rPr>
                <w:rFonts w:hint="eastAsia"/>
                <w:u w:val="single"/>
              </w:rPr>
              <w:t>C</w:t>
            </w:r>
            <w:r>
              <w:rPr>
                <w:rFonts w:hint="eastAsia"/>
                <w:u w:val="single"/>
                <w:vertAlign w:val="subscript"/>
              </w:rPr>
              <w:t>本项目</w:t>
            </w:r>
          </w:p>
        </w:tc>
        <w:tc>
          <w:tcPr>
            <w:tcW w:w="1667" w:type="pct"/>
          </w:tcPr>
          <w:p>
            <w:pPr>
              <w:pStyle w:val="14"/>
              <w:rPr>
                <w:u w:val="single"/>
                <w:vertAlign w:val="subscript"/>
              </w:rPr>
            </w:pPr>
            <w:r>
              <w:rPr>
                <w:rFonts w:hint="eastAsia"/>
                <w:u w:val="single"/>
              </w:rPr>
              <w:t>C</w:t>
            </w:r>
            <w:r>
              <w:rPr>
                <w:rFonts w:hint="eastAsia"/>
                <w:u w:val="single"/>
                <w:vertAlign w:val="subscript"/>
              </w:rPr>
              <w:t>削减</w:t>
            </w:r>
          </w:p>
        </w:tc>
        <w:tc>
          <w:tcPr>
            <w:tcW w:w="1666" w:type="pct"/>
          </w:tcPr>
          <w:p>
            <w:pPr>
              <w:pStyle w:val="14"/>
              <w:rPr>
                <w:u w:val="single"/>
              </w:rPr>
            </w:pPr>
            <w:r>
              <w:rPr>
                <w:rFonts w:hint="eastAsia"/>
                <w:u w:val="single"/>
              </w:rPr>
              <w:t>K值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pPr>
              <w:pStyle w:val="14"/>
              <w:rPr>
                <w:u w:val="single"/>
              </w:rPr>
            </w:pPr>
            <w:r>
              <w:rPr>
                <w:u w:val="single"/>
              </w:rPr>
              <w:t>18.93</w:t>
            </w:r>
            <w:r>
              <w:rPr>
                <w:rFonts w:hint="eastAsia"/>
                <w:u w:val="single"/>
              </w:rPr>
              <w:t>ug</w:t>
            </w:r>
            <w:r>
              <w:rPr>
                <w:u w:val="single"/>
              </w:rPr>
              <w:t>/m</w:t>
            </w:r>
            <w:r>
              <w:rPr>
                <w:u w:val="single"/>
                <w:vertAlign w:val="superscript"/>
              </w:rPr>
              <w:t>3</w:t>
            </w:r>
          </w:p>
        </w:tc>
        <w:tc>
          <w:tcPr>
            <w:tcW w:w="1667" w:type="pct"/>
          </w:tcPr>
          <w:p>
            <w:pPr>
              <w:pStyle w:val="14"/>
              <w:rPr>
                <w:u w:val="single"/>
              </w:rPr>
            </w:pPr>
            <w:r>
              <w:rPr>
                <w:u w:val="single"/>
              </w:rPr>
              <w:t>85.78</w:t>
            </w:r>
            <w:r>
              <w:rPr>
                <w:rFonts w:hint="eastAsia"/>
                <w:u w:val="single"/>
              </w:rPr>
              <w:t>ug</w:t>
            </w:r>
            <w:r>
              <w:rPr>
                <w:u w:val="single"/>
              </w:rPr>
              <w:t>/m</w:t>
            </w:r>
            <w:r>
              <w:rPr>
                <w:u w:val="single"/>
                <w:vertAlign w:val="superscript"/>
              </w:rPr>
              <w:t>3</w:t>
            </w:r>
          </w:p>
        </w:tc>
        <w:tc>
          <w:tcPr>
            <w:tcW w:w="1666" w:type="pct"/>
          </w:tcPr>
          <w:p>
            <w:pPr>
              <w:pStyle w:val="14"/>
              <w:rPr>
                <w:u w:val="single"/>
              </w:rPr>
            </w:pPr>
            <w:r>
              <w:rPr>
                <w:rFonts w:hint="eastAsia"/>
                <w:u w:val="single"/>
              </w:rPr>
              <w:t>-</w:t>
            </w:r>
            <w:r>
              <w:rPr>
                <w:u w:val="single"/>
              </w:rPr>
              <w:t>77.93</w:t>
            </w:r>
            <w:r>
              <w:rPr>
                <w:rFonts w:hint="eastAsia"/>
                <w:u w:val="single"/>
              </w:rPr>
              <w:t>%</w:t>
            </w:r>
          </w:p>
        </w:tc>
      </w:tr>
    </w:tbl>
    <w:p>
      <w:pPr>
        <w:pStyle w:val="168"/>
        <w:spacing w:before="0" w:beforeAutospacing="0" w:after="0" w:afterAutospacing="0" w:line="360" w:lineRule="auto"/>
        <w:ind w:firstLine="480" w:firstLineChars="200"/>
        <w:rPr>
          <w:rFonts w:cs="Times New Roman"/>
          <w:u w:val="single"/>
        </w:rPr>
      </w:pPr>
      <w:r>
        <w:rPr>
          <w:rFonts w:hint="eastAsia"/>
          <w:u w:val="single"/>
        </w:rPr>
        <w:t>根据计算结果，PM</w:t>
      </w:r>
      <w:r>
        <w:rPr>
          <w:u w:val="single"/>
          <w:vertAlign w:val="subscript"/>
        </w:rPr>
        <w:t>10</w:t>
      </w:r>
      <w:r>
        <w:rPr>
          <w:rFonts w:hint="eastAsia" w:cs="Times New Roman"/>
          <w:u w:val="single"/>
        </w:rPr>
        <w:t>年平均质量浓度变化率K小于-</w:t>
      </w:r>
      <w:r>
        <w:rPr>
          <w:rFonts w:cs="Times New Roman"/>
          <w:u w:val="single"/>
        </w:rPr>
        <w:t>20</w:t>
      </w:r>
      <w:r>
        <w:rPr>
          <w:rFonts w:hint="eastAsia" w:cs="Times New Roman"/>
          <w:u w:val="single"/>
        </w:rPr>
        <w:t>%，根据《导则》，项目PM</w:t>
      </w:r>
      <w:r>
        <w:rPr>
          <w:rFonts w:cs="Times New Roman"/>
          <w:u w:val="single"/>
          <w:vertAlign w:val="subscript"/>
        </w:rPr>
        <w:t>10</w:t>
      </w:r>
      <w:r>
        <w:rPr>
          <w:rFonts w:hint="eastAsia" w:cs="Times New Roman"/>
          <w:u w:val="single"/>
        </w:rPr>
        <w:t>大气环境影响属于可接受程度范围内。</w:t>
      </w:r>
    </w:p>
    <w:p>
      <w:pPr>
        <w:pStyle w:val="168"/>
        <w:spacing w:before="0" w:beforeAutospacing="0" w:after="0" w:afterAutospacing="0" w:line="360" w:lineRule="auto"/>
        <w:ind w:firstLine="480" w:firstLineChars="200"/>
        <w:rPr>
          <w:rFonts w:cs="Times New Roman"/>
          <w:u w:val="single"/>
        </w:rPr>
      </w:pPr>
      <w:r>
        <w:rPr>
          <w:rFonts w:hint="eastAsia" w:cs="Times New Roman"/>
          <w:u w:val="single"/>
        </w:rPr>
        <w:t>3）PM</w:t>
      </w:r>
      <w:r>
        <w:rPr>
          <w:rFonts w:cs="Times New Roman"/>
          <w:u w:val="single"/>
          <w:vertAlign w:val="subscript"/>
        </w:rPr>
        <w:t>2.5</w:t>
      </w:r>
      <w:r>
        <w:rPr>
          <w:rFonts w:hint="eastAsia" w:cs="Times New Roman"/>
          <w:u w:val="single"/>
        </w:rPr>
        <w:t>年平均浓度变化率K计算</w:t>
      </w:r>
    </w:p>
    <w:p>
      <w:pPr>
        <w:pStyle w:val="168"/>
        <w:spacing w:before="0" w:beforeAutospacing="0" w:after="0" w:afterAutospacing="0" w:line="360" w:lineRule="auto"/>
        <w:ind w:firstLine="480" w:firstLineChars="200"/>
        <w:jc w:val="both"/>
        <w:rPr>
          <w:rFonts w:cs="Times New Roman"/>
          <w:u w:val="single"/>
        </w:rPr>
      </w:pPr>
      <w:r>
        <w:rPr>
          <w:rFonts w:hint="eastAsia" w:cs="Times New Roman"/>
          <w:u w:val="single"/>
        </w:rPr>
        <w:t>根据项目替代削</w:t>
      </w:r>
      <w:r>
        <w:rPr>
          <w:rFonts w:ascii="Times New Roman" w:hAnsi="Times New Roman" w:cs="Times New Roman"/>
          <w:u w:val="single"/>
        </w:rPr>
        <w:t>减源方案，总计可削减SO</w:t>
      </w:r>
      <w:r>
        <w:rPr>
          <w:rFonts w:ascii="Times New Roman" w:hAnsi="Times New Roman" w:cs="Times New Roman"/>
          <w:u w:val="single"/>
          <w:vertAlign w:val="subscript"/>
        </w:rPr>
        <w:t>2</w:t>
      </w:r>
      <w:r>
        <w:rPr>
          <w:rFonts w:ascii="Times New Roman" w:hAnsi="Times New Roman" w:cs="Times New Roman"/>
          <w:u w:val="single"/>
        </w:rPr>
        <w:t>3848t/a，削减NO</w:t>
      </w:r>
      <w:r>
        <w:rPr>
          <w:rFonts w:ascii="Times New Roman" w:hAnsi="Times New Roman" w:cs="Times New Roman"/>
          <w:u w:val="single"/>
          <w:vertAlign w:val="subscript"/>
        </w:rPr>
        <w:t>x</w:t>
      </w:r>
      <w:r>
        <w:rPr>
          <w:rFonts w:cs="Times New Roman"/>
          <w:u w:val="single"/>
        </w:rPr>
        <w:t>951.6</w:t>
      </w:r>
      <w:r>
        <w:rPr>
          <w:rFonts w:hint="eastAsia" w:cs="Times New Roman"/>
          <w:u w:val="single"/>
        </w:rPr>
        <w:t>t</w:t>
      </w:r>
      <w:r>
        <w:rPr>
          <w:rFonts w:cs="Times New Roman"/>
          <w:u w:val="single"/>
        </w:rPr>
        <w:t>/a</w:t>
      </w:r>
      <w:r>
        <w:rPr>
          <w:rFonts w:hint="eastAsia" w:cs="Times New Roman"/>
          <w:u w:val="single"/>
        </w:rPr>
        <w:t>，采用AERMOD进行计算二次PM</w:t>
      </w:r>
      <w:r>
        <w:rPr>
          <w:rFonts w:cs="Times New Roman"/>
          <w:u w:val="single"/>
          <w:vertAlign w:val="subscript"/>
        </w:rPr>
        <w:t>2.5</w:t>
      </w:r>
      <w:r>
        <w:rPr>
          <w:rFonts w:hint="eastAsia" w:cs="Times New Roman"/>
          <w:u w:val="single"/>
        </w:rPr>
        <w:t>的削减浓度，计算K值结果如下：</w:t>
      </w:r>
    </w:p>
    <w:p>
      <w:pPr>
        <w:pStyle w:val="168"/>
        <w:spacing w:before="0" w:beforeAutospacing="0" w:after="0" w:afterAutospacing="0" w:line="360" w:lineRule="auto"/>
        <w:jc w:val="center"/>
        <w:rPr>
          <w:u w:val="single"/>
        </w:rPr>
      </w:pPr>
      <w:r>
        <w:rPr>
          <w:rFonts w:hint="eastAsia"/>
          <w:u w:val="single"/>
        </w:rPr>
        <w:t>表5</w:t>
      </w:r>
      <w:r>
        <w:rPr>
          <w:u w:val="single"/>
        </w:rPr>
        <w:t>.2</w:t>
      </w:r>
      <w:r>
        <w:rPr>
          <w:rFonts w:hint="eastAsia"/>
          <w:u w:val="single"/>
        </w:rPr>
        <w:t>-</w:t>
      </w:r>
      <w:r>
        <w:rPr>
          <w:u w:val="single"/>
        </w:rPr>
        <w:t xml:space="preserve">28  </w:t>
      </w:r>
      <w:r>
        <w:rPr>
          <w:rFonts w:hint="eastAsia"/>
          <w:u w:val="single"/>
        </w:rPr>
        <w:t>PM</w:t>
      </w:r>
      <w:r>
        <w:rPr>
          <w:u w:val="single"/>
          <w:vertAlign w:val="subscript"/>
        </w:rPr>
        <w:t>2.5</w:t>
      </w:r>
      <w:r>
        <w:rPr>
          <w:rFonts w:hint="eastAsia"/>
          <w:u w:val="single"/>
        </w:rPr>
        <w:t>变化率K值计算结果表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2841"/>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tcPr>
          <w:p>
            <w:pPr>
              <w:pStyle w:val="14"/>
              <w:rPr>
                <w:u w:val="single"/>
                <w:vertAlign w:val="subscript"/>
              </w:rPr>
            </w:pPr>
            <w:r>
              <w:rPr>
                <w:rFonts w:hint="eastAsia"/>
                <w:u w:val="single"/>
              </w:rPr>
              <w:t>C</w:t>
            </w:r>
            <w:r>
              <w:rPr>
                <w:rFonts w:hint="eastAsia"/>
                <w:u w:val="single"/>
                <w:vertAlign w:val="subscript"/>
              </w:rPr>
              <w:t>本项目</w:t>
            </w:r>
          </w:p>
        </w:tc>
        <w:tc>
          <w:tcPr>
            <w:tcW w:w="1667" w:type="pct"/>
          </w:tcPr>
          <w:p>
            <w:pPr>
              <w:pStyle w:val="14"/>
              <w:rPr>
                <w:u w:val="single"/>
                <w:vertAlign w:val="subscript"/>
              </w:rPr>
            </w:pPr>
            <w:r>
              <w:rPr>
                <w:rFonts w:hint="eastAsia"/>
                <w:u w:val="single"/>
              </w:rPr>
              <w:t>C</w:t>
            </w:r>
            <w:r>
              <w:rPr>
                <w:rFonts w:hint="eastAsia"/>
                <w:u w:val="single"/>
                <w:vertAlign w:val="subscript"/>
              </w:rPr>
              <w:t>削减</w:t>
            </w:r>
          </w:p>
        </w:tc>
        <w:tc>
          <w:tcPr>
            <w:tcW w:w="1666" w:type="pct"/>
          </w:tcPr>
          <w:p>
            <w:pPr>
              <w:pStyle w:val="14"/>
              <w:rPr>
                <w:u w:val="single"/>
              </w:rPr>
            </w:pPr>
            <w:r>
              <w:rPr>
                <w:rFonts w:hint="eastAsia"/>
                <w:u w:val="single"/>
              </w:rPr>
              <w:t>K值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pPr>
              <w:pStyle w:val="14"/>
              <w:rPr>
                <w:u w:val="single"/>
              </w:rPr>
            </w:pPr>
            <w:r>
              <w:rPr>
                <w:u w:val="single"/>
              </w:rPr>
              <w:t>18.93</w:t>
            </w:r>
            <w:r>
              <w:rPr>
                <w:rFonts w:hint="eastAsia"/>
                <w:u w:val="single"/>
              </w:rPr>
              <w:t>ug</w:t>
            </w:r>
            <w:r>
              <w:rPr>
                <w:u w:val="single"/>
              </w:rPr>
              <w:t>/m</w:t>
            </w:r>
            <w:r>
              <w:rPr>
                <w:u w:val="single"/>
                <w:vertAlign w:val="superscript"/>
              </w:rPr>
              <w:t>3</w:t>
            </w:r>
          </w:p>
        </w:tc>
        <w:tc>
          <w:tcPr>
            <w:tcW w:w="1667" w:type="pct"/>
          </w:tcPr>
          <w:p>
            <w:pPr>
              <w:pStyle w:val="14"/>
              <w:rPr>
                <w:u w:val="single"/>
              </w:rPr>
            </w:pPr>
            <w:r>
              <w:rPr>
                <w:u w:val="single"/>
              </w:rPr>
              <w:t>35.78</w:t>
            </w:r>
            <w:r>
              <w:rPr>
                <w:rFonts w:hint="eastAsia"/>
                <w:u w:val="single"/>
              </w:rPr>
              <w:t>ug</w:t>
            </w:r>
            <w:r>
              <w:rPr>
                <w:u w:val="single"/>
              </w:rPr>
              <w:t>/m</w:t>
            </w:r>
            <w:r>
              <w:rPr>
                <w:u w:val="single"/>
                <w:vertAlign w:val="superscript"/>
              </w:rPr>
              <w:t>3</w:t>
            </w:r>
          </w:p>
        </w:tc>
        <w:tc>
          <w:tcPr>
            <w:tcW w:w="1666" w:type="pct"/>
          </w:tcPr>
          <w:p>
            <w:pPr>
              <w:pStyle w:val="14"/>
              <w:rPr>
                <w:u w:val="single"/>
              </w:rPr>
            </w:pPr>
            <w:r>
              <w:rPr>
                <w:rFonts w:hint="eastAsia"/>
                <w:u w:val="single"/>
              </w:rPr>
              <w:t>-</w:t>
            </w:r>
            <w:r>
              <w:rPr>
                <w:u w:val="single"/>
              </w:rPr>
              <w:t>44.07</w:t>
            </w:r>
            <w:r>
              <w:rPr>
                <w:rFonts w:hint="eastAsia"/>
                <w:u w:val="single"/>
              </w:rPr>
              <w:t>%</w:t>
            </w:r>
          </w:p>
        </w:tc>
      </w:tr>
    </w:tbl>
    <w:p>
      <w:pPr>
        <w:pStyle w:val="168"/>
        <w:spacing w:before="0" w:beforeAutospacing="0" w:after="0" w:afterAutospacing="0" w:line="360" w:lineRule="auto"/>
        <w:ind w:firstLine="480" w:firstLineChars="200"/>
        <w:jc w:val="both"/>
        <w:rPr>
          <w:u w:val="single"/>
        </w:rPr>
      </w:pPr>
      <w:r>
        <w:rPr>
          <w:rFonts w:hint="eastAsia"/>
          <w:u w:val="single"/>
        </w:rPr>
        <w:t>根据计算结果，PM</w:t>
      </w:r>
      <w:r>
        <w:rPr>
          <w:u w:val="single"/>
          <w:vertAlign w:val="subscript"/>
        </w:rPr>
        <w:t>10</w:t>
      </w:r>
      <w:r>
        <w:rPr>
          <w:rFonts w:hint="eastAsia" w:cs="Times New Roman"/>
          <w:u w:val="single"/>
        </w:rPr>
        <w:t>年平均质量浓度变化率K小于-</w:t>
      </w:r>
      <w:r>
        <w:rPr>
          <w:rFonts w:cs="Times New Roman"/>
          <w:u w:val="single"/>
        </w:rPr>
        <w:t>20</w:t>
      </w:r>
      <w:r>
        <w:rPr>
          <w:rFonts w:hint="eastAsia" w:cs="Times New Roman"/>
          <w:u w:val="single"/>
        </w:rPr>
        <w:t>%，根据《导则》，项目PM</w:t>
      </w:r>
      <w:r>
        <w:rPr>
          <w:rFonts w:cs="Times New Roman"/>
          <w:u w:val="single"/>
          <w:vertAlign w:val="subscript"/>
        </w:rPr>
        <w:t>10</w:t>
      </w:r>
      <w:r>
        <w:rPr>
          <w:rFonts w:hint="eastAsia" w:cs="Times New Roman"/>
          <w:u w:val="single"/>
        </w:rPr>
        <w:t>大气环境影响属于可接受程度范围内。</w:t>
      </w:r>
    </w:p>
    <w:p>
      <w:pPr>
        <w:pStyle w:val="5"/>
        <w:rPr>
          <w:u w:val="single"/>
        </w:rPr>
      </w:pPr>
      <w:r>
        <w:rPr>
          <w:u w:val="single"/>
        </w:rPr>
        <w:t>5.2.3.4大气环境防护距离</w:t>
      </w:r>
    </w:p>
    <w:p>
      <w:pPr>
        <w:ind w:firstLine="480"/>
        <w:rPr>
          <w:rFonts w:cs="Times New Roman"/>
          <w:u w:val="single"/>
        </w:rPr>
      </w:pPr>
      <w:r>
        <w:rPr>
          <w:rFonts w:cs="Times New Roman"/>
          <w:u w:val="single"/>
        </w:rPr>
        <w:t>根据预测结果，各污染物在厂界就能达标，厂界外也无超标点，因此无需设置大气防护距离。</w:t>
      </w:r>
    </w:p>
    <w:p>
      <w:pPr>
        <w:pStyle w:val="5"/>
        <w:rPr>
          <w:u w:val="single"/>
        </w:rPr>
      </w:pPr>
      <w:r>
        <w:rPr>
          <w:u w:val="single"/>
        </w:rPr>
        <w:t>5.2.3.5大气环境影响预测与评价结论</w:t>
      </w:r>
    </w:p>
    <w:p>
      <w:pPr>
        <w:ind w:firstLine="480"/>
        <w:rPr>
          <w:rFonts w:cs="Times New Roman"/>
          <w:u w:val="single"/>
        </w:rPr>
      </w:pPr>
      <w:r>
        <w:rPr>
          <w:rFonts w:hint="eastAsia" w:cs="Times New Roman"/>
          <w:u w:val="single"/>
        </w:rPr>
        <w:t>本项目位于不达标区，且不属于达标规划中包含的新增污染源建设项目，但本项目已有替代污染源，为板市乡子园砖厂、西渡镇宏伟砖厂、演陂镇正源砖厂、渣江镇油库砖厂、渣江镇河西砖厂、大安乡上升砖厂、西渡镇咸育砖厂，总计可替代削减SO</w:t>
      </w:r>
      <w:r>
        <w:rPr>
          <w:rFonts w:cs="Times New Roman"/>
          <w:u w:val="single"/>
          <w:vertAlign w:val="subscript"/>
        </w:rPr>
        <w:t>2</w:t>
      </w:r>
      <w:r>
        <w:rPr>
          <w:rFonts w:hint="eastAsia" w:cs="Times New Roman"/>
          <w:u w:val="single"/>
        </w:rPr>
        <w:t>：</w:t>
      </w:r>
      <w:r>
        <w:rPr>
          <w:rFonts w:cs="Times New Roman"/>
          <w:u w:val="single"/>
        </w:rPr>
        <w:t>3848</w:t>
      </w:r>
      <w:r>
        <w:rPr>
          <w:rFonts w:hint="eastAsia" w:cs="Times New Roman"/>
          <w:u w:val="single"/>
        </w:rPr>
        <w:t>t</w:t>
      </w:r>
      <w:r>
        <w:rPr>
          <w:rFonts w:cs="Times New Roman"/>
          <w:u w:val="single"/>
        </w:rPr>
        <w:t>/a</w:t>
      </w:r>
      <w:r>
        <w:rPr>
          <w:rFonts w:hint="eastAsia" w:cs="Times New Roman"/>
          <w:u w:val="single"/>
        </w:rPr>
        <w:t>、NO</w:t>
      </w:r>
      <w:r>
        <w:rPr>
          <w:rFonts w:hint="eastAsia" w:cs="Times New Roman"/>
          <w:u w:val="single"/>
          <w:vertAlign w:val="subscript"/>
        </w:rPr>
        <w:t>x</w:t>
      </w:r>
      <w:r>
        <w:rPr>
          <w:rFonts w:hint="eastAsia" w:cs="Times New Roman"/>
          <w:u w:val="single"/>
        </w:rPr>
        <w:t>：</w:t>
      </w:r>
      <w:r>
        <w:rPr>
          <w:rFonts w:cs="Times New Roman"/>
          <w:u w:val="single"/>
        </w:rPr>
        <w:t>951.6</w:t>
      </w:r>
      <w:r>
        <w:rPr>
          <w:rFonts w:hint="eastAsia" w:cs="Times New Roman"/>
          <w:u w:val="single"/>
        </w:rPr>
        <w:t>t</w:t>
      </w:r>
      <w:r>
        <w:rPr>
          <w:rFonts w:cs="Times New Roman"/>
          <w:u w:val="single"/>
        </w:rPr>
        <w:t>/a</w:t>
      </w:r>
      <w:r>
        <w:rPr>
          <w:rFonts w:hint="eastAsia" w:cs="Times New Roman"/>
          <w:u w:val="single"/>
        </w:rPr>
        <w:t>，符合倍量削减要求；项目各污染物的短期浓度贡献值（1h平均浓度贡献值和2</w:t>
      </w:r>
      <w:r>
        <w:rPr>
          <w:rFonts w:cs="Times New Roman"/>
          <w:u w:val="single"/>
        </w:rPr>
        <w:t>4</w:t>
      </w:r>
      <w:r>
        <w:rPr>
          <w:rFonts w:hint="eastAsia" w:cs="Times New Roman"/>
          <w:u w:val="single"/>
        </w:rPr>
        <w:t>h平均浓度贡献值）均低于1</w:t>
      </w:r>
      <w:r>
        <w:rPr>
          <w:rFonts w:cs="Times New Roman"/>
          <w:u w:val="single"/>
        </w:rPr>
        <w:t>00</w:t>
      </w:r>
      <w:r>
        <w:rPr>
          <w:rFonts w:hint="eastAsia" w:cs="Times New Roman"/>
          <w:u w:val="single"/>
        </w:rPr>
        <w:t>%，长期浓度贡献值（年平均浓度贡献值）均低于3</w:t>
      </w:r>
      <w:r>
        <w:rPr>
          <w:rFonts w:cs="Times New Roman"/>
          <w:u w:val="single"/>
        </w:rPr>
        <w:t>0</w:t>
      </w:r>
      <w:r>
        <w:rPr>
          <w:rFonts w:hint="eastAsia" w:cs="Times New Roman"/>
          <w:u w:val="single"/>
        </w:rPr>
        <w:t>%；</w:t>
      </w:r>
      <w:r>
        <w:rPr>
          <w:rFonts w:hint="eastAsia"/>
          <w:u w:val="single"/>
        </w:rPr>
        <w:t>SO</w:t>
      </w:r>
      <w:r>
        <w:rPr>
          <w:u w:val="single"/>
          <w:vertAlign w:val="subscript"/>
        </w:rPr>
        <w:t>2</w:t>
      </w:r>
      <w:r>
        <w:rPr>
          <w:rFonts w:hint="eastAsia"/>
          <w:u w:val="single"/>
        </w:rPr>
        <w:t>的9</w:t>
      </w:r>
      <w:r>
        <w:rPr>
          <w:u w:val="single"/>
        </w:rPr>
        <w:t>8</w:t>
      </w:r>
      <w:r>
        <w:rPr>
          <w:rFonts w:hint="eastAsia"/>
          <w:u w:val="single"/>
        </w:rPr>
        <w:t>%保证率日平均浓度叠加值和年平均浓度叠加值均能达标；NO</w:t>
      </w:r>
      <w:r>
        <w:rPr>
          <w:rFonts w:hint="eastAsia"/>
          <w:u w:val="single"/>
          <w:vertAlign w:val="subscript"/>
        </w:rPr>
        <w:t>x</w:t>
      </w:r>
      <w:r>
        <w:rPr>
          <w:u w:val="single"/>
        </w:rPr>
        <w:t>98</w:t>
      </w:r>
      <w:r>
        <w:rPr>
          <w:rFonts w:hint="eastAsia"/>
          <w:u w:val="single"/>
        </w:rPr>
        <w:t>%保证率日平均浓度叠加值超标，年平均浓度叠加值达标；PM</w:t>
      </w:r>
      <w:r>
        <w:rPr>
          <w:u w:val="single"/>
          <w:vertAlign w:val="subscript"/>
        </w:rPr>
        <w:t>10</w:t>
      </w:r>
      <w:r>
        <w:rPr>
          <w:u w:val="single"/>
        </w:rPr>
        <w:t>95</w:t>
      </w:r>
      <w:r>
        <w:rPr>
          <w:rFonts w:hint="eastAsia"/>
          <w:u w:val="single"/>
        </w:rPr>
        <w:t>%保证率日平均浓度叠加值和年平均浓度叠加值均超标；TSP日平均浓度叠加值达标；氟化物日平均浓度叠加值达标；VOCs日平均浓度叠加值达标；PM</w:t>
      </w:r>
      <w:r>
        <w:rPr>
          <w:u w:val="single"/>
          <w:vertAlign w:val="subscript"/>
        </w:rPr>
        <w:t>2.5</w:t>
      </w:r>
      <w:r>
        <w:rPr>
          <w:u w:val="single"/>
        </w:rPr>
        <w:t>95</w:t>
      </w:r>
      <w:r>
        <w:rPr>
          <w:rFonts w:hint="eastAsia"/>
          <w:u w:val="single"/>
        </w:rPr>
        <w:t>%保证率日平均浓度叠加值和年平均浓度叠加值均超标。主要超标因子包括NO</w:t>
      </w:r>
      <w:r>
        <w:rPr>
          <w:rFonts w:hint="eastAsia"/>
          <w:u w:val="single"/>
          <w:vertAlign w:val="subscript"/>
        </w:rPr>
        <w:t>x</w:t>
      </w:r>
      <w:r>
        <w:rPr>
          <w:rFonts w:hint="eastAsia"/>
          <w:u w:val="single"/>
        </w:rPr>
        <w:t>、SO</w:t>
      </w:r>
      <w:r>
        <w:rPr>
          <w:u w:val="single"/>
          <w:vertAlign w:val="subscript"/>
        </w:rPr>
        <w:t>2</w:t>
      </w:r>
      <w:r>
        <w:rPr>
          <w:rFonts w:hint="eastAsia"/>
          <w:u w:val="single"/>
        </w:rPr>
        <w:t>、PM</w:t>
      </w:r>
      <w:r>
        <w:rPr>
          <w:u w:val="single"/>
          <w:vertAlign w:val="subscript"/>
        </w:rPr>
        <w:t>2.5</w:t>
      </w:r>
      <w:r>
        <w:rPr>
          <w:rFonts w:hint="eastAsia"/>
          <w:u w:val="single"/>
        </w:rPr>
        <w:t>，NO</w:t>
      </w:r>
      <w:r>
        <w:rPr>
          <w:rFonts w:hint="eastAsia"/>
          <w:u w:val="single"/>
          <w:vertAlign w:val="subscript"/>
        </w:rPr>
        <w:t>x</w:t>
      </w:r>
      <w:r>
        <w:rPr>
          <w:rFonts w:hint="eastAsia" w:cs="Times New Roman"/>
          <w:u w:val="single"/>
        </w:rPr>
        <w:t>年平均质量浓度变化率K为</w:t>
      </w:r>
      <w:r>
        <w:rPr>
          <w:rFonts w:cs="Times New Roman"/>
          <w:u w:val="single"/>
        </w:rPr>
        <w:t>-49.49%</w:t>
      </w:r>
      <w:r>
        <w:rPr>
          <w:rFonts w:hint="eastAsia" w:cs="Times New Roman"/>
          <w:u w:val="single"/>
        </w:rPr>
        <w:t>，小于</w:t>
      </w:r>
      <w:r>
        <w:rPr>
          <w:rFonts w:cs="Times New Roman"/>
          <w:u w:val="single"/>
        </w:rPr>
        <w:t>020</w:t>
      </w:r>
      <w:r>
        <w:rPr>
          <w:rFonts w:hint="eastAsia" w:cs="Times New Roman"/>
          <w:u w:val="single"/>
        </w:rPr>
        <w:t>%；SO</w:t>
      </w:r>
      <w:r>
        <w:rPr>
          <w:rFonts w:cs="Times New Roman"/>
          <w:u w:val="single"/>
          <w:vertAlign w:val="subscript"/>
        </w:rPr>
        <w:t>2</w:t>
      </w:r>
      <w:r>
        <w:rPr>
          <w:rFonts w:hint="eastAsia" w:cs="Times New Roman"/>
          <w:u w:val="single"/>
        </w:rPr>
        <w:t>年平均质量浓度变化率K为</w:t>
      </w:r>
      <w:r>
        <w:rPr>
          <w:rFonts w:cs="Times New Roman"/>
          <w:u w:val="single"/>
        </w:rPr>
        <w:t>-77.93%</w:t>
      </w:r>
      <w:r>
        <w:rPr>
          <w:rFonts w:hint="eastAsia" w:cs="Times New Roman"/>
          <w:u w:val="single"/>
        </w:rPr>
        <w:t>，小于-</w:t>
      </w:r>
      <w:r>
        <w:rPr>
          <w:rFonts w:cs="Times New Roman"/>
          <w:u w:val="single"/>
        </w:rPr>
        <w:t>20</w:t>
      </w:r>
      <w:r>
        <w:rPr>
          <w:rFonts w:hint="eastAsia" w:cs="Times New Roman"/>
          <w:u w:val="single"/>
        </w:rPr>
        <w:t>%；PM</w:t>
      </w:r>
      <w:r>
        <w:rPr>
          <w:rFonts w:cs="Times New Roman"/>
          <w:u w:val="single"/>
          <w:vertAlign w:val="subscript"/>
        </w:rPr>
        <w:t>2.5</w:t>
      </w:r>
      <w:r>
        <w:rPr>
          <w:rFonts w:hint="eastAsia" w:cs="Times New Roman"/>
          <w:u w:val="single"/>
        </w:rPr>
        <w:t>年平均质量浓度变化率为</w:t>
      </w:r>
      <w:r>
        <w:rPr>
          <w:rFonts w:hint="eastAsia"/>
          <w:u w:val="single"/>
        </w:rPr>
        <w:t>-</w:t>
      </w:r>
      <w:r>
        <w:rPr>
          <w:u w:val="single"/>
        </w:rPr>
        <w:t>44.07</w:t>
      </w:r>
      <w:r>
        <w:rPr>
          <w:rFonts w:hint="eastAsia"/>
          <w:u w:val="single"/>
        </w:rPr>
        <w:t>%，所有K值均低于-</w:t>
      </w:r>
      <w:r>
        <w:rPr>
          <w:u w:val="single"/>
        </w:rPr>
        <w:t>20</w:t>
      </w:r>
      <w:r>
        <w:rPr>
          <w:rFonts w:hint="eastAsia"/>
          <w:u w:val="single"/>
        </w:rPr>
        <w:t>%。综上所述，本项目大气环境影响符合</w:t>
      </w:r>
      <w:r>
        <w:rPr>
          <w:rFonts w:hint="eastAsia" w:cs="Times New Roman"/>
          <w:u w:val="single"/>
        </w:rPr>
        <w:t>《导则》要求，环境影响可以接受。</w:t>
      </w:r>
    </w:p>
    <w:p>
      <w:pPr>
        <w:pStyle w:val="4"/>
        <w:rPr>
          <w:rFonts w:cs="Times New Roman"/>
        </w:rPr>
      </w:pPr>
      <w:bookmarkStart w:id="166" w:name="_Toc86611310"/>
      <w:r>
        <w:rPr>
          <w:rFonts w:cs="Times New Roman"/>
        </w:rPr>
        <w:t>5.2.4地表水环境影响预测与评价</w:t>
      </w:r>
      <w:bookmarkEnd w:id="166"/>
    </w:p>
    <w:p>
      <w:pPr>
        <w:pStyle w:val="69"/>
        <w:ind w:firstLine="0" w:firstLineChars="0"/>
        <w:outlineLvl w:val="3"/>
        <w:rPr>
          <w:b/>
          <w:bCs/>
        </w:rPr>
      </w:pPr>
      <w:r>
        <w:rPr>
          <w:b/>
          <w:bCs/>
        </w:rPr>
        <w:t xml:space="preserve">5.2.4.1 </w:t>
      </w:r>
      <w:r>
        <w:rPr>
          <w:b/>
        </w:rPr>
        <w:t>废水产生及处置措施</w:t>
      </w:r>
    </w:p>
    <w:p>
      <w:pPr>
        <w:ind w:firstLine="480"/>
        <w:rPr>
          <w:rFonts w:cs="Times New Roman"/>
        </w:rPr>
      </w:pPr>
      <w:r>
        <w:rPr>
          <w:rFonts w:cs="Times New Roman"/>
        </w:rPr>
        <w:t>本项目营运期生产废水中主要污染物是SS。项目拟采用沉淀法处理，废水经多级沉淀池处理后，上清液由泵提升回球磨工序循环再用，不外排，对厂外水环境基本无影响。生产废水分类收集后，经独立建设的混凝沉淀池处理后回用于各个工序。</w:t>
      </w:r>
    </w:p>
    <w:p>
      <w:pPr>
        <w:ind w:firstLine="480"/>
        <w:rPr>
          <w:rFonts w:cs="Times New Roman"/>
        </w:rPr>
      </w:pPr>
      <w:r>
        <w:rPr>
          <w:rFonts w:cs="Times New Roman"/>
        </w:rPr>
        <w:t>项目生活污水产生量为57600t/a，废水中主要污染物为SS、BOD</w:t>
      </w:r>
      <w:r>
        <w:rPr>
          <w:rFonts w:cs="Times New Roman"/>
          <w:vertAlign w:val="subscript"/>
        </w:rPr>
        <w:t>5</w:t>
      </w:r>
      <w:r>
        <w:rPr>
          <w:rFonts w:cs="Times New Roman"/>
        </w:rPr>
        <w:t>、COD、NH</w:t>
      </w:r>
      <w:r>
        <w:rPr>
          <w:rFonts w:cs="Times New Roman"/>
          <w:vertAlign w:val="subscript"/>
        </w:rPr>
        <w:t>3</w:t>
      </w:r>
      <w:r>
        <w:rPr>
          <w:rFonts w:cs="Times New Roman"/>
        </w:rPr>
        <w:t>-N、动植物油，生活污水采用A/O型污水处理装置处理后近期</w:t>
      </w:r>
      <w:r>
        <w:rPr>
          <w:rFonts w:hint="eastAsia" w:cs="Times New Roman"/>
        </w:rPr>
        <w:t>排入白象河</w:t>
      </w:r>
      <w:r>
        <w:rPr>
          <w:rFonts w:cs="Times New Roman"/>
        </w:rPr>
        <w:t>；远期待污水处理厂建成后，由市政污水管网排入工业园的污水处理厂处理，最终排入白象河。</w:t>
      </w:r>
    </w:p>
    <w:p>
      <w:pPr>
        <w:pStyle w:val="69"/>
        <w:ind w:firstLine="0" w:firstLineChars="0"/>
        <w:outlineLvl w:val="3"/>
        <w:rPr>
          <w:b/>
          <w:bCs/>
          <w:u w:val="single"/>
        </w:rPr>
      </w:pPr>
      <w:r>
        <w:rPr>
          <w:b/>
          <w:bCs/>
          <w:u w:val="single"/>
        </w:rPr>
        <w:t>5.2.4.2 评价等级</w:t>
      </w:r>
    </w:p>
    <w:p>
      <w:pPr>
        <w:ind w:firstLine="480"/>
        <w:rPr>
          <w:rFonts w:cs="Times New Roman"/>
          <w:u w:val="single"/>
        </w:rPr>
      </w:pPr>
      <w:r>
        <w:rPr>
          <w:rFonts w:cs="Times New Roman"/>
          <w:u w:val="single"/>
        </w:rPr>
        <w:t>根据《环境影响评价技术导则 地表水环境》（HJ 2.3-2018）中5.2评价等级的确定，</w:t>
      </w:r>
      <w:r>
        <w:rPr>
          <w:rFonts w:hint="eastAsia" w:cs="Times New Roman"/>
          <w:u w:val="single"/>
        </w:rPr>
        <w:t>本项目生产废水循环使用，不外排，生活污水处理达标后，近期排入白象河，远期待园区污水处理厂建成运营后，排入园区污水处理厂，且排放量小于2</w:t>
      </w:r>
      <w:r>
        <w:rPr>
          <w:rFonts w:cs="Times New Roman"/>
          <w:u w:val="single"/>
        </w:rPr>
        <w:t>00</w:t>
      </w:r>
      <w:r>
        <w:rPr>
          <w:rFonts w:hint="eastAsia" w:cs="Times New Roman"/>
          <w:u w:val="single"/>
        </w:rPr>
        <w:t>m</w:t>
      </w:r>
      <w:r>
        <w:rPr>
          <w:rFonts w:cs="Times New Roman"/>
          <w:u w:val="single"/>
          <w:vertAlign w:val="superscript"/>
        </w:rPr>
        <w:t>3</w:t>
      </w:r>
      <w:r>
        <w:rPr>
          <w:rFonts w:cs="Times New Roman"/>
          <w:u w:val="single"/>
        </w:rPr>
        <w:t>/d</w:t>
      </w:r>
      <w:r>
        <w:rPr>
          <w:rFonts w:hint="eastAsia" w:cs="Times New Roman"/>
          <w:u w:val="single"/>
        </w:rPr>
        <w:t>，污染物当量小于6</w:t>
      </w:r>
      <w:r>
        <w:rPr>
          <w:rFonts w:cs="Times New Roman"/>
          <w:u w:val="single"/>
        </w:rPr>
        <w:t>000</w:t>
      </w:r>
      <w:r>
        <w:rPr>
          <w:rFonts w:hint="eastAsia" w:cs="Times New Roman"/>
          <w:u w:val="single"/>
        </w:rPr>
        <w:t>，因此评价等级为三级A。</w:t>
      </w:r>
    </w:p>
    <w:p>
      <w:pPr>
        <w:pStyle w:val="5"/>
        <w:rPr>
          <w:u w:val="single"/>
        </w:rPr>
      </w:pPr>
      <w:r>
        <w:rPr>
          <w:rFonts w:hint="eastAsia"/>
          <w:u w:val="single"/>
        </w:rPr>
        <w:t>5</w:t>
      </w:r>
      <w:r>
        <w:rPr>
          <w:u w:val="single"/>
        </w:rPr>
        <w:t>.2.4.3</w:t>
      </w:r>
      <w:r>
        <w:rPr>
          <w:rFonts w:hint="eastAsia"/>
          <w:u w:val="single"/>
        </w:rPr>
        <w:t>生活污水排放影响分析</w:t>
      </w:r>
    </w:p>
    <w:p>
      <w:pPr>
        <w:ind w:firstLine="480"/>
        <w:rPr>
          <w:rFonts w:cs="Times New Roman"/>
          <w:kern w:val="0"/>
          <w:u w:val="single"/>
        </w:rPr>
      </w:pPr>
      <w:r>
        <w:rPr>
          <w:rFonts w:hint="eastAsia" w:cs="Times New Roman"/>
          <w:kern w:val="0"/>
          <w:u w:val="single"/>
        </w:rPr>
        <w:t>1、污染源分析</w:t>
      </w:r>
    </w:p>
    <w:p>
      <w:pPr>
        <w:ind w:firstLine="480"/>
        <w:rPr>
          <w:rFonts w:cs="Times New Roman"/>
          <w:kern w:val="0"/>
          <w:u w:val="single"/>
        </w:rPr>
      </w:pPr>
      <w:r>
        <w:rPr>
          <w:rFonts w:hint="eastAsia" w:cs="Times New Roman"/>
          <w:kern w:val="0"/>
          <w:u w:val="single"/>
        </w:rPr>
        <w:t>根据工程分析结果，生活污水排放情况如下：</w:t>
      </w:r>
    </w:p>
    <w:p>
      <w:pPr>
        <w:spacing w:before="163" w:beforeLines="50"/>
        <w:ind w:firstLine="482"/>
        <w:jc w:val="center"/>
        <w:rPr>
          <w:rFonts w:cs="Times New Roman"/>
          <w:b/>
          <w:u w:val="single"/>
        </w:rPr>
      </w:pPr>
      <w:r>
        <w:rPr>
          <w:rFonts w:cs="Times New Roman"/>
          <w:b/>
          <w:u w:val="single"/>
        </w:rPr>
        <w:t>表5.2</w:t>
      </w:r>
      <w:r>
        <w:rPr>
          <w:rFonts w:hint="eastAsia" w:cs="Times New Roman"/>
          <w:b/>
          <w:u w:val="single"/>
        </w:rPr>
        <w:t>-</w:t>
      </w:r>
      <w:r>
        <w:rPr>
          <w:rFonts w:cs="Times New Roman"/>
          <w:b/>
          <w:u w:val="single"/>
        </w:rPr>
        <w:t>29  生活污水污染物产生和排放情况</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1054"/>
        <w:gridCol w:w="743"/>
        <w:gridCol w:w="922"/>
        <w:gridCol w:w="612"/>
        <w:gridCol w:w="744"/>
        <w:gridCol w:w="923"/>
        <w:gridCol w:w="1061"/>
        <w:gridCol w:w="16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restart"/>
            <w:vAlign w:val="center"/>
          </w:tcPr>
          <w:p>
            <w:pPr>
              <w:spacing w:line="240" w:lineRule="auto"/>
              <w:ind w:firstLine="0" w:firstLineChars="0"/>
              <w:jc w:val="center"/>
              <w:rPr>
                <w:b/>
                <w:sz w:val="21"/>
                <w:szCs w:val="21"/>
                <w:u w:val="single"/>
              </w:rPr>
            </w:pPr>
            <w:r>
              <w:rPr>
                <w:b/>
                <w:sz w:val="21"/>
                <w:szCs w:val="21"/>
                <w:u w:val="single"/>
              </w:rPr>
              <w:t>废水量</w:t>
            </w:r>
          </w:p>
          <w:p>
            <w:pPr>
              <w:spacing w:line="240" w:lineRule="auto"/>
              <w:ind w:firstLine="0" w:firstLineChars="0"/>
              <w:jc w:val="center"/>
              <w:rPr>
                <w:b/>
                <w:sz w:val="21"/>
                <w:szCs w:val="21"/>
                <w:u w:val="single"/>
              </w:rPr>
            </w:pPr>
            <w:r>
              <w:rPr>
                <w:b/>
                <w:sz w:val="21"/>
                <w:szCs w:val="21"/>
                <w:u w:val="single"/>
              </w:rPr>
              <w:t>t/a</w:t>
            </w:r>
          </w:p>
        </w:tc>
        <w:tc>
          <w:tcPr>
            <w:tcW w:w="658" w:type="pct"/>
            <w:vMerge w:val="restart"/>
            <w:vAlign w:val="center"/>
          </w:tcPr>
          <w:p>
            <w:pPr>
              <w:spacing w:line="240" w:lineRule="auto"/>
              <w:ind w:firstLine="0" w:firstLineChars="0"/>
              <w:jc w:val="center"/>
              <w:rPr>
                <w:b/>
                <w:sz w:val="21"/>
                <w:szCs w:val="21"/>
                <w:u w:val="single"/>
              </w:rPr>
            </w:pPr>
            <w:r>
              <w:rPr>
                <w:b/>
                <w:sz w:val="21"/>
                <w:szCs w:val="21"/>
                <w:u w:val="single"/>
              </w:rPr>
              <w:t>污染物</w:t>
            </w:r>
          </w:p>
          <w:p>
            <w:pPr>
              <w:spacing w:line="240" w:lineRule="auto"/>
              <w:ind w:firstLine="0" w:firstLineChars="0"/>
              <w:jc w:val="center"/>
              <w:rPr>
                <w:b/>
                <w:sz w:val="21"/>
                <w:szCs w:val="21"/>
                <w:u w:val="single"/>
              </w:rPr>
            </w:pPr>
            <w:r>
              <w:rPr>
                <w:b/>
                <w:sz w:val="21"/>
                <w:szCs w:val="21"/>
                <w:u w:val="single"/>
              </w:rPr>
              <w:t>名称</w:t>
            </w:r>
          </w:p>
        </w:tc>
        <w:tc>
          <w:tcPr>
            <w:tcW w:w="1055" w:type="pct"/>
            <w:gridSpan w:val="2"/>
            <w:vAlign w:val="center"/>
          </w:tcPr>
          <w:p>
            <w:pPr>
              <w:spacing w:line="240" w:lineRule="auto"/>
              <w:ind w:firstLine="0" w:firstLineChars="0"/>
              <w:jc w:val="center"/>
              <w:rPr>
                <w:b/>
                <w:sz w:val="21"/>
                <w:szCs w:val="21"/>
                <w:u w:val="single"/>
              </w:rPr>
            </w:pPr>
            <w:r>
              <w:rPr>
                <w:b/>
                <w:sz w:val="21"/>
                <w:szCs w:val="21"/>
                <w:u w:val="single"/>
              </w:rPr>
              <w:t>污染物产生情况</w:t>
            </w:r>
          </w:p>
        </w:tc>
        <w:tc>
          <w:tcPr>
            <w:tcW w:w="398" w:type="pct"/>
            <w:vMerge w:val="restart"/>
            <w:vAlign w:val="center"/>
          </w:tcPr>
          <w:p>
            <w:pPr>
              <w:spacing w:line="240" w:lineRule="auto"/>
              <w:ind w:firstLine="0" w:firstLineChars="0"/>
              <w:jc w:val="center"/>
              <w:rPr>
                <w:b/>
                <w:sz w:val="21"/>
                <w:szCs w:val="21"/>
                <w:u w:val="single"/>
              </w:rPr>
            </w:pPr>
            <w:r>
              <w:rPr>
                <w:b/>
                <w:sz w:val="21"/>
                <w:szCs w:val="21"/>
                <w:u w:val="single"/>
              </w:rPr>
              <w:t>治理</w:t>
            </w:r>
          </w:p>
          <w:p>
            <w:pPr>
              <w:spacing w:line="240" w:lineRule="auto"/>
              <w:ind w:firstLine="0" w:firstLineChars="0"/>
              <w:jc w:val="center"/>
              <w:rPr>
                <w:b/>
                <w:sz w:val="21"/>
                <w:szCs w:val="21"/>
                <w:u w:val="single"/>
              </w:rPr>
            </w:pPr>
            <w:r>
              <w:rPr>
                <w:b/>
                <w:sz w:val="21"/>
                <w:szCs w:val="21"/>
                <w:u w:val="single"/>
              </w:rPr>
              <w:t>措施</w:t>
            </w:r>
          </w:p>
        </w:tc>
        <w:tc>
          <w:tcPr>
            <w:tcW w:w="1055" w:type="pct"/>
            <w:gridSpan w:val="2"/>
            <w:vAlign w:val="center"/>
          </w:tcPr>
          <w:p>
            <w:pPr>
              <w:spacing w:line="240" w:lineRule="auto"/>
              <w:ind w:firstLine="0" w:firstLineChars="0"/>
              <w:jc w:val="center"/>
              <w:rPr>
                <w:b/>
                <w:sz w:val="21"/>
                <w:szCs w:val="21"/>
                <w:u w:val="single"/>
              </w:rPr>
            </w:pPr>
            <w:r>
              <w:rPr>
                <w:b/>
                <w:sz w:val="21"/>
                <w:szCs w:val="21"/>
                <w:u w:val="single"/>
              </w:rPr>
              <w:t>污染物排放情况</w:t>
            </w:r>
          </w:p>
        </w:tc>
        <w:tc>
          <w:tcPr>
            <w:tcW w:w="661" w:type="pct"/>
            <w:vMerge w:val="restart"/>
            <w:vAlign w:val="center"/>
          </w:tcPr>
          <w:p>
            <w:pPr>
              <w:spacing w:line="240" w:lineRule="auto"/>
              <w:ind w:firstLine="0" w:firstLineChars="0"/>
              <w:jc w:val="center"/>
              <w:rPr>
                <w:b/>
                <w:sz w:val="21"/>
                <w:szCs w:val="21"/>
                <w:u w:val="single"/>
              </w:rPr>
            </w:pPr>
            <w:r>
              <w:rPr>
                <w:b/>
                <w:sz w:val="21"/>
                <w:szCs w:val="21"/>
                <w:u w:val="single"/>
              </w:rPr>
              <w:t>标准浓度</w:t>
            </w:r>
          </w:p>
          <w:p>
            <w:pPr>
              <w:spacing w:line="240" w:lineRule="auto"/>
              <w:ind w:firstLine="0" w:firstLineChars="0"/>
              <w:jc w:val="center"/>
              <w:rPr>
                <w:b/>
                <w:sz w:val="21"/>
                <w:szCs w:val="21"/>
                <w:u w:val="single"/>
              </w:rPr>
            </w:pPr>
            <w:r>
              <w:rPr>
                <w:b/>
                <w:sz w:val="21"/>
                <w:szCs w:val="21"/>
                <w:u w:val="single"/>
              </w:rPr>
              <w:t>值mg/L</w:t>
            </w:r>
          </w:p>
        </w:tc>
        <w:tc>
          <w:tcPr>
            <w:tcW w:w="644" w:type="pct"/>
            <w:vMerge w:val="restart"/>
            <w:vAlign w:val="center"/>
          </w:tcPr>
          <w:p>
            <w:pPr>
              <w:spacing w:line="240" w:lineRule="auto"/>
              <w:ind w:firstLine="0" w:firstLineChars="0"/>
              <w:jc w:val="center"/>
              <w:rPr>
                <w:b/>
                <w:sz w:val="21"/>
                <w:szCs w:val="21"/>
                <w:u w:val="single"/>
              </w:rPr>
            </w:pPr>
            <w:r>
              <w:rPr>
                <w:b/>
                <w:sz w:val="21"/>
                <w:szCs w:val="21"/>
                <w:u w:val="single"/>
              </w:rPr>
              <w:t>排放执</w:t>
            </w:r>
          </w:p>
          <w:p>
            <w:pPr>
              <w:spacing w:line="240" w:lineRule="auto"/>
              <w:ind w:firstLine="0" w:firstLineChars="0"/>
              <w:jc w:val="center"/>
              <w:rPr>
                <w:b/>
                <w:sz w:val="21"/>
                <w:szCs w:val="21"/>
                <w:u w:val="single"/>
              </w:rPr>
            </w:pPr>
            <w:r>
              <w:rPr>
                <w:b/>
                <w:sz w:val="21"/>
                <w:szCs w:val="21"/>
                <w:u w:val="single"/>
              </w:rPr>
              <w:t>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pPr>
              <w:spacing w:line="240" w:lineRule="auto"/>
              <w:ind w:firstLine="0" w:firstLineChars="0"/>
              <w:jc w:val="center"/>
              <w:rPr>
                <w:b/>
                <w:sz w:val="21"/>
                <w:szCs w:val="21"/>
                <w:u w:val="single"/>
              </w:rPr>
            </w:pPr>
          </w:p>
        </w:tc>
        <w:tc>
          <w:tcPr>
            <w:tcW w:w="658" w:type="pct"/>
            <w:vMerge w:val="continue"/>
            <w:vAlign w:val="center"/>
          </w:tcPr>
          <w:p>
            <w:pPr>
              <w:spacing w:line="240" w:lineRule="auto"/>
              <w:ind w:firstLine="0" w:firstLineChars="0"/>
              <w:jc w:val="center"/>
              <w:rPr>
                <w:b/>
                <w:sz w:val="21"/>
                <w:szCs w:val="21"/>
                <w:u w:val="single"/>
              </w:rPr>
            </w:pPr>
          </w:p>
        </w:tc>
        <w:tc>
          <w:tcPr>
            <w:tcW w:w="475" w:type="pct"/>
            <w:vAlign w:val="center"/>
          </w:tcPr>
          <w:p>
            <w:pPr>
              <w:spacing w:line="240" w:lineRule="auto"/>
              <w:ind w:firstLine="0" w:firstLineChars="0"/>
              <w:jc w:val="center"/>
              <w:rPr>
                <w:b/>
                <w:sz w:val="21"/>
                <w:szCs w:val="21"/>
                <w:u w:val="single"/>
              </w:rPr>
            </w:pPr>
            <w:r>
              <w:rPr>
                <w:b/>
                <w:sz w:val="21"/>
                <w:szCs w:val="21"/>
                <w:u w:val="single"/>
              </w:rPr>
              <w:t>浓度</w:t>
            </w:r>
          </w:p>
          <w:p>
            <w:pPr>
              <w:spacing w:line="240" w:lineRule="auto"/>
              <w:ind w:firstLine="0" w:firstLineChars="0"/>
              <w:jc w:val="center"/>
              <w:rPr>
                <w:b/>
                <w:sz w:val="21"/>
                <w:szCs w:val="21"/>
                <w:u w:val="single"/>
              </w:rPr>
            </w:pPr>
            <w:r>
              <w:rPr>
                <w:b/>
                <w:sz w:val="21"/>
                <w:szCs w:val="21"/>
                <w:u w:val="single"/>
              </w:rPr>
              <w:t>mg/L</w:t>
            </w:r>
          </w:p>
        </w:tc>
        <w:tc>
          <w:tcPr>
            <w:tcW w:w="580" w:type="pct"/>
            <w:vAlign w:val="center"/>
          </w:tcPr>
          <w:p>
            <w:pPr>
              <w:spacing w:line="240" w:lineRule="auto"/>
              <w:ind w:firstLine="0" w:firstLineChars="0"/>
              <w:jc w:val="center"/>
              <w:rPr>
                <w:b/>
                <w:sz w:val="21"/>
                <w:szCs w:val="21"/>
                <w:u w:val="single"/>
              </w:rPr>
            </w:pPr>
            <w:r>
              <w:rPr>
                <w:b/>
                <w:sz w:val="21"/>
                <w:szCs w:val="21"/>
                <w:u w:val="single"/>
              </w:rPr>
              <w:t>产生量</w:t>
            </w:r>
          </w:p>
          <w:p>
            <w:pPr>
              <w:spacing w:line="240" w:lineRule="auto"/>
              <w:ind w:firstLine="0" w:firstLineChars="0"/>
              <w:jc w:val="center"/>
              <w:rPr>
                <w:b/>
                <w:sz w:val="21"/>
                <w:szCs w:val="21"/>
                <w:u w:val="single"/>
              </w:rPr>
            </w:pPr>
            <w:r>
              <w:rPr>
                <w:b/>
                <w:sz w:val="21"/>
                <w:szCs w:val="21"/>
                <w:u w:val="single"/>
              </w:rPr>
              <w:t>t/a</w:t>
            </w:r>
          </w:p>
        </w:tc>
        <w:tc>
          <w:tcPr>
            <w:tcW w:w="398" w:type="pct"/>
            <w:vMerge w:val="continue"/>
            <w:vAlign w:val="center"/>
          </w:tcPr>
          <w:p>
            <w:pPr>
              <w:spacing w:line="240" w:lineRule="auto"/>
              <w:ind w:firstLine="0" w:firstLineChars="0"/>
              <w:jc w:val="center"/>
              <w:rPr>
                <w:b/>
                <w:sz w:val="21"/>
                <w:szCs w:val="21"/>
                <w:u w:val="single"/>
              </w:rPr>
            </w:pPr>
          </w:p>
        </w:tc>
        <w:tc>
          <w:tcPr>
            <w:tcW w:w="475" w:type="pct"/>
            <w:vAlign w:val="center"/>
          </w:tcPr>
          <w:p>
            <w:pPr>
              <w:spacing w:line="240" w:lineRule="auto"/>
              <w:ind w:firstLine="0" w:firstLineChars="0"/>
              <w:jc w:val="center"/>
              <w:rPr>
                <w:b/>
                <w:sz w:val="21"/>
                <w:szCs w:val="21"/>
                <w:u w:val="single"/>
              </w:rPr>
            </w:pPr>
            <w:r>
              <w:rPr>
                <w:b/>
                <w:sz w:val="21"/>
                <w:szCs w:val="21"/>
                <w:u w:val="single"/>
              </w:rPr>
              <w:t>浓度</w:t>
            </w:r>
          </w:p>
          <w:p>
            <w:pPr>
              <w:spacing w:line="240" w:lineRule="auto"/>
              <w:ind w:firstLine="0" w:firstLineChars="0"/>
              <w:jc w:val="center"/>
              <w:rPr>
                <w:b/>
                <w:sz w:val="21"/>
                <w:szCs w:val="21"/>
                <w:u w:val="single"/>
              </w:rPr>
            </w:pPr>
            <w:r>
              <w:rPr>
                <w:b/>
                <w:sz w:val="21"/>
                <w:szCs w:val="21"/>
                <w:u w:val="single"/>
              </w:rPr>
              <w:t>mg/L</w:t>
            </w:r>
          </w:p>
        </w:tc>
        <w:tc>
          <w:tcPr>
            <w:tcW w:w="580" w:type="pct"/>
            <w:vAlign w:val="center"/>
          </w:tcPr>
          <w:p>
            <w:pPr>
              <w:spacing w:line="240" w:lineRule="auto"/>
              <w:ind w:firstLine="0" w:firstLineChars="0"/>
              <w:jc w:val="center"/>
              <w:rPr>
                <w:b/>
                <w:sz w:val="21"/>
                <w:szCs w:val="21"/>
                <w:u w:val="single"/>
              </w:rPr>
            </w:pPr>
            <w:r>
              <w:rPr>
                <w:b/>
                <w:sz w:val="21"/>
                <w:szCs w:val="21"/>
                <w:u w:val="single"/>
              </w:rPr>
              <w:t>排放量</w:t>
            </w:r>
          </w:p>
          <w:p>
            <w:pPr>
              <w:spacing w:line="240" w:lineRule="auto"/>
              <w:ind w:firstLine="0" w:firstLineChars="0"/>
              <w:jc w:val="center"/>
              <w:rPr>
                <w:b/>
                <w:sz w:val="21"/>
                <w:szCs w:val="21"/>
                <w:u w:val="single"/>
              </w:rPr>
            </w:pPr>
            <w:r>
              <w:rPr>
                <w:b/>
                <w:sz w:val="21"/>
                <w:szCs w:val="21"/>
                <w:u w:val="single"/>
              </w:rPr>
              <w:t>t/a</w:t>
            </w:r>
          </w:p>
        </w:tc>
        <w:tc>
          <w:tcPr>
            <w:tcW w:w="661" w:type="pct"/>
            <w:vMerge w:val="continue"/>
            <w:vAlign w:val="center"/>
          </w:tcPr>
          <w:p>
            <w:pPr>
              <w:spacing w:line="240" w:lineRule="auto"/>
              <w:ind w:firstLine="0" w:firstLineChars="0"/>
              <w:jc w:val="center"/>
              <w:rPr>
                <w:b/>
                <w:sz w:val="21"/>
                <w:szCs w:val="21"/>
                <w:u w:val="single"/>
              </w:rPr>
            </w:pPr>
          </w:p>
        </w:tc>
        <w:tc>
          <w:tcPr>
            <w:tcW w:w="644" w:type="pct"/>
            <w:vMerge w:val="continue"/>
            <w:vAlign w:val="center"/>
          </w:tcPr>
          <w:p>
            <w:pPr>
              <w:spacing w:line="240" w:lineRule="auto"/>
              <w:ind w:firstLine="0" w:firstLineChars="0"/>
              <w:jc w:val="center"/>
              <w:rPr>
                <w:b/>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restart"/>
            <w:vAlign w:val="center"/>
          </w:tcPr>
          <w:p>
            <w:pPr>
              <w:spacing w:line="240" w:lineRule="auto"/>
              <w:ind w:firstLine="0" w:firstLineChars="0"/>
              <w:jc w:val="center"/>
              <w:rPr>
                <w:sz w:val="21"/>
                <w:szCs w:val="21"/>
                <w:u w:val="single"/>
              </w:rPr>
            </w:pPr>
            <w:r>
              <w:rPr>
                <w:sz w:val="21"/>
                <w:szCs w:val="21"/>
                <w:u w:val="single"/>
              </w:rPr>
              <w:t>57600</w:t>
            </w:r>
          </w:p>
        </w:tc>
        <w:tc>
          <w:tcPr>
            <w:tcW w:w="658" w:type="pct"/>
            <w:vAlign w:val="center"/>
          </w:tcPr>
          <w:p>
            <w:pPr>
              <w:spacing w:line="240" w:lineRule="auto"/>
              <w:ind w:firstLine="0" w:firstLineChars="0"/>
              <w:jc w:val="center"/>
              <w:rPr>
                <w:sz w:val="21"/>
                <w:szCs w:val="21"/>
                <w:u w:val="single"/>
              </w:rPr>
            </w:pPr>
            <w:r>
              <w:rPr>
                <w:sz w:val="21"/>
                <w:szCs w:val="21"/>
                <w:u w:val="single"/>
              </w:rPr>
              <w:t>COD</w:t>
            </w:r>
          </w:p>
        </w:tc>
        <w:tc>
          <w:tcPr>
            <w:tcW w:w="475" w:type="pct"/>
            <w:vAlign w:val="center"/>
          </w:tcPr>
          <w:p>
            <w:pPr>
              <w:spacing w:line="240" w:lineRule="auto"/>
              <w:ind w:firstLine="0" w:firstLineChars="0"/>
              <w:jc w:val="center"/>
              <w:rPr>
                <w:sz w:val="21"/>
                <w:szCs w:val="21"/>
                <w:u w:val="single"/>
              </w:rPr>
            </w:pPr>
            <w:r>
              <w:rPr>
                <w:sz w:val="21"/>
                <w:szCs w:val="21"/>
                <w:u w:val="single"/>
              </w:rPr>
              <w:t>250</w:t>
            </w:r>
          </w:p>
        </w:tc>
        <w:tc>
          <w:tcPr>
            <w:tcW w:w="580" w:type="pct"/>
            <w:vAlign w:val="center"/>
          </w:tcPr>
          <w:p>
            <w:pPr>
              <w:spacing w:line="240" w:lineRule="auto"/>
              <w:ind w:firstLine="0" w:firstLineChars="0"/>
              <w:jc w:val="center"/>
              <w:rPr>
                <w:sz w:val="21"/>
                <w:szCs w:val="21"/>
                <w:u w:val="single"/>
              </w:rPr>
            </w:pPr>
            <w:r>
              <w:rPr>
                <w:sz w:val="21"/>
                <w:szCs w:val="21"/>
                <w:u w:val="single"/>
              </w:rPr>
              <w:t>14.40</w:t>
            </w:r>
          </w:p>
        </w:tc>
        <w:tc>
          <w:tcPr>
            <w:tcW w:w="398" w:type="pct"/>
            <w:vMerge w:val="restart"/>
            <w:vAlign w:val="center"/>
          </w:tcPr>
          <w:p>
            <w:pPr>
              <w:spacing w:line="240" w:lineRule="auto"/>
              <w:ind w:firstLine="0" w:firstLineChars="0"/>
              <w:jc w:val="center"/>
              <w:rPr>
                <w:sz w:val="21"/>
                <w:szCs w:val="21"/>
                <w:u w:val="single"/>
              </w:rPr>
            </w:pPr>
            <w:r>
              <w:rPr>
                <w:sz w:val="21"/>
                <w:szCs w:val="21"/>
                <w:u w:val="single"/>
              </w:rPr>
              <w:t>一体</w:t>
            </w:r>
          </w:p>
          <w:p>
            <w:pPr>
              <w:spacing w:line="240" w:lineRule="auto"/>
              <w:ind w:firstLine="0" w:firstLineChars="0"/>
              <w:jc w:val="center"/>
              <w:rPr>
                <w:sz w:val="21"/>
                <w:szCs w:val="21"/>
                <w:u w:val="single"/>
              </w:rPr>
            </w:pPr>
            <w:r>
              <w:rPr>
                <w:sz w:val="21"/>
                <w:szCs w:val="21"/>
                <w:u w:val="single"/>
              </w:rPr>
              <w:t>化污</w:t>
            </w:r>
          </w:p>
          <w:p>
            <w:pPr>
              <w:spacing w:line="240" w:lineRule="auto"/>
              <w:ind w:firstLine="0" w:firstLineChars="0"/>
              <w:jc w:val="center"/>
              <w:rPr>
                <w:sz w:val="21"/>
                <w:szCs w:val="21"/>
                <w:u w:val="single"/>
              </w:rPr>
            </w:pPr>
            <w:r>
              <w:rPr>
                <w:sz w:val="21"/>
                <w:szCs w:val="21"/>
                <w:u w:val="single"/>
              </w:rPr>
              <w:t>水处</w:t>
            </w:r>
          </w:p>
          <w:p>
            <w:pPr>
              <w:spacing w:line="240" w:lineRule="auto"/>
              <w:ind w:firstLine="0" w:firstLineChars="0"/>
              <w:jc w:val="center"/>
              <w:rPr>
                <w:sz w:val="21"/>
                <w:szCs w:val="21"/>
                <w:u w:val="single"/>
              </w:rPr>
            </w:pPr>
            <w:r>
              <w:rPr>
                <w:sz w:val="21"/>
                <w:szCs w:val="21"/>
                <w:u w:val="single"/>
              </w:rPr>
              <w:t>理设</w:t>
            </w:r>
          </w:p>
          <w:p>
            <w:pPr>
              <w:spacing w:line="240" w:lineRule="auto"/>
              <w:ind w:firstLine="0" w:firstLineChars="0"/>
              <w:jc w:val="center"/>
              <w:rPr>
                <w:sz w:val="21"/>
                <w:szCs w:val="21"/>
                <w:u w:val="single"/>
              </w:rPr>
            </w:pPr>
            <w:r>
              <w:rPr>
                <w:sz w:val="21"/>
                <w:szCs w:val="21"/>
                <w:u w:val="single"/>
              </w:rPr>
              <w:t>施</w:t>
            </w:r>
            <w:r>
              <w:rPr>
                <w:rFonts w:hint="eastAsia"/>
                <w:sz w:val="21"/>
                <w:szCs w:val="21"/>
                <w:u w:val="single"/>
              </w:rPr>
              <w:t>+人工湿地</w:t>
            </w:r>
          </w:p>
        </w:tc>
        <w:tc>
          <w:tcPr>
            <w:tcW w:w="475"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0</w:t>
            </w:r>
          </w:p>
        </w:tc>
        <w:tc>
          <w:tcPr>
            <w:tcW w:w="580"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.15</w:t>
            </w:r>
          </w:p>
        </w:tc>
        <w:tc>
          <w:tcPr>
            <w:tcW w:w="661"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0</w:t>
            </w:r>
          </w:p>
        </w:tc>
        <w:tc>
          <w:tcPr>
            <w:tcW w:w="644" w:type="pct"/>
            <w:vMerge w:val="restart"/>
            <w:vAlign w:val="center"/>
          </w:tcPr>
          <w:p>
            <w:pPr>
              <w:spacing w:line="240" w:lineRule="auto"/>
              <w:ind w:firstLine="0" w:firstLineChars="0"/>
              <w:jc w:val="center"/>
              <w:rPr>
                <w:sz w:val="21"/>
                <w:szCs w:val="21"/>
                <w:u w:val="single"/>
              </w:rPr>
            </w:pPr>
            <w:r>
              <w:rPr>
                <w:rFonts w:hint="eastAsia"/>
                <w:sz w:val="21"/>
                <w:szCs w:val="21"/>
                <w:u w:val="single"/>
              </w:rPr>
              <w:t>GB</w:t>
            </w:r>
            <w:r>
              <w:rPr>
                <w:sz w:val="21"/>
                <w:szCs w:val="21"/>
                <w:u w:val="single"/>
              </w:rPr>
              <w:t>3838</w:t>
            </w:r>
            <w:r>
              <w:rPr>
                <w:rFonts w:hint="eastAsia"/>
                <w:sz w:val="21"/>
                <w:szCs w:val="21"/>
                <w:u w:val="single"/>
              </w:rPr>
              <w:t>-</w:t>
            </w:r>
            <w:r>
              <w:rPr>
                <w:sz w:val="21"/>
                <w:szCs w:val="21"/>
                <w:u w:val="single"/>
              </w:rPr>
              <w:t>2002</w:t>
            </w:r>
            <w:r>
              <w:rPr>
                <w:rFonts w:hint="eastAsia"/>
                <w:sz w:val="21"/>
                <w:szCs w:val="21"/>
                <w:u w:val="single"/>
              </w:rPr>
              <w:t>Ⅲ类水质标准</w:t>
            </w:r>
          </w:p>
          <w:p>
            <w:pPr>
              <w:spacing w:line="240" w:lineRule="auto"/>
              <w:ind w:firstLine="0" w:firstLineChars="0"/>
              <w:jc w:val="center"/>
              <w:rPr>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pPr>
              <w:spacing w:line="240" w:lineRule="auto"/>
              <w:ind w:firstLine="0" w:firstLineChars="0"/>
              <w:jc w:val="center"/>
              <w:rPr>
                <w:sz w:val="21"/>
                <w:szCs w:val="21"/>
                <w:u w:val="single"/>
              </w:rPr>
            </w:pPr>
          </w:p>
        </w:tc>
        <w:tc>
          <w:tcPr>
            <w:tcW w:w="658" w:type="pct"/>
            <w:vAlign w:val="center"/>
          </w:tcPr>
          <w:p>
            <w:pPr>
              <w:spacing w:line="240" w:lineRule="auto"/>
              <w:ind w:firstLine="0" w:firstLineChars="0"/>
              <w:jc w:val="center"/>
              <w:rPr>
                <w:sz w:val="21"/>
                <w:szCs w:val="21"/>
                <w:u w:val="single"/>
              </w:rPr>
            </w:pPr>
            <w:r>
              <w:rPr>
                <w:sz w:val="21"/>
                <w:szCs w:val="21"/>
                <w:u w:val="single"/>
              </w:rPr>
              <w:t>BOD</w:t>
            </w:r>
            <w:r>
              <w:rPr>
                <w:sz w:val="21"/>
                <w:szCs w:val="21"/>
                <w:u w:val="single"/>
                <w:vertAlign w:val="subscript"/>
              </w:rPr>
              <w:t>5</w:t>
            </w:r>
          </w:p>
        </w:tc>
        <w:tc>
          <w:tcPr>
            <w:tcW w:w="475" w:type="pct"/>
            <w:vAlign w:val="center"/>
          </w:tcPr>
          <w:p>
            <w:pPr>
              <w:spacing w:line="240" w:lineRule="auto"/>
              <w:ind w:firstLine="0" w:firstLineChars="0"/>
              <w:jc w:val="center"/>
              <w:rPr>
                <w:sz w:val="21"/>
                <w:szCs w:val="21"/>
                <w:u w:val="single"/>
              </w:rPr>
            </w:pPr>
            <w:r>
              <w:rPr>
                <w:sz w:val="21"/>
                <w:szCs w:val="21"/>
                <w:u w:val="single"/>
              </w:rPr>
              <w:t>150</w:t>
            </w:r>
          </w:p>
        </w:tc>
        <w:tc>
          <w:tcPr>
            <w:tcW w:w="580" w:type="pct"/>
            <w:vAlign w:val="center"/>
          </w:tcPr>
          <w:p>
            <w:pPr>
              <w:spacing w:line="240" w:lineRule="auto"/>
              <w:ind w:firstLine="0" w:firstLineChars="0"/>
              <w:jc w:val="center"/>
              <w:rPr>
                <w:sz w:val="21"/>
                <w:szCs w:val="21"/>
                <w:u w:val="single"/>
              </w:rPr>
            </w:pPr>
            <w:r>
              <w:rPr>
                <w:sz w:val="21"/>
                <w:szCs w:val="21"/>
                <w:u w:val="single"/>
              </w:rPr>
              <w:t>8.64</w:t>
            </w:r>
          </w:p>
        </w:tc>
        <w:tc>
          <w:tcPr>
            <w:tcW w:w="398" w:type="pct"/>
            <w:vMerge w:val="continue"/>
            <w:vAlign w:val="center"/>
          </w:tcPr>
          <w:p>
            <w:pPr>
              <w:spacing w:line="240" w:lineRule="auto"/>
              <w:ind w:firstLine="0" w:firstLineChars="0"/>
              <w:jc w:val="center"/>
              <w:rPr>
                <w:sz w:val="21"/>
                <w:szCs w:val="21"/>
                <w:u w:val="single"/>
              </w:rPr>
            </w:pPr>
          </w:p>
        </w:tc>
        <w:tc>
          <w:tcPr>
            <w:tcW w:w="475" w:type="pct"/>
            <w:vAlign w:val="center"/>
          </w:tcPr>
          <w:p>
            <w:pPr>
              <w:spacing w:line="240" w:lineRule="auto"/>
              <w:ind w:firstLine="0" w:firstLineChars="0"/>
              <w:jc w:val="center"/>
              <w:rPr>
                <w:sz w:val="21"/>
                <w:szCs w:val="21"/>
                <w:u w:val="single"/>
              </w:rPr>
            </w:pPr>
            <w:r>
              <w:rPr>
                <w:rFonts w:hint="eastAsia"/>
                <w:sz w:val="21"/>
                <w:szCs w:val="21"/>
                <w:u w:val="single"/>
              </w:rPr>
              <w:t>4</w:t>
            </w:r>
          </w:p>
        </w:tc>
        <w:tc>
          <w:tcPr>
            <w:tcW w:w="580" w:type="pct"/>
            <w:vAlign w:val="center"/>
          </w:tcPr>
          <w:p>
            <w:pPr>
              <w:spacing w:line="240" w:lineRule="auto"/>
              <w:ind w:firstLine="0" w:firstLineChars="0"/>
              <w:jc w:val="center"/>
              <w:rPr>
                <w:sz w:val="21"/>
                <w:szCs w:val="21"/>
                <w:u w:val="single"/>
              </w:rPr>
            </w:pPr>
            <w:r>
              <w:rPr>
                <w:rFonts w:hint="eastAsia"/>
                <w:sz w:val="21"/>
                <w:szCs w:val="21"/>
                <w:u w:val="single"/>
              </w:rPr>
              <w:t>0</w:t>
            </w:r>
            <w:r>
              <w:rPr>
                <w:sz w:val="21"/>
                <w:szCs w:val="21"/>
                <w:u w:val="single"/>
              </w:rPr>
              <w:t>.23</w:t>
            </w:r>
          </w:p>
        </w:tc>
        <w:tc>
          <w:tcPr>
            <w:tcW w:w="661" w:type="pct"/>
            <w:vAlign w:val="center"/>
          </w:tcPr>
          <w:p>
            <w:pPr>
              <w:spacing w:line="240" w:lineRule="auto"/>
              <w:ind w:firstLine="0" w:firstLineChars="0"/>
              <w:jc w:val="center"/>
              <w:rPr>
                <w:sz w:val="21"/>
                <w:szCs w:val="21"/>
                <w:u w:val="single"/>
              </w:rPr>
            </w:pPr>
            <w:r>
              <w:rPr>
                <w:rFonts w:hint="eastAsia"/>
                <w:sz w:val="21"/>
                <w:szCs w:val="21"/>
                <w:u w:val="single"/>
              </w:rPr>
              <w:t>4</w:t>
            </w:r>
          </w:p>
        </w:tc>
        <w:tc>
          <w:tcPr>
            <w:tcW w:w="644" w:type="pct"/>
            <w:vMerge w:val="continue"/>
            <w:vAlign w:val="center"/>
          </w:tcPr>
          <w:p>
            <w:pPr>
              <w:spacing w:line="240" w:lineRule="auto"/>
              <w:ind w:firstLine="0" w:firstLineChars="0"/>
              <w:jc w:val="center"/>
              <w:rPr>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pPr>
              <w:spacing w:line="240" w:lineRule="auto"/>
              <w:ind w:firstLine="0" w:firstLineChars="0"/>
              <w:jc w:val="center"/>
              <w:rPr>
                <w:sz w:val="21"/>
                <w:szCs w:val="21"/>
                <w:u w:val="single"/>
              </w:rPr>
            </w:pPr>
          </w:p>
        </w:tc>
        <w:tc>
          <w:tcPr>
            <w:tcW w:w="658" w:type="pct"/>
            <w:vAlign w:val="center"/>
          </w:tcPr>
          <w:p>
            <w:pPr>
              <w:spacing w:line="240" w:lineRule="auto"/>
              <w:ind w:firstLine="0" w:firstLineChars="0"/>
              <w:jc w:val="center"/>
              <w:rPr>
                <w:sz w:val="21"/>
                <w:szCs w:val="21"/>
                <w:u w:val="single"/>
              </w:rPr>
            </w:pPr>
            <w:r>
              <w:rPr>
                <w:sz w:val="21"/>
                <w:szCs w:val="21"/>
                <w:u w:val="single"/>
              </w:rPr>
              <w:t>SS</w:t>
            </w:r>
          </w:p>
        </w:tc>
        <w:tc>
          <w:tcPr>
            <w:tcW w:w="475" w:type="pct"/>
            <w:vAlign w:val="center"/>
          </w:tcPr>
          <w:p>
            <w:pPr>
              <w:spacing w:line="240" w:lineRule="auto"/>
              <w:ind w:firstLine="0" w:firstLineChars="0"/>
              <w:jc w:val="center"/>
              <w:rPr>
                <w:sz w:val="21"/>
                <w:szCs w:val="21"/>
                <w:u w:val="single"/>
              </w:rPr>
            </w:pPr>
            <w:r>
              <w:rPr>
                <w:sz w:val="21"/>
                <w:szCs w:val="21"/>
                <w:u w:val="single"/>
              </w:rPr>
              <w:t>200</w:t>
            </w:r>
          </w:p>
        </w:tc>
        <w:tc>
          <w:tcPr>
            <w:tcW w:w="580" w:type="pct"/>
            <w:vAlign w:val="center"/>
          </w:tcPr>
          <w:p>
            <w:pPr>
              <w:spacing w:line="240" w:lineRule="auto"/>
              <w:ind w:firstLine="0" w:firstLineChars="0"/>
              <w:jc w:val="center"/>
              <w:rPr>
                <w:sz w:val="21"/>
                <w:szCs w:val="21"/>
                <w:u w:val="single"/>
              </w:rPr>
            </w:pPr>
            <w:r>
              <w:rPr>
                <w:sz w:val="21"/>
                <w:szCs w:val="21"/>
                <w:u w:val="single"/>
              </w:rPr>
              <w:t>11.52</w:t>
            </w:r>
          </w:p>
        </w:tc>
        <w:tc>
          <w:tcPr>
            <w:tcW w:w="398" w:type="pct"/>
            <w:vMerge w:val="continue"/>
            <w:vAlign w:val="center"/>
          </w:tcPr>
          <w:p>
            <w:pPr>
              <w:spacing w:line="240" w:lineRule="auto"/>
              <w:ind w:firstLine="0" w:firstLineChars="0"/>
              <w:jc w:val="center"/>
              <w:rPr>
                <w:sz w:val="21"/>
                <w:szCs w:val="21"/>
                <w:u w:val="single"/>
              </w:rPr>
            </w:pPr>
          </w:p>
        </w:tc>
        <w:tc>
          <w:tcPr>
            <w:tcW w:w="475" w:type="pct"/>
            <w:vAlign w:val="center"/>
          </w:tcPr>
          <w:p>
            <w:pPr>
              <w:spacing w:line="240" w:lineRule="auto"/>
              <w:ind w:firstLine="0" w:firstLineChars="0"/>
              <w:jc w:val="center"/>
              <w:rPr>
                <w:sz w:val="21"/>
                <w:szCs w:val="21"/>
                <w:u w:val="single"/>
              </w:rPr>
            </w:pPr>
            <w:r>
              <w:rPr>
                <w:rFonts w:hint="eastAsia"/>
                <w:sz w:val="21"/>
                <w:szCs w:val="21"/>
                <w:u w:val="single"/>
              </w:rPr>
              <w:t>2</w:t>
            </w:r>
            <w:r>
              <w:rPr>
                <w:sz w:val="21"/>
                <w:szCs w:val="21"/>
                <w:u w:val="single"/>
              </w:rPr>
              <w:t>0</w:t>
            </w:r>
          </w:p>
        </w:tc>
        <w:tc>
          <w:tcPr>
            <w:tcW w:w="580" w:type="pct"/>
            <w:vAlign w:val="center"/>
          </w:tcPr>
          <w:p>
            <w:pPr>
              <w:spacing w:line="240" w:lineRule="auto"/>
              <w:ind w:firstLine="0" w:firstLineChars="0"/>
              <w:jc w:val="center"/>
              <w:rPr>
                <w:sz w:val="21"/>
                <w:szCs w:val="21"/>
                <w:u w:val="single"/>
              </w:rPr>
            </w:pPr>
            <w:r>
              <w:rPr>
                <w:rFonts w:hint="eastAsia"/>
                <w:sz w:val="21"/>
                <w:szCs w:val="21"/>
                <w:u w:val="single"/>
              </w:rPr>
              <w:t>1</w:t>
            </w:r>
            <w:r>
              <w:rPr>
                <w:sz w:val="21"/>
                <w:szCs w:val="21"/>
                <w:u w:val="single"/>
              </w:rPr>
              <w:t>.15</w:t>
            </w:r>
          </w:p>
        </w:tc>
        <w:tc>
          <w:tcPr>
            <w:tcW w:w="661" w:type="pct"/>
            <w:vAlign w:val="center"/>
          </w:tcPr>
          <w:p>
            <w:pPr>
              <w:spacing w:line="240" w:lineRule="auto"/>
              <w:ind w:firstLine="0" w:firstLineChars="0"/>
              <w:jc w:val="center"/>
              <w:rPr>
                <w:sz w:val="21"/>
                <w:szCs w:val="21"/>
                <w:u w:val="single"/>
              </w:rPr>
            </w:pPr>
            <w:r>
              <w:rPr>
                <w:rFonts w:hint="eastAsia"/>
                <w:sz w:val="21"/>
                <w:szCs w:val="21"/>
                <w:u w:val="single"/>
              </w:rPr>
              <w:t>/</w:t>
            </w:r>
          </w:p>
        </w:tc>
        <w:tc>
          <w:tcPr>
            <w:tcW w:w="644" w:type="pct"/>
            <w:vMerge w:val="continue"/>
            <w:vAlign w:val="center"/>
          </w:tcPr>
          <w:p>
            <w:pPr>
              <w:spacing w:line="240" w:lineRule="auto"/>
              <w:ind w:firstLine="0" w:firstLineChars="0"/>
              <w:jc w:val="center"/>
              <w:rPr>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pPr>
              <w:spacing w:line="240" w:lineRule="auto"/>
              <w:ind w:firstLine="0" w:firstLineChars="0"/>
              <w:jc w:val="center"/>
              <w:rPr>
                <w:sz w:val="21"/>
                <w:szCs w:val="21"/>
                <w:u w:val="single"/>
              </w:rPr>
            </w:pPr>
          </w:p>
        </w:tc>
        <w:tc>
          <w:tcPr>
            <w:tcW w:w="658" w:type="pct"/>
            <w:vAlign w:val="center"/>
          </w:tcPr>
          <w:p>
            <w:pPr>
              <w:spacing w:line="240" w:lineRule="auto"/>
              <w:ind w:firstLine="0" w:firstLineChars="0"/>
              <w:jc w:val="center"/>
              <w:rPr>
                <w:sz w:val="21"/>
                <w:szCs w:val="21"/>
                <w:u w:val="single"/>
              </w:rPr>
            </w:pPr>
            <w:r>
              <w:rPr>
                <w:sz w:val="21"/>
                <w:szCs w:val="21"/>
                <w:u w:val="single"/>
              </w:rPr>
              <w:t>NH</w:t>
            </w:r>
            <w:r>
              <w:rPr>
                <w:sz w:val="21"/>
                <w:szCs w:val="21"/>
                <w:u w:val="single"/>
                <w:vertAlign w:val="subscript"/>
              </w:rPr>
              <w:t>3</w:t>
            </w:r>
            <w:r>
              <w:rPr>
                <w:sz w:val="21"/>
                <w:szCs w:val="21"/>
                <w:u w:val="single"/>
              </w:rPr>
              <w:t>-N</w:t>
            </w:r>
          </w:p>
        </w:tc>
        <w:tc>
          <w:tcPr>
            <w:tcW w:w="475" w:type="pct"/>
            <w:vAlign w:val="center"/>
          </w:tcPr>
          <w:p>
            <w:pPr>
              <w:spacing w:line="240" w:lineRule="auto"/>
              <w:ind w:firstLine="0" w:firstLineChars="0"/>
              <w:jc w:val="center"/>
              <w:rPr>
                <w:sz w:val="21"/>
                <w:szCs w:val="21"/>
                <w:u w:val="single"/>
              </w:rPr>
            </w:pPr>
            <w:r>
              <w:rPr>
                <w:sz w:val="21"/>
                <w:szCs w:val="21"/>
                <w:u w:val="single"/>
              </w:rPr>
              <w:t>25</w:t>
            </w:r>
          </w:p>
        </w:tc>
        <w:tc>
          <w:tcPr>
            <w:tcW w:w="580" w:type="pct"/>
            <w:vAlign w:val="center"/>
          </w:tcPr>
          <w:p>
            <w:pPr>
              <w:spacing w:line="240" w:lineRule="auto"/>
              <w:ind w:firstLine="0" w:firstLineChars="0"/>
              <w:jc w:val="center"/>
              <w:rPr>
                <w:sz w:val="21"/>
                <w:szCs w:val="21"/>
                <w:u w:val="single"/>
              </w:rPr>
            </w:pPr>
            <w:r>
              <w:rPr>
                <w:sz w:val="21"/>
                <w:szCs w:val="21"/>
                <w:u w:val="single"/>
              </w:rPr>
              <w:t>1.44</w:t>
            </w:r>
          </w:p>
        </w:tc>
        <w:tc>
          <w:tcPr>
            <w:tcW w:w="398" w:type="pct"/>
            <w:vMerge w:val="continue"/>
            <w:vAlign w:val="center"/>
          </w:tcPr>
          <w:p>
            <w:pPr>
              <w:spacing w:line="240" w:lineRule="auto"/>
              <w:ind w:firstLine="0" w:firstLineChars="0"/>
              <w:jc w:val="center"/>
              <w:rPr>
                <w:sz w:val="21"/>
                <w:szCs w:val="21"/>
                <w:u w:val="single"/>
              </w:rPr>
            </w:pPr>
          </w:p>
        </w:tc>
        <w:tc>
          <w:tcPr>
            <w:tcW w:w="475" w:type="pct"/>
            <w:vAlign w:val="center"/>
          </w:tcPr>
          <w:p>
            <w:pPr>
              <w:spacing w:line="240" w:lineRule="auto"/>
              <w:ind w:firstLine="0" w:firstLineChars="0"/>
              <w:jc w:val="center"/>
              <w:rPr>
                <w:sz w:val="21"/>
                <w:szCs w:val="21"/>
                <w:u w:val="single"/>
              </w:rPr>
            </w:pPr>
            <w:r>
              <w:rPr>
                <w:rFonts w:hint="eastAsia"/>
                <w:sz w:val="21"/>
                <w:szCs w:val="21"/>
                <w:u w:val="single"/>
              </w:rPr>
              <w:t>1</w:t>
            </w:r>
          </w:p>
        </w:tc>
        <w:tc>
          <w:tcPr>
            <w:tcW w:w="580" w:type="pct"/>
            <w:vAlign w:val="center"/>
          </w:tcPr>
          <w:p>
            <w:pPr>
              <w:spacing w:line="240" w:lineRule="auto"/>
              <w:ind w:firstLine="0" w:firstLineChars="0"/>
              <w:jc w:val="center"/>
              <w:rPr>
                <w:sz w:val="21"/>
                <w:szCs w:val="21"/>
                <w:u w:val="single"/>
              </w:rPr>
            </w:pPr>
            <w:r>
              <w:rPr>
                <w:rFonts w:hint="eastAsia"/>
                <w:sz w:val="21"/>
                <w:szCs w:val="21"/>
                <w:u w:val="single"/>
              </w:rPr>
              <w:t>0</w:t>
            </w:r>
            <w:r>
              <w:rPr>
                <w:sz w:val="21"/>
                <w:szCs w:val="21"/>
                <w:u w:val="single"/>
              </w:rPr>
              <w:t>.06</w:t>
            </w:r>
          </w:p>
        </w:tc>
        <w:tc>
          <w:tcPr>
            <w:tcW w:w="661" w:type="pct"/>
            <w:vAlign w:val="center"/>
          </w:tcPr>
          <w:p>
            <w:pPr>
              <w:spacing w:line="240" w:lineRule="auto"/>
              <w:ind w:firstLine="0" w:firstLineChars="0"/>
              <w:jc w:val="center"/>
              <w:rPr>
                <w:sz w:val="21"/>
                <w:szCs w:val="21"/>
                <w:u w:val="single"/>
              </w:rPr>
            </w:pPr>
            <w:r>
              <w:rPr>
                <w:rFonts w:hint="eastAsia"/>
                <w:sz w:val="21"/>
                <w:szCs w:val="21"/>
                <w:u w:val="single"/>
              </w:rPr>
              <w:t>1</w:t>
            </w:r>
          </w:p>
        </w:tc>
        <w:tc>
          <w:tcPr>
            <w:tcW w:w="644" w:type="pct"/>
            <w:vMerge w:val="continue"/>
            <w:vAlign w:val="center"/>
          </w:tcPr>
          <w:p>
            <w:pPr>
              <w:spacing w:line="240" w:lineRule="auto"/>
              <w:ind w:firstLine="0" w:firstLineChars="0"/>
              <w:jc w:val="center"/>
              <w:rPr>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pPr>
              <w:spacing w:line="240" w:lineRule="auto"/>
              <w:ind w:firstLine="0" w:firstLineChars="0"/>
              <w:jc w:val="center"/>
              <w:rPr>
                <w:sz w:val="21"/>
                <w:szCs w:val="21"/>
                <w:u w:val="single"/>
              </w:rPr>
            </w:pPr>
          </w:p>
        </w:tc>
        <w:tc>
          <w:tcPr>
            <w:tcW w:w="658" w:type="pct"/>
            <w:vAlign w:val="center"/>
          </w:tcPr>
          <w:p>
            <w:pPr>
              <w:spacing w:line="240" w:lineRule="auto"/>
              <w:ind w:firstLine="0" w:firstLineChars="0"/>
              <w:jc w:val="center"/>
              <w:rPr>
                <w:sz w:val="21"/>
                <w:szCs w:val="21"/>
                <w:u w:val="single"/>
              </w:rPr>
            </w:pPr>
            <w:r>
              <w:rPr>
                <w:sz w:val="21"/>
                <w:szCs w:val="21"/>
                <w:u w:val="single"/>
              </w:rPr>
              <w:t>动植物油</w:t>
            </w:r>
          </w:p>
        </w:tc>
        <w:tc>
          <w:tcPr>
            <w:tcW w:w="475" w:type="pct"/>
            <w:vAlign w:val="center"/>
          </w:tcPr>
          <w:p>
            <w:pPr>
              <w:spacing w:line="240" w:lineRule="auto"/>
              <w:ind w:firstLine="0" w:firstLineChars="0"/>
              <w:jc w:val="center"/>
              <w:rPr>
                <w:sz w:val="21"/>
                <w:szCs w:val="21"/>
                <w:u w:val="single"/>
              </w:rPr>
            </w:pPr>
            <w:r>
              <w:rPr>
                <w:sz w:val="21"/>
                <w:szCs w:val="21"/>
                <w:u w:val="single"/>
              </w:rPr>
              <w:t>25</w:t>
            </w:r>
          </w:p>
        </w:tc>
        <w:tc>
          <w:tcPr>
            <w:tcW w:w="580" w:type="pct"/>
            <w:vAlign w:val="center"/>
          </w:tcPr>
          <w:p>
            <w:pPr>
              <w:spacing w:line="240" w:lineRule="auto"/>
              <w:ind w:firstLine="0" w:firstLineChars="0"/>
              <w:jc w:val="center"/>
              <w:rPr>
                <w:sz w:val="21"/>
                <w:szCs w:val="21"/>
                <w:u w:val="single"/>
              </w:rPr>
            </w:pPr>
            <w:r>
              <w:rPr>
                <w:sz w:val="21"/>
                <w:szCs w:val="21"/>
                <w:u w:val="single"/>
              </w:rPr>
              <w:t>1.44</w:t>
            </w:r>
          </w:p>
        </w:tc>
        <w:tc>
          <w:tcPr>
            <w:tcW w:w="398" w:type="pct"/>
            <w:vMerge w:val="continue"/>
            <w:vAlign w:val="center"/>
          </w:tcPr>
          <w:p>
            <w:pPr>
              <w:spacing w:line="240" w:lineRule="auto"/>
              <w:ind w:firstLine="0" w:firstLineChars="0"/>
              <w:jc w:val="center"/>
              <w:rPr>
                <w:sz w:val="21"/>
                <w:szCs w:val="21"/>
                <w:u w:val="single"/>
              </w:rPr>
            </w:pPr>
          </w:p>
        </w:tc>
        <w:tc>
          <w:tcPr>
            <w:tcW w:w="475" w:type="pct"/>
            <w:vAlign w:val="center"/>
          </w:tcPr>
          <w:p>
            <w:pPr>
              <w:spacing w:line="240" w:lineRule="auto"/>
              <w:ind w:firstLine="0" w:firstLineChars="0"/>
              <w:jc w:val="center"/>
              <w:rPr>
                <w:sz w:val="21"/>
                <w:szCs w:val="21"/>
                <w:u w:val="single"/>
              </w:rPr>
            </w:pPr>
            <w:r>
              <w:rPr>
                <w:rFonts w:hint="eastAsia"/>
                <w:sz w:val="21"/>
                <w:szCs w:val="21"/>
                <w:u w:val="single"/>
              </w:rPr>
              <w:t>5</w:t>
            </w:r>
          </w:p>
        </w:tc>
        <w:tc>
          <w:tcPr>
            <w:tcW w:w="580" w:type="pct"/>
            <w:vAlign w:val="center"/>
          </w:tcPr>
          <w:p>
            <w:pPr>
              <w:spacing w:line="240" w:lineRule="auto"/>
              <w:ind w:firstLine="0" w:firstLineChars="0"/>
              <w:jc w:val="center"/>
              <w:rPr>
                <w:sz w:val="21"/>
                <w:szCs w:val="21"/>
                <w:u w:val="single"/>
              </w:rPr>
            </w:pPr>
            <w:r>
              <w:rPr>
                <w:rFonts w:hint="eastAsia"/>
                <w:sz w:val="21"/>
                <w:szCs w:val="21"/>
                <w:u w:val="single"/>
              </w:rPr>
              <w:t>0</w:t>
            </w:r>
            <w:r>
              <w:rPr>
                <w:sz w:val="21"/>
                <w:szCs w:val="21"/>
                <w:u w:val="single"/>
              </w:rPr>
              <w:t>.28</w:t>
            </w:r>
          </w:p>
        </w:tc>
        <w:tc>
          <w:tcPr>
            <w:tcW w:w="661" w:type="pct"/>
            <w:vAlign w:val="center"/>
          </w:tcPr>
          <w:p>
            <w:pPr>
              <w:spacing w:line="240" w:lineRule="auto"/>
              <w:ind w:firstLine="0" w:firstLineChars="0"/>
              <w:jc w:val="center"/>
              <w:rPr>
                <w:sz w:val="21"/>
                <w:szCs w:val="21"/>
                <w:u w:val="single"/>
              </w:rPr>
            </w:pPr>
            <w:r>
              <w:rPr>
                <w:rFonts w:hint="eastAsia"/>
                <w:sz w:val="21"/>
                <w:szCs w:val="21"/>
                <w:u w:val="single"/>
              </w:rPr>
              <w:t>/</w:t>
            </w:r>
          </w:p>
        </w:tc>
        <w:tc>
          <w:tcPr>
            <w:tcW w:w="644" w:type="pct"/>
            <w:vMerge w:val="continue"/>
            <w:vAlign w:val="center"/>
          </w:tcPr>
          <w:p>
            <w:pPr>
              <w:spacing w:line="240" w:lineRule="auto"/>
              <w:ind w:firstLine="0" w:firstLineChars="0"/>
              <w:jc w:val="center"/>
              <w:rPr>
                <w:sz w:val="21"/>
                <w:szCs w:val="21"/>
                <w:u w:val="single"/>
              </w:rPr>
            </w:pPr>
          </w:p>
        </w:tc>
      </w:tr>
    </w:tbl>
    <w:p>
      <w:pPr>
        <w:ind w:firstLine="482"/>
        <w:rPr>
          <w:rFonts w:cs="Times New Roman"/>
          <w:b/>
          <w:u w:val="single"/>
        </w:rPr>
      </w:pPr>
      <w:r>
        <w:rPr>
          <w:rFonts w:cs="Times New Roman"/>
          <w:b/>
          <w:u w:val="single"/>
        </w:rPr>
        <w:t>2、白象河水文资料</w:t>
      </w:r>
    </w:p>
    <w:p>
      <w:pPr>
        <w:ind w:firstLine="480"/>
        <w:rPr>
          <w:rFonts w:cs="Times New Roman"/>
          <w:u w:val="single"/>
        </w:rPr>
      </w:pPr>
      <w:r>
        <w:rPr>
          <w:rFonts w:cs="Times New Roman"/>
          <w:u w:val="single"/>
        </w:rPr>
        <w:t>建设项目地表水汇入河流白象河主要水文水质参数见表5.2-20。</w:t>
      </w:r>
    </w:p>
    <w:p>
      <w:pPr>
        <w:pStyle w:val="14"/>
        <w:spacing w:before="163" w:beforeLines="50"/>
        <w:ind w:firstLine="420"/>
        <w:rPr>
          <w:color w:val="auto"/>
          <w:szCs w:val="24"/>
          <w:u w:val="single"/>
        </w:rPr>
      </w:pPr>
      <w:r>
        <w:rPr>
          <w:color w:val="auto"/>
          <w:szCs w:val="24"/>
          <w:u w:val="single"/>
        </w:rPr>
        <w:t>表5.2-30  白象河水力水质参数</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1"/>
        <w:gridCol w:w="1309"/>
        <w:gridCol w:w="1234"/>
        <w:gridCol w:w="1277"/>
        <w:gridCol w:w="1235"/>
        <w:gridCol w:w="1116"/>
        <w:gridCol w:w="1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1" w:type="dxa"/>
            <w:vAlign w:val="center"/>
          </w:tcPr>
          <w:p>
            <w:pPr>
              <w:spacing w:line="240" w:lineRule="auto"/>
              <w:ind w:firstLine="0" w:firstLineChars="0"/>
              <w:jc w:val="center"/>
              <w:rPr>
                <w:b/>
                <w:sz w:val="21"/>
                <w:szCs w:val="18"/>
                <w:u w:val="single"/>
              </w:rPr>
            </w:pPr>
          </w:p>
        </w:tc>
        <w:tc>
          <w:tcPr>
            <w:tcW w:w="1309" w:type="dxa"/>
            <w:vAlign w:val="center"/>
          </w:tcPr>
          <w:p>
            <w:pPr>
              <w:spacing w:line="240" w:lineRule="auto"/>
              <w:ind w:firstLine="0" w:firstLineChars="0"/>
              <w:jc w:val="center"/>
              <w:rPr>
                <w:b/>
                <w:sz w:val="21"/>
                <w:szCs w:val="18"/>
                <w:u w:val="single"/>
              </w:rPr>
            </w:pPr>
            <w:r>
              <w:rPr>
                <w:b/>
                <w:sz w:val="21"/>
                <w:szCs w:val="18"/>
                <w:u w:val="single"/>
              </w:rPr>
              <w:t>Q（m</w:t>
            </w:r>
            <w:r>
              <w:rPr>
                <w:b/>
                <w:sz w:val="21"/>
                <w:szCs w:val="18"/>
                <w:u w:val="single"/>
                <w:vertAlign w:val="superscript"/>
              </w:rPr>
              <w:t>3</w:t>
            </w:r>
            <w:r>
              <w:rPr>
                <w:b/>
                <w:sz w:val="21"/>
                <w:szCs w:val="18"/>
                <w:u w:val="single"/>
              </w:rPr>
              <w:t>/s）</w:t>
            </w:r>
          </w:p>
        </w:tc>
        <w:tc>
          <w:tcPr>
            <w:tcW w:w="1234" w:type="dxa"/>
            <w:vAlign w:val="center"/>
          </w:tcPr>
          <w:p>
            <w:pPr>
              <w:spacing w:line="240" w:lineRule="auto"/>
              <w:ind w:firstLine="0" w:firstLineChars="0"/>
              <w:jc w:val="center"/>
              <w:rPr>
                <w:b/>
                <w:sz w:val="21"/>
                <w:szCs w:val="18"/>
                <w:u w:val="single"/>
              </w:rPr>
            </w:pPr>
            <w:r>
              <w:rPr>
                <w:b/>
                <w:sz w:val="21"/>
                <w:szCs w:val="18"/>
                <w:u w:val="single"/>
              </w:rPr>
              <w:t>H（m）</w:t>
            </w:r>
          </w:p>
        </w:tc>
        <w:tc>
          <w:tcPr>
            <w:tcW w:w="1277" w:type="dxa"/>
            <w:vAlign w:val="center"/>
          </w:tcPr>
          <w:p>
            <w:pPr>
              <w:spacing w:line="240" w:lineRule="auto"/>
              <w:ind w:firstLine="0" w:firstLineChars="0"/>
              <w:jc w:val="center"/>
              <w:rPr>
                <w:b/>
                <w:sz w:val="21"/>
                <w:szCs w:val="18"/>
                <w:u w:val="single"/>
              </w:rPr>
            </w:pPr>
            <w:r>
              <w:rPr>
                <w:b/>
                <w:sz w:val="21"/>
                <w:szCs w:val="18"/>
                <w:u w:val="single"/>
              </w:rPr>
              <w:t>U（m/s）</w:t>
            </w:r>
          </w:p>
        </w:tc>
        <w:tc>
          <w:tcPr>
            <w:tcW w:w="1235" w:type="dxa"/>
            <w:vAlign w:val="center"/>
          </w:tcPr>
          <w:p>
            <w:pPr>
              <w:spacing w:line="240" w:lineRule="auto"/>
              <w:ind w:firstLine="0" w:firstLineChars="0"/>
              <w:jc w:val="center"/>
              <w:rPr>
                <w:b/>
                <w:sz w:val="21"/>
                <w:szCs w:val="18"/>
                <w:u w:val="single"/>
              </w:rPr>
            </w:pPr>
            <w:r>
              <w:rPr>
                <w:b/>
                <w:sz w:val="21"/>
                <w:szCs w:val="18"/>
                <w:u w:val="single"/>
              </w:rPr>
              <w:t>B（m）</w:t>
            </w:r>
          </w:p>
        </w:tc>
        <w:tc>
          <w:tcPr>
            <w:tcW w:w="1116" w:type="dxa"/>
            <w:vAlign w:val="center"/>
          </w:tcPr>
          <w:p>
            <w:pPr>
              <w:spacing w:line="240" w:lineRule="auto"/>
              <w:ind w:firstLine="0" w:firstLineChars="0"/>
              <w:jc w:val="center"/>
              <w:rPr>
                <w:b/>
                <w:sz w:val="21"/>
                <w:szCs w:val="18"/>
                <w:u w:val="single"/>
              </w:rPr>
            </w:pPr>
            <w:r>
              <w:rPr>
                <w:b/>
                <w:sz w:val="21"/>
                <w:szCs w:val="18"/>
                <w:u w:val="single"/>
              </w:rPr>
              <w:t>COD（mg/L）</w:t>
            </w:r>
          </w:p>
        </w:tc>
        <w:tc>
          <w:tcPr>
            <w:tcW w:w="1116" w:type="dxa"/>
            <w:vAlign w:val="center"/>
          </w:tcPr>
          <w:p>
            <w:pPr>
              <w:spacing w:line="240" w:lineRule="auto"/>
              <w:ind w:firstLine="0" w:firstLineChars="0"/>
              <w:jc w:val="center"/>
              <w:rPr>
                <w:b/>
                <w:sz w:val="21"/>
                <w:szCs w:val="18"/>
                <w:u w:val="single"/>
              </w:rPr>
            </w:pPr>
            <w:r>
              <w:rPr>
                <w:b/>
                <w:sz w:val="21"/>
                <w:szCs w:val="18"/>
                <w:u w:val="single"/>
              </w:rPr>
              <w:t>氨氮（mg/L）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1" w:type="dxa"/>
            <w:vAlign w:val="center"/>
          </w:tcPr>
          <w:p>
            <w:pPr>
              <w:spacing w:line="240" w:lineRule="auto"/>
              <w:ind w:firstLine="0" w:firstLineChars="0"/>
              <w:jc w:val="center"/>
              <w:rPr>
                <w:sz w:val="21"/>
                <w:szCs w:val="18"/>
                <w:u w:val="single"/>
              </w:rPr>
            </w:pPr>
            <w:r>
              <w:rPr>
                <w:sz w:val="21"/>
                <w:szCs w:val="18"/>
                <w:u w:val="single"/>
              </w:rPr>
              <w:t>平水期</w:t>
            </w:r>
          </w:p>
        </w:tc>
        <w:tc>
          <w:tcPr>
            <w:tcW w:w="1309" w:type="dxa"/>
            <w:vAlign w:val="center"/>
          </w:tcPr>
          <w:p>
            <w:pPr>
              <w:spacing w:line="240" w:lineRule="auto"/>
              <w:ind w:firstLine="0" w:firstLineChars="0"/>
              <w:jc w:val="center"/>
              <w:rPr>
                <w:sz w:val="21"/>
                <w:szCs w:val="18"/>
                <w:u w:val="single"/>
              </w:rPr>
            </w:pPr>
            <w:r>
              <w:rPr>
                <w:sz w:val="21"/>
                <w:szCs w:val="18"/>
                <w:u w:val="single"/>
              </w:rPr>
              <w:t>0.385</w:t>
            </w:r>
          </w:p>
        </w:tc>
        <w:tc>
          <w:tcPr>
            <w:tcW w:w="1234" w:type="dxa"/>
            <w:vAlign w:val="center"/>
          </w:tcPr>
          <w:p>
            <w:pPr>
              <w:spacing w:line="240" w:lineRule="auto"/>
              <w:ind w:firstLine="0" w:firstLineChars="0"/>
              <w:jc w:val="center"/>
              <w:rPr>
                <w:sz w:val="21"/>
                <w:szCs w:val="18"/>
                <w:u w:val="single"/>
              </w:rPr>
            </w:pPr>
            <w:r>
              <w:rPr>
                <w:sz w:val="21"/>
                <w:szCs w:val="18"/>
                <w:u w:val="single"/>
              </w:rPr>
              <w:t>0.63</w:t>
            </w:r>
          </w:p>
        </w:tc>
        <w:tc>
          <w:tcPr>
            <w:tcW w:w="1277" w:type="dxa"/>
            <w:vAlign w:val="center"/>
          </w:tcPr>
          <w:p>
            <w:pPr>
              <w:spacing w:line="240" w:lineRule="auto"/>
              <w:ind w:firstLine="0" w:firstLineChars="0"/>
              <w:jc w:val="center"/>
              <w:rPr>
                <w:sz w:val="21"/>
                <w:szCs w:val="18"/>
                <w:u w:val="single"/>
              </w:rPr>
            </w:pPr>
            <w:r>
              <w:rPr>
                <w:sz w:val="21"/>
                <w:szCs w:val="18"/>
                <w:u w:val="single"/>
              </w:rPr>
              <w:t>0.27</w:t>
            </w:r>
          </w:p>
        </w:tc>
        <w:tc>
          <w:tcPr>
            <w:tcW w:w="1235" w:type="dxa"/>
            <w:vAlign w:val="center"/>
          </w:tcPr>
          <w:p>
            <w:pPr>
              <w:spacing w:line="240" w:lineRule="auto"/>
              <w:ind w:firstLine="0" w:firstLineChars="0"/>
              <w:jc w:val="center"/>
              <w:rPr>
                <w:sz w:val="21"/>
                <w:szCs w:val="18"/>
                <w:u w:val="single"/>
              </w:rPr>
            </w:pPr>
            <w:r>
              <w:rPr>
                <w:sz w:val="21"/>
                <w:szCs w:val="18"/>
                <w:u w:val="single"/>
              </w:rPr>
              <w:t>2.3</w:t>
            </w:r>
          </w:p>
        </w:tc>
        <w:tc>
          <w:tcPr>
            <w:tcW w:w="1116" w:type="dxa"/>
            <w:vAlign w:val="center"/>
          </w:tcPr>
          <w:p>
            <w:pPr>
              <w:spacing w:line="240" w:lineRule="auto"/>
              <w:ind w:firstLine="0" w:firstLineChars="0"/>
              <w:jc w:val="center"/>
              <w:rPr>
                <w:sz w:val="21"/>
                <w:szCs w:val="18"/>
                <w:u w:val="single"/>
              </w:rPr>
            </w:pPr>
            <w:r>
              <w:rPr>
                <w:sz w:val="21"/>
                <w:szCs w:val="18"/>
                <w:u w:val="single"/>
              </w:rPr>
              <w:t>14</w:t>
            </w:r>
          </w:p>
        </w:tc>
        <w:tc>
          <w:tcPr>
            <w:tcW w:w="1116" w:type="dxa"/>
            <w:vAlign w:val="center"/>
          </w:tcPr>
          <w:p>
            <w:pPr>
              <w:spacing w:line="240" w:lineRule="auto"/>
              <w:ind w:firstLine="0" w:firstLineChars="0"/>
              <w:jc w:val="center"/>
              <w:rPr>
                <w:sz w:val="21"/>
                <w:szCs w:val="18"/>
                <w:u w:val="single"/>
              </w:rPr>
            </w:pPr>
            <w:r>
              <w:rPr>
                <w:sz w:val="21"/>
                <w:szCs w:val="18"/>
                <w:u w:val="single"/>
              </w:rPr>
              <w:t>0.513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1" w:type="dxa"/>
            <w:vAlign w:val="center"/>
          </w:tcPr>
          <w:p>
            <w:pPr>
              <w:spacing w:line="240" w:lineRule="auto"/>
              <w:ind w:firstLine="0" w:firstLineChars="0"/>
              <w:jc w:val="center"/>
              <w:rPr>
                <w:sz w:val="21"/>
                <w:szCs w:val="18"/>
                <w:u w:val="single"/>
              </w:rPr>
            </w:pPr>
            <w:r>
              <w:rPr>
                <w:sz w:val="21"/>
                <w:szCs w:val="18"/>
                <w:u w:val="single"/>
              </w:rPr>
              <w:t>枯水期</w:t>
            </w:r>
          </w:p>
        </w:tc>
        <w:tc>
          <w:tcPr>
            <w:tcW w:w="1309" w:type="dxa"/>
            <w:vAlign w:val="center"/>
          </w:tcPr>
          <w:p>
            <w:pPr>
              <w:spacing w:line="240" w:lineRule="auto"/>
              <w:ind w:firstLine="0" w:firstLineChars="0"/>
              <w:jc w:val="center"/>
              <w:rPr>
                <w:sz w:val="21"/>
                <w:szCs w:val="18"/>
                <w:u w:val="single"/>
              </w:rPr>
            </w:pPr>
            <w:r>
              <w:rPr>
                <w:sz w:val="21"/>
                <w:szCs w:val="18"/>
                <w:u w:val="single"/>
              </w:rPr>
              <w:t>0.141</w:t>
            </w:r>
          </w:p>
        </w:tc>
        <w:tc>
          <w:tcPr>
            <w:tcW w:w="1234" w:type="dxa"/>
            <w:vAlign w:val="center"/>
          </w:tcPr>
          <w:p>
            <w:pPr>
              <w:spacing w:line="240" w:lineRule="auto"/>
              <w:ind w:firstLine="0" w:firstLineChars="0"/>
              <w:jc w:val="center"/>
              <w:rPr>
                <w:sz w:val="21"/>
                <w:szCs w:val="18"/>
                <w:u w:val="single"/>
              </w:rPr>
            </w:pPr>
            <w:r>
              <w:rPr>
                <w:sz w:val="21"/>
                <w:szCs w:val="18"/>
                <w:u w:val="single"/>
              </w:rPr>
              <w:t>0.53</w:t>
            </w:r>
          </w:p>
        </w:tc>
        <w:tc>
          <w:tcPr>
            <w:tcW w:w="1277" w:type="dxa"/>
            <w:vAlign w:val="center"/>
          </w:tcPr>
          <w:p>
            <w:pPr>
              <w:spacing w:line="240" w:lineRule="auto"/>
              <w:ind w:firstLine="0" w:firstLineChars="0"/>
              <w:jc w:val="center"/>
              <w:rPr>
                <w:sz w:val="21"/>
                <w:szCs w:val="18"/>
                <w:u w:val="single"/>
              </w:rPr>
            </w:pPr>
            <w:r>
              <w:rPr>
                <w:sz w:val="21"/>
                <w:szCs w:val="18"/>
                <w:u w:val="single"/>
              </w:rPr>
              <w:t>0.19</w:t>
            </w:r>
          </w:p>
        </w:tc>
        <w:tc>
          <w:tcPr>
            <w:tcW w:w="1235" w:type="dxa"/>
            <w:vAlign w:val="center"/>
          </w:tcPr>
          <w:p>
            <w:pPr>
              <w:spacing w:line="240" w:lineRule="auto"/>
              <w:ind w:firstLine="0" w:firstLineChars="0"/>
              <w:jc w:val="center"/>
              <w:rPr>
                <w:sz w:val="21"/>
                <w:szCs w:val="18"/>
                <w:u w:val="single"/>
              </w:rPr>
            </w:pPr>
            <w:r>
              <w:rPr>
                <w:sz w:val="21"/>
                <w:szCs w:val="18"/>
                <w:u w:val="single"/>
              </w:rPr>
              <w:t>1.4</w:t>
            </w:r>
          </w:p>
        </w:tc>
        <w:tc>
          <w:tcPr>
            <w:tcW w:w="1116" w:type="dxa"/>
            <w:vAlign w:val="center"/>
          </w:tcPr>
          <w:p>
            <w:pPr>
              <w:spacing w:line="240" w:lineRule="auto"/>
              <w:ind w:firstLine="0" w:firstLineChars="0"/>
              <w:jc w:val="center"/>
              <w:rPr>
                <w:sz w:val="21"/>
                <w:szCs w:val="18"/>
                <w:u w:val="single"/>
              </w:rPr>
            </w:pPr>
            <w:r>
              <w:rPr>
                <w:sz w:val="21"/>
                <w:szCs w:val="18"/>
                <w:u w:val="single"/>
              </w:rPr>
              <w:t>14.2</w:t>
            </w:r>
          </w:p>
        </w:tc>
        <w:tc>
          <w:tcPr>
            <w:tcW w:w="1116" w:type="dxa"/>
            <w:vAlign w:val="center"/>
          </w:tcPr>
          <w:p>
            <w:pPr>
              <w:spacing w:line="240" w:lineRule="auto"/>
              <w:ind w:firstLine="0" w:firstLineChars="0"/>
              <w:jc w:val="center"/>
              <w:rPr>
                <w:sz w:val="21"/>
                <w:szCs w:val="18"/>
                <w:u w:val="single"/>
              </w:rPr>
            </w:pPr>
            <w:r>
              <w:rPr>
                <w:sz w:val="21"/>
                <w:szCs w:val="18"/>
                <w:u w:val="single"/>
              </w:rPr>
              <w:t>0.532</w:t>
            </w:r>
          </w:p>
        </w:tc>
      </w:tr>
    </w:tbl>
    <w:p>
      <w:pPr>
        <w:ind w:firstLine="482"/>
        <w:rPr>
          <w:rFonts w:cs="Times New Roman"/>
          <w:b/>
          <w:u w:val="single"/>
        </w:rPr>
      </w:pPr>
      <w:r>
        <w:rPr>
          <w:rFonts w:cs="Times New Roman"/>
          <w:b/>
          <w:u w:val="single"/>
        </w:rPr>
        <w:t>3、预测因子和预测时段</w:t>
      </w:r>
    </w:p>
    <w:p>
      <w:pPr>
        <w:ind w:firstLine="480"/>
        <w:rPr>
          <w:rFonts w:cs="Times New Roman"/>
          <w:u w:val="single"/>
        </w:rPr>
      </w:pPr>
      <w:r>
        <w:rPr>
          <w:rFonts w:cs="Times New Roman"/>
          <w:u w:val="single"/>
        </w:rPr>
        <w:t>预测因子：CODcr、氨氮；</w:t>
      </w:r>
    </w:p>
    <w:p>
      <w:pPr>
        <w:ind w:firstLine="480"/>
        <w:rPr>
          <w:rFonts w:cs="Times New Roman"/>
          <w:u w:val="single"/>
        </w:rPr>
      </w:pPr>
      <w:r>
        <w:rPr>
          <w:rFonts w:cs="Times New Roman"/>
          <w:u w:val="single"/>
        </w:rPr>
        <w:t>预测时段：枯水期；</w:t>
      </w:r>
    </w:p>
    <w:p>
      <w:pPr>
        <w:ind w:firstLine="480"/>
        <w:rPr>
          <w:rFonts w:cs="Times New Roman"/>
          <w:u w:val="single"/>
        </w:rPr>
      </w:pPr>
      <w:r>
        <w:rPr>
          <w:rFonts w:cs="Times New Roman"/>
          <w:u w:val="single"/>
        </w:rPr>
        <w:t>预测工况：非正常排放；</w:t>
      </w:r>
    </w:p>
    <w:p>
      <w:pPr>
        <w:ind w:firstLine="480"/>
        <w:rPr>
          <w:rFonts w:cs="Times New Roman"/>
          <w:u w:val="single"/>
        </w:rPr>
      </w:pPr>
      <w:r>
        <w:rPr>
          <w:rFonts w:cs="Times New Roman"/>
          <w:u w:val="single"/>
        </w:rPr>
        <w:t>预测段面：拟建项目地表水与白象河河水混合断面。</w:t>
      </w:r>
    </w:p>
    <w:p>
      <w:pPr>
        <w:ind w:firstLine="482"/>
        <w:rPr>
          <w:rFonts w:cs="Times New Roman"/>
          <w:b/>
          <w:u w:val="single"/>
        </w:rPr>
      </w:pPr>
      <w:r>
        <w:rPr>
          <w:rFonts w:cs="Times New Roman"/>
          <w:b/>
          <w:u w:val="single"/>
        </w:rPr>
        <w:t>4、预测模式</w:t>
      </w:r>
    </w:p>
    <w:p>
      <w:pPr>
        <w:ind w:firstLine="480"/>
        <w:rPr>
          <w:rFonts w:cs="Times New Roman"/>
          <w:u w:val="single"/>
        </w:rPr>
      </w:pPr>
      <w:r>
        <w:rPr>
          <w:rFonts w:hint="eastAsia" w:cs="Times New Roman"/>
          <w:u w:val="single"/>
        </w:rPr>
        <w:t>项目生活污水处理达标后</w:t>
      </w:r>
      <w:r>
        <w:rPr>
          <w:rFonts w:cs="Times New Roman"/>
          <w:u w:val="single"/>
        </w:rPr>
        <w:t>直接排入项目东南侧道路排水系统排出，流入白象河，最终汇入岳沙河，属岸边点源排放。采用完全混合模型进行预测。</w:t>
      </w:r>
    </w:p>
    <w:p>
      <w:pPr>
        <w:ind w:firstLine="480"/>
        <w:jc w:val="center"/>
        <w:rPr>
          <w:rFonts w:cs="Times New Roman"/>
          <w:u w:val="single"/>
        </w:rPr>
      </w:pPr>
      <w:r>
        <w:rPr>
          <w:rFonts w:cs="Times New Roman"/>
          <w:u w:val="single"/>
        </w:rPr>
        <w:drawing>
          <wp:inline distT="0" distB="0" distL="0" distR="0">
            <wp:extent cx="1514475" cy="581025"/>
            <wp:effectExtent l="19050" t="0" r="952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95"/>
                    <a:srcRect/>
                    <a:stretch>
                      <a:fillRect/>
                    </a:stretch>
                  </pic:blipFill>
                  <pic:spPr>
                    <a:xfrm>
                      <a:off x="0" y="0"/>
                      <a:ext cx="1514475" cy="581025"/>
                    </a:xfrm>
                    <a:prstGeom prst="rect">
                      <a:avLst/>
                    </a:prstGeom>
                    <a:noFill/>
                    <a:ln w="9525">
                      <a:noFill/>
                      <a:miter lim="800000"/>
                      <a:headEnd/>
                      <a:tailEnd/>
                    </a:ln>
                  </pic:spPr>
                </pic:pic>
              </a:graphicData>
            </a:graphic>
          </wp:inline>
        </w:drawing>
      </w:r>
    </w:p>
    <w:p>
      <w:pPr>
        <w:ind w:firstLine="480"/>
        <w:rPr>
          <w:rFonts w:cs="Times New Roman"/>
          <w:u w:val="single"/>
        </w:rPr>
      </w:pPr>
      <w:r>
        <w:rPr>
          <w:rFonts w:cs="Times New Roman"/>
          <w:u w:val="single"/>
        </w:rPr>
        <w:t>式中：Co—污染物浓度（mg/L）；</w:t>
      </w:r>
    </w:p>
    <w:p>
      <w:pPr>
        <w:ind w:firstLine="480"/>
        <w:rPr>
          <w:rFonts w:cs="Times New Roman"/>
          <w:u w:val="single"/>
        </w:rPr>
      </w:pPr>
      <w:r>
        <w:rPr>
          <w:rFonts w:cs="Times New Roman"/>
          <w:u w:val="single"/>
        </w:rPr>
        <w:t>Cp—污染物排放浓度（mg/L）；</w:t>
      </w:r>
    </w:p>
    <w:p>
      <w:pPr>
        <w:ind w:firstLine="480"/>
        <w:rPr>
          <w:rFonts w:cs="Times New Roman"/>
          <w:u w:val="single"/>
        </w:rPr>
      </w:pPr>
      <w:r>
        <w:rPr>
          <w:rFonts w:cs="Times New Roman"/>
          <w:u w:val="single"/>
        </w:rPr>
        <w:t>Ch—河流上游污染物浓度或湖（库）污染物现状浓度（mg/L）；</w:t>
      </w:r>
    </w:p>
    <w:p>
      <w:pPr>
        <w:ind w:firstLine="480"/>
        <w:rPr>
          <w:rFonts w:cs="Times New Roman"/>
          <w:u w:val="single"/>
        </w:rPr>
      </w:pPr>
      <w:r>
        <w:rPr>
          <w:rFonts w:cs="Times New Roman"/>
          <w:u w:val="single"/>
        </w:rPr>
        <w:t>Qp—废水排放量（m</w:t>
      </w:r>
      <w:r>
        <w:rPr>
          <w:rFonts w:cs="Times New Roman"/>
          <w:u w:val="single"/>
          <w:vertAlign w:val="superscript"/>
        </w:rPr>
        <w:t>3</w:t>
      </w:r>
      <w:r>
        <w:rPr>
          <w:rFonts w:cs="Times New Roman"/>
          <w:u w:val="single"/>
        </w:rPr>
        <w:t>/s）；</w:t>
      </w:r>
    </w:p>
    <w:p>
      <w:pPr>
        <w:ind w:firstLine="480"/>
        <w:rPr>
          <w:rFonts w:cs="Times New Roman"/>
          <w:u w:val="single"/>
        </w:rPr>
      </w:pPr>
      <w:r>
        <w:rPr>
          <w:rFonts w:cs="Times New Roman"/>
          <w:u w:val="single"/>
        </w:rPr>
        <w:t>Qh—河流流量（m</w:t>
      </w:r>
      <w:r>
        <w:rPr>
          <w:rFonts w:cs="Times New Roman"/>
          <w:u w:val="single"/>
          <w:vertAlign w:val="superscript"/>
        </w:rPr>
        <w:t>3</w:t>
      </w:r>
      <w:r>
        <w:rPr>
          <w:rFonts w:cs="Times New Roman"/>
          <w:u w:val="single"/>
        </w:rPr>
        <w:t>/s）。</w:t>
      </w:r>
    </w:p>
    <w:p>
      <w:pPr>
        <w:ind w:firstLine="482"/>
        <w:jc w:val="left"/>
        <w:rPr>
          <w:rFonts w:cs="Times New Roman"/>
          <w:b/>
          <w:u w:val="single"/>
        </w:rPr>
      </w:pPr>
      <w:r>
        <w:rPr>
          <w:rFonts w:cs="Times New Roman"/>
          <w:b/>
          <w:u w:val="single"/>
        </w:rPr>
        <w:t>5、预测及评价结果</w:t>
      </w:r>
    </w:p>
    <w:p>
      <w:pPr>
        <w:ind w:firstLine="480"/>
        <w:jc w:val="left"/>
        <w:rPr>
          <w:rFonts w:cs="Times New Roman"/>
          <w:u w:val="single"/>
        </w:rPr>
      </w:pPr>
      <w:r>
        <w:rPr>
          <w:rFonts w:cs="Times New Roman"/>
          <w:u w:val="single"/>
        </w:rPr>
        <w:t>采用单因子对比超标倍数法及单因子贡献率方法进行评价。预测结果见表5.2-21。</w:t>
      </w:r>
    </w:p>
    <w:p>
      <w:pPr>
        <w:pStyle w:val="14"/>
        <w:spacing w:before="163" w:beforeLines="50"/>
        <w:ind w:firstLine="420"/>
        <w:rPr>
          <w:color w:val="auto"/>
          <w:sz w:val="24"/>
          <w:szCs w:val="32"/>
          <w:u w:val="single"/>
        </w:rPr>
      </w:pPr>
      <w:r>
        <w:rPr>
          <w:color w:val="auto"/>
          <w:sz w:val="24"/>
          <w:szCs w:val="32"/>
          <w:u w:val="single"/>
        </w:rPr>
        <w:t xml:space="preserve">表5.2-31  </w:t>
      </w:r>
      <w:r>
        <w:rPr>
          <w:rFonts w:hint="eastAsia"/>
          <w:color w:val="auto"/>
          <w:sz w:val="24"/>
          <w:szCs w:val="32"/>
          <w:u w:val="single"/>
        </w:rPr>
        <w:t>生活污水</w:t>
      </w:r>
      <w:r>
        <w:rPr>
          <w:color w:val="auto"/>
          <w:sz w:val="24"/>
          <w:szCs w:val="32"/>
          <w:u w:val="single"/>
        </w:rPr>
        <w:t>排放河流完全混合段预测结果  单位：mg/L</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1"/>
        <w:gridCol w:w="1421"/>
        <w:gridCol w:w="1661"/>
        <w:gridCol w:w="1181"/>
        <w:gridCol w:w="1422"/>
        <w:gridCol w:w="14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1" w:type="dxa"/>
            <w:vAlign w:val="center"/>
          </w:tcPr>
          <w:p>
            <w:pPr>
              <w:spacing w:line="240" w:lineRule="auto"/>
              <w:ind w:firstLine="0" w:firstLineChars="0"/>
              <w:jc w:val="center"/>
              <w:rPr>
                <w:b/>
                <w:sz w:val="21"/>
                <w:szCs w:val="18"/>
                <w:u w:val="single"/>
              </w:rPr>
            </w:pPr>
            <w:r>
              <w:rPr>
                <w:b/>
                <w:sz w:val="21"/>
                <w:szCs w:val="18"/>
                <w:u w:val="single"/>
              </w:rPr>
              <w:t>污染物项目</w:t>
            </w:r>
          </w:p>
        </w:tc>
        <w:tc>
          <w:tcPr>
            <w:tcW w:w="1421" w:type="dxa"/>
            <w:vAlign w:val="center"/>
          </w:tcPr>
          <w:p>
            <w:pPr>
              <w:spacing w:line="240" w:lineRule="auto"/>
              <w:ind w:firstLine="0" w:firstLineChars="0"/>
              <w:jc w:val="center"/>
              <w:rPr>
                <w:b/>
                <w:sz w:val="21"/>
                <w:szCs w:val="18"/>
                <w:u w:val="single"/>
              </w:rPr>
            </w:pPr>
            <w:r>
              <w:rPr>
                <w:b/>
                <w:sz w:val="21"/>
                <w:szCs w:val="18"/>
                <w:u w:val="single"/>
              </w:rPr>
              <w:t>河流现状监测值</w:t>
            </w:r>
          </w:p>
        </w:tc>
        <w:tc>
          <w:tcPr>
            <w:tcW w:w="1661" w:type="dxa"/>
            <w:vAlign w:val="center"/>
          </w:tcPr>
          <w:p>
            <w:pPr>
              <w:spacing w:line="240" w:lineRule="auto"/>
              <w:ind w:firstLine="0" w:firstLineChars="0"/>
              <w:jc w:val="center"/>
              <w:rPr>
                <w:b/>
                <w:sz w:val="21"/>
                <w:szCs w:val="18"/>
                <w:u w:val="single"/>
              </w:rPr>
            </w:pPr>
            <w:r>
              <w:rPr>
                <w:b/>
                <w:sz w:val="21"/>
                <w:szCs w:val="18"/>
                <w:u w:val="single"/>
              </w:rPr>
              <w:t>污染源强浓度</w:t>
            </w:r>
          </w:p>
        </w:tc>
        <w:tc>
          <w:tcPr>
            <w:tcW w:w="1181" w:type="dxa"/>
            <w:vAlign w:val="center"/>
          </w:tcPr>
          <w:p>
            <w:pPr>
              <w:spacing w:line="240" w:lineRule="auto"/>
              <w:ind w:firstLine="0" w:firstLineChars="0"/>
              <w:jc w:val="center"/>
              <w:rPr>
                <w:b/>
                <w:sz w:val="21"/>
                <w:szCs w:val="18"/>
                <w:u w:val="single"/>
              </w:rPr>
            </w:pPr>
            <w:r>
              <w:rPr>
                <w:b/>
                <w:sz w:val="21"/>
                <w:szCs w:val="18"/>
                <w:u w:val="single"/>
              </w:rPr>
              <w:t>预测值</w:t>
            </w:r>
          </w:p>
        </w:tc>
        <w:tc>
          <w:tcPr>
            <w:tcW w:w="1422" w:type="dxa"/>
            <w:vAlign w:val="center"/>
          </w:tcPr>
          <w:p>
            <w:pPr>
              <w:autoSpaceDE w:val="0"/>
              <w:autoSpaceDN w:val="0"/>
              <w:adjustRightInd w:val="0"/>
              <w:spacing w:line="240" w:lineRule="auto"/>
              <w:ind w:firstLine="0" w:firstLineChars="0"/>
              <w:jc w:val="left"/>
              <w:rPr>
                <w:b/>
                <w:sz w:val="21"/>
                <w:szCs w:val="18"/>
                <w:u w:val="single"/>
              </w:rPr>
            </w:pPr>
            <w:r>
              <w:rPr>
                <w:rFonts w:eastAsia="TimesNewRomanPSMT"/>
                <w:b/>
                <w:sz w:val="21"/>
                <w:szCs w:val="18"/>
                <w:u w:val="single"/>
              </w:rPr>
              <w:t>Ⅲ</w:t>
            </w:r>
            <w:r>
              <w:rPr>
                <w:b/>
                <w:sz w:val="21"/>
                <w:szCs w:val="18"/>
                <w:u w:val="single"/>
              </w:rPr>
              <w:t>类水环境</w:t>
            </w:r>
          </w:p>
          <w:p>
            <w:pPr>
              <w:spacing w:line="240" w:lineRule="auto"/>
              <w:ind w:firstLine="0" w:firstLineChars="0"/>
              <w:jc w:val="center"/>
              <w:rPr>
                <w:b/>
                <w:sz w:val="21"/>
                <w:szCs w:val="18"/>
                <w:u w:val="single"/>
              </w:rPr>
            </w:pPr>
            <w:r>
              <w:rPr>
                <w:b/>
                <w:sz w:val="21"/>
                <w:szCs w:val="18"/>
                <w:u w:val="single"/>
              </w:rPr>
              <w:t>质量标准值</w:t>
            </w:r>
          </w:p>
        </w:tc>
        <w:tc>
          <w:tcPr>
            <w:tcW w:w="1422" w:type="dxa"/>
            <w:vAlign w:val="center"/>
          </w:tcPr>
          <w:p>
            <w:pPr>
              <w:spacing w:line="240" w:lineRule="auto"/>
              <w:ind w:firstLine="0" w:firstLineChars="0"/>
              <w:jc w:val="center"/>
              <w:rPr>
                <w:b/>
                <w:sz w:val="21"/>
                <w:szCs w:val="18"/>
                <w:u w:val="single"/>
              </w:rPr>
            </w:pPr>
            <w:r>
              <w:rPr>
                <w:b/>
                <w:sz w:val="21"/>
                <w:szCs w:val="18"/>
                <w:u w:val="singl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1" w:type="dxa"/>
            <w:vAlign w:val="center"/>
          </w:tcPr>
          <w:p>
            <w:pPr>
              <w:spacing w:line="240" w:lineRule="auto"/>
              <w:ind w:firstLine="0" w:firstLineChars="0"/>
              <w:jc w:val="center"/>
              <w:rPr>
                <w:sz w:val="21"/>
                <w:szCs w:val="18"/>
                <w:u w:val="single"/>
              </w:rPr>
            </w:pPr>
            <w:r>
              <w:rPr>
                <w:sz w:val="21"/>
                <w:szCs w:val="18"/>
                <w:u w:val="single"/>
              </w:rPr>
              <w:t>COD</w:t>
            </w:r>
            <w:r>
              <w:rPr>
                <w:sz w:val="21"/>
                <w:szCs w:val="18"/>
                <w:u w:val="single"/>
                <w:vertAlign w:val="subscript"/>
              </w:rPr>
              <w:t>Cr</w:t>
            </w:r>
          </w:p>
        </w:tc>
        <w:tc>
          <w:tcPr>
            <w:tcW w:w="1421" w:type="dxa"/>
            <w:vAlign w:val="center"/>
          </w:tcPr>
          <w:p>
            <w:pPr>
              <w:spacing w:line="240" w:lineRule="auto"/>
              <w:ind w:firstLine="0" w:firstLineChars="0"/>
              <w:jc w:val="center"/>
              <w:rPr>
                <w:sz w:val="21"/>
                <w:szCs w:val="18"/>
                <w:u w:val="single"/>
              </w:rPr>
            </w:pPr>
            <w:r>
              <w:rPr>
                <w:sz w:val="21"/>
                <w:szCs w:val="18"/>
                <w:u w:val="single"/>
              </w:rPr>
              <w:t>3.73</w:t>
            </w:r>
          </w:p>
        </w:tc>
        <w:tc>
          <w:tcPr>
            <w:tcW w:w="1661" w:type="dxa"/>
            <w:vAlign w:val="center"/>
          </w:tcPr>
          <w:p>
            <w:pPr>
              <w:spacing w:line="240" w:lineRule="auto"/>
              <w:ind w:firstLine="0" w:firstLineChars="0"/>
              <w:jc w:val="center"/>
              <w:rPr>
                <w:sz w:val="21"/>
                <w:szCs w:val="18"/>
                <w:u w:val="single"/>
              </w:rPr>
            </w:pPr>
            <w:r>
              <w:rPr>
                <w:sz w:val="21"/>
                <w:szCs w:val="18"/>
                <w:u w:val="single"/>
              </w:rPr>
              <w:t>20</w:t>
            </w:r>
          </w:p>
        </w:tc>
        <w:tc>
          <w:tcPr>
            <w:tcW w:w="1181" w:type="dxa"/>
            <w:vAlign w:val="center"/>
          </w:tcPr>
          <w:p>
            <w:pPr>
              <w:spacing w:line="240" w:lineRule="auto"/>
              <w:ind w:firstLine="0" w:firstLineChars="0"/>
              <w:jc w:val="center"/>
              <w:rPr>
                <w:sz w:val="21"/>
                <w:szCs w:val="18"/>
                <w:u w:val="single"/>
              </w:rPr>
            </w:pPr>
            <w:r>
              <w:rPr>
                <w:rFonts w:hint="eastAsia"/>
                <w:sz w:val="21"/>
                <w:szCs w:val="18"/>
                <w:u w:val="single"/>
              </w:rPr>
              <w:t>3</w:t>
            </w:r>
            <w:r>
              <w:rPr>
                <w:sz w:val="21"/>
                <w:szCs w:val="18"/>
                <w:u w:val="single"/>
              </w:rPr>
              <w:t>.83</w:t>
            </w:r>
          </w:p>
        </w:tc>
        <w:tc>
          <w:tcPr>
            <w:tcW w:w="1422" w:type="dxa"/>
            <w:vAlign w:val="center"/>
          </w:tcPr>
          <w:p>
            <w:pPr>
              <w:spacing w:line="240" w:lineRule="auto"/>
              <w:ind w:firstLine="0" w:firstLineChars="0"/>
              <w:jc w:val="center"/>
              <w:rPr>
                <w:sz w:val="21"/>
                <w:szCs w:val="18"/>
                <w:u w:val="single"/>
              </w:rPr>
            </w:pPr>
            <w:r>
              <w:rPr>
                <w:sz w:val="21"/>
                <w:szCs w:val="18"/>
                <w:u w:val="single"/>
              </w:rPr>
              <w:t>20</w:t>
            </w:r>
          </w:p>
        </w:tc>
        <w:tc>
          <w:tcPr>
            <w:tcW w:w="1422" w:type="dxa"/>
            <w:vAlign w:val="center"/>
          </w:tcPr>
          <w:p>
            <w:pPr>
              <w:spacing w:line="240" w:lineRule="auto"/>
              <w:ind w:firstLine="0" w:firstLineChars="0"/>
              <w:jc w:val="center"/>
              <w:rPr>
                <w:sz w:val="21"/>
                <w:szCs w:val="18"/>
                <w:u w:val="single"/>
              </w:rPr>
            </w:pPr>
            <w:r>
              <w:rPr>
                <w:sz w:val="21"/>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1" w:type="dxa"/>
            <w:vAlign w:val="center"/>
          </w:tcPr>
          <w:p>
            <w:pPr>
              <w:spacing w:line="240" w:lineRule="auto"/>
              <w:ind w:firstLine="0" w:firstLineChars="0"/>
              <w:jc w:val="center"/>
              <w:rPr>
                <w:sz w:val="21"/>
                <w:szCs w:val="18"/>
                <w:u w:val="single"/>
              </w:rPr>
            </w:pPr>
            <w:r>
              <w:rPr>
                <w:sz w:val="21"/>
                <w:szCs w:val="18"/>
                <w:u w:val="single"/>
              </w:rPr>
              <w:t>氨氮</w:t>
            </w:r>
          </w:p>
        </w:tc>
        <w:tc>
          <w:tcPr>
            <w:tcW w:w="1421" w:type="dxa"/>
            <w:vAlign w:val="center"/>
          </w:tcPr>
          <w:p>
            <w:pPr>
              <w:spacing w:line="240" w:lineRule="auto"/>
              <w:ind w:firstLine="0" w:firstLineChars="0"/>
              <w:jc w:val="center"/>
              <w:rPr>
                <w:sz w:val="21"/>
                <w:szCs w:val="18"/>
                <w:u w:val="single"/>
              </w:rPr>
            </w:pPr>
            <w:r>
              <w:rPr>
                <w:sz w:val="21"/>
                <w:szCs w:val="18"/>
                <w:u w:val="single"/>
              </w:rPr>
              <w:t>0.27</w:t>
            </w:r>
          </w:p>
        </w:tc>
        <w:tc>
          <w:tcPr>
            <w:tcW w:w="1661" w:type="dxa"/>
            <w:vAlign w:val="center"/>
          </w:tcPr>
          <w:p>
            <w:pPr>
              <w:spacing w:line="240" w:lineRule="auto"/>
              <w:ind w:firstLine="0" w:firstLineChars="0"/>
              <w:jc w:val="center"/>
              <w:rPr>
                <w:sz w:val="21"/>
                <w:szCs w:val="18"/>
                <w:u w:val="single"/>
              </w:rPr>
            </w:pPr>
            <w:r>
              <w:rPr>
                <w:sz w:val="21"/>
                <w:szCs w:val="18"/>
                <w:u w:val="single"/>
              </w:rPr>
              <w:t>1</w:t>
            </w:r>
          </w:p>
        </w:tc>
        <w:tc>
          <w:tcPr>
            <w:tcW w:w="1181" w:type="dxa"/>
            <w:vAlign w:val="center"/>
          </w:tcPr>
          <w:p>
            <w:pPr>
              <w:spacing w:line="240" w:lineRule="auto"/>
              <w:ind w:firstLine="0" w:firstLineChars="0"/>
              <w:jc w:val="center"/>
              <w:rPr>
                <w:sz w:val="21"/>
                <w:szCs w:val="18"/>
                <w:u w:val="single"/>
              </w:rPr>
            </w:pPr>
            <w:r>
              <w:rPr>
                <w:rFonts w:hint="eastAsia"/>
                <w:sz w:val="21"/>
                <w:szCs w:val="18"/>
                <w:u w:val="single"/>
              </w:rPr>
              <w:t>0</w:t>
            </w:r>
            <w:r>
              <w:rPr>
                <w:sz w:val="21"/>
                <w:szCs w:val="18"/>
                <w:u w:val="single"/>
              </w:rPr>
              <w:t>.274</w:t>
            </w:r>
          </w:p>
        </w:tc>
        <w:tc>
          <w:tcPr>
            <w:tcW w:w="1422" w:type="dxa"/>
            <w:vAlign w:val="center"/>
          </w:tcPr>
          <w:p>
            <w:pPr>
              <w:spacing w:line="240" w:lineRule="auto"/>
              <w:ind w:firstLine="0" w:firstLineChars="0"/>
              <w:jc w:val="center"/>
              <w:rPr>
                <w:sz w:val="21"/>
                <w:szCs w:val="18"/>
                <w:u w:val="single"/>
              </w:rPr>
            </w:pPr>
            <w:r>
              <w:rPr>
                <w:sz w:val="21"/>
                <w:szCs w:val="18"/>
                <w:u w:val="single"/>
              </w:rPr>
              <w:t>1.0</w:t>
            </w:r>
          </w:p>
        </w:tc>
        <w:tc>
          <w:tcPr>
            <w:tcW w:w="1422" w:type="dxa"/>
            <w:vAlign w:val="center"/>
          </w:tcPr>
          <w:p>
            <w:pPr>
              <w:spacing w:line="240" w:lineRule="auto"/>
              <w:ind w:firstLine="0" w:firstLineChars="0"/>
              <w:jc w:val="center"/>
              <w:rPr>
                <w:sz w:val="21"/>
                <w:szCs w:val="18"/>
                <w:u w:val="single"/>
              </w:rPr>
            </w:pPr>
            <w:r>
              <w:rPr>
                <w:sz w:val="21"/>
                <w:szCs w:val="18"/>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1" w:type="dxa"/>
            <w:vAlign w:val="center"/>
          </w:tcPr>
          <w:p>
            <w:pPr>
              <w:spacing w:line="240" w:lineRule="auto"/>
              <w:ind w:firstLine="0" w:firstLineChars="0"/>
              <w:jc w:val="center"/>
              <w:rPr>
                <w:sz w:val="21"/>
                <w:szCs w:val="18"/>
                <w:u w:val="single"/>
              </w:rPr>
            </w:pPr>
            <w:r>
              <w:rPr>
                <w:sz w:val="21"/>
                <w:szCs w:val="18"/>
                <w:u w:val="single"/>
              </w:rPr>
              <w:t>河流流量m</w:t>
            </w:r>
            <w:r>
              <w:rPr>
                <w:sz w:val="21"/>
                <w:szCs w:val="18"/>
                <w:u w:val="single"/>
                <w:vertAlign w:val="superscript"/>
              </w:rPr>
              <w:t>3</w:t>
            </w:r>
            <w:r>
              <w:rPr>
                <w:sz w:val="21"/>
                <w:szCs w:val="18"/>
                <w:u w:val="single"/>
              </w:rPr>
              <w:t>/s</w:t>
            </w:r>
          </w:p>
        </w:tc>
        <w:tc>
          <w:tcPr>
            <w:tcW w:w="7107" w:type="dxa"/>
            <w:gridSpan w:val="5"/>
            <w:vAlign w:val="center"/>
          </w:tcPr>
          <w:p>
            <w:pPr>
              <w:spacing w:line="240" w:lineRule="auto"/>
              <w:ind w:firstLine="0" w:firstLineChars="0"/>
              <w:jc w:val="center"/>
              <w:rPr>
                <w:sz w:val="21"/>
                <w:szCs w:val="18"/>
                <w:u w:val="single"/>
              </w:rPr>
            </w:pPr>
            <w:r>
              <w:rPr>
                <w:sz w:val="21"/>
                <w:szCs w:val="18"/>
                <w:u w:val="single"/>
              </w:rPr>
              <w:t>0.141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1" w:type="dxa"/>
            <w:vAlign w:val="center"/>
          </w:tcPr>
          <w:p>
            <w:pPr>
              <w:spacing w:line="240" w:lineRule="auto"/>
              <w:ind w:firstLine="0" w:firstLineChars="0"/>
              <w:jc w:val="center"/>
              <w:rPr>
                <w:sz w:val="21"/>
                <w:szCs w:val="18"/>
                <w:u w:val="single"/>
              </w:rPr>
            </w:pPr>
            <w:r>
              <w:rPr>
                <w:sz w:val="21"/>
                <w:szCs w:val="18"/>
                <w:u w:val="single"/>
              </w:rPr>
              <w:t>污染源排放量m</w:t>
            </w:r>
            <w:r>
              <w:rPr>
                <w:sz w:val="21"/>
                <w:szCs w:val="18"/>
                <w:u w:val="single"/>
                <w:vertAlign w:val="superscript"/>
              </w:rPr>
              <w:t>3</w:t>
            </w:r>
            <w:r>
              <w:rPr>
                <w:sz w:val="21"/>
                <w:szCs w:val="18"/>
                <w:u w:val="single"/>
              </w:rPr>
              <w:t>/s</w:t>
            </w:r>
          </w:p>
        </w:tc>
        <w:tc>
          <w:tcPr>
            <w:tcW w:w="7107" w:type="dxa"/>
            <w:gridSpan w:val="5"/>
            <w:vAlign w:val="center"/>
          </w:tcPr>
          <w:p>
            <w:pPr>
              <w:spacing w:line="240" w:lineRule="auto"/>
              <w:ind w:firstLine="0" w:firstLineChars="0"/>
              <w:jc w:val="center"/>
              <w:rPr>
                <w:sz w:val="21"/>
                <w:szCs w:val="18"/>
                <w:u w:val="single"/>
              </w:rPr>
            </w:pPr>
            <w:r>
              <w:rPr>
                <w:sz w:val="21"/>
                <w:szCs w:val="18"/>
                <w:u w:val="single"/>
              </w:rPr>
              <w:t>0.0023</w:t>
            </w:r>
          </w:p>
        </w:tc>
      </w:tr>
    </w:tbl>
    <w:p>
      <w:pPr>
        <w:ind w:firstLine="480"/>
        <w:rPr>
          <w:u w:val="single"/>
        </w:rPr>
      </w:pPr>
      <w:r>
        <w:rPr>
          <w:rFonts w:hint="eastAsia" w:cs="Times New Roman"/>
          <w:szCs w:val="21"/>
          <w:u w:val="single"/>
        </w:rPr>
        <w:t>根据预测结果，COD和氨氮均能满足Ⅲ类水质标准要求，生活污水排入白象河，对白象河影响不大。</w:t>
      </w:r>
    </w:p>
    <w:p>
      <w:pPr>
        <w:pStyle w:val="4"/>
        <w:adjustRightInd w:val="0"/>
        <w:snapToGrid w:val="0"/>
        <w:jc w:val="left"/>
        <w:rPr>
          <w:rFonts w:cs="Times New Roman"/>
          <w:szCs w:val="24"/>
        </w:rPr>
      </w:pPr>
      <w:bookmarkStart w:id="167" w:name="_Toc86611311"/>
      <w:r>
        <w:rPr>
          <w:rFonts w:cs="Times New Roman"/>
          <w:szCs w:val="24"/>
        </w:rPr>
        <w:t>5.2.5地下水环境影响分析</w:t>
      </w:r>
      <w:bookmarkEnd w:id="167"/>
    </w:p>
    <w:p>
      <w:pPr>
        <w:pStyle w:val="69"/>
        <w:ind w:firstLine="0" w:firstLineChars="0"/>
        <w:outlineLvl w:val="3"/>
        <w:rPr>
          <w:b/>
          <w:bCs/>
        </w:rPr>
      </w:pPr>
      <w:r>
        <w:rPr>
          <w:b/>
          <w:bCs/>
        </w:rPr>
        <w:t>5.2.5.1</w:t>
      </w:r>
      <w:r>
        <w:rPr>
          <w:b/>
        </w:rPr>
        <w:t>区域地质构造、水文地质</w:t>
      </w:r>
    </w:p>
    <w:p>
      <w:pPr>
        <w:ind w:firstLine="482"/>
        <w:rPr>
          <w:rFonts w:cs="Times New Roman"/>
          <w:b/>
        </w:rPr>
      </w:pPr>
      <w:r>
        <w:rPr>
          <w:rFonts w:cs="Times New Roman"/>
          <w:b/>
        </w:rPr>
        <w:t>1、评价区地质构造</w:t>
      </w:r>
    </w:p>
    <w:p>
      <w:pPr>
        <w:ind w:firstLine="480"/>
        <w:rPr>
          <w:rFonts w:cs="Times New Roman"/>
        </w:rPr>
      </w:pPr>
      <w:r>
        <w:rPr>
          <w:rFonts w:cs="Times New Roman"/>
        </w:rPr>
        <w:t>依据区域地质及地质调绘资料，项目区域位于平（江）早——晚期新华夏系拗（褶）陷（断）带的南端。区内构造形迹以北北东构造、东西向构造和弧形构造为主。构造带走向20°~30°，主要分布于衡阳县县境东部，由于受晚期北东向构造带的干扰破坏，零星孤立出露。构造带按白垩系的分布状态，进一步分为沉降带及隆起带。沉降带主要由白坚系构成，隆起带则缺失白垩系或沉积厚度减薄，并且发育压扭性断层。</w:t>
      </w:r>
    </w:p>
    <w:p>
      <w:pPr>
        <w:ind w:firstLine="480"/>
        <w:rPr>
          <w:rFonts w:cs="Times New Roman"/>
        </w:rPr>
      </w:pPr>
      <w:r>
        <w:rPr>
          <w:rFonts w:cs="Times New Roman"/>
        </w:rPr>
        <w:t>（1）的喽——杉桥北北东向构造隆起带</w:t>
      </w:r>
    </w:p>
    <w:p>
      <w:pPr>
        <w:ind w:firstLine="480"/>
        <w:rPr>
          <w:rFonts w:cs="Times New Roman"/>
        </w:rPr>
      </w:pPr>
      <w:r>
        <w:rPr>
          <w:rFonts w:cs="Times New Roman"/>
        </w:rPr>
        <w:t>本带位于衡阳县县境东部，带内分布有燕山早期的白石峰二云母花岗岩基，出露形状为不规则的长椭圆形，其长轴方向为北北东。它侵入于南岳斑状黑云母二长花岗岩中，形成时期稍晚，</w:t>
      </w:r>
    </w:p>
    <w:p>
      <w:pPr>
        <w:ind w:firstLine="480"/>
        <w:rPr>
          <w:rFonts w:cs="Times New Roman"/>
        </w:rPr>
      </w:pPr>
      <w:r>
        <w:rPr>
          <w:rFonts w:cs="Times New Roman"/>
        </w:rPr>
        <w:t>受北北东向构造控制，是本隆起带的组成部分。位于岩体南西侧的蓟县系分布区，其出露形状的长轴走向也为北北东，其中北北东向断裂极发育，也是本隆起带的组成部分。本隆起带中断层走向20°-30°，其压扭性，主要断裂有白石园断裂（19）、蒋家町断裂（20）、郑老屋断裂（21）、界牌——盐田桥断裂（23），其中以界牌——盐田桥断层（23）规模最大，区内继续延伸长约30km，断层走向30°，沿断层发育角砾岩及拖曳褶曲，并且断层两侧岩层中硅化、片理化及镜铁矿化、铅锌矿化极明显。界牌南西银溪公路边，硅化破碎带宽约20余m，走向15°-25°，青白口系砂岩组成的角砾呈滚圆至次梭角状，砾径较均匀，多为2-5cm，并且沿破碎带有镜铁矿化现象。沿断层往南西，断层通过白石峰西侧的片麻岩带，使丁老局附近水塘边的片麻岩产生轴向约290°的拖曳褶曲，再往南西断层在胡梁山一带的红层中迹象不明。</w:t>
      </w:r>
    </w:p>
    <w:p>
      <w:pPr>
        <w:ind w:firstLine="480"/>
        <w:rPr>
          <w:rFonts w:cs="Times New Roman"/>
        </w:rPr>
      </w:pPr>
      <w:r>
        <w:rPr>
          <w:rFonts w:cs="Times New Roman"/>
        </w:rPr>
        <w:t>（2）渣江——西渡沉降带</w:t>
      </w:r>
    </w:p>
    <w:p>
      <w:pPr>
        <w:ind w:firstLine="480"/>
        <w:rPr>
          <w:rFonts w:cs="Times New Roman"/>
        </w:rPr>
      </w:pPr>
      <w:r>
        <w:rPr>
          <w:rFonts w:cs="Times New Roman"/>
        </w:rPr>
        <w:t>本带位于衡阳县县境中南部，属衡阳盆地的北缘。</w:t>
      </w:r>
    </w:p>
    <w:p>
      <w:pPr>
        <w:ind w:firstLine="480"/>
        <w:rPr>
          <w:rFonts w:cs="Times New Roman"/>
        </w:rPr>
      </w:pPr>
      <w:r>
        <w:rPr>
          <w:rFonts w:cs="Times New Roman"/>
        </w:rPr>
        <w:t>本沉降带中以白垩系分布最广，其次还有小面积的下第三系枣市组及下侏罗统零星出露。</w:t>
      </w:r>
    </w:p>
    <w:p>
      <w:pPr>
        <w:ind w:firstLine="480"/>
        <w:rPr>
          <w:rFonts w:cs="Times New Roman"/>
        </w:rPr>
      </w:pPr>
      <w:r>
        <w:rPr>
          <w:rFonts w:cs="Times New Roman"/>
        </w:rPr>
        <w:t>它们都呈北北东向展布。其中以白石坳至水寺间地层发育较全，是沉降带中40°，由于沉降带由西往东发生沉积迁移，向斜两翼不对称，南东翼部只出露枣市组。</w:t>
      </w:r>
    </w:p>
    <w:p>
      <w:pPr>
        <w:ind w:firstLine="480"/>
        <w:rPr>
          <w:rFonts w:cs="Times New Roman"/>
        </w:rPr>
      </w:pPr>
      <w:r>
        <w:rPr>
          <w:rFonts w:cs="Times New Roman"/>
        </w:rPr>
        <w:t>此外，在上述地区北侧的狮子桥一带，只分布有白垩系，而且岩性变粗，砾岩层加厚，是沉降带中相对隆起的地区。因此，沉降带中各处的沉积是不均一的，也有相对隆起及相对凹陷的区分。</w:t>
      </w:r>
    </w:p>
    <w:p>
      <w:pPr>
        <w:ind w:firstLine="482"/>
        <w:rPr>
          <w:rFonts w:cs="Times New Roman"/>
          <w:b/>
        </w:rPr>
      </w:pPr>
      <w:r>
        <w:rPr>
          <w:rFonts w:cs="Times New Roman"/>
          <w:b/>
        </w:rPr>
        <w:t>2、区域水文地质类型</w:t>
      </w:r>
    </w:p>
    <w:p>
      <w:pPr>
        <w:ind w:firstLine="480"/>
        <w:rPr>
          <w:rFonts w:cs="Times New Roman"/>
        </w:rPr>
      </w:pPr>
      <w:r>
        <w:rPr>
          <w:rFonts w:cs="Times New Roman"/>
        </w:rPr>
        <w:t>红岩地区的地下水附存于泥岩、泥质粉砂岩、沙页岩中，面积728.85平方千米，占全县总面积27.55%，分布地区在醒狮、甲满、渣江、台源、西渡一带。岩浆岩地区包括关帝庙、将军庙、白石峰诸岩体，面积约388.7平方千米，占全县总面积14.7%。变质岩裂隙承压力水常以泉井型涌出，全县具有一定抗旱能力的泉井共272处，年涌水总量为634立方米。主要泉井有龙泉井、金乌井、方工温泉、浪井。衡阳县位于衡邵干旱走廊腹部，水资源严重不足，人均水资源为1273立方米，低于全国全省全市水平。</w:t>
      </w:r>
    </w:p>
    <w:p>
      <w:pPr>
        <w:ind w:firstLine="480"/>
        <w:rPr>
          <w:rFonts w:cs="Times New Roman"/>
        </w:rPr>
      </w:pPr>
      <w:r>
        <w:rPr>
          <w:rFonts w:cs="Times New Roman"/>
        </w:rPr>
        <w:t>地下水的赋存条件与地下水类型依据地下水的赋存条件及动力特征，结合地层岩性将本区地下水划分为第四系松散岩类孔隙水、基岩裂隙水、碳酸盐岩裂隙岩溶水。分述如下：</w:t>
      </w:r>
    </w:p>
    <w:p>
      <w:pPr>
        <w:ind w:firstLine="480"/>
        <w:rPr>
          <w:rFonts w:cs="Times New Roman"/>
        </w:rPr>
      </w:pPr>
      <w:r>
        <w:rPr>
          <w:rFonts w:cs="Times New Roman"/>
        </w:rPr>
        <w:t>（1）第四系松散岩类孔隙水残、坡积层孔隙水：分布于沿线台地、斜坡等地，地下水沿基岩面渗出，受大气降水补给，水量贫乏且动态不稳定。冲洪、洪积层孔隙水：主要分布于漫滩、阶地及其部分支沟。</w:t>
      </w:r>
    </w:p>
    <w:p>
      <w:pPr>
        <w:ind w:firstLine="480"/>
        <w:rPr>
          <w:rFonts w:cs="Times New Roman"/>
        </w:rPr>
      </w:pPr>
      <w:r>
        <w:rPr>
          <w:rFonts w:cs="Times New Roman"/>
        </w:rPr>
        <w:t>以砂、砾、卵石为主要含水层，地下水埋深0.5-5.0m，水量较丰富。</w:t>
      </w:r>
    </w:p>
    <w:p>
      <w:pPr>
        <w:ind w:firstLine="480"/>
        <w:rPr>
          <w:rFonts w:cs="Times New Roman"/>
        </w:rPr>
      </w:pPr>
      <w:r>
        <w:rPr>
          <w:rFonts w:cs="Times New Roman"/>
        </w:rPr>
        <w:t>（2）基岩裂隙水主要分布于沿线低山丘陵区。基岩裂隙发育，为地下水提供了赋存空间，区内岩层切蚀较强，地下水常沿砂岩、泥岩接触面渗出或股状流出。而沿线基岩裂隙、节理较发育，裂隙水排泄条件较好，但储水条件较差，一般都以渗流形式排泄于沟谷内，涌水量较小。</w:t>
      </w:r>
    </w:p>
    <w:p>
      <w:pPr>
        <w:ind w:firstLine="480"/>
        <w:rPr>
          <w:rFonts w:cs="Times New Roman"/>
        </w:rPr>
      </w:pPr>
      <w:r>
        <w:rPr>
          <w:rFonts w:cs="Times New Roman"/>
        </w:rPr>
        <w:t>地下水的补给、径流与排泄条件区内地下水主要靠大气降水补给和近源排泄。其中松散岩类孔隙水补给来源于大气降水、地表水，并侧向接受高级阶地地下水的补给后在区内径流，向江、河排泄；基岩孔隙裂隙水主要靠大气降水、邻近地下水补给，径流条件与含水岩性的透水性有密切关系，排泄方式主要以泉的方式集中排泄或溪河沟谷的线状排泄。</w:t>
      </w:r>
    </w:p>
    <w:p>
      <w:pPr>
        <w:ind w:firstLine="482"/>
        <w:rPr>
          <w:rFonts w:cs="Times New Roman"/>
          <w:b/>
        </w:rPr>
      </w:pPr>
      <w:r>
        <w:rPr>
          <w:rFonts w:cs="Times New Roman"/>
          <w:b/>
        </w:rPr>
        <w:t>3、项目周边地下水开采利用现状</w:t>
      </w:r>
    </w:p>
    <w:p>
      <w:pPr>
        <w:ind w:firstLine="480"/>
        <w:rPr>
          <w:rFonts w:cs="Times New Roman"/>
        </w:rPr>
      </w:pPr>
      <w:r>
        <w:rPr>
          <w:rFonts w:cs="Times New Roman"/>
        </w:rPr>
        <w:t>本项目位于</w:t>
      </w:r>
      <w:r>
        <w:rPr>
          <w:rFonts w:cs="Times New Roman"/>
          <w:bCs/>
        </w:rPr>
        <w:t>衡阳界牌镇陶瓷循环经济特色工业园</w:t>
      </w:r>
      <w:r>
        <w:rPr>
          <w:rFonts w:cs="Times New Roman"/>
        </w:rPr>
        <w:t>，周边地下水开采主要为周边村民生活用水，村民取水为自家地下水取水，无集中取水。项目所在地为分散式饮用水水源地保护区。</w:t>
      </w:r>
    </w:p>
    <w:p>
      <w:pPr>
        <w:pStyle w:val="69"/>
        <w:ind w:firstLine="0" w:firstLineChars="0"/>
        <w:outlineLvl w:val="3"/>
        <w:rPr>
          <w:b/>
          <w:bCs/>
        </w:rPr>
      </w:pPr>
      <w:r>
        <w:rPr>
          <w:b/>
          <w:bCs/>
        </w:rPr>
        <w:t>5.2.5.2 地下水环境影响分析</w:t>
      </w:r>
    </w:p>
    <w:p>
      <w:pPr>
        <w:ind w:firstLine="482"/>
        <w:rPr>
          <w:rFonts w:cs="Times New Roman"/>
          <w:b/>
        </w:rPr>
      </w:pPr>
      <w:r>
        <w:rPr>
          <w:rFonts w:cs="Times New Roman"/>
          <w:b/>
        </w:rPr>
        <w:t>1、正常排放时地下水影响分析</w:t>
      </w:r>
    </w:p>
    <w:p>
      <w:pPr>
        <w:ind w:firstLine="480"/>
        <w:rPr>
          <w:rFonts w:cs="Times New Roman"/>
        </w:rPr>
      </w:pPr>
      <w:r>
        <w:rPr>
          <w:rFonts w:cs="Times New Roman"/>
        </w:rPr>
        <w:t>地下水中污染物，除少部分是通过岩石裂隙进入地下水，大部分污染物都是随着补给地下水的水源一起进入地下水中的。因此地下水的污染途径与其补给来源有密切的联系。地下水污染途径一般分为：通过包气带渗入；由岩溶通道、人工裂隙等直接注入；通过地表水体由岩层侧向渗入等几种。项目区地下水污染主要通过包气带渗入。</w:t>
      </w:r>
    </w:p>
    <w:p>
      <w:pPr>
        <w:ind w:firstLine="480"/>
        <w:rPr>
          <w:rFonts w:cs="Times New Roman"/>
        </w:rPr>
      </w:pPr>
      <w:r>
        <w:rPr>
          <w:rFonts w:cs="Times New Roman"/>
        </w:rPr>
        <w:t>项目区地下水主要靠大气降水补给，包气带降雨下渗能力较强。项目生产环节主要为地面防渗、物料输送和废液循环管道，项目车间地面均采用水泥混凝土地表硬化防渗，可以有效防止污染物入渗进入地下水系统；项目管道、各贮槽等均进行加固，项目各贮槽等均采用钢筋混凝土衬耐酸砖，一般情况下不会发生工艺水外泄，能确保工艺水顺利进入下一工段。</w:t>
      </w:r>
    </w:p>
    <w:p>
      <w:pPr>
        <w:ind w:firstLine="480"/>
        <w:rPr>
          <w:rFonts w:cs="Times New Roman"/>
        </w:rPr>
      </w:pPr>
      <w:r>
        <w:rPr>
          <w:rFonts w:cs="Times New Roman"/>
        </w:rPr>
        <w:t>建设方应对工艺各单元进行检查，均应采用防渗或防漏效果很好的装置设备或贮罐，装置内排水管道均采用密封、防渗材料，各单元排放的废水均经管道排放，全厂生产废水最终均由管道泵入各水池，全部回用。则本项目在正常生产情况下，对周围地下水环境基本没有影响。</w:t>
      </w:r>
    </w:p>
    <w:p>
      <w:pPr>
        <w:ind w:firstLine="480"/>
        <w:rPr>
          <w:rFonts w:cs="Times New Roman"/>
        </w:rPr>
      </w:pPr>
      <w:r>
        <w:rPr>
          <w:rFonts w:cs="Times New Roman"/>
        </w:rPr>
        <w:t>但从客观上分析，在生产过程中难免存在着设备的无组织泄漏以及其它方式的无组织排放（如冲洗地面等），甚至存在着由于自然灾害（主要是洪水危害）及人为因素引起的事故性排放的可能性，这些废水可通过渗漏作用对厂址区域地下水产生污染，是对区域内地下水产生污染的主要污染源。根据类比调查，无组织泄漏潜在区通常主要集中在装置区、管网接口等处，生产装置的开、停车及装置和管线维修时均有可能产生无组织排放。一般厂区事故排放分为短期大量排放及长期少量排放两类。短期大量排放（如突发性事故引起的管线破裂或管线阻塞而造成逸流），一般能及时发现，并可通过初期雨水收集池或沉淀池收集后回用，因此，一般短期排放不会造成地下水污染；而长期较少量排放（如各处管线无组织泄漏等），一般较难发现，但项目管沟均采用混凝土砌筑，下渗的可能性极小，并通过管沟进入事故池收集后回用。如果建设期施工质量差或建成投产后管理不善，都有可能产生废水的无组织泄漏，造成地下水的污染，特别是同一地点的连续泄漏，造成的水环境污染会更严重。环评要求建设方委托专业人员定期对项目区内的各管沟、车间地面、贮槽等进行检查，确保厂区和装置的防渗效果。</w:t>
      </w:r>
    </w:p>
    <w:p>
      <w:pPr>
        <w:ind w:firstLine="480"/>
        <w:rPr>
          <w:rFonts w:cs="Times New Roman"/>
        </w:rPr>
      </w:pPr>
      <w:r>
        <w:rPr>
          <w:rFonts w:cs="Times New Roman"/>
        </w:rPr>
        <w:t>根据相关资料，大莫古片区地层结构简单、土层厚度大，且连续性较好，基地岩石完整、较坚硬，隔水性好，含水层不易污染。且项目区不属于集中式饮用水源地，也无特殊地下水资源保护区，根据项目周边地下水水质监测结果判定，本项目对地下水环境的影响不大。</w:t>
      </w:r>
    </w:p>
    <w:p>
      <w:pPr>
        <w:ind w:firstLine="482"/>
        <w:rPr>
          <w:rFonts w:cs="Times New Roman"/>
          <w:b/>
        </w:rPr>
      </w:pPr>
      <w:r>
        <w:rPr>
          <w:rFonts w:cs="Times New Roman"/>
          <w:b/>
        </w:rPr>
        <w:t>2、事故排放时地下水影响分析</w:t>
      </w:r>
    </w:p>
    <w:p>
      <w:pPr>
        <w:ind w:firstLine="480"/>
        <w:rPr>
          <w:rFonts w:cs="Times New Roman"/>
        </w:rPr>
      </w:pPr>
      <w:r>
        <w:rPr>
          <w:rFonts w:cs="Times New Roman"/>
        </w:rPr>
        <w:t>（1）污水及水质</w:t>
      </w:r>
    </w:p>
    <w:p>
      <w:pPr>
        <w:ind w:firstLine="480"/>
        <w:rPr>
          <w:rFonts w:cs="Times New Roman"/>
        </w:rPr>
      </w:pPr>
      <w:r>
        <w:rPr>
          <w:rFonts w:cs="Times New Roman"/>
        </w:rPr>
        <w:t>废水事故排放主要考虑</w:t>
      </w:r>
      <w:r>
        <w:rPr>
          <w:rFonts w:hint="eastAsia" w:cs="Times New Roman"/>
        </w:rPr>
        <w:t>废</w:t>
      </w:r>
      <w:r>
        <w:rPr>
          <w:rFonts w:cs="Times New Roman"/>
        </w:rPr>
        <w:t>水事故排放，根据前文分析，项目</w:t>
      </w:r>
      <w:r>
        <w:rPr>
          <w:rFonts w:hint="eastAsia" w:cs="Times New Roman"/>
        </w:rPr>
        <w:t>废</w:t>
      </w:r>
      <w:r>
        <w:rPr>
          <w:rFonts w:cs="Times New Roman"/>
        </w:rPr>
        <w:t>水量为91.53m</w:t>
      </w:r>
      <w:r>
        <w:rPr>
          <w:rFonts w:cs="Times New Roman"/>
          <w:vertAlign w:val="superscript"/>
        </w:rPr>
        <w:t>3</w:t>
      </w:r>
      <w:r>
        <w:rPr>
          <w:rFonts w:cs="Times New Roman"/>
        </w:rPr>
        <w:t>/d，废水中污染物主要为挥发酚、COD、氨氮、石油类等，废水水质情况见表3.3-14。</w:t>
      </w:r>
    </w:p>
    <w:p>
      <w:pPr>
        <w:ind w:firstLine="480"/>
        <w:rPr>
          <w:rFonts w:cs="Times New Roman"/>
        </w:rPr>
      </w:pPr>
      <w:r>
        <w:rPr>
          <w:rFonts w:cs="Times New Roman"/>
        </w:rPr>
        <w:t>（2）污染途径及污染方式</w:t>
      </w:r>
    </w:p>
    <w:p>
      <w:pPr>
        <w:ind w:firstLine="480"/>
        <w:rPr>
          <w:rFonts w:cs="Times New Roman"/>
        </w:rPr>
      </w:pPr>
      <w:r>
        <w:rPr>
          <w:rFonts w:cs="Times New Roman"/>
        </w:rPr>
        <w:t>根据工程分析，本项目对地下水的影响主要来自</w:t>
      </w:r>
      <w:r>
        <w:rPr>
          <w:rFonts w:hint="eastAsia" w:cs="Times New Roman"/>
        </w:rPr>
        <w:t>废</w:t>
      </w:r>
      <w:r>
        <w:rPr>
          <w:rFonts w:cs="Times New Roman"/>
        </w:rPr>
        <w:t>水池等，影响方式主要为以污水下渗对区域地下水水质产生影响。</w:t>
      </w:r>
    </w:p>
    <w:p>
      <w:pPr>
        <w:ind w:firstLine="480"/>
        <w:rPr>
          <w:rFonts w:cs="Times New Roman"/>
        </w:rPr>
      </w:pPr>
      <w:r>
        <w:rPr>
          <w:rFonts w:cs="Times New Roman"/>
        </w:rPr>
        <w:t>区域地下水总体流向为东北——西南方向，即从东北向西南排泄。本项目地下水污染方式为直接污染，在不采取措施的情况下，污染物将直接进入区域含水层，影响区域地下水水质；主要污染途径为连续入渗型，在其污染防治措施不当、防渗系数不能满足要求的情况下，其污染物随废水不断深入含水层中，影响水质。</w:t>
      </w:r>
    </w:p>
    <w:p>
      <w:pPr>
        <w:ind w:firstLine="480"/>
        <w:rPr>
          <w:rFonts w:cs="Times New Roman"/>
        </w:rPr>
      </w:pPr>
      <w:r>
        <w:rPr>
          <w:rFonts w:cs="Times New Roman"/>
        </w:rPr>
        <w:t>（3）事故情况下各收集池泄漏对地下水环境的预测分析</w:t>
      </w:r>
    </w:p>
    <w:p>
      <w:pPr>
        <w:ind w:firstLine="480"/>
        <w:rPr>
          <w:rFonts w:cs="Times New Roman"/>
        </w:rPr>
      </w:pPr>
      <w:r>
        <w:rPr>
          <w:rFonts w:cs="Times New Roman"/>
        </w:rPr>
        <w:t>根据前文分析，正常工况下，厂区生产</w:t>
      </w:r>
      <w:r>
        <w:rPr>
          <w:rFonts w:hint="eastAsia" w:cs="Times New Roman"/>
        </w:rPr>
        <w:t>废水</w:t>
      </w:r>
      <w:r>
        <w:rPr>
          <w:rFonts w:cs="Times New Roman"/>
        </w:rPr>
        <w:t>处理后全部循环再利用不外排，不会对地下水造成影响。事故情况下，在项目运行中</w:t>
      </w:r>
      <w:r>
        <w:rPr>
          <w:rFonts w:hint="eastAsia" w:cs="Times New Roman"/>
        </w:rPr>
        <w:t>废</w:t>
      </w:r>
      <w:r>
        <w:rPr>
          <w:rFonts w:cs="Times New Roman"/>
        </w:rPr>
        <w:t>水的收集处理过程有一定的事故发生概率，一旦发生泄漏事故，可能有一定量的</w:t>
      </w:r>
      <w:r>
        <w:rPr>
          <w:rFonts w:hint="eastAsia" w:cs="Times New Roman"/>
        </w:rPr>
        <w:t>废</w:t>
      </w:r>
      <w:r>
        <w:rPr>
          <w:rFonts w:cs="Times New Roman"/>
        </w:rPr>
        <w:t>水通过包气带泄漏到地下水环境中，会对当地地下水造成污染。以下对地下水水质影响进行预测分析。</w:t>
      </w:r>
    </w:p>
    <w:p>
      <w:pPr>
        <w:ind w:firstLine="480"/>
        <w:rPr>
          <w:rFonts w:cs="Times New Roman"/>
        </w:rPr>
      </w:pPr>
      <w:r>
        <w:rPr>
          <w:rFonts w:hint="eastAsia" w:ascii="宋体" w:hAnsi="宋体" w:cs="宋体"/>
        </w:rPr>
        <w:t>①</w:t>
      </w:r>
      <w:r>
        <w:rPr>
          <w:rFonts w:cs="Times New Roman"/>
        </w:rPr>
        <w:t>预测基本情况</w:t>
      </w:r>
    </w:p>
    <w:p>
      <w:pPr>
        <w:ind w:firstLine="480"/>
        <w:rPr>
          <w:rFonts w:cs="Times New Roman"/>
        </w:rPr>
      </w:pPr>
      <w:r>
        <w:rPr>
          <w:rFonts w:cs="Times New Roman"/>
        </w:rPr>
        <w:t>A、预测情景设置</w:t>
      </w:r>
    </w:p>
    <w:p>
      <w:pPr>
        <w:ind w:firstLine="480"/>
        <w:rPr>
          <w:rFonts w:cs="Times New Roman"/>
        </w:rPr>
      </w:pPr>
      <w:r>
        <w:rPr>
          <w:rFonts w:cs="Times New Roman"/>
        </w:rPr>
        <w:t>项目厂区地面设置了混凝土硬化措施，具有良好的防渗性能，同时设置有雨水收集的排放系统，雨天整个厂区在正常情况下不会出现积水，不会导致污染物进入地下污染地下水。因此本次评价预测考虑</w:t>
      </w:r>
      <w:r>
        <w:rPr>
          <w:rFonts w:hint="eastAsia" w:cs="Times New Roman"/>
        </w:rPr>
        <w:t>废</w:t>
      </w:r>
      <w:r>
        <w:rPr>
          <w:rFonts w:cs="Times New Roman"/>
        </w:rPr>
        <w:t>水池破裂泄漏，通过包气带进入地下对地下水的影响。</w:t>
      </w:r>
    </w:p>
    <w:p>
      <w:pPr>
        <w:ind w:firstLine="480"/>
        <w:rPr>
          <w:rFonts w:cs="Times New Roman"/>
        </w:rPr>
      </w:pPr>
      <w:r>
        <w:rPr>
          <w:rFonts w:cs="Times New Roman"/>
        </w:rPr>
        <w:t>B、预测内容</w:t>
      </w:r>
    </w:p>
    <w:p>
      <w:pPr>
        <w:ind w:firstLine="480"/>
        <w:rPr>
          <w:rFonts w:cs="Times New Roman"/>
        </w:rPr>
      </w:pPr>
      <w:r>
        <w:rPr>
          <w:rFonts w:cs="Times New Roman"/>
        </w:rPr>
        <w:t>预测事故情况下，</w:t>
      </w:r>
      <w:r>
        <w:rPr>
          <w:rFonts w:hint="eastAsia" w:cs="Times New Roman"/>
        </w:rPr>
        <w:t>废</w:t>
      </w:r>
      <w:r>
        <w:rPr>
          <w:rFonts w:cs="Times New Roman"/>
        </w:rPr>
        <w:t>水池泄漏的生产废水下渗对区域地下水水质的影响趋势。</w:t>
      </w:r>
    </w:p>
    <w:p>
      <w:pPr>
        <w:ind w:firstLine="480"/>
        <w:rPr>
          <w:rFonts w:cs="Times New Roman"/>
        </w:rPr>
      </w:pPr>
      <w:r>
        <w:rPr>
          <w:rFonts w:cs="Times New Roman"/>
        </w:rPr>
        <w:t>C、预测因子</w:t>
      </w:r>
    </w:p>
    <w:p>
      <w:pPr>
        <w:ind w:firstLine="480"/>
        <w:rPr>
          <w:rFonts w:cs="Times New Roman"/>
        </w:rPr>
      </w:pPr>
      <w:r>
        <w:rPr>
          <w:rFonts w:cs="Times New Roman"/>
        </w:rPr>
        <w:t>事故情况下的预测因子挥发酚、COD、氨氮。</w:t>
      </w:r>
    </w:p>
    <w:p>
      <w:pPr>
        <w:ind w:firstLine="480"/>
        <w:rPr>
          <w:rFonts w:cs="Times New Roman"/>
        </w:rPr>
      </w:pPr>
      <w:r>
        <w:rPr>
          <w:rFonts w:cs="Times New Roman"/>
        </w:rPr>
        <w:t>D、预测时段</w:t>
      </w:r>
    </w:p>
    <w:p>
      <w:pPr>
        <w:ind w:firstLine="480"/>
        <w:rPr>
          <w:rFonts w:cs="Times New Roman"/>
        </w:rPr>
      </w:pPr>
      <w:r>
        <w:rPr>
          <w:rFonts w:cs="Times New Roman"/>
        </w:rPr>
        <w:t>事故排放可能产生地下水污染的关键时段，污染发生后100d、500d、1000d、5000d作为预测时段。</w:t>
      </w:r>
    </w:p>
    <w:p>
      <w:pPr>
        <w:ind w:firstLine="480"/>
        <w:rPr>
          <w:rFonts w:cs="Times New Roman"/>
        </w:rPr>
      </w:pPr>
      <w:r>
        <w:rPr>
          <w:rFonts w:cs="Times New Roman"/>
        </w:rPr>
        <w:t>E、污染源概化</w:t>
      </w:r>
    </w:p>
    <w:p>
      <w:pPr>
        <w:ind w:firstLine="480"/>
        <w:rPr>
          <w:rFonts w:cs="Times New Roman"/>
        </w:rPr>
      </w:pPr>
      <w:r>
        <w:rPr>
          <w:rFonts w:cs="Times New Roman"/>
        </w:rPr>
        <w:t>根据生产污水收集池污染源的具体情况，将排放形式概化为点源，排放规律简化为连续排放。</w:t>
      </w:r>
    </w:p>
    <w:p>
      <w:pPr>
        <w:ind w:firstLine="480"/>
        <w:rPr>
          <w:rFonts w:cs="Times New Roman"/>
        </w:rPr>
      </w:pPr>
      <w:r>
        <w:rPr>
          <w:rFonts w:hint="eastAsia" w:ascii="宋体" w:hAnsi="宋体" w:cs="宋体"/>
        </w:rPr>
        <w:t>②</w:t>
      </w:r>
      <w:r>
        <w:rPr>
          <w:rFonts w:cs="Times New Roman"/>
        </w:rPr>
        <w:t>预测方法</w:t>
      </w:r>
    </w:p>
    <w:p>
      <w:pPr>
        <w:ind w:firstLine="480"/>
        <w:rPr>
          <w:rFonts w:cs="Times New Roman"/>
        </w:rPr>
      </w:pPr>
      <w:r>
        <w:rPr>
          <w:rFonts w:cs="Times New Roman"/>
        </w:rPr>
        <w:t>采用解析法进行预测。为了揭示污染物进入地下水后，地下水水质的失控变化规律，将污染场地地下水污染物的溶质迁移问题概化为污染物连续注入的一端定浓度的一维水动力弥散问题。</w:t>
      </w:r>
    </w:p>
    <w:p>
      <w:pPr>
        <w:ind w:firstLine="480"/>
        <w:rPr>
          <w:rFonts w:cs="Times New Roman"/>
        </w:rPr>
      </w:pPr>
      <w:r>
        <w:rPr>
          <w:rFonts w:cs="Times New Roman"/>
        </w:rPr>
        <w:t>预测按最不利的情况设置情景，污水瞬时排放，直接进入地下水，并在含水层中沿水力梯度方向径流，污染物浓度在未渗入地下水前不发生变化，不考虑污水在包气带中下渗过程的降解与吸附作用，不考虑含水层中对污染物的吸附、挥发、生物化学反应。设计情景为极端情况（最不利条件），用于表征污水排放对地下水环境的最大影响程度和影响范围。</w:t>
      </w:r>
    </w:p>
    <w:p>
      <w:pPr>
        <w:ind w:firstLine="480"/>
        <w:rPr>
          <w:rFonts w:cs="Times New Roman"/>
          <w:kern w:val="0"/>
          <w:lang w:val="zh-CN"/>
        </w:rPr>
      </w:pPr>
      <w:r>
        <w:rPr>
          <w:rFonts w:cs="Times New Roman"/>
        </w:rPr>
        <w:t>由于收集及调查的水文地质资料有限，因此在模型计算中，对污染物的吸附、</w:t>
      </w:r>
      <w:r>
        <w:rPr>
          <w:rFonts w:cs="Times New Roman"/>
          <w:kern w:val="0"/>
          <w:lang w:val="zh-CN"/>
        </w:rPr>
        <w:t>挥发、生物化学反应均不予以考虑，对模型中的各项参数均予保守性估计，选取最不利的参数进行计算，考虑污染源最大程度上对地下水水质的影响。</w:t>
      </w:r>
    </w:p>
    <w:p>
      <w:pPr>
        <w:ind w:firstLine="480"/>
        <w:rPr>
          <w:rFonts w:cs="Times New Roman"/>
          <w:kern w:val="0"/>
          <w:lang w:val="zh-CN"/>
        </w:rPr>
      </w:pPr>
      <w:r>
        <w:rPr>
          <w:rFonts w:hint="eastAsia" w:ascii="宋体" w:hAnsi="宋体" w:cs="宋体"/>
          <w:kern w:val="0"/>
          <w:lang w:val="zh-CN"/>
        </w:rPr>
        <w:t>③</w:t>
      </w:r>
      <w:r>
        <w:rPr>
          <w:rFonts w:cs="Times New Roman"/>
          <w:kern w:val="0"/>
          <w:lang w:val="zh-CN"/>
        </w:rPr>
        <w:t>解析模型</w:t>
      </w:r>
    </w:p>
    <w:p>
      <w:pPr>
        <w:ind w:firstLine="480"/>
        <w:rPr>
          <w:rFonts w:cs="Times New Roman"/>
          <w:kern w:val="0"/>
          <w:lang w:val="zh-CN"/>
        </w:rPr>
      </w:pPr>
      <w:r>
        <w:rPr>
          <w:rFonts w:cs="Times New Roman"/>
          <w:kern w:val="0"/>
          <w:lang w:val="zh-CN"/>
        </w:rPr>
        <w:t>根据《环境影响评价技术导则地下水环境》（HJ610-2016）的要求，结合区域水文地质条件和潜在污染源特征，对地下水环境影响预测采用一维半无限长多孔介质定浓度边界模型。其如公式为：</w:t>
      </w:r>
    </w:p>
    <w:p>
      <w:pPr>
        <w:ind w:firstLine="480"/>
        <w:jc w:val="center"/>
        <w:rPr>
          <w:rFonts w:cs="Times New Roman"/>
        </w:rPr>
      </w:pPr>
      <w:r>
        <w:rPr>
          <w:rFonts w:cs="Times New Roman"/>
        </w:rPr>
        <w:drawing>
          <wp:inline distT="0" distB="0" distL="0" distR="0">
            <wp:extent cx="2038350" cy="676910"/>
            <wp:effectExtent l="19050" t="0" r="0" b="0"/>
            <wp:docPr id="1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7"/>
                    <pic:cNvPicPr>
                      <a:picLocks noChangeAspect="1" noChangeArrowheads="1"/>
                    </pic:cNvPicPr>
                  </pic:nvPicPr>
                  <pic:blipFill>
                    <a:blip r:embed="rId96"/>
                    <a:srcRect/>
                    <a:stretch>
                      <a:fillRect/>
                    </a:stretch>
                  </pic:blipFill>
                  <pic:spPr>
                    <a:xfrm>
                      <a:off x="0" y="0"/>
                      <a:ext cx="2038350" cy="677379"/>
                    </a:xfrm>
                    <a:prstGeom prst="rect">
                      <a:avLst/>
                    </a:prstGeom>
                    <a:noFill/>
                    <a:ln w="9525">
                      <a:noFill/>
                      <a:miter lim="800000"/>
                      <a:headEnd/>
                      <a:tailEnd/>
                    </a:ln>
                  </pic:spPr>
                </pic:pic>
              </a:graphicData>
            </a:graphic>
          </wp:inline>
        </w:drawing>
      </w:r>
    </w:p>
    <w:p>
      <w:pPr>
        <w:ind w:firstLine="480"/>
        <w:rPr>
          <w:rFonts w:cs="Times New Roman"/>
          <w:kern w:val="0"/>
          <w:szCs w:val="20"/>
        </w:rPr>
      </w:pPr>
      <w:r>
        <w:rPr>
          <w:rFonts w:cs="Times New Roman"/>
          <w:kern w:val="0"/>
          <w:szCs w:val="20"/>
        </w:rPr>
        <w:t>式中：x——预测点距污染源强的距离，m；</w:t>
      </w:r>
    </w:p>
    <w:p>
      <w:pPr>
        <w:ind w:firstLine="1200" w:firstLineChars="500"/>
        <w:rPr>
          <w:rFonts w:cs="Times New Roman"/>
          <w:kern w:val="0"/>
          <w:szCs w:val="20"/>
        </w:rPr>
      </w:pPr>
      <w:r>
        <w:rPr>
          <w:rFonts w:cs="Times New Roman"/>
          <w:kern w:val="0"/>
          <w:szCs w:val="20"/>
        </w:rPr>
        <w:t>t——预测时间，d；</w:t>
      </w:r>
    </w:p>
    <w:p>
      <w:pPr>
        <w:ind w:firstLine="1200" w:firstLineChars="500"/>
        <w:rPr>
          <w:rFonts w:cs="Times New Roman"/>
          <w:kern w:val="0"/>
          <w:szCs w:val="20"/>
        </w:rPr>
      </w:pPr>
      <w:r>
        <w:rPr>
          <w:rFonts w:cs="Times New Roman"/>
          <w:kern w:val="0"/>
          <w:szCs w:val="20"/>
        </w:rPr>
        <w:t>C——t时刻x处的污染物浓度，mg/L；</w:t>
      </w:r>
    </w:p>
    <w:p>
      <w:pPr>
        <w:ind w:firstLine="1200" w:firstLineChars="500"/>
        <w:rPr>
          <w:rFonts w:cs="Times New Roman"/>
          <w:kern w:val="0"/>
          <w:szCs w:val="20"/>
        </w:rPr>
      </w:pPr>
      <w:r>
        <w:rPr>
          <w:rFonts w:cs="Times New Roman"/>
          <w:kern w:val="0"/>
          <w:szCs w:val="20"/>
        </w:rPr>
        <w:t>C</w:t>
      </w:r>
      <w:r>
        <w:rPr>
          <w:rFonts w:cs="Times New Roman"/>
          <w:kern w:val="0"/>
          <w:szCs w:val="20"/>
          <w:vertAlign w:val="subscript"/>
        </w:rPr>
        <w:t>0</w:t>
      </w:r>
      <w:r>
        <w:rPr>
          <w:rFonts w:cs="Times New Roman"/>
          <w:kern w:val="0"/>
          <w:szCs w:val="20"/>
        </w:rPr>
        <w:t>——地下水污染源强浓度，mg/L；</w:t>
      </w:r>
    </w:p>
    <w:p>
      <w:pPr>
        <w:ind w:firstLine="1200" w:firstLineChars="500"/>
        <w:rPr>
          <w:rFonts w:cs="Times New Roman"/>
          <w:kern w:val="0"/>
          <w:szCs w:val="20"/>
        </w:rPr>
      </w:pPr>
      <w:r>
        <w:rPr>
          <w:rFonts w:cs="Times New Roman"/>
          <w:kern w:val="0"/>
          <w:szCs w:val="20"/>
        </w:rPr>
        <w:t>u——水流速度，m/d；</w:t>
      </w:r>
    </w:p>
    <w:p>
      <w:pPr>
        <w:ind w:firstLine="1200" w:firstLineChars="500"/>
        <w:rPr>
          <w:rFonts w:cs="Times New Roman"/>
          <w:kern w:val="0"/>
          <w:szCs w:val="20"/>
        </w:rPr>
      </w:pPr>
      <w:r>
        <w:rPr>
          <w:rFonts w:cs="Times New Roman"/>
          <w:kern w:val="0"/>
          <w:szCs w:val="20"/>
        </w:rPr>
        <w:t>D</w:t>
      </w:r>
      <w:r>
        <w:rPr>
          <w:rFonts w:cs="Times New Roman"/>
          <w:kern w:val="0"/>
          <w:szCs w:val="20"/>
          <w:vertAlign w:val="subscript"/>
        </w:rPr>
        <w:t>L</w:t>
      </w:r>
      <w:r>
        <w:rPr>
          <w:rFonts w:cs="Times New Roman"/>
          <w:kern w:val="0"/>
          <w:szCs w:val="20"/>
        </w:rPr>
        <w:t>——纵向弥散系数；</w:t>
      </w:r>
    </w:p>
    <w:p>
      <w:pPr>
        <w:ind w:firstLine="1200" w:firstLineChars="500"/>
        <w:rPr>
          <w:rFonts w:cs="Times New Roman"/>
          <w:kern w:val="0"/>
          <w:szCs w:val="20"/>
        </w:rPr>
      </w:pPr>
      <w:r>
        <w:rPr>
          <w:rFonts w:cs="Times New Roman"/>
          <w:kern w:val="0"/>
          <w:szCs w:val="20"/>
        </w:rPr>
        <w:t>erfc——余误差函数，可查《水文地质手册》；</w:t>
      </w:r>
    </w:p>
    <w:p>
      <w:pPr>
        <w:ind w:firstLine="1200" w:firstLineChars="500"/>
        <w:rPr>
          <w:rFonts w:cs="Times New Roman"/>
          <w:kern w:val="0"/>
        </w:rPr>
      </w:pPr>
      <w:r>
        <w:rPr>
          <w:rFonts w:eastAsia="TimesNewRomanPSMT" w:cs="Times New Roman"/>
          <w:kern w:val="0"/>
        </w:rPr>
        <w:t>K</w:t>
      </w:r>
      <w:r>
        <w:rPr>
          <w:rFonts w:cs="Times New Roman"/>
          <w:kern w:val="0"/>
          <w:szCs w:val="20"/>
        </w:rPr>
        <w:t>——</w:t>
      </w:r>
      <w:r>
        <w:rPr>
          <w:rFonts w:cs="Times New Roman"/>
          <w:kern w:val="0"/>
        </w:rPr>
        <w:t>渗透系数（</w:t>
      </w:r>
      <w:r>
        <w:rPr>
          <w:rFonts w:eastAsia="TimesNewRomanPSMT" w:cs="Times New Roman"/>
          <w:kern w:val="0"/>
        </w:rPr>
        <w:t>m/d</w:t>
      </w:r>
      <w:r>
        <w:rPr>
          <w:rFonts w:cs="Times New Roman"/>
          <w:kern w:val="0"/>
        </w:rPr>
        <w:t>）；</w:t>
      </w:r>
    </w:p>
    <w:p>
      <w:pPr>
        <w:ind w:firstLine="1200" w:firstLineChars="500"/>
        <w:rPr>
          <w:rFonts w:cs="Times New Roman"/>
          <w:kern w:val="0"/>
        </w:rPr>
      </w:pPr>
      <w:r>
        <w:rPr>
          <w:rFonts w:eastAsia="TimesNewRomanPSMT" w:cs="Times New Roman"/>
          <w:kern w:val="0"/>
        </w:rPr>
        <w:t>I</w:t>
      </w:r>
      <w:r>
        <w:rPr>
          <w:rFonts w:cs="Times New Roman"/>
          <w:kern w:val="0"/>
          <w:szCs w:val="20"/>
        </w:rPr>
        <w:t>——</w:t>
      </w:r>
      <w:r>
        <w:rPr>
          <w:rFonts w:cs="Times New Roman"/>
          <w:kern w:val="0"/>
        </w:rPr>
        <w:t>水力坡度；</w:t>
      </w:r>
    </w:p>
    <w:p>
      <w:pPr>
        <w:ind w:firstLine="1200" w:firstLineChars="500"/>
        <w:rPr>
          <w:rFonts w:cs="Times New Roman"/>
          <w:kern w:val="0"/>
          <w:szCs w:val="20"/>
        </w:rPr>
      </w:pPr>
      <w:r>
        <w:rPr>
          <w:rFonts w:eastAsia="TimesNewRomanPSMT" w:cs="Times New Roman"/>
          <w:kern w:val="0"/>
        </w:rPr>
        <w:t>a</w:t>
      </w:r>
      <w:r>
        <w:rPr>
          <w:rFonts w:eastAsia="TimesNewRomanPSMT" w:cs="Times New Roman"/>
          <w:kern w:val="0"/>
          <w:sz w:val="16"/>
          <w:szCs w:val="16"/>
        </w:rPr>
        <w:t>L</w:t>
      </w:r>
      <w:r>
        <w:rPr>
          <w:rFonts w:cs="Times New Roman"/>
          <w:kern w:val="0"/>
          <w:szCs w:val="20"/>
        </w:rPr>
        <w:t>——</w:t>
      </w:r>
      <w:r>
        <w:rPr>
          <w:rFonts w:cs="Times New Roman"/>
          <w:kern w:val="0"/>
        </w:rPr>
        <w:t>纵向弥散度（</w:t>
      </w:r>
      <w:r>
        <w:rPr>
          <w:rFonts w:eastAsia="TimesNewRomanPSMT" w:cs="Times New Roman"/>
          <w:kern w:val="0"/>
        </w:rPr>
        <w:t>m</w:t>
      </w:r>
      <w:r>
        <w:rPr>
          <w:rFonts w:cs="Times New Roman"/>
          <w:kern w:val="0"/>
        </w:rPr>
        <w:t>）</w:t>
      </w:r>
      <w:r>
        <w:rPr>
          <w:rFonts w:cs="Times New Roman"/>
          <w:kern w:val="0"/>
          <w:szCs w:val="20"/>
        </w:rPr>
        <w:t>。</w:t>
      </w:r>
    </w:p>
    <w:p>
      <w:pPr>
        <w:ind w:firstLine="480"/>
        <w:rPr>
          <w:rFonts w:cs="Times New Roman"/>
          <w:kern w:val="0"/>
          <w:lang w:val="zh-CN"/>
        </w:rPr>
      </w:pPr>
      <w:r>
        <w:rPr>
          <w:rFonts w:hint="eastAsia" w:ascii="宋体" w:hAnsi="宋体" w:cs="宋体"/>
          <w:kern w:val="0"/>
          <w:lang w:val="zh-CN"/>
        </w:rPr>
        <w:t>④</w:t>
      </w:r>
      <w:r>
        <w:rPr>
          <w:rFonts w:cs="Times New Roman"/>
          <w:kern w:val="0"/>
          <w:lang w:val="zh-CN"/>
        </w:rPr>
        <w:t>参数选取</w:t>
      </w:r>
    </w:p>
    <w:p>
      <w:pPr>
        <w:ind w:firstLine="480"/>
        <w:rPr>
          <w:rFonts w:cs="Times New Roman"/>
          <w:kern w:val="0"/>
          <w:szCs w:val="20"/>
        </w:rPr>
      </w:pPr>
      <w:r>
        <w:rPr>
          <w:rFonts w:cs="Times New Roman"/>
          <w:kern w:val="0"/>
          <w:szCs w:val="20"/>
        </w:rPr>
        <w:t>根据《岩土工程勘查报告》，评估区浅表层广泛分布第四系残坡积（Q4）层第四系红色含少量碎石的粉质粘土厚度1.1~6.0m。查阅《环境影响评价技术导则地下水环境》（HJ610-2016）中附录B渗透系数经验值表，粉质粘土渗透系数0.5m/d；孔隙度0.4，有效孔隙度约为孔隙度的20%，则有效孔隙度以0.08计；水力梯度经类比以0.005计，故项目区地下水实际流速U为0.078125m/d。</w:t>
      </w:r>
    </w:p>
    <w:p>
      <w:pPr>
        <w:ind w:firstLine="480"/>
        <w:rPr>
          <w:rFonts w:cs="Times New Roman"/>
          <w:kern w:val="0"/>
          <w:szCs w:val="20"/>
        </w:rPr>
      </w:pPr>
      <w:r>
        <w:rPr>
          <w:rFonts w:cs="Times New Roman"/>
          <w:kern w:val="0"/>
          <w:szCs w:val="20"/>
        </w:rPr>
        <w:t>注入示踪剂浓度取值来自工程分析对</w:t>
      </w:r>
      <w:r>
        <w:rPr>
          <w:rFonts w:hint="eastAsia" w:cs="Times New Roman"/>
        </w:rPr>
        <w:t>废</w:t>
      </w:r>
      <w:r>
        <w:rPr>
          <w:rFonts w:cs="Times New Roman"/>
          <w:kern w:val="0"/>
          <w:szCs w:val="20"/>
        </w:rPr>
        <w:t>水的污染物指标，具体为：挥发酚258mg/L。</w:t>
      </w:r>
    </w:p>
    <w:p>
      <w:pPr>
        <w:ind w:firstLine="480"/>
        <w:rPr>
          <w:rFonts w:cs="Times New Roman"/>
          <w:kern w:val="0"/>
          <w:szCs w:val="20"/>
        </w:rPr>
      </w:pPr>
      <w:r>
        <w:rPr>
          <w:rFonts w:cs="Times New Roman"/>
          <w:kern w:val="0"/>
          <w:szCs w:val="20"/>
        </w:rPr>
        <w:t>纵向弥散系数，按照粉质粘土的经验值取0.5</w:t>
      </w:r>
      <w:r>
        <w:rPr>
          <w:rFonts w:cs="Times New Roman"/>
        </w:rPr>
        <w:t xml:space="preserve"> </w:t>
      </w:r>
      <w:r>
        <w:rPr>
          <w:rFonts w:cs="Times New Roman"/>
          <w:kern w:val="0"/>
          <w:szCs w:val="20"/>
        </w:rPr>
        <w:t>m</w:t>
      </w:r>
      <w:r>
        <w:rPr>
          <w:rFonts w:cs="Times New Roman"/>
          <w:kern w:val="0"/>
          <w:szCs w:val="20"/>
          <w:vertAlign w:val="superscript"/>
        </w:rPr>
        <w:t>2</w:t>
      </w:r>
      <w:r>
        <w:rPr>
          <w:rFonts w:cs="Times New Roman"/>
          <w:kern w:val="0"/>
          <w:szCs w:val="20"/>
        </w:rPr>
        <w:t>/d。</w:t>
      </w:r>
    </w:p>
    <w:p>
      <w:pPr>
        <w:ind w:firstLine="480"/>
        <w:rPr>
          <w:rFonts w:cs="Times New Roman"/>
        </w:rPr>
      </w:pPr>
      <w:r>
        <w:rPr>
          <w:rFonts w:hint="eastAsia" w:ascii="宋体" w:hAnsi="宋体" w:cs="宋体"/>
        </w:rPr>
        <w:t>⑤</w:t>
      </w:r>
      <w:r>
        <w:rPr>
          <w:rFonts w:cs="Times New Roman"/>
        </w:rPr>
        <w:t>预测结果</w:t>
      </w:r>
    </w:p>
    <w:p>
      <w:pPr>
        <w:ind w:firstLine="480"/>
        <w:rPr>
          <w:rFonts w:cs="Times New Roman"/>
          <w:kern w:val="0"/>
          <w:szCs w:val="20"/>
        </w:rPr>
      </w:pPr>
      <w:r>
        <w:rPr>
          <w:rFonts w:cs="Times New Roman"/>
          <w:kern w:val="0"/>
          <w:szCs w:val="20"/>
        </w:rPr>
        <w:t>A、</w:t>
      </w:r>
      <w:r>
        <w:rPr>
          <w:rFonts w:hint="eastAsia" w:cs="Times New Roman"/>
        </w:rPr>
        <w:t>废</w:t>
      </w:r>
      <w:r>
        <w:rPr>
          <w:rFonts w:cs="Times New Roman"/>
          <w:kern w:val="0"/>
          <w:szCs w:val="20"/>
        </w:rPr>
        <w:t>水非正常排放预测结果</w:t>
      </w:r>
    </w:p>
    <w:p>
      <w:pPr>
        <w:spacing w:before="163" w:beforeLines="50"/>
        <w:ind w:firstLine="482"/>
        <w:jc w:val="center"/>
        <w:rPr>
          <w:rFonts w:cs="Times New Roman"/>
          <w:b/>
        </w:rPr>
      </w:pPr>
      <w:r>
        <w:rPr>
          <w:rFonts w:cs="Times New Roman"/>
          <w:b/>
        </w:rPr>
        <w:t xml:space="preserve">表5.2-34  </w:t>
      </w:r>
      <w:r>
        <w:rPr>
          <w:rFonts w:hint="eastAsia" w:cs="Times New Roman"/>
        </w:rPr>
        <w:t>废</w:t>
      </w:r>
      <w:r>
        <w:rPr>
          <w:rFonts w:cs="Times New Roman"/>
          <w:b/>
        </w:rPr>
        <w:t>水事故泄漏发生对下游地下水中污染物浓度贡献值变化情况表单位：mg/L</w:t>
      </w:r>
    </w:p>
    <w:tbl>
      <w:tblPr>
        <w:tblStyle w:val="45"/>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047"/>
        <w:gridCol w:w="2159"/>
        <w:gridCol w:w="2161"/>
        <w:gridCol w:w="216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vMerge w:val="restart"/>
            <w:tcBorders>
              <w:top w:val="single" w:color="auto" w:sz="4" w:space="0"/>
              <w:left w:val="single" w:color="auto" w:sz="4" w:space="0"/>
              <w:bottom w:val="single" w:color="auto" w:sz="4" w:space="0"/>
              <w:right w:val="single" w:color="auto" w:sz="4" w:space="0"/>
              <w:tl2br w:val="single" w:color="auto" w:sz="12" w:space="0"/>
            </w:tcBorders>
            <w:vAlign w:val="center"/>
          </w:tcPr>
          <w:p>
            <w:pPr>
              <w:spacing w:line="240" w:lineRule="auto"/>
              <w:ind w:firstLine="0" w:firstLineChars="0"/>
              <w:jc w:val="center"/>
              <w:rPr>
                <w:rFonts w:cs="Times New Roman"/>
                <w:b/>
                <w:kern w:val="0"/>
                <w:sz w:val="21"/>
                <w:szCs w:val="21"/>
              </w:rPr>
            </w:pPr>
            <w:r>
              <w:rPr>
                <w:rFonts w:cs="Times New Roman"/>
                <w:b/>
                <w:kern w:val="0"/>
                <w:sz w:val="21"/>
                <w:szCs w:val="21"/>
              </w:rPr>
              <w:t xml:space="preserve">        时间（d）</w:t>
            </w:r>
          </w:p>
          <w:p>
            <w:pPr>
              <w:spacing w:line="240" w:lineRule="auto"/>
              <w:ind w:firstLine="0" w:firstLineChars="0"/>
              <w:rPr>
                <w:rFonts w:cs="Times New Roman"/>
                <w:b/>
                <w:kern w:val="0"/>
                <w:sz w:val="21"/>
                <w:szCs w:val="21"/>
              </w:rPr>
            </w:pPr>
            <w:r>
              <w:rPr>
                <w:rFonts w:cs="Times New Roman"/>
                <w:b/>
                <w:kern w:val="0"/>
                <w:sz w:val="21"/>
                <w:szCs w:val="21"/>
              </w:rPr>
              <w:t>距离（m）</w:t>
            </w:r>
          </w:p>
        </w:tc>
        <w:tc>
          <w:tcPr>
            <w:tcW w:w="6481" w:type="dxa"/>
            <w:gridSpan w:val="3"/>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b/>
                <w:kern w:val="0"/>
                <w:sz w:val="21"/>
                <w:szCs w:val="21"/>
              </w:rPr>
            </w:pPr>
            <w:r>
              <w:rPr>
                <w:rFonts w:cs="Times New Roman"/>
                <w:b/>
                <w:kern w:val="0"/>
                <w:sz w:val="21"/>
                <w:szCs w:val="21"/>
              </w:rPr>
              <w:t>挥发酚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vMerge w:val="continue"/>
            <w:tcBorders>
              <w:top w:val="single" w:color="auto" w:sz="4" w:space="0"/>
              <w:left w:val="single" w:color="auto" w:sz="4" w:space="0"/>
              <w:bottom w:val="single" w:color="auto" w:sz="4" w:space="0"/>
              <w:right w:val="single" w:color="auto" w:sz="4" w:space="0"/>
              <w:tl2br w:val="single" w:color="auto" w:sz="12" w:space="0"/>
            </w:tcBorders>
            <w:vAlign w:val="center"/>
          </w:tcPr>
          <w:p>
            <w:pPr>
              <w:spacing w:line="240" w:lineRule="auto"/>
              <w:ind w:firstLine="0" w:firstLineChars="0"/>
              <w:jc w:val="center"/>
              <w:rPr>
                <w:rFonts w:cs="Times New Roman"/>
                <w:b/>
                <w:kern w:val="0"/>
                <w:sz w:val="21"/>
                <w:szCs w:val="21"/>
              </w:rPr>
            </w:pP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b/>
                <w:kern w:val="0"/>
                <w:sz w:val="21"/>
                <w:szCs w:val="21"/>
              </w:rPr>
            </w:pPr>
            <w:r>
              <w:rPr>
                <w:rFonts w:cs="Times New Roman"/>
                <w:b/>
                <w:kern w:val="0"/>
                <w:sz w:val="21"/>
                <w:szCs w:val="21"/>
              </w:rPr>
              <w:t>100d</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b/>
                <w:kern w:val="0"/>
                <w:sz w:val="21"/>
                <w:szCs w:val="21"/>
              </w:rPr>
            </w:pPr>
            <w:r>
              <w:rPr>
                <w:rFonts w:cs="Times New Roman"/>
                <w:b/>
                <w:kern w:val="0"/>
                <w:sz w:val="21"/>
                <w:szCs w:val="21"/>
              </w:rPr>
              <w:t>500d</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b/>
                <w:kern w:val="0"/>
                <w:sz w:val="21"/>
                <w:szCs w:val="21"/>
              </w:rPr>
            </w:pPr>
            <w:r>
              <w:rPr>
                <w:rFonts w:cs="Times New Roman"/>
                <w:b/>
                <w:kern w:val="0"/>
                <w:sz w:val="21"/>
                <w:szCs w:val="21"/>
              </w:rPr>
              <w:t>1000d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10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162.5971648</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266.540536</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273.8499183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50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0.005899743</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108.8976938</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240.5847395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100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1.303663898</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82.07531672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150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9.634E-05</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4.383943214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200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9.14431E-11</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0.015961797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250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7.53687E-06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300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3.15101E-10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350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400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450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500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550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600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650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700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750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800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850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900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950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1000</w:t>
            </w:r>
          </w:p>
        </w:tc>
        <w:tc>
          <w:tcPr>
            <w:tcW w:w="2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c>
          <w:tcPr>
            <w:tcW w:w="216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4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标准</w:t>
            </w:r>
          </w:p>
        </w:tc>
        <w:tc>
          <w:tcPr>
            <w:tcW w:w="6481" w:type="dxa"/>
            <w:gridSpan w:val="3"/>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0.005</w:t>
            </w:r>
          </w:p>
        </w:tc>
      </w:tr>
    </w:tbl>
    <w:p>
      <w:pPr>
        <w:ind w:firstLine="480"/>
        <w:rPr>
          <w:rFonts w:cs="Times New Roman"/>
          <w:kern w:val="0"/>
        </w:rPr>
      </w:pPr>
      <w:r>
        <w:rPr>
          <w:rFonts w:cs="Times New Roman"/>
          <w:kern w:val="0"/>
        </w:rPr>
        <w:t>从表5.2-25中可以看出，在</w:t>
      </w:r>
      <w:r>
        <w:rPr>
          <w:rFonts w:hint="eastAsia" w:cs="Times New Roman"/>
        </w:rPr>
        <w:t>废</w:t>
      </w:r>
      <w:r>
        <w:rPr>
          <w:rFonts w:cs="Times New Roman"/>
          <w:kern w:val="0"/>
        </w:rPr>
        <w:t>水池底部的防渗层出现破损或破裂，废水中挥发酚发生泄漏的非正常状况下，随着时间的增加，污染物通过防渗层发生渗漏的量会逐渐增加，渗漏进入含水层中的污染物的迁移扩散距离越来越大。1000d 后，污染物在地下水环境中的迁移扩散最大距离约为357m，且渗漏进入含水层中的迁移扩散距离还会增大，会对项目区及其下游的地下水环境造成不同程度的污染。</w:t>
      </w:r>
    </w:p>
    <w:p>
      <w:pPr>
        <w:ind w:firstLine="480"/>
        <w:rPr>
          <w:rFonts w:cs="Times New Roman"/>
          <w:kern w:val="0"/>
        </w:rPr>
      </w:pPr>
      <w:r>
        <w:rPr>
          <w:rFonts w:cs="Times New Roman"/>
          <w:kern w:val="0"/>
        </w:rPr>
        <w:t>因此，在项目建设过程中须按防渗要求做好</w:t>
      </w:r>
      <w:r>
        <w:rPr>
          <w:rFonts w:hint="eastAsia" w:cs="Times New Roman"/>
          <w:kern w:val="0"/>
        </w:rPr>
        <w:t>废水沉淀池</w:t>
      </w:r>
      <w:r>
        <w:rPr>
          <w:rFonts w:cs="Times New Roman"/>
          <w:kern w:val="0"/>
        </w:rPr>
        <w:t>、事故池、脱硫循环水池、二级絮凝沉淀池以及化粪池、生活污水处理设施、储存池等区域的防腐、防渗措施，运行期须检查防渗层等的破损、破裂情况，若发现有破损部位须及时进行修补，杜绝形成持续的污染源。</w:t>
      </w:r>
    </w:p>
    <w:p>
      <w:pPr>
        <w:pStyle w:val="69"/>
        <w:ind w:firstLine="0" w:firstLineChars="0"/>
        <w:outlineLvl w:val="3"/>
        <w:rPr>
          <w:b/>
          <w:bCs/>
        </w:rPr>
      </w:pPr>
      <w:r>
        <w:rPr>
          <w:b/>
          <w:bCs/>
        </w:rPr>
        <w:t>5.2.5.3 小结</w:t>
      </w:r>
    </w:p>
    <w:p>
      <w:pPr>
        <w:ind w:firstLine="480"/>
        <w:rPr>
          <w:rFonts w:cs="Times New Roman"/>
          <w:kern w:val="0"/>
        </w:rPr>
      </w:pPr>
      <w:r>
        <w:rPr>
          <w:rFonts w:cs="Times New Roman"/>
          <w:kern w:val="0"/>
        </w:rPr>
        <w:t>项目运行过程中对地下水环境存在潜在污染风险的区域主要为</w:t>
      </w:r>
      <w:r>
        <w:rPr>
          <w:rFonts w:hint="eastAsia" w:cs="Times New Roman"/>
          <w:kern w:val="0"/>
        </w:rPr>
        <w:t>废</w:t>
      </w:r>
      <w:r>
        <w:rPr>
          <w:rFonts w:cs="Times New Roman"/>
          <w:kern w:val="0"/>
        </w:rPr>
        <w:t>水池、</w:t>
      </w:r>
      <w:r>
        <w:rPr>
          <w:rFonts w:hint="eastAsia" w:cs="Times New Roman"/>
          <w:kern w:val="0"/>
        </w:rPr>
        <w:t>废</w:t>
      </w:r>
      <w:r>
        <w:rPr>
          <w:rFonts w:cs="Times New Roman"/>
          <w:kern w:val="0"/>
        </w:rPr>
        <w:t>水事故池、危废间、生产生活污水处理设施水池等。按照《环境影响评价技术导则-地下水环境》（HJ610-2016）中的防渗要求对厂区进行分区防渗设计，厂区做好污染防渗措施，并在运行期加强维护和管理的情况下，项目正常运行过程中产生的污废水、固废等污染物发生渗漏的可能性较小，项目建设运营对地下水环境的影响是可控的。</w:t>
      </w:r>
    </w:p>
    <w:p>
      <w:pPr>
        <w:ind w:firstLine="480"/>
        <w:rPr>
          <w:rFonts w:cs="Times New Roman"/>
          <w:kern w:val="0"/>
        </w:rPr>
      </w:pPr>
      <w:r>
        <w:rPr>
          <w:rFonts w:cs="Times New Roman"/>
          <w:kern w:val="0"/>
        </w:rPr>
        <w:t>在污水池防渗层出现破损或破裂，污染物发生渗漏的非正常状况下，随着时间的增加，污染物通过防渗层发生渗漏的量会逐渐增加，渗漏进入含水层中的污染物的迁移扩散距离越来越大。污染物运移1000d 后，污染物在地下水环境中的最大迁移扩散距离约为357m，随着时间的增加，污染物在含水层中的迁移扩散距离还会增大，会对项目区及其地下水下游的地下水环境造成不同程度的污染。在防渗层出现破损或破裂，污染物发生渗漏的非正常状况下，污染物运移1000d内，白象河水质基本不受影响。为了确保村民饮用水和用水安全及保障用水水质不降低，建设单位应做好污水池防渗措施，运行期加强维护和管理，减少污废水、固废、油类等发生渗漏或泄露的可能性，定期检修，发现泄漏及时采取补救措施。同时，加强对白象河及众拱村水质监测，发现水质异常，及时找出原因并采取补救措施，则项目的建设运行对敏感点的污染的风险是可控的。</w:t>
      </w:r>
    </w:p>
    <w:p>
      <w:pPr>
        <w:ind w:firstLine="480"/>
        <w:rPr>
          <w:rFonts w:cs="Times New Roman"/>
        </w:rPr>
      </w:pPr>
      <w:r>
        <w:rPr>
          <w:rFonts w:cs="Times New Roman"/>
          <w:kern w:val="0"/>
        </w:rPr>
        <w:t>总体来水，项目为陶瓷生产项目，项目具有完备的供水系统、循环水系统和污水处理系统。正常工况下，厂区生产水</w:t>
      </w:r>
      <w:r>
        <w:rPr>
          <w:rFonts w:hint="eastAsia" w:cs="Times New Roman"/>
          <w:kern w:val="0"/>
        </w:rPr>
        <w:t>废水</w:t>
      </w:r>
      <w:r>
        <w:rPr>
          <w:rFonts w:cs="Times New Roman"/>
          <w:kern w:val="0"/>
        </w:rPr>
        <w:t>全部循环再利用不外排，不会对地下水造成影响。但在非正常工况或者事故状态下，如</w:t>
      </w:r>
      <w:r>
        <w:rPr>
          <w:rFonts w:hint="eastAsia" w:cs="Times New Roman"/>
          <w:kern w:val="0"/>
        </w:rPr>
        <w:t>废</w:t>
      </w:r>
      <w:r>
        <w:rPr>
          <w:rFonts w:cs="Times New Roman"/>
          <w:kern w:val="0"/>
        </w:rPr>
        <w:t>水、生活污水泄漏等情况下，污染物和废水会渗入地下，对地下水造成污染。在厂区采用分区污染防渗措施、运行期加强维护、管理和对敏感点进行定期地下水监测的情况下，污废水、固废和油类发生渗漏或泄露的可行性较小，项目的建设运营对下水环境的影响是可控和可接受的。</w:t>
      </w:r>
    </w:p>
    <w:p>
      <w:pPr>
        <w:pStyle w:val="4"/>
        <w:adjustRightInd w:val="0"/>
        <w:snapToGrid w:val="0"/>
        <w:jc w:val="left"/>
        <w:rPr>
          <w:rFonts w:cs="Times New Roman"/>
          <w:szCs w:val="24"/>
        </w:rPr>
      </w:pPr>
      <w:bookmarkStart w:id="168" w:name="_Toc86611312"/>
      <w:r>
        <w:rPr>
          <w:rFonts w:cs="Times New Roman"/>
          <w:szCs w:val="24"/>
        </w:rPr>
        <w:t>5.2.6 声环境影响分析</w:t>
      </w:r>
      <w:bookmarkEnd w:id="168"/>
    </w:p>
    <w:p>
      <w:pPr>
        <w:pStyle w:val="69"/>
        <w:ind w:firstLine="0" w:firstLineChars="0"/>
        <w:outlineLvl w:val="3"/>
        <w:rPr>
          <w:b/>
          <w:bCs/>
        </w:rPr>
      </w:pPr>
      <w:r>
        <w:rPr>
          <w:b/>
          <w:bCs/>
        </w:rPr>
        <w:t>5.2.6.1 声环境现状质量及执行标准</w:t>
      </w:r>
    </w:p>
    <w:p>
      <w:pPr>
        <w:autoSpaceDE w:val="0"/>
        <w:autoSpaceDN w:val="0"/>
        <w:adjustRightInd w:val="0"/>
        <w:ind w:firstLine="480"/>
        <w:rPr>
          <w:rFonts w:cs="Times New Roman"/>
          <w:kern w:val="0"/>
        </w:rPr>
      </w:pPr>
      <w:r>
        <w:rPr>
          <w:rFonts w:cs="Times New Roman"/>
          <w:kern w:val="0"/>
        </w:rPr>
        <w:t>从项目厂址声环境质量现状监测结果来看，项目厂址所在地声环境质量满足《声环境质量标准》GB3096-2008中的3类，声环境质量较好。</w:t>
      </w:r>
    </w:p>
    <w:p>
      <w:pPr>
        <w:autoSpaceDE w:val="0"/>
        <w:autoSpaceDN w:val="0"/>
        <w:adjustRightInd w:val="0"/>
        <w:ind w:firstLine="480"/>
        <w:rPr>
          <w:rFonts w:cs="Times New Roman"/>
          <w:kern w:val="0"/>
        </w:rPr>
      </w:pPr>
      <w:r>
        <w:rPr>
          <w:rFonts w:cs="Times New Roman"/>
          <w:kern w:val="0"/>
        </w:rPr>
        <w:t>评价区居民关心点声环境执行《声环境质量标准》（GB3096-2008）3类标准。</w:t>
      </w:r>
    </w:p>
    <w:p>
      <w:pPr>
        <w:autoSpaceDE w:val="0"/>
        <w:autoSpaceDN w:val="0"/>
        <w:adjustRightInd w:val="0"/>
        <w:ind w:firstLine="480"/>
        <w:rPr>
          <w:rFonts w:cs="Times New Roman"/>
          <w:kern w:val="0"/>
        </w:rPr>
      </w:pPr>
      <w:r>
        <w:rPr>
          <w:rFonts w:cs="Times New Roman"/>
          <w:kern w:val="0"/>
        </w:rPr>
        <w:t>建设项目位于工业园区，厂址噪声排放执行GB12348-2008《工业企业厂界环境噪声排放标准》3类区标准。</w:t>
      </w:r>
    </w:p>
    <w:p>
      <w:pPr>
        <w:pStyle w:val="69"/>
        <w:ind w:firstLine="0" w:firstLineChars="0"/>
        <w:outlineLvl w:val="3"/>
        <w:rPr>
          <w:b/>
          <w:bCs/>
        </w:rPr>
      </w:pPr>
      <w:r>
        <w:rPr>
          <w:b/>
          <w:bCs/>
        </w:rPr>
        <w:t>5.2.6.2 噪声源分析</w:t>
      </w:r>
    </w:p>
    <w:p>
      <w:pPr>
        <w:ind w:firstLine="480"/>
        <w:rPr>
          <w:rFonts w:cs="Times New Roman"/>
          <w:kern w:val="0"/>
        </w:rPr>
      </w:pPr>
      <w:r>
        <w:rPr>
          <w:rFonts w:cs="Times New Roman"/>
          <w:kern w:val="0"/>
        </w:rPr>
        <w:t>本项目主要噪声源来自球磨机、釉磨机、空压机、压机等设备噪声，通过设置减振垫以及封闭厂房隔声后的具体噪声源强见表5.2-27。</w:t>
      </w:r>
    </w:p>
    <w:p>
      <w:pPr>
        <w:ind w:firstLine="480"/>
        <w:rPr>
          <w:rFonts w:cs="Times New Roman"/>
          <w:kern w:val="0"/>
        </w:rPr>
      </w:pPr>
      <w:r>
        <w:rPr>
          <w:rFonts w:cs="Times New Roman"/>
          <w:kern w:val="0"/>
        </w:rPr>
        <w:t>根据工程总体布置情况，对厂区厂界噪声和噪声分别进行预测评价。各噪声源距预测点距离见表5.2-35。</w:t>
      </w:r>
    </w:p>
    <w:p>
      <w:pPr>
        <w:pStyle w:val="14"/>
        <w:spacing w:before="163" w:beforeLines="50"/>
        <w:ind w:firstLine="420"/>
        <w:rPr>
          <w:color w:val="auto"/>
          <w:szCs w:val="24"/>
        </w:rPr>
      </w:pPr>
      <w:r>
        <w:rPr>
          <w:color w:val="auto"/>
          <w:szCs w:val="24"/>
        </w:rPr>
        <w:t>表5.2-35  项目噪声源强与厂界最近距离一览表  单位：m</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62"/>
        <w:gridCol w:w="1299"/>
        <w:gridCol w:w="1301"/>
        <w:gridCol w:w="1301"/>
        <w:gridCol w:w="1301"/>
        <w:gridCol w:w="1301"/>
        <w:gridCol w:w="1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restart"/>
            <w:vAlign w:val="center"/>
          </w:tcPr>
          <w:p>
            <w:pPr>
              <w:spacing w:line="240" w:lineRule="auto"/>
              <w:ind w:firstLine="0" w:firstLineChars="0"/>
              <w:jc w:val="center"/>
              <w:rPr>
                <w:rFonts w:cs="Times New Roman"/>
                <w:b/>
                <w:sz w:val="21"/>
                <w:szCs w:val="21"/>
              </w:rPr>
            </w:pPr>
            <w:r>
              <w:rPr>
                <w:rFonts w:cs="Times New Roman"/>
                <w:b/>
                <w:sz w:val="21"/>
                <w:szCs w:val="21"/>
              </w:rPr>
              <w:t>位置</w:t>
            </w:r>
          </w:p>
        </w:tc>
        <w:tc>
          <w:tcPr>
            <w:tcW w:w="777" w:type="pct"/>
            <w:vMerge w:val="restart"/>
            <w:vAlign w:val="center"/>
          </w:tcPr>
          <w:p>
            <w:pPr>
              <w:spacing w:line="240" w:lineRule="auto"/>
              <w:ind w:firstLine="0" w:firstLineChars="0"/>
              <w:jc w:val="center"/>
              <w:rPr>
                <w:rFonts w:cs="Times New Roman"/>
                <w:b/>
                <w:sz w:val="21"/>
                <w:szCs w:val="21"/>
              </w:rPr>
            </w:pPr>
            <w:r>
              <w:rPr>
                <w:rFonts w:cs="Times New Roman"/>
                <w:b/>
                <w:sz w:val="21"/>
                <w:szCs w:val="21"/>
              </w:rPr>
              <w:t>主机名称</w:t>
            </w:r>
          </w:p>
        </w:tc>
        <w:tc>
          <w:tcPr>
            <w:tcW w:w="3112" w:type="pct"/>
            <w:gridSpan w:val="4"/>
            <w:vAlign w:val="center"/>
          </w:tcPr>
          <w:p>
            <w:pPr>
              <w:spacing w:line="240" w:lineRule="auto"/>
              <w:ind w:firstLine="0" w:firstLineChars="0"/>
              <w:jc w:val="center"/>
              <w:rPr>
                <w:rFonts w:cs="Times New Roman"/>
                <w:b/>
                <w:sz w:val="21"/>
                <w:szCs w:val="21"/>
              </w:rPr>
            </w:pPr>
            <w:r>
              <w:rPr>
                <w:rFonts w:cs="Times New Roman"/>
                <w:b/>
                <w:sz w:val="21"/>
                <w:szCs w:val="21"/>
              </w:rPr>
              <w:t>距离预测点距离/m</w:t>
            </w:r>
          </w:p>
        </w:tc>
        <w:tc>
          <w:tcPr>
            <w:tcW w:w="775" w:type="pct"/>
            <w:vMerge w:val="restart"/>
            <w:vAlign w:val="center"/>
          </w:tcPr>
          <w:p>
            <w:pPr>
              <w:spacing w:line="240" w:lineRule="auto"/>
              <w:ind w:firstLine="0" w:firstLineChars="0"/>
              <w:jc w:val="center"/>
              <w:rPr>
                <w:rFonts w:cs="Times New Roman"/>
                <w:b/>
                <w:sz w:val="21"/>
                <w:szCs w:val="21"/>
              </w:rPr>
            </w:pPr>
            <w:r>
              <w:rPr>
                <w:rFonts w:cs="Times New Roman"/>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
                <w:sz w:val="21"/>
                <w:szCs w:val="21"/>
              </w:rPr>
            </w:pPr>
          </w:p>
        </w:tc>
        <w:tc>
          <w:tcPr>
            <w:tcW w:w="777" w:type="pct"/>
            <w:vMerge w:val="continue"/>
            <w:vAlign w:val="center"/>
          </w:tcPr>
          <w:p>
            <w:pPr>
              <w:spacing w:line="240" w:lineRule="auto"/>
              <w:ind w:firstLine="0" w:firstLineChars="0"/>
              <w:jc w:val="center"/>
              <w:rPr>
                <w:rFonts w:cs="Times New Roman"/>
                <w:b/>
                <w:sz w:val="21"/>
                <w:szCs w:val="21"/>
              </w:rPr>
            </w:pPr>
          </w:p>
        </w:tc>
        <w:tc>
          <w:tcPr>
            <w:tcW w:w="778" w:type="pct"/>
            <w:vAlign w:val="center"/>
          </w:tcPr>
          <w:p>
            <w:pPr>
              <w:spacing w:line="240" w:lineRule="auto"/>
              <w:ind w:firstLine="0" w:firstLineChars="0"/>
              <w:jc w:val="center"/>
              <w:rPr>
                <w:rFonts w:cs="Times New Roman"/>
                <w:b/>
                <w:sz w:val="21"/>
                <w:szCs w:val="21"/>
              </w:rPr>
            </w:pPr>
            <w:r>
              <w:rPr>
                <w:rFonts w:cs="Times New Roman"/>
                <w:b/>
                <w:sz w:val="21"/>
                <w:szCs w:val="21"/>
              </w:rPr>
              <w:t>东边界</w:t>
            </w:r>
          </w:p>
        </w:tc>
        <w:tc>
          <w:tcPr>
            <w:tcW w:w="778" w:type="pct"/>
            <w:vAlign w:val="center"/>
          </w:tcPr>
          <w:p>
            <w:pPr>
              <w:spacing w:line="240" w:lineRule="auto"/>
              <w:ind w:firstLine="0" w:firstLineChars="0"/>
              <w:jc w:val="center"/>
              <w:rPr>
                <w:rFonts w:cs="Times New Roman"/>
                <w:b/>
                <w:sz w:val="21"/>
                <w:szCs w:val="21"/>
              </w:rPr>
            </w:pPr>
            <w:r>
              <w:rPr>
                <w:rFonts w:cs="Times New Roman"/>
                <w:b/>
                <w:sz w:val="21"/>
                <w:szCs w:val="21"/>
              </w:rPr>
              <w:t>南边界</w:t>
            </w:r>
          </w:p>
        </w:tc>
        <w:tc>
          <w:tcPr>
            <w:tcW w:w="778" w:type="pct"/>
            <w:vAlign w:val="center"/>
          </w:tcPr>
          <w:p>
            <w:pPr>
              <w:spacing w:line="240" w:lineRule="auto"/>
              <w:ind w:firstLine="0" w:firstLineChars="0"/>
              <w:jc w:val="center"/>
              <w:rPr>
                <w:rFonts w:cs="Times New Roman"/>
                <w:b/>
                <w:sz w:val="21"/>
                <w:szCs w:val="21"/>
              </w:rPr>
            </w:pPr>
            <w:r>
              <w:rPr>
                <w:rFonts w:cs="Times New Roman"/>
                <w:b/>
                <w:sz w:val="21"/>
                <w:szCs w:val="21"/>
              </w:rPr>
              <w:t>西边界</w:t>
            </w:r>
          </w:p>
        </w:tc>
        <w:tc>
          <w:tcPr>
            <w:tcW w:w="778" w:type="pct"/>
            <w:vAlign w:val="center"/>
          </w:tcPr>
          <w:p>
            <w:pPr>
              <w:spacing w:line="240" w:lineRule="auto"/>
              <w:ind w:firstLine="0" w:firstLineChars="0"/>
              <w:jc w:val="center"/>
              <w:rPr>
                <w:rFonts w:cs="Times New Roman"/>
                <w:b/>
                <w:sz w:val="21"/>
                <w:szCs w:val="21"/>
              </w:rPr>
            </w:pPr>
            <w:r>
              <w:rPr>
                <w:rFonts w:cs="Times New Roman"/>
                <w:b/>
                <w:sz w:val="21"/>
                <w:szCs w:val="21"/>
              </w:rPr>
              <w:t>北边界</w:t>
            </w:r>
          </w:p>
        </w:tc>
        <w:tc>
          <w:tcPr>
            <w:tcW w:w="775" w:type="pct"/>
            <w:vMerge w:val="continue"/>
            <w:vAlign w:val="center"/>
          </w:tcPr>
          <w:p>
            <w:pPr>
              <w:spacing w:line="240" w:lineRule="auto"/>
              <w:ind w:firstLine="0" w:firstLineChars="0"/>
              <w:jc w:val="center"/>
              <w:rPr>
                <w:rFonts w:cs="Times New Roman"/>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煤制</w:t>
            </w:r>
          </w:p>
          <w:p>
            <w:pPr>
              <w:spacing w:line="240" w:lineRule="auto"/>
              <w:ind w:firstLine="0" w:firstLineChars="0"/>
              <w:jc w:val="center"/>
              <w:rPr>
                <w:rFonts w:cs="Times New Roman"/>
                <w:bCs/>
                <w:sz w:val="21"/>
                <w:szCs w:val="21"/>
              </w:rPr>
            </w:pPr>
            <w:r>
              <w:rPr>
                <w:rFonts w:cs="Times New Roman"/>
                <w:bCs/>
                <w:sz w:val="21"/>
                <w:szCs w:val="21"/>
              </w:rPr>
              <w:t>气车</w:t>
            </w:r>
          </w:p>
          <w:p>
            <w:pPr>
              <w:spacing w:line="240" w:lineRule="auto"/>
              <w:ind w:firstLine="0" w:firstLineChars="0"/>
              <w:jc w:val="center"/>
              <w:rPr>
                <w:rFonts w:cs="Times New Roman"/>
                <w:bCs/>
                <w:sz w:val="21"/>
                <w:szCs w:val="21"/>
              </w:rPr>
            </w:pPr>
            <w:r>
              <w:rPr>
                <w:rFonts w:cs="Times New Roman"/>
                <w:bCs/>
                <w:sz w:val="21"/>
                <w:szCs w:val="21"/>
              </w:rPr>
              <w:t>间</w:t>
            </w: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鼓风机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36</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1645</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710</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水泵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108</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36</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1647</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710</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加压风机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104</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37</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1651</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709</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管道泵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108</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1647</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707</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破碎机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109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34</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1646</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712</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高压抽风机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104</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1651</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714</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风选机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34</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1643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712</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脉冲风机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114</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1641</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713</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罗茨风机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36</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1643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710</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预处</w:t>
            </w:r>
          </w:p>
          <w:p>
            <w:pPr>
              <w:spacing w:line="240" w:lineRule="auto"/>
              <w:ind w:firstLine="0" w:firstLineChars="0"/>
              <w:jc w:val="center"/>
              <w:rPr>
                <w:rFonts w:cs="Times New Roman"/>
                <w:bCs/>
                <w:sz w:val="21"/>
                <w:szCs w:val="21"/>
              </w:rPr>
            </w:pPr>
            <w:r>
              <w:rPr>
                <w:rFonts w:cs="Times New Roman"/>
                <w:bCs/>
                <w:sz w:val="21"/>
                <w:szCs w:val="21"/>
              </w:rPr>
              <w:t>理车</w:t>
            </w:r>
          </w:p>
          <w:p>
            <w:pPr>
              <w:spacing w:line="240" w:lineRule="auto"/>
              <w:ind w:firstLine="0" w:firstLineChars="0"/>
              <w:jc w:val="center"/>
              <w:rPr>
                <w:rFonts w:cs="Times New Roman"/>
                <w:bCs/>
                <w:sz w:val="21"/>
                <w:szCs w:val="21"/>
              </w:rPr>
            </w:pPr>
            <w:r>
              <w:rPr>
                <w:rFonts w:cs="Times New Roman"/>
                <w:bCs/>
                <w:sz w:val="21"/>
                <w:szCs w:val="21"/>
              </w:rPr>
              <w:t>间</w:t>
            </w: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颚式破碎机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598</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1157</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694</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圆锥破</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590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109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1165</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637</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振动筛</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592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114</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1163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632</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柱塞泵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592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127</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1163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619</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制浆</w:t>
            </w:r>
          </w:p>
          <w:p>
            <w:pPr>
              <w:spacing w:line="240" w:lineRule="auto"/>
              <w:ind w:firstLine="0" w:firstLineChars="0"/>
              <w:jc w:val="center"/>
              <w:rPr>
                <w:rFonts w:cs="Times New Roman"/>
                <w:bCs/>
                <w:sz w:val="21"/>
                <w:szCs w:val="21"/>
              </w:rPr>
            </w:pPr>
            <w:r>
              <w:rPr>
                <w:rFonts w:cs="Times New Roman"/>
                <w:bCs/>
                <w:sz w:val="21"/>
                <w:szCs w:val="21"/>
              </w:rPr>
              <w:t>车间</w:t>
            </w: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球磨机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298</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116</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1457</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630</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柱塞泵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236</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120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1519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626</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泥浆泵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256</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111</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1499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635</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制粉</w:t>
            </w:r>
          </w:p>
          <w:p>
            <w:pPr>
              <w:spacing w:line="240" w:lineRule="auto"/>
              <w:ind w:firstLine="0" w:firstLineChars="0"/>
              <w:jc w:val="center"/>
              <w:rPr>
                <w:rFonts w:cs="Times New Roman"/>
                <w:bCs/>
                <w:sz w:val="21"/>
                <w:szCs w:val="21"/>
              </w:rPr>
            </w:pPr>
            <w:r>
              <w:rPr>
                <w:rFonts w:cs="Times New Roman"/>
                <w:bCs/>
                <w:sz w:val="21"/>
                <w:szCs w:val="21"/>
              </w:rPr>
              <w:t>车间</w:t>
            </w: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617</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85</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1138</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661</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螺杆泵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703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296</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1052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450</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泥浆泵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659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439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1096</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307</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原料</w:t>
            </w:r>
          </w:p>
          <w:p>
            <w:pPr>
              <w:spacing w:line="240" w:lineRule="auto"/>
              <w:ind w:firstLine="0" w:firstLineChars="0"/>
              <w:jc w:val="center"/>
              <w:rPr>
                <w:rFonts w:cs="Times New Roman"/>
                <w:bCs/>
                <w:sz w:val="21"/>
                <w:szCs w:val="21"/>
              </w:rPr>
            </w:pPr>
            <w:r>
              <w:rPr>
                <w:rFonts w:cs="Times New Roman"/>
                <w:bCs/>
                <w:sz w:val="21"/>
                <w:szCs w:val="21"/>
              </w:rPr>
              <w:t>车间</w:t>
            </w:r>
          </w:p>
          <w:p>
            <w:pPr>
              <w:spacing w:line="240" w:lineRule="auto"/>
              <w:ind w:firstLine="0" w:firstLineChars="0"/>
              <w:jc w:val="center"/>
              <w:rPr>
                <w:rFonts w:cs="Times New Roman"/>
                <w:bCs/>
                <w:sz w:val="21"/>
                <w:szCs w:val="21"/>
              </w:rPr>
            </w:pPr>
            <w:r>
              <w:rPr>
                <w:rFonts w:cs="Times New Roman"/>
                <w:bCs/>
                <w:sz w:val="21"/>
                <w:szCs w:val="21"/>
              </w:rPr>
              <w:t>环保</w:t>
            </w:r>
          </w:p>
          <w:p>
            <w:pPr>
              <w:spacing w:line="240" w:lineRule="auto"/>
              <w:ind w:firstLine="0" w:firstLineChars="0"/>
              <w:jc w:val="center"/>
              <w:rPr>
                <w:rFonts w:cs="Times New Roman"/>
                <w:bCs/>
                <w:sz w:val="21"/>
                <w:szCs w:val="21"/>
              </w:rPr>
            </w:pPr>
            <w:r>
              <w:rPr>
                <w:rFonts w:cs="Times New Roman"/>
                <w:bCs/>
                <w:sz w:val="21"/>
                <w:szCs w:val="21"/>
              </w:rPr>
              <w:t>系统</w:t>
            </w: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罗茨风机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563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179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1192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567</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水泵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691</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397</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1064</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349</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柱塞泵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664</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103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1091</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643</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窑炉</w:t>
            </w:r>
          </w:p>
          <w:p>
            <w:pPr>
              <w:spacing w:line="240" w:lineRule="auto"/>
              <w:ind w:firstLine="0" w:firstLineChars="0"/>
              <w:jc w:val="center"/>
              <w:rPr>
                <w:rFonts w:cs="Times New Roman"/>
                <w:bCs/>
                <w:sz w:val="21"/>
                <w:szCs w:val="21"/>
              </w:rPr>
            </w:pPr>
            <w:r>
              <w:rPr>
                <w:rFonts w:cs="Times New Roman"/>
                <w:bCs/>
                <w:sz w:val="21"/>
                <w:szCs w:val="21"/>
              </w:rPr>
              <w:t>烟气</w:t>
            </w:r>
          </w:p>
          <w:p>
            <w:pPr>
              <w:spacing w:line="240" w:lineRule="auto"/>
              <w:ind w:firstLine="0" w:firstLineChars="0"/>
              <w:jc w:val="center"/>
              <w:rPr>
                <w:rFonts w:cs="Times New Roman"/>
                <w:bCs/>
                <w:sz w:val="21"/>
                <w:szCs w:val="21"/>
              </w:rPr>
            </w:pPr>
            <w:r>
              <w:rPr>
                <w:rFonts w:cs="Times New Roman"/>
                <w:bCs/>
                <w:sz w:val="21"/>
                <w:szCs w:val="21"/>
              </w:rPr>
              <w:t>处理</w:t>
            </w:r>
          </w:p>
          <w:p>
            <w:pPr>
              <w:spacing w:line="240" w:lineRule="auto"/>
              <w:ind w:firstLine="0" w:firstLineChars="0"/>
              <w:jc w:val="center"/>
              <w:rPr>
                <w:rFonts w:cs="Times New Roman"/>
                <w:bCs/>
                <w:sz w:val="21"/>
                <w:szCs w:val="21"/>
              </w:rPr>
            </w:pPr>
            <w:r>
              <w:rPr>
                <w:rFonts w:cs="Times New Roman"/>
                <w:bCs/>
                <w:sz w:val="21"/>
                <w:szCs w:val="21"/>
              </w:rPr>
              <w:t>系统</w:t>
            </w: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水泵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780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539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975</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207</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罗茨风机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767</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545</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988</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201</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柱塞泵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760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561</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995</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185</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制造</w:t>
            </w:r>
          </w:p>
          <w:p>
            <w:pPr>
              <w:spacing w:line="240" w:lineRule="auto"/>
              <w:ind w:firstLine="0" w:firstLineChars="0"/>
              <w:jc w:val="center"/>
              <w:rPr>
                <w:rFonts w:cs="Times New Roman"/>
                <w:bCs/>
                <w:sz w:val="21"/>
                <w:szCs w:val="21"/>
              </w:rPr>
            </w:pPr>
            <w:r>
              <w:rPr>
                <w:rFonts w:cs="Times New Roman"/>
                <w:bCs/>
                <w:sz w:val="21"/>
                <w:szCs w:val="21"/>
              </w:rPr>
              <w:t>车间</w:t>
            </w: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322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263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1433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483</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抽釉泵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310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420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1445</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326</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抛光</w:t>
            </w:r>
          </w:p>
          <w:p>
            <w:pPr>
              <w:spacing w:line="240" w:lineRule="auto"/>
              <w:ind w:firstLine="0" w:firstLineChars="0"/>
              <w:jc w:val="center"/>
              <w:rPr>
                <w:rFonts w:cs="Times New Roman"/>
                <w:bCs/>
                <w:sz w:val="21"/>
                <w:szCs w:val="21"/>
              </w:rPr>
            </w:pPr>
            <w:r>
              <w:rPr>
                <w:rFonts w:cs="Times New Roman"/>
                <w:bCs/>
                <w:sz w:val="21"/>
                <w:szCs w:val="21"/>
              </w:rPr>
              <w:t>车间</w:t>
            </w: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抛光机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545</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540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1210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206</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瓷片切割机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758</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575</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997</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171</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烟气</w:t>
            </w:r>
          </w:p>
          <w:p>
            <w:pPr>
              <w:spacing w:line="240" w:lineRule="auto"/>
              <w:ind w:firstLine="0" w:firstLineChars="0"/>
              <w:jc w:val="center"/>
              <w:rPr>
                <w:rFonts w:cs="Times New Roman"/>
                <w:bCs/>
                <w:sz w:val="21"/>
                <w:szCs w:val="21"/>
              </w:rPr>
            </w:pPr>
            <w:r>
              <w:rPr>
                <w:rFonts w:cs="Times New Roman"/>
                <w:bCs/>
                <w:sz w:val="21"/>
                <w:szCs w:val="21"/>
              </w:rPr>
              <w:t>处理</w:t>
            </w: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罗茨风机</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446</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392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1309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354</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柱塞泵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622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259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1133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487</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restart"/>
            <w:vAlign w:val="center"/>
          </w:tcPr>
          <w:p>
            <w:pPr>
              <w:spacing w:line="240" w:lineRule="auto"/>
              <w:ind w:firstLine="0" w:firstLineChars="0"/>
              <w:jc w:val="center"/>
              <w:rPr>
                <w:rFonts w:cs="Times New Roman"/>
                <w:bCs/>
                <w:sz w:val="21"/>
                <w:szCs w:val="21"/>
              </w:rPr>
            </w:pPr>
            <w:r>
              <w:rPr>
                <w:rFonts w:cs="Times New Roman"/>
                <w:bCs/>
                <w:sz w:val="21"/>
                <w:szCs w:val="21"/>
              </w:rPr>
              <w:t>循环</w:t>
            </w:r>
          </w:p>
          <w:p>
            <w:pPr>
              <w:spacing w:line="240" w:lineRule="auto"/>
              <w:ind w:firstLine="0" w:firstLineChars="0"/>
              <w:jc w:val="center"/>
              <w:rPr>
                <w:rFonts w:cs="Times New Roman"/>
                <w:bCs/>
                <w:sz w:val="21"/>
                <w:szCs w:val="21"/>
              </w:rPr>
            </w:pPr>
            <w:r>
              <w:rPr>
                <w:rFonts w:cs="Times New Roman"/>
                <w:bCs/>
                <w:sz w:val="21"/>
                <w:szCs w:val="21"/>
              </w:rPr>
              <w:t>水处</w:t>
            </w:r>
          </w:p>
          <w:p>
            <w:pPr>
              <w:spacing w:line="240" w:lineRule="auto"/>
              <w:ind w:firstLine="0" w:firstLineChars="0"/>
              <w:jc w:val="center"/>
              <w:rPr>
                <w:rFonts w:cs="Times New Roman"/>
                <w:bCs/>
                <w:sz w:val="21"/>
                <w:szCs w:val="21"/>
              </w:rPr>
            </w:pPr>
            <w:r>
              <w:rPr>
                <w:rFonts w:cs="Times New Roman"/>
                <w:bCs/>
                <w:sz w:val="21"/>
                <w:szCs w:val="21"/>
              </w:rPr>
              <w:t>理</w:t>
            </w: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污水泵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532</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571</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1223</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175</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抽沙泵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790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479</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965</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267</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36" w:type="pct"/>
            <w:vMerge w:val="continue"/>
            <w:vAlign w:val="center"/>
          </w:tcPr>
          <w:p>
            <w:pPr>
              <w:spacing w:line="240" w:lineRule="auto"/>
              <w:ind w:firstLine="0" w:firstLineChars="0"/>
              <w:jc w:val="center"/>
              <w:rPr>
                <w:rFonts w:cs="Times New Roman"/>
                <w:bCs/>
                <w:sz w:val="21"/>
                <w:szCs w:val="21"/>
              </w:rPr>
            </w:pPr>
          </w:p>
        </w:tc>
        <w:tc>
          <w:tcPr>
            <w:tcW w:w="777" w:type="pct"/>
            <w:vAlign w:val="center"/>
          </w:tcPr>
          <w:p>
            <w:pPr>
              <w:spacing w:line="240" w:lineRule="auto"/>
              <w:ind w:firstLine="0" w:firstLineChars="0"/>
              <w:jc w:val="center"/>
              <w:rPr>
                <w:rFonts w:cs="Times New Roman"/>
                <w:bCs/>
                <w:sz w:val="21"/>
                <w:szCs w:val="21"/>
              </w:rPr>
            </w:pPr>
            <w:r>
              <w:rPr>
                <w:rFonts w:cs="Times New Roman"/>
                <w:bCs/>
                <w:sz w:val="21"/>
                <w:szCs w:val="21"/>
              </w:rPr>
              <w:t>抽水泵</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625</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600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1130</w:t>
            </w:r>
          </w:p>
        </w:tc>
        <w:tc>
          <w:tcPr>
            <w:tcW w:w="778" w:type="pct"/>
            <w:vAlign w:val="center"/>
          </w:tcPr>
          <w:p>
            <w:pPr>
              <w:spacing w:line="240" w:lineRule="auto"/>
              <w:ind w:firstLine="0" w:firstLineChars="0"/>
              <w:jc w:val="center"/>
              <w:rPr>
                <w:rFonts w:cs="Times New Roman"/>
                <w:bCs/>
                <w:sz w:val="21"/>
                <w:szCs w:val="21"/>
              </w:rPr>
            </w:pPr>
            <w:r>
              <w:rPr>
                <w:rFonts w:cs="Times New Roman"/>
                <w:bCs/>
                <w:sz w:val="21"/>
                <w:szCs w:val="21"/>
              </w:rPr>
              <w:t>146</w:t>
            </w:r>
          </w:p>
        </w:tc>
        <w:tc>
          <w:tcPr>
            <w:tcW w:w="775" w:type="pct"/>
            <w:vAlign w:val="center"/>
          </w:tcPr>
          <w:p>
            <w:pPr>
              <w:spacing w:line="240" w:lineRule="auto"/>
              <w:ind w:firstLine="0" w:firstLineChars="0"/>
              <w:jc w:val="center"/>
              <w:rPr>
                <w:rFonts w:cs="Times New Roman"/>
                <w:bCs/>
                <w:sz w:val="21"/>
                <w:szCs w:val="21"/>
              </w:rPr>
            </w:pPr>
            <w:r>
              <w:rPr>
                <w:rFonts w:cs="Times New Roman"/>
                <w:bCs/>
                <w:sz w:val="21"/>
                <w:szCs w:val="21"/>
              </w:rPr>
              <w:t>连续</w:t>
            </w:r>
          </w:p>
        </w:tc>
      </w:tr>
    </w:tbl>
    <w:p>
      <w:pPr>
        <w:pStyle w:val="69"/>
        <w:ind w:firstLine="0" w:firstLineChars="0"/>
        <w:outlineLvl w:val="3"/>
        <w:rPr>
          <w:b/>
        </w:rPr>
      </w:pPr>
      <w:r>
        <w:rPr>
          <w:b/>
          <w:bCs/>
        </w:rPr>
        <w:t>5.2.6.3 预测模式</w:t>
      </w:r>
    </w:p>
    <w:p>
      <w:pPr>
        <w:ind w:firstLine="480"/>
        <w:rPr>
          <w:rFonts w:cs="Times New Roman"/>
        </w:rPr>
      </w:pPr>
      <w:r>
        <w:rPr>
          <w:rFonts w:cs="Times New Roman"/>
        </w:rPr>
        <w:t>运营期噪声源主要为机械设备噪声，机械噪声声源较集中，相对呈点声源，因此，采用点声源距离衰减模式进行预测评价。根据《环境影响评价技术导则声环境》（HJ2.4-2009），处于半自由空间的无指向性点源几何发散衰减按下列公式计算：</w:t>
      </w:r>
    </w:p>
    <w:p>
      <w:pPr>
        <w:ind w:firstLine="480"/>
        <w:jc w:val="center"/>
        <w:rPr>
          <w:rFonts w:cs="Times New Roman"/>
        </w:rPr>
      </w:pPr>
      <w:r>
        <w:rPr>
          <w:rFonts w:cs="Times New Roman"/>
        </w:rPr>
        <w:drawing>
          <wp:inline distT="0" distB="0" distL="0" distR="0">
            <wp:extent cx="2533650" cy="295275"/>
            <wp:effectExtent l="19050" t="0" r="0" b="0"/>
            <wp:docPr id="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8"/>
                    <pic:cNvPicPr>
                      <a:picLocks noChangeAspect="1" noChangeArrowheads="1"/>
                    </pic:cNvPicPr>
                  </pic:nvPicPr>
                  <pic:blipFill>
                    <a:blip r:embed="rId97"/>
                    <a:srcRect/>
                    <a:stretch>
                      <a:fillRect/>
                    </a:stretch>
                  </pic:blipFill>
                  <pic:spPr>
                    <a:xfrm>
                      <a:off x="0" y="0"/>
                      <a:ext cx="2533650" cy="295275"/>
                    </a:xfrm>
                    <a:prstGeom prst="rect">
                      <a:avLst/>
                    </a:prstGeom>
                    <a:noFill/>
                    <a:ln w="9525">
                      <a:noFill/>
                      <a:miter lim="800000"/>
                      <a:headEnd/>
                      <a:tailEnd/>
                    </a:ln>
                  </pic:spPr>
                </pic:pic>
              </a:graphicData>
            </a:graphic>
          </wp:inline>
        </w:drawing>
      </w:r>
    </w:p>
    <w:p>
      <w:pPr>
        <w:ind w:firstLine="480"/>
        <w:rPr>
          <w:rFonts w:cs="Times New Roman"/>
        </w:rPr>
      </w:pPr>
      <w:r>
        <w:rPr>
          <w:rFonts w:cs="Times New Roman"/>
        </w:rPr>
        <w:t>式中：</w:t>
      </w:r>
    </w:p>
    <w:p>
      <w:pPr>
        <w:ind w:firstLine="1200" w:firstLineChars="500"/>
        <w:rPr>
          <w:rFonts w:cs="Times New Roman"/>
        </w:rPr>
      </w:pPr>
      <w:r>
        <w:rPr>
          <w:rFonts w:cs="Times New Roman"/>
        </w:rPr>
        <w:t>L</w:t>
      </w:r>
      <w:r>
        <w:rPr>
          <w:rFonts w:cs="Times New Roman"/>
          <w:vertAlign w:val="subscript"/>
        </w:rPr>
        <w:t>p(r)</w:t>
      </w:r>
      <w:r>
        <w:rPr>
          <w:rFonts w:cs="Times New Roman"/>
        </w:rPr>
        <w:t>—噪声源在预测点产生的声级，dB（A）；</w:t>
      </w:r>
    </w:p>
    <w:p>
      <w:pPr>
        <w:ind w:firstLine="1200" w:firstLineChars="500"/>
        <w:rPr>
          <w:rFonts w:cs="Times New Roman"/>
        </w:rPr>
      </w:pPr>
      <w:r>
        <w:rPr>
          <w:rFonts w:cs="Times New Roman"/>
        </w:rPr>
        <w:t>L</w:t>
      </w:r>
      <w:r>
        <w:rPr>
          <w:rFonts w:cs="Times New Roman"/>
          <w:vertAlign w:val="subscript"/>
        </w:rPr>
        <w:t>p(r0)</w:t>
      </w:r>
      <w:r>
        <w:rPr>
          <w:rFonts w:cs="Times New Roman"/>
        </w:rPr>
        <w:t>—参考位置r</w:t>
      </w:r>
      <w:r>
        <w:rPr>
          <w:rFonts w:cs="Times New Roman"/>
          <w:vertAlign w:val="subscript"/>
        </w:rPr>
        <w:t>0</w:t>
      </w:r>
      <w:r>
        <w:rPr>
          <w:rFonts w:cs="Times New Roman"/>
        </w:rPr>
        <w:t>处的声压级，dB（A）；</w:t>
      </w:r>
    </w:p>
    <w:p>
      <w:pPr>
        <w:ind w:firstLine="1200" w:firstLineChars="500"/>
        <w:rPr>
          <w:rFonts w:cs="Times New Roman"/>
        </w:rPr>
      </w:pPr>
      <w:r>
        <w:rPr>
          <w:rFonts w:cs="Times New Roman"/>
        </w:rPr>
        <w:t>r</w:t>
      </w:r>
      <w:r>
        <w:rPr>
          <w:rFonts w:cs="Times New Roman"/>
          <w:vertAlign w:val="subscript"/>
        </w:rPr>
        <w:t>0</w:t>
      </w:r>
      <w:r>
        <w:rPr>
          <w:rFonts w:cs="Times New Roman"/>
        </w:rPr>
        <w:t>—参考位置距声源中心的距离，m；</w:t>
      </w:r>
    </w:p>
    <w:p>
      <w:pPr>
        <w:ind w:firstLine="1200" w:firstLineChars="500"/>
        <w:rPr>
          <w:rFonts w:cs="Times New Roman"/>
        </w:rPr>
      </w:pPr>
      <w:r>
        <w:rPr>
          <w:rFonts w:cs="Times New Roman"/>
        </w:rPr>
        <w:t>r—声源中心至预测点的距离，m；</w:t>
      </w:r>
    </w:p>
    <w:p>
      <w:pPr>
        <w:ind w:firstLine="480"/>
        <w:rPr>
          <w:rFonts w:cs="Times New Roman"/>
        </w:rPr>
      </w:pPr>
      <w:r>
        <w:rPr>
          <w:rFonts w:hint="eastAsia" w:ascii="宋体" w:hAnsi="宋体" w:cs="宋体"/>
        </w:rPr>
        <w:t>△</w:t>
      </w:r>
      <w:r>
        <w:rPr>
          <w:rFonts w:cs="Times New Roman"/>
        </w:rPr>
        <w:t>L</w:t>
      </w:r>
      <w:r>
        <w:rPr>
          <w:rFonts w:cs="Times New Roman"/>
          <w:vertAlign w:val="subscript"/>
        </w:rPr>
        <w:t>A</w:t>
      </w:r>
      <w:r>
        <w:rPr>
          <w:rFonts w:cs="Times New Roman"/>
        </w:rPr>
        <w:t>—各种因数引起的衰减量，dB（A）。附加衰减量包括声屏障、遮挡物、空气吸收、地面效应等引起的衰减量，本次估算只考虑建筑遮挡引起的衰减。</w:t>
      </w:r>
    </w:p>
    <w:p>
      <w:pPr>
        <w:ind w:firstLine="480"/>
        <w:rPr>
          <w:rFonts w:cs="Times New Roman"/>
        </w:rPr>
      </w:pPr>
      <w:r>
        <w:rPr>
          <w:rFonts w:cs="Times New Roman"/>
        </w:rPr>
        <w:t>各受声点的声源叠加按下列公式计算：</w:t>
      </w:r>
    </w:p>
    <w:p>
      <w:pPr>
        <w:ind w:firstLine="480"/>
        <w:jc w:val="center"/>
        <w:rPr>
          <w:rFonts w:cs="Times New Roman"/>
        </w:rPr>
      </w:pPr>
      <w:r>
        <w:rPr>
          <w:rFonts w:cs="Times New Roman"/>
        </w:rPr>
        <w:drawing>
          <wp:inline distT="0" distB="0" distL="0" distR="0">
            <wp:extent cx="1924050" cy="447675"/>
            <wp:effectExtent l="19050" t="0" r="0" b="0"/>
            <wp:docPr id="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pic:cNvPicPr>
                      <a:picLocks noChangeAspect="1" noChangeArrowheads="1"/>
                    </pic:cNvPicPr>
                  </pic:nvPicPr>
                  <pic:blipFill>
                    <a:blip r:embed="rId98"/>
                    <a:srcRect/>
                    <a:stretch>
                      <a:fillRect/>
                    </a:stretch>
                  </pic:blipFill>
                  <pic:spPr>
                    <a:xfrm>
                      <a:off x="0" y="0"/>
                      <a:ext cx="1924050" cy="447675"/>
                    </a:xfrm>
                    <a:prstGeom prst="rect">
                      <a:avLst/>
                    </a:prstGeom>
                    <a:noFill/>
                    <a:ln w="9525">
                      <a:noFill/>
                      <a:miter lim="800000"/>
                      <a:headEnd/>
                      <a:tailEnd/>
                    </a:ln>
                  </pic:spPr>
                </pic:pic>
              </a:graphicData>
            </a:graphic>
          </wp:inline>
        </w:drawing>
      </w:r>
    </w:p>
    <w:p>
      <w:pPr>
        <w:ind w:firstLine="480"/>
        <w:rPr>
          <w:rFonts w:cs="Times New Roman"/>
        </w:rPr>
      </w:pPr>
      <w:r>
        <w:rPr>
          <w:rFonts w:cs="Times New Roman"/>
        </w:rPr>
        <w:t>式中：</w:t>
      </w:r>
    </w:p>
    <w:p>
      <w:pPr>
        <w:ind w:firstLine="1200" w:firstLineChars="500"/>
        <w:rPr>
          <w:rFonts w:cs="Times New Roman"/>
        </w:rPr>
      </w:pPr>
      <w:r>
        <w:rPr>
          <w:rFonts w:cs="Times New Roman"/>
        </w:rPr>
        <w:t>L</w:t>
      </w:r>
      <w:r>
        <w:rPr>
          <w:rFonts w:cs="Times New Roman"/>
          <w:vertAlign w:val="subscript"/>
        </w:rPr>
        <w:t>eqs</w:t>
      </w:r>
      <w:r>
        <w:rPr>
          <w:rFonts w:cs="Times New Roman"/>
        </w:rPr>
        <w:t>—预测点处的等效声级，dB（A）；</w:t>
      </w:r>
    </w:p>
    <w:p>
      <w:pPr>
        <w:ind w:firstLine="1200" w:firstLineChars="500"/>
        <w:rPr>
          <w:rFonts w:cs="Times New Roman"/>
        </w:rPr>
      </w:pPr>
      <w:r>
        <w:rPr>
          <w:rFonts w:cs="Times New Roman"/>
        </w:rPr>
        <w:t>L</w:t>
      </w:r>
      <w:r>
        <w:rPr>
          <w:rFonts w:cs="Times New Roman"/>
          <w:vertAlign w:val="subscript"/>
        </w:rPr>
        <w:t>p(r0)</w:t>
      </w:r>
      <w:r>
        <w:rPr>
          <w:rFonts w:cs="Times New Roman"/>
        </w:rPr>
        <w:t>—第i个点声源对预测点的等效声级，dB（A）；</w:t>
      </w:r>
    </w:p>
    <w:p>
      <w:pPr>
        <w:ind w:firstLine="1200" w:firstLineChars="500"/>
        <w:rPr>
          <w:rFonts w:cs="Times New Roman"/>
        </w:rPr>
      </w:pPr>
      <w:r>
        <w:rPr>
          <w:rFonts w:cs="Times New Roman"/>
        </w:rPr>
        <w:t>n—声源个数。</w:t>
      </w:r>
    </w:p>
    <w:p>
      <w:pPr>
        <w:pStyle w:val="69"/>
        <w:ind w:firstLine="0" w:firstLineChars="0"/>
        <w:outlineLvl w:val="3"/>
        <w:rPr>
          <w:b/>
          <w:bCs/>
        </w:rPr>
      </w:pPr>
      <w:r>
        <w:rPr>
          <w:b/>
          <w:bCs/>
        </w:rPr>
        <w:t>5.2.6.4 预测结果</w:t>
      </w:r>
    </w:p>
    <w:p>
      <w:pPr>
        <w:ind w:firstLine="480"/>
        <w:rPr>
          <w:rFonts w:cs="Times New Roman"/>
        </w:rPr>
      </w:pPr>
      <w:r>
        <w:rPr>
          <w:rFonts w:cs="Times New Roman"/>
          <w:kern w:val="0"/>
        </w:rPr>
        <w:t>根据以上模式，运行期预测</w:t>
      </w:r>
      <w:r>
        <w:rPr>
          <w:rFonts w:cs="Times New Roman"/>
        </w:rPr>
        <w:t>结果见表5.2-36。</w:t>
      </w:r>
    </w:p>
    <w:p>
      <w:pPr>
        <w:pStyle w:val="14"/>
        <w:spacing w:before="163" w:beforeLines="50"/>
        <w:ind w:firstLine="420"/>
        <w:rPr>
          <w:color w:val="auto"/>
          <w:szCs w:val="24"/>
        </w:rPr>
      </w:pPr>
      <w:r>
        <w:rPr>
          <w:color w:val="auto"/>
          <w:szCs w:val="24"/>
        </w:rPr>
        <w:t>表5.2-36  厂界噪声预测结果一览表  单位：dB（A）</w:t>
      </w:r>
    </w:p>
    <w:tbl>
      <w:tblPr>
        <w:tblStyle w:val="45"/>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66"/>
        <w:gridCol w:w="1066"/>
        <w:gridCol w:w="1066"/>
        <w:gridCol w:w="1066"/>
        <w:gridCol w:w="1066"/>
        <w:gridCol w:w="1066"/>
        <w:gridCol w:w="1066"/>
        <w:gridCol w:w="10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66" w:type="dxa"/>
            <w:vMerge w:val="restart"/>
            <w:vAlign w:val="center"/>
          </w:tcPr>
          <w:p>
            <w:pPr>
              <w:spacing w:line="240" w:lineRule="auto"/>
              <w:ind w:firstLine="0" w:firstLineChars="0"/>
              <w:jc w:val="center"/>
              <w:rPr>
                <w:b/>
                <w:sz w:val="21"/>
                <w:szCs w:val="21"/>
              </w:rPr>
            </w:pPr>
            <w:r>
              <w:rPr>
                <w:b/>
                <w:sz w:val="21"/>
                <w:szCs w:val="21"/>
              </w:rPr>
              <w:t>位置</w:t>
            </w:r>
          </w:p>
        </w:tc>
        <w:tc>
          <w:tcPr>
            <w:tcW w:w="1066" w:type="dxa"/>
            <w:vMerge w:val="restart"/>
            <w:vAlign w:val="center"/>
          </w:tcPr>
          <w:p>
            <w:pPr>
              <w:spacing w:line="240" w:lineRule="auto"/>
              <w:ind w:firstLine="0" w:firstLineChars="0"/>
              <w:jc w:val="center"/>
              <w:rPr>
                <w:b/>
                <w:sz w:val="21"/>
                <w:szCs w:val="21"/>
              </w:rPr>
            </w:pPr>
            <w:r>
              <w:rPr>
                <w:b/>
                <w:sz w:val="21"/>
                <w:szCs w:val="21"/>
              </w:rPr>
              <w:t>预测点</w:t>
            </w:r>
          </w:p>
        </w:tc>
        <w:tc>
          <w:tcPr>
            <w:tcW w:w="3198" w:type="dxa"/>
            <w:gridSpan w:val="3"/>
            <w:vAlign w:val="center"/>
          </w:tcPr>
          <w:p>
            <w:pPr>
              <w:spacing w:line="240" w:lineRule="auto"/>
              <w:ind w:firstLine="0" w:firstLineChars="0"/>
              <w:jc w:val="center"/>
              <w:rPr>
                <w:b/>
                <w:sz w:val="21"/>
                <w:szCs w:val="21"/>
              </w:rPr>
            </w:pPr>
            <w:r>
              <w:rPr>
                <w:b/>
                <w:sz w:val="21"/>
                <w:szCs w:val="21"/>
              </w:rPr>
              <w:t>昼间</w:t>
            </w:r>
          </w:p>
        </w:tc>
        <w:tc>
          <w:tcPr>
            <w:tcW w:w="3198" w:type="dxa"/>
            <w:gridSpan w:val="3"/>
            <w:vAlign w:val="center"/>
          </w:tcPr>
          <w:p>
            <w:pPr>
              <w:spacing w:line="240" w:lineRule="auto"/>
              <w:ind w:firstLine="0" w:firstLineChars="0"/>
              <w:jc w:val="center"/>
              <w:rPr>
                <w:b/>
                <w:sz w:val="21"/>
                <w:szCs w:val="21"/>
              </w:rPr>
            </w:pPr>
            <w:r>
              <w:rPr>
                <w:b/>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66" w:type="dxa"/>
            <w:vMerge w:val="continue"/>
            <w:vAlign w:val="center"/>
          </w:tcPr>
          <w:p>
            <w:pPr>
              <w:spacing w:line="240" w:lineRule="auto"/>
              <w:ind w:firstLine="0" w:firstLineChars="0"/>
              <w:jc w:val="center"/>
              <w:rPr>
                <w:b/>
                <w:sz w:val="21"/>
                <w:szCs w:val="21"/>
              </w:rPr>
            </w:pPr>
          </w:p>
        </w:tc>
        <w:tc>
          <w:tcPr>
            <w:tcW w:w="1066" w:type="dxa"/>
            <w:vMerge w:val="continue"/>
            <w:vAlign w:val="center"/>
          </w:tcPr>
          <w:p>
            <w:pPr>
              <w:spacing w:line="240" w:lineRule="auto"/>
              <w:ind w:firstLine="0" w:firstLineChars="0"/>
              <w:jc w:val="center"/>
              <w:rPr>
                <w:b/>
                <w:sz w:val="21"/>
                <w:szCs w:val="21"/>
              </w:rPr>
            </w:pPr>
          </w:p>
        </w:tc>
        <w:tc>
          <w:tcPr>
            <w:tcW w:w="1066" w:type="dxa"/>
            <w:vAlign w:val="center"/>
          </w:tcPr>
          <w:p>
            <w:pPr>
              <w:spacing w:line="240" w:lineRule="auto"/>
              <w:ind w:firstLine="0" w:firstLineChars="0"/>
              <w:jc w:val="center"/>
              <w:rPr>
                <w:b/>
                <w:sz w:val="21"/>
                <w:szCs w:val="21"/>
              </w:rPr>
            </w:pPr>
            <w:r>
              <w:rPr>
                <w:b/>
                <w:sz w:val="21"/>
                <w:szCs w:val="21"/>
              </w:rPr>
              <w:t>预测值</w:t>
            </w:r>
          </w:p>
        </w:tc>
        <w:tc>
          <w:tcPr>
            <w:tcW w:w="1066" w:type="dxa"/>
            <w:vAlign w:val="center"/>
          </w:tcPr>
          <w:p>
            <w:pPr>
              <w:spacing w:line="240" w:lineRule="auto"/>
              <w:ind w:firstLine="0" w:firstLineChars="0"/>
              <w:jc w:val="center"/>
              <w:rPr>
                <w:b/>
                <w:sz w:val="21"/>
                <w:szCs w:val="21"/>
              </w:rPr>
            </w:pPr>
            <w:r>
              <w:rPr>
                <w:b/>
                <w:sz w:val="21"/>
                <w:szCs w:val="21"/>
              </w:rPr>
              <w:t>标准值</w:t>
            </w:r>
          </w:p>
        </w:tc>
        <w:tc>
          <w:tcPr>
            <w:tcW w:w="1066" w:type="dxa"/>
            <w:vAlign w:val="center"/>
          </w:tcPr>
          <w:p>
            <w:pPr>
              <w:spacing w:line="240" w:lineRule="auto"/>
              <w:ind w:firstLine="0" w:firstLineChars="0"/>
              <w:jc w:val="center"/>
              <w:rPr>
                <w:b/>
                <w:sz w:val="21"/>
                <w:szCs w:val="21"/>
              </w:rPr>
            </w:pPr>
            <w:r>
              <w:rPr>
                <w:b/>
                <w:sz w:val="21"/>
                <w:szCs w:val="21"/>
              </w:rPr>
              <w:t>达标情况</w:t>
            </w:r>
          </w:p>
        </w:tc>
        <w:tc>
          <w:tcPr>
            <w:tcW w:w="1066" w:type="dxa"/>
            <w:vAlign w:val="center"/>
          </w:tcPr>
          <w:p>
            <w:pPr>
              <w:spacing w:line="240" w:lineRule="auto"/>
              <w:ind w:firstLine="0" w:firstLineChars="0"/>
              <w:jc w:val="center"/>
              <w:rPr>
                <w:b/>
                <w:sz w:val="21"/>
                <w:szCs w:val="21"/>
              </w:rPr>
            </w:pPr>
            <w:r>
              <w:rPr>
                <w:b/>
                <w:sz w:val="21"/>
                <w:szCs w:val="21"/>
              </w:rPr>
              <w:t>预测值</w:t>
            </w:r>
          </w:p>
        </w:tc>
        <w:tc>
          <w:tcPr>
            <w:tcW w:w="1066" w:type="dxa"/>
            <w:vAlign w:val="center"/>
          </w:tcPr>
          <w:p>
            <w:pPr>
              <w:spacing w:line="240" w:lineRule="auto"/>
              <w:ind w:firstLine="0" w:firstLineChars="0"/>
              <w:jc w:val="center"/>
              <w:rPr>
                <w:b/>
                <w:sz w:val="21"/>
                <w:szCs w:val="21"/>
              </w:rPr>
            </w:pPr>
            <w:r>
              <w:rPr>
                <w:b/>
                <w:sz w:val="21"/>
                <w:szCs w:val="21"/>
              </w:rPr>
              <w:t>标准值</w:t>
            </w:r>
          </w:p>
        </w:tc>
        <w:tc>
          <w:tcPr>
            <w:tcW w:w="1066" w:type="dxa"/>
            <w:vAlign w:val="center"/>
          </w:tcPr>
          <w:p>
            <w:pPr>
              <w:spacing w:line="240" w:lineRule="auto"/>
              <w:ind w:firstLine="0" w:firstLineChars="0"/>
              <w:jc w:val="center"/>
              <w:rPr>
                <w:b/>
                <w:sz w:val="21"/>
                <w:szCs w:val="21"/>
              </w:rPr>
            </w:pPr>
            <w:r>
              <w:rPr>
                <w:b/>
                <w:sz w:val="21"/>
                <w:szCs w:val="21"/>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1066" w:type="dxa"/>
            <w:vMerge w:val="restart"/>
            <w:vAlign w:val="center"/>
          </w:tcPr>
          <w:p>
            <w:pPr>
              <w:spacing w:line="240" w:lineRule="auto"/>
              <w:ind w:firstLine="0" w:firstLineChars="0"/>
              <w:jc w:val="center"/>
              <w:rPr>
                <w:sz w:val="21"/>
                <w:szCs w:val="21"/>
              </w:rPr>
            </w:pPr>
            <w:r>
              <w:rPr>
                <w:sz w:val="21"/>
                <w:szCs w:val="21"/>
              </w:rPr>
              <w:t>厂区</w:t>
            </w:r>
          </w:p>
        </w:tc>
        <w:tc>
          <w:tcPr>
            <w:tcW w:w="1066" w:type="dxa"/>
            <w:vAlign w:val="center"/>
          </w:tcPr>
          <w:p>
            <w:pPr>
              <w:spacing w:line="240" w:lineRule="auto"/>
              <w:ind w:firstLine="0" w:firstLineChars="0"/>
              <w:jc w:val="center"/>
              <w:rPr>
                <w:sz w:val="21"/>
                <w:szCs w:val="21"/>
              </w:rPr>
            </w:pPr>
            <w:r>
              <w:rPr>
                <w:sz w:val="21"/>
                <w:szCs w:val="21"/>
              </w:rPr>
              <w:t>东厂界</w:t>
            </w:r>
          </w:p>
        </w:tc>
        <w:tc>
          <w:tcPr>
            <w:tcW w:w="1066" w:type="dxa"/>
            <w:vAlign w:val="center"/>
          </w:tcPr>
          <w:p>
            <w:pPr>
              <w:spacing w:line="240" w:lineRule="auto"/>
              <w:ind w:firstLine="0" w:firstLineChars="0"/>
              <w:jc w:val="center"/>
              <w:rPr>
                <w:sz w:val="21"/>
                <w:szCs w:val="21"/>
              </w:rPr>
            </w:pPr>
            <w:r>
              <w:rPr>
                <w:sz w:val="21"/>
                <w:szCs w:val="21"/>
              </w:rPr>
              <w:t>47.2</w:t>
            </w:r>
          </w:p>
        </w:tc>
        <w:tc>
          <w:tcPr>
            <w:tcW w:w="1066" w:type="dxa"/>
            <w:vAlign w:val="center"/>
          </w:tcPr>
          <w:p>
            <w:pPr>
              <w:spacing w:line="240" w:lineRule="auto"/>
              <w:ind w:firstLine="0" w:firstLineChars="0"/>
              <w:jc w:val="center"/>
              <w:rPr>
                <w:sz w:val="21"/>
                <w:szCs w:val="21"/>
              </w:rPr>
            </w:pPr>
            <w:r>
              <w:rPr>
                <w:sz w:val="21"/>
                <w:szCs w:val="21"/>
              </w:rPr>
              <w:t>65</w:t>
            </w:r>
          </w:p>
        </w:tc>
        <w:tc>
          <w:tcPr>
            <w:tcW w:w="1066" w:type="dxa"/>
            <w:vAlign w:val="center"/>
          </w:tcPr>
          <w:p>
            <w:pPr>
              <w:spacing w:line="240" w:lineRule="auto"/>
              <w:ind w:firstLine="0" w:firstLineChars="0"/>
              <w:jc w:val="center"/>
              <w:rPr>
                <w:sz w:val="21"/>
                <w:szCs w:val="21"/>
              </w:rPr>
            </w:pPr>
            <w:r>
              <w:rPr>
                <w:sz w:val="21"/>
                <w:szCs w:val="21"/>
              </w:rPr>
              <w:t>达标</w:t>
            </w:r>
          </w:p>
        </w:tc>
        <w:tc>
          <w:tcPr>
            <w:tcW w:w="1066" w:type="dxa"/>
            <w:vAlign w:val="center"/>
          </w:tcPr>
          <w:p>
            <w:pPr>
              <w:spacing w:line="240" w:lineRule="auto"/>
              <w:ind w:firstLine="0" w:firstLineChars="0"/>
              <w:jc w:val="center"/>
              <w:rPr>
                <w:sz w:val="21"/>
                <w:szCs w:val="21"/>
              </w:rPr>
            </w:pPr>
            <w:r>
              <w:rPr>
                <w:sz w:val="21"/>
                <w:szCs w:val="21"/>
              </w:rPr>
              <w:t>47.2</w:t>
            </w:r>
          </w:p>
        </w:tc>
        <w:tc>
          <w:tcPr>
            <w:tcW w:w="1066" w:type="dxa"/>
            <w:vAlign w:val="center"/>
          </w:tcPr>
          <w:p>
            <w:pPr>
              <w:spacing w:line="240" w:lineRule="auto"/>
              <w:ind w:firstLine="0" w:firstLineChars="0"/>
              <w:jc w:val="center"/>
              <w:rPr>
                <w:sz w:val="21"/>
                <w:szCs w:val="21"/>
              </w:rPr>
            </w:pPr>
            <w:r>
              <w:rPr>
                <w:sz w:val="21"/>
                <w:szCs w:val="21"/>
              </w:rPr>
              <w:t>55</w:t>
            </w:r>
          </w:p>
        </w:tc>
        <w:tc>
          <w:tcPr>
            <w:tcW w:w="1066" w:type="dxa"/>
            <w:vAlign w:val="center"/>
          </w:tcPr>
          <w:p>
            <w:pPr>
              <w:spacing w:line="240" w:lineRule="auto"/>
              <w:ind w:firstLine="0" w:firstLineChars="0"/>
              <w:jc w:val="center"/>
              <w:rPr>
                <w:sz w:val="21"/>
                <w:szCs w:val="21"/>
              </w:rPr>
            </w:pPr>
            <w:r>
              <w:rPr>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66" w:type="dxa"/>
            <w:vMerge w:val="continue"/>
            <w:vAlign w:val="center"/>
          </w:tcPr>
          <w:p>
            <w:pPr>
              <w:spacing w:line="240" w:lineRule="auto"/>
              <w:ind w:firstLine="0" w:firstLineChars="0"/>
              <w:jc w:val="center"/>
              <w:rPr>
                <w:sz w:val="21"/>
                <w:szCs w:val="21"/>
              </w:rPr>
            </w:pPr>
          </w:p>
        </w:tc>
        <w:tc>
          <w:tcPr>
            <w:tcW w:w="1066" w:type="dxa"/>
            <w:vAlign w:val="center"/>
          </w:tcPr>
          <w:p>
            <w:pPr>
              <w:spacing w:line="240" w:lineRule="auto"/>
              <w:ind w:firstLine="0" w:firstLineChars="0"/>
              <w:jc w:val="center"/>
              <w:rPr>
                <w:sz w:val="21"/>
                <w:szCs w:val="21"/>
              </w:rPr>
            </w:pPr>
            <w:r>
              <w:rPr>
                <w:sz w:val="21"/>
                <w:szCs w:val="21"/>
              </w:rPr>
              <w:t>南厂界</w:t>
            </w:r>
          </w:p>
        </w:tc>
        <w:tc>
          <w:tcPr>
            <w:tcW w:w="1066" w:type="dxa"/>
            <w:vAlign w:val="center"/>
          </w:tcPr>
          <w:p>
            <w:pPr>
              <w:spacing w:line="240" w:lineRule="auto"/>
              <w:ind w:firstLine="0" w:firstLineChars="0"/>
              <w:jc w:val="center"/>
              <w:rPr>
                <w:sz w:val="21"/>
                <w:szCs w:val="21"/>
              </w:rPr>
            </w:pPr>
            <w:r>
              <w:rPr>
                <w:sz w:val="21"/>
                <w:szCs w:val="21"/>
              </w:rPr>
              <w:t>54.5</w:t>
            </w:r>
          </w:p>
        </w:tc>
        <w:tc>
          <w:tcPr>
            <w:tcW w:w="1066" w:type="dxa"/>
            <w:vAlign w:val="center"/>
          </w:tcPr>
          <w:p>
            <w:pPr>
              <w:spacing w:line="240" w:lineRule="auto"/>
              <w:ind w:firstLine="0" w:firstLineChars="0"/>
              <w:jc w:val="center"/>
              <w:rPr>
                <w:sz w:val="21"/>
                <w:szCs w:val="21"/>
              </w:rPr>
            </w:pPr>
            <w:r>
              <w:rPr>
                <w:sz w:val="21"/>
                <w:szCs w:val="21"/>
              </w:rPr>
              <w:t>65</w:t>
            </w:r>
          </w:p>
        </w:tc>
        <w:tc>
          <w:tcPr>
            <w:tcW w:w="1066" w:type="dxa"/>
            <w:vAlign w:val="center"/>
          </w:tcPr>
          <w:p>
            <w:pPr>
              <w:spacing w:line="240" w:lineRule="auto"/>
              <w:ind w:firstLine="0" w:firstLineChars="0"/>
              <w:jc w:val="center"/>
              <w:rPr>
                <w:sz w:val="21"/>
                <w:szCs w:val="21"/>
              </w:rPr>
            </w:pPr>
            <w:r>
              <w:rPr>
                <w:sz w:val="21"/>
                <w:szCs w:val="21"/>
              </w:rPr>
              <w:t>达标</w:t>
            </w:r>
          </w:p>
        </w:tc>
        <w:tc>
          <w:tcPr>
            <w:tcW w:w="1066" w:type="dxa"/>
            <w:vAlign w:val="center"/>
          </w:tcPr>
          <w:p>
            <w:pPr>
              <w:spacing w:line="240" w:lineRule="auto"/>
              <w:ind w:firstLine="0" w:firstLineChars="0"/>
              <w:jc w:val="center"/>
              <w:rPr>
                <w:sz w:val="21"/>
                <w:szCs w:val="21"/>
              </w:rPr>
            </w:pPr>
            <w:r>
              <w:rPr>
                <w:sz w:val="21"/>
                <w:szCs w:val="21"/>
              </w:rPr>
              <w:t>54.5</w:t>
            </w:r>
          </w:p>
        </w:tc>
        <w:tc>
          <w:tcPr>
            <w:tcW w:w="1066" w:type="dxa"/>
            <w:vAlign w:val="center"/>
          </w:tcPr>
          <w:p>
            <w:pPr>
              <w:spacing w:line="240" w:lineRule="auto"/>
              <w:ind w:firstLine="0" w:firstLineChars="0"/>
              <w:jc w:val="center"/>
              <w:rPr>
                <w:sz w:val="21"/>
                <w:szCs w:val="21"/>
              </w:rPr>
            </w:pPr>
            <w:r>
              <w:rPr>
                <w:sz w:val="21"/>
                <w:szCs w:val="21"/>
              </w:rPr>
              <w:t>55</w:t>
            </w:r>
          </w:p>
        </w:tc>
        <w:tc>
          <w:tcPr>
            <w:tcW w:w="1066" w:type="dxa"/>
            <w:vAlign w:val="center"/>
          </w:tcPr>
          <w:p>
            <w:pPr>
              <w:spacing w:line="240" w:lineRule="auto"/>
              <w:ind w:firstLine="0" w:firstLineChars="0"/>
              <w:jc w:val="center"/>
              <w:rPr>
                <w:sz w:val="21"/>
                <w:szCs w:val="21"/>
              </w:rPr>
            </w:pPr>
            <w:r>
              <w:rPr>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66" w:type="dxa"/>
            <w:vMerge w:val="continue"/>
            <w:vAlign w:val="center"/>
          </w:tcPr>
          <w:p>
            <w:pPr>
              <w:spacing w:line="240" w:lineRule="auto"/>
              <w:ind w:firstLine="0" w:firstLineChars="0"/>
              <w:jc w:val="center"/>
              <w:rPr>
                <w:sz w:val="21"/>
                <w:szCs w:val="21"/>
              </w:rPr>
            </w:pPr>
          </w:p>
        </w:tc>
        <w:tc>
          <w:tcPr>
            <w:tcW w:w="1066" w:type="dxa"/>
            <w:vAlign w:val="center"/>
          </w:tcPr>
          <w:p>
            <w:pPr>
              <w:spacing w:line="240" w:lineRule="auto"/>
              <w:ind w:firstLine="0" w:firstLineChars="0"/>
              <w:jc w:val="center"/>
              <w:rPr>
                <w:sz w:val="21"/>
                <w:szCs w:val="21"/>
              </w:rPr>
            </w:pPr>
            <w:r>
              <w:rPr>
                <w:sz w:val="21"/>
                <w:szCs w:val="21"/>
              </w:rPr>
              <w:t>西厂界</w:t>
            </w:r>
          </w:p>
        </w:tc>
        <w:tc>
          <w:tcPr>
            <w:tcW w:w="1066" w:type="dxa"/>
            <w:vAlign w:val="center"/>
          </w:tcPr>
          <w:p>
            <w:pPr>
              <w:spacing w:line="240" w:lineRule="auto"/>
              <w:ind w:firstLine="0" w:firstLineChars="0"/>
              <w:jc w:val="center"/>
              <w:rPr>
                <w:sz w:val="21"/>
                <w:szCs w:val="21"/>
              </w:rPr>
            </w:pPr>
            <w:r>
              <w:rPr>
                <w:sz w:val="21"/>
                <w:szCs w:val="21"/>
              </w:rPr>
              <w:t>32.6</w:t>
            </w:r>
          </w:p>
        </w:tc>
        <w:tc>
          <w:tcPr>
            <w:tcW w:w="1066" w:type="dxa"/>
            <w:vAlign w:val="center"/>
          </w:tcPr>
          <w:p>
            <w:pPr>
              <w:spacing w:line="240" w:lineRule="auto"/>
              <w:ind w:firstLine="0" w:firstLineChars="0"/>
              <w:jc w:val="center"/>
              <w:rPr>
                <w:sz w:val="21"/>
                <w:szCs w:val="21"/>
              </w:rPr>
            </w:pPr>
            <w:r>
              <w:rPr>
                <w:sz w:val="21"/>
                <w:szCs w:val="21"/>
              </w:rPr>
              <w:t>65</w:t>
            </w:r>
          </w:p>
        </w:tc>
        <w:tc>
          <w:tcPr>
            <w:tcW w:w="1066" w:type="dxa"/>
            <w:vAlign w:val="center"/>
          </w:tcPr>
          <w:p>
            <w:pPr>
              <w:spacing w:line="240" w:lineRule="auto"/>
              <w:ind w:firstLine="0" w:firstLineChars="0"/>
              <w:jc w:val="center"/>
              <w:rPr>
                <w:sz w:val="21"/>
                <w:szCs w:val="21"/>
              </w:rPr>
            </w:pPr>
            <w:r>
              <w:rPr>
                <w:sz w:val="21"/>
                <w:szCs w:val="21"/>
              </w:rPr>
              <w:t>达标</w:t>
            </w:r>
          </w:p>
        </w:tc>
        <w:tc>
          <w:tcPr>
            <w:tcW w:w="1066" w:type="dxa"/>
            <w:vAlign w:val="center"/>
          </w:tcPr>
          <w:p>
            <w:pPr>
              <w:spacing w:line="240" w:lineRule="auto"/>
              <w:ind w:firstLine="0" w:firstLineChars="0"/>
              <w:jc w:val="center"/>
              <w:rPr>
                <w:sz w:val="21"/>
                <w:szCs w:val="21"/>
              </w:rPr>
            </w:pPr>
            <w:r>
              <w:rPr>
                <w:sz w:val="21"/>
                <w:szCs w:val="21"/>
              </w:rPr>
              <w:t>32.6</w:t>
            </w:r>
          </w:p>
        </w:tc>
        <w:tc>
          <w:tcPr>
            <w:tcW w:w="1066" w:type="dxa"/>
            <w:vAlign w:val="center"/>
          </w:tcPr>
          <w:p>
            <w:pPr>
              <w:spacing w:line="240" w:lineRule="auto"/>
              <w:ind w:firstLine="0" w:firstLineChars="0"/>
              <w:jc w:val="center"/>
              <w:rPr>
                <w:sz w:val="21"/>
                <w:szCs w:val="21"/>
              </w:rPr>
            </w:pPr>
            <w:r>
              <w:rPr>
                <w:sz w:val="21"/>
                <w:szCs w:val="21"/>
              </w:rPr>
              <w:t>55</w:t>
            </w:r>
          </w:p>
        </w:tc>
        <w:tc>
          <w:tcPr>
            <w:tcW w:w="1066" w:type="dxa"/>
            <w:vAlign w:val="center"/>
          </w:tcPr>
          <w:p>
            <w:pPr>
              <w:spacing w:line="240" w:lineRule="auto"/>
              <w:ind w:firstLine="0" w:firstLineChars="0"/>
              <w:jc w:val="center"/>
              <w:rPr>
                <w:sz w:val="21"/>
                <w:szCs w:val="21"/>
              </w:rPr>
            </w:pPr>
            <w:r>
              <w:rPr>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66" w:type="dxa"/>
            <w:vMerge w:val="continue"/>
            <w:vAlign w:val="center"/>
          </w:tcPr>
          <w:p>
            <w:pPr>
              <w:spacing w:line="240" w:lineRule="auto"/>
              <w:ind w:firstLine="0" w:firstLineChars="0"/>
              <w:jc w:val="center"/>
              <w:rPr>
                <w:sz w:val="21"/>
                <w:szCs w:val="21"/>
              </w:rPr>
            </w:pPr>
          </w:p>
        </w:tc>
        <w:tc>
          <w:tcPr>
            <w:tcW w:w="1066" w:type="dxa"/>
            <w:vAlign w:val="center"/>
          </w:tcPr>
          <w:p>
            <w:pPr>
              <w:spacing w:line="240" w:lineRule="auto"/>
              <w:ind w:firstLine="0" w:firstLineChars="0"/>
              <w:jc w:val="center"/>
              <w:rPr>
                <w:sz w:val="21"/>
                <w:szCs w:val="21"/>
              </w:rPr>
            </w:pPr>
            <w:r>
              <w:rPr>
                <w:sz w:val="21"/>
                <w:szCs w:val="21"/>
              </w:rPr>
              <w:t>北厂界</w:t>
            </w:r>
          </w:p>
        </w:tc>
        <w:tc>
          <w:tcPr>
            <w:tcW w:w="1066" w:type="dxa"/>
            <w:vAlign w:val="center"/>
          </w:tcPr>
          <w:p>
            <w:pPr>
              <w:spacing w:line="240" w:lineRule="auto"/>
              <w:ind w:firstLine="0" w:firstLineChars="0"/>
              <w:jc w:val="center"/>
              <w:rPr>
                <w:sz w:val="21"/>
                <w:szCs w:val="21"/>
              </w:rPr>
            </w:pPr>
            <w:r>
              <w:rPr>
                <w:sz w:val="21"/>
                <w:szCs w:val="21"/>
              </w:rPr>
              <w:t>42.7</w:t>
            </w:r>
          </w:p>
        </w:tc>
        <w:tc>
          <w:tcPr>
            <w:tcW w:w="1066" w:type="dxa"/>
            <w:vAlign w:val="center"/>
          </w:tcPr>
          <w:p>
            <w:pPr>
              <w:spacing w:line="240" w:lineRule="auto"/>
              <w:ind w:firstLine="0" w:firstLineChars="0"/>
              <w:jc w:val="center"/>
              <w:rPr>
                <w:sz w:val="21"/>
                <w:szCs w:val="21"/>
              </w:rPr>
            </w:pPr>
            <w:r>
              <w:rPr>
                <w:sz w:val="21"/>
                <w:szCs w:val="21"/>
              </w:rPr>
              <w:t>65</w:t>
            </w:r>
          </w:p>
        </w:tc>
        <w:tc>
          <w:tcPr>
            <w:tcW w:w="1066" w:type="dxa"/>
            <w:vAlign w:val="center"/>
          </w:tcPr>
          <w:p>
            <w:pPr>
              <w:spacing w:line="240" w:lineRule="auto"/>
              <w:ind w:firstLine="0" w:firstLineChars="0"/>
              <w:jc w:val="center"/>
              <w:rPr>
                <w:sz w:val="21"/>
                <w:szCs w:val="21"/>
              </w:rPr>
            </w:pPr>
            <w:r>
              <w:rPr>
                <w:sz w:val="21"/>
                <w:szCs w:val="21"/>
              </w:rPr>
              <w:t>达标</w:t>
            </w:r>
          </w:p>
        </w:tc>
        <w:tc>
          <w:tcPr>
            <w:tcW w:w="1066" w:type="dxa"/>
            <w:vAlign w:val="center"/>
          </w:tcPr>
          <w:p>
            <w:pPr>
              <w:spacing w:line="240" w:lineRule="auto"/>
              <w:ind w:firstLine="0" w:firstLineChars="0"/>
              <w:jc w:val="center"/>
              <w:rPr>
                <w:sz w:val="21"/>
                <w:szCs w:val="21"/>
              </w:rPr>
            </w:pPr>
            <w:r>
              <w:rPr>
                <w:sz w:val="21"/>
                <w:szCs w:val="21"/>
              </w:rPr>
              <w:t>42.7</w:t>
            </w:r>
          </w:p>
        </w:tc>
        <w:tc>
          <w:tcPr>
            <w:tcW w:w="1066" w:type="dxa"/>
            <w:vAlign w:val="center"/>
          </w:tcPr>
          <w:p>
            <w:pPr>
              <w:spacing w:line="240" w:lineRule="auto"/>
              <w:ind w:firstLine="0" w:firstLineChars="0"/>
              <w:jc w:val="center"/>
              <w:rPr>
                <w:sz w:val="21"/>
                <w:szCs w:val="21"/>
              </w:rPr>
            </w:pPr>
            <w:r>
              <w:rPr>
                <w:sz w:val="21"/>
                <w:szCs w:val="21"/>
              </w:rPr>
              <w:t>55</w:t>
            </w:r>
          </w:p>
        </w:tc>
        <w:tc>
          <w:tcPr>
            <w:tcW w:w="1066" w:type="dxa"/>
            <w:vAlign w:val="center"/>
          </w:tcPr>
          <w:p>
            <w:pPr>
              <w:spacing w:line="240" w:lineRule="auto"/>
              <w:ind w:firstLine="0" w:firstLineChars="0"/>
              <w:jc w:val="center"/>
              <w:rPr>
                <w:sz w:val="21"/>
                <w:szCs w:val="21"/>
              </w:rPr>
            </w:pPr>
            <w:r>
              <w:rPr>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66" w:type="dxa"/>
            <w:vAlign w:val="center"/>
          </w:tcPr>
          <w:p>
            <w:pPr>
              <w:spacing w:line="240" w:lineRule="auto"/>
              <w:ind w:firstLine="0" w:firstLineChars="0"/>
              <w:jc w:val="center"/>
              <w:rPr>
                <w:sz w:val="21"/>
                <w:szCs w:val="21"/>
              </w:rPr>
            </w:pPr>
            <w:r>
              <w:rPr>
                <w:sz w:val="21"/>
                <w:szCs w:val="21"/>
              </w:rPr>
              <w:t>标准值</w:t>
            </w:r>
          </w:p>
        </w:tc>
        <w:tc>
          <w:tcPr>
            <w:tcW w:w="7462" w:type="dxa"/>
            <w:gridSpan w:val="7"/>
            <w:vAlign w:val="center"/>
          </w:tcPr>
          <w:p>
            <w:pPr>
              <w:autoSpaceDE w:val="0"/>
              <w:autoSpaceDN w:val="0"/>
              <w:adjustRightInd w:val="0"/>
              <w:spacing w:line="240" w:lineRule="auto"/>
              <w:ind w:firstLine="0" w:firstLineChars="0"/>
              <w:jc w:val="center"/>
              <w:rPr>
                <w:sz w:val="21"/>
                <w:szCs w:val="21"/>
              </w:rPr>
            </w:pPr>
            <w:r>
              <w:rPr>
                <w:sz w:val="21"/>
                <w:szCs w:val="21"/>
              </w:rPr>
              <w:t>《工业企业厂界环境噪声排放标准》（</w:t>
            </w:r>
            <w:r>
              <w:rPr>
                <w:rFonts w:eastAsia="TimesNewRomanPSMT"/>
                <w:sz w:val="21"/>
                <w:szCs w:val="21"/>
              </w:rPr>
              <w:t>GB12348-2008</w:t>
            </w:r>
            <w:r>
              <w:rPr>
                <w:sz w:val="21"/>
                <w:szCs w:val="21"/>
              </w:rPr>
              <w:t>）</w:t>
            </w:r>
            <w:r>
              <w:rPr>
                <w:rFonts w:eastAsia="TimesNewRomanPSMT"/>
                <w:sz w:val="21"/>
                <w:szCs w:val="21"/>
              </w:rPr>
              <w:t xml:space="preserve">3 </w:t>
            </w:r>
            <w:r>
              <w:rPr>
                <w:sz w:val="21"/>
                <w:szCs w:val="21"/>
              </w:rPr>
              <w:t>类区标准</w:t>
            </w:r>
          </w:p>
          <w:p>
            <w:pPr>
              <w:spacing w:line="240" w:lineRule="auto"/>
              <w:ind w:firstLine="0" w:firstLineChars="0"/>
              <w:jc w:val="center"/>
              <w:rPr>
                <w:sz w:val="21"/>
                <w:szCs w:val="21"/>
              </w:rPr>
            </w:pPr>
            <w:r>
              <w:rPr>
                <w:sz w:val="21"/>
                <w:szCs w:val="21"/>
              </w:rPr>
              <w:t>昼间</w:t>
            </w:r>
            <w:r>
              <w:rPr>
                <w:rFonts w:eastAsia="TimesNewRomanPSMT"/>
                <w:sz w:val="21"/>
                <w:szCs w:val="21"/>
              </w:rPr>
              <w:t>65dB</w:t>
            </w:r>
            <w:r>
              <w:rPr>
                <w:sz w:val="21"/>
                <w:szCs w:val="21"/>
              </w:rPr>
              <w:t>（</w:t>
            </w:r>
            <w:r>
              <w:rPr>
                <w:rFonts w:eastAsia="TimesNewRomanPSMT"/>
                <w:sz w:val="21"/>
                <w:szCs w:val="21"/>
              </w:rPr>
              <w:t>A</w:t>
            </w:r>
            <w:r>
              <w:rPr>
                <w:sz w:val="21"/>
                <w:szCs w:val="21"/>
              </w:rPr>
              <w:t>），夜间</w:t>
            </w:r>
            <w:r>
              <w:rPr>
                <w:rFonts w:eastAsia="TimesNewRomanPSMT"/>
                <w:sz w:val="21"/>
                <w:szCs w:val="21"/>
              </w:rPr>
              <w:t>55dB</w:t>
            </w:r>
            <w:r>
              <w:rPr>
                <w:sz w:val="21"/>
                <w:szCs w:val="21"/>
              </w:rPr>
              <w:t>（</w:t>
            </w:r>
            <w:r>
              <w:rPr>
                <w:rFonts w:eastAsia="TimesNewRomanPSMT"/>
                <w:sz w:val="21"/>
                <w:szCs w:val="21"/>
              </w:rPr>
              <w:t>A</w:t>
            </w:r>
            <w:r>
              <w:rPr>
                <w:sz w:val="21"/>
                <w:szCs w:val="21"/>
              </w:rPr>
              <w:t>）</w:t>
            </w:r>
          </w:p>
        </w:tc>
      </w:tr>
    </w:tbl>
    <w:p>
      <w:pPr>
        <w:autoSpaceDE w:val="0"/>
        <w:autoSpaceDN w:val="0"/>
        <w:adjustRightInd w:val="0"/>
        <w:ind w:firstLine="480"/>
        <w:rPr>
          <w:rFonts w:cs="Times New Roman"/>
          <w:kern w:val="0"/>
          <w:szCs w:val="20"/>
        </w:rPr>
      </w:pPr>
      <w:r>
        <w:rPr>
          <w:rFonts w:cs="Times New Roman"/>
          <w:kern w:val="0"/>
          <w:szCs w:val="20"/>
        </w:rPr>
        <w:t>根据场界噪声预测结果，运营期厂界昼间东南西北厂界噪声贡献值能达到《工业企业厂界环境噪声排放标准》3类标准。项目运营后应严格执行防治噪声措施，尽量选用低噪声设备，同时做好绿化、围挡措施，可以减少设备噪声对厂界外声环境的影响；周边距离最近的敏感目标为东南侧距厂界50m的芳玉堂村，厂界噪声对其影响不大。</w:t>
      </w:r>
    </w:p>
    <w:p>
      <w:pPr>
        <w:pStyle w:val="69"/>
        <w:ind w:firstLine="0" w:firstLineChars="0"/>
        <w:outlineLvl w:val="3"/>
        <w:rPr>
          <w:b/>
          <w:bCs/>
        </w:rPr>
      </w:pPr>
      <w:r>
        <w:rPr>
          <w:b/>
          <w:bCs/>
        </w:rPr>
        <w:t>6.2.4.5 小结</w:t>
      </w:r>
    </w:p>
    <w:p>
      <w:pPr>
        <w:ind w:firstLine="480"/>
        <w:rPr>
          <w:rFonts w:cs="Times New Roman"/>
          <w:kern w:val="0"/>
          <w:szCs w:val="20"/>
        </w:rPr>
      </w:pPr>
      <w:r>
        <w:rPr>
          <w:rFonts w:cs="Times New Roman"/>
          <w:kern w:val="0"/>
          <w:szCs w:val="20"/>
        </w:rPr>
        <w:t>项目对空气动力性噪声装消声器、设置独立封闭空间，机械动力性噪声采用封闭式厂房隔声及设减振垫，在工程全建成的情况下，根据场界噪声预测结果，运营期厂界昼间夜间东南西北厂界噪声贡献值能达到《工业企业厂界环境噪声排放标准》3 类标准。项目运营后应严格执行防治噪声措施，尽量选用低噪声设备，同时做好绿化、围挡措施，可以减少设备噪声对厂界外声环境的影响；周边距离最近的敏感目标为东南侧距厂界50m的芳玉堂村，厂界噪声对其影响不大。</w:t>
      </w:r>
    </w:p>
    <w:p>
      <w:pPr>
        <w:pStyle w:val="4"/>
        <w:adjustRightInd w:val="0"/>
        <w:snapToGrid w:val="0"/>
        <w:jc w:val="left"/>
        <w:rPr>
          <w:rFonts w:cs="Times New Roman"/>
          <w:szCs w:val="24"/>
        </w:rPr>
      </w:pPr>
      <w:bookmarkStart w:id="169" w:name="_Toc86611313"/>
      <w:r>
        <w:rPr>
          <w:rFonts w:cs="Times New Roman"/>
          <w:szCs w:val="24"/>
        </w:rPr>
        <w:t>5.2.7 固体废物环境影响分析</w:t>
      </w:r>
      <w:bookmarkEnd w:id="169"/>
    </w:p>
    <w:p>
      <w:pPr>
        <w:pStyle w:val="69"/>
        <w:ind w:firstLine="0" w:firstLineChars="0"/>
        <w:outlineLvl w:val="3"/>
        <w:rPr>
          <w:b/>
          <w:bCs/>
        </w:rPr>
      </w:pPr>
      <w:r>
        <w:rPr>
          <w:b/>
          <w:bCs/>
        </w:rPr>
        <w:t>5.2.7.1 固体废弃物性质及分类</w:t>
      </w:r>
    </w:p>
    <w:p>
      <w:pPr>
        <w:autoSpaceDE w:val="0"/>
        <w:autoSpaceDN w:val="0"/>
        <w:adjustRightInd w:val="0"/>
        <w:ind w:firstLine="480"/>
        <w:rPr>
          <w:rFonts w:cs="Times New Roman"/>
          <w:kern w:val="0"/>
          <w:szCs w:val="20"/>
        </w:rPr>
      </w:pPr>
      <w:r>
        <w:rPr>
          <w:rFonts w:cs="Times New Roman"/>
          <w:kern w:val="0"/>
          <w:szCs w:val="20"/>
        </w:rPr>
        <w:t>项目的主要固体废弃物为</w:t>
      </w:r>
      <w:r>
        <w:rPr>
          <w:rFonts w:cs="Times New Roman"/>
        </w:rPr>
        <w:t>陶瓷生产中的筛分粗料、废坯、废瓷，生产废水沉淀池和生活污水处理设施产生的污泥，除尘器收集的粉尘以及炉渣、石灰石膏法脱硫产生的脱硫石膏、废油墨盒、废辊道棒、废机油、废岩棉，另外还有职工生活垃圾等</w:t>
      </w:r>
      <w:r>
        <w:rPr>
          <w:rFonts w:cs="Times New Roman"/>
          <w:kern w:val="0"/>
          <w:szCs w:val="20"/>
        </w:rPr>
        <w:t>。</w:t>
      </w:r>
    </w:p>
    <w:p>
      <w:pPr>
        <w:autoSpaceDE w:val="0"/>
        <w:autoSpaceDN w:val="0"/>
        <w:adjustRightInd w:val="0"/>
        <w:ind w:firstLine="480"/>
        <w:rPr>
          <w:rFonts w:cs="Times New Roman"/>
          <w:kern w:val="0"/>
          <w:szCs w:val="20"/>
        </w:rPr>
      </w:pPr>
      <w:r>
        <w:rPr>
          <w:rFonts w:cs="Times New Roman"/>
          <w:kern w:val="0"/>
          <w:szCs w:val="20"/>
        </w:rPr>
        <w:t>类比同类固废有关资料，生产固体废弃物废坯、废瓷、污泥主要成份为粘土，其化学组成中最主要的成分是二氧化硅。另外炉渣、收集煤灰的成分主要为Al</w:t>
      </w:r>
      <w:r>
        <w:rPr>
          <w:rFonts w:cs="Times New Roman"/>
          <w:kern w:val="0"/>
          <w:szCs w:val="20"/>
          <w:vertAlign w:val="subscript"/>
        </w:rPr>
        <w:t>2</w:t>
      </w:r>
      <w:r>
        <w:rPr>
          <w:rFonts w:cs="Times New Roman"/>
          <w:kern w:val="0"/>
          <w:szCs w:val="20"/>
        </w:rPr>
        <w:t>O</w:t>
      </w:r>
      <w:r>
        <w:rPr>
          <w:rFonts w:cs="Times New Roman"/>
          <w:kern w:val="0"/>
          <w:szCs w:val="20"/>
          <w:vertAlign w:val="subscript"/>
        </w:rPr>
        <w:t>3</w:t>
      </w:r>
      <w:r>
        <w:rPr>
          <w:rFonts w:cs="Times New Roman"/>
          <w:kern w:val="0"/>
          <w:szCs w:val="20"/>
        </w:rPr>
        <w:t>、SiO</w:t>
      </w:r>
      <w:r>
        <w:rPr>
          <w:rFonts w:cs="Times New Roman"/>
          <w:kern w:val="0"/>
          <w:szCs w:val="20"/>
          <w:vertAlign w:val="subscript"/>
        </w:rPr>
        <w:t>2</w:t>
      </w:r>
      <w:r>
        <w:rPr>
          <w:rFonts w:cs="Times New Roman"/>
          <w:kern w:val="0"/>
          <w:szCs w:val="20"/>
        </w:rPr>
        <w:t>；脱硫石膏主要成分为CaSO</w:t>
      </w:r>
      <w:r>
        <w:rPr>
          <w:rFonts w:cs="Times New Roman"/>
          <w:kern w:val="0"/>
          <w:szCs w:val="20"/>
          <w:vertAlign w:val="subscript"/>
        </w:rPr>
        <w:t>3</w:t>
      </w:r>
      <w:r>
        <w:rPr>
          <w:rFonts w:cs="Times New Roman"/>
          <w:kern w:val="0"/>
          <w:szCs w:val="20"/>
        </w:rPr>
        <w:t>、CaSO</w:t>
      </w:r>
      <w:r>
        <w:rPr>
          <w:rFonts w:cs="Times New Roman"/>
          <w:kern w:val="0"/>
          <w:szCs w:val="20"/>
          <w:vertAlign w:val="subscript"/>
        </w:rPr>
        <w:t>4</w:t>
      </w:r>
      <w:r>
        <w:rPr>
          <w:rFonts w:cs="Times New Roman"/>
          <w:kern w:val="0"/>
          <w:szCs w:val="20"/>
        </w:rPr>
        <w:t>。以上的固废化学成分来看，未列入《国家危险废物名录》（2016 年）中，不属于危险废物。</w:t>
      </w:r>
    </w:p>
    <w:p>
      <w:pPr>
        <w:autoSpaceDE w:val="0"/>
        <w:autoSpaceDN w:val="0"/>
        <w:adjustRightInd w:val="0"/>
        <w:ind w:firstLine="480"/>
        <w:rPr>
          <w:rFonts w:cs="Times New Roman"/>
          <w:kern w:val="0"/>
          <w:szCs w:val="20"/>
        </w:rPr>
      </w:pPr>
      <w:r>
        <w:rPr>
          <w:rFonts w:cs="Times New Roman"/>
          <w:kern w:val="0"/>
          <w:szCs w:val="20"/>
        </w:rPr>
        <w:t>设备检修工段产生的少量废机油</w:t>
      </w:r>
      <w:r>
        <w:rPr>
          <w:rFonts w:cs="Times New Roman"/>
        </w:rPr>
        <w:t>（HW08 900-249-08）</w:t>
      </w:r>
      <w:r>
        <w:rPr>
          <w:rFonts w:cs="Times New Roman"/>
          <w:kern w:val="0"/>
          <w:szCs w:val="20"/>
        </w:rPr>
        <w:t>和废岩棉（</w:t>
      </w:r>
      <w:r>
        <w:rPr>
          <w:rFonts w:cs="Times New Roman"/>
        </w:rPr>
        <w:t>HW36 900-032-36</w:t>
      </w:r>
      <w:r>
        <w:rPr>
          <w:rFonts w:cs="Times New Roman"/>
          <w:kern w:val="0"/>
          <w:szCs w:val="20"/>
        </w:rPr>
        <w:t>）属于一般固废。因此废机油必须按相关规定要求管理和处理处置。</w:t>
      </w:r>
    </w:p>
    <w:p>
      <w:pPr>
        <w:pStyle w:val="69"/>
        <w:ind w:firstLine="0" w:firstLineChars="0"/>
        <w:outlineLvl w:val="3"/>
        <w:rPr>
          <w:b/>
          <w:bCs/>
        </w:rPr>
      </w:pPr>
      <w:r>
        <w:rPr>
          <w:b/>
          <w:bCs/>
        </w:rPr>
        <w:t>5.2.7.2 固体废弃物处置的合理性分析</w:t>
      </w:r>
    </w:p>
    <w:p>
      <w:pPr>
        <w:autoSpaceDE w:val="0"/>
        <w:autoSpaceDN w:val="0"/>
        <w:adjustRightInd w:val="0"/>
        <w:ind w:firstLine="482"/>
        <w:rPr>
          <w:rFonts w:cs="Times New Roman"/>
          <w:b/>
          <w:kern w:val="0"/>
          <w:szCs w:val="20"/>
        </w:rPr>
      </w:pPr>
      <w:r>
        <w:rPr>
          <w:rFonts w:cs="Times New Roman"/>
          <w:b/>
          <w:kern w:val="0"/>
          <w:szCs w:val="20"/>
        </w:rPr>
        <w:t>1、筛分粗料</w:t>
      </w:r>
    </w:p>
    <w:p>
      <w:pPr>
        <w:autoSpaceDE w:val="0"/>
        <w:autoSpaceDN w:val="0"/>
        <w:adjustRightInd w:val="0"/>
        <w:ind w:firstLine="480"/>
        <w:rPr>
          <w:rFonts w:cs="Times New Roman"/>
          <w:kern w:val="0"/>
          <w:szCs w:val="20"/>
        </w:rPr>
      </w:pPr>
      <w:r>
        <w:rPr>
          <w:rFonts w:cs="Times New Roman"/>
          <w:kern w:val="0"/>
          <w:szCs w:val="20"/>
        </w:rPr>
        <w:t>筛分粗料主要来自</w:t>
      </w:r>
      <w:r>
        <w:rPr>
          <w:rFonts w:cs="Times New Roman"/>
        </w:rPr>
        <w:t>原料预处理加工过程中，该部分粗料集中收集后外售制砖厂制砖</w:t>
      </w:r>
    </w:p>
    <w:p>
      <w:pPr>
        <w:autoSpaceDE w:val="0"/>
        <w:autoSpaceDN w:val="0"/>
        <w:adjustRightInd w:val="0"/>
        <w:ind w:firstLine="482"/>
        <w:rPr>
          <w:rFonts w:cs="Times New Roman"/>
          <w:b/>
          <w:kern w:val="0"/>
          <w:szCs w:val="20"/>
        </w:rPr>
      </w:pPr>
      <w:r>
        <w:rPr>
          <w:rFonts w:cs="Times New Roman"/>
          <w:b/>
          <w:kern w:val="0"/>
          <w:szCs w:val="20"/>
        </w:rPr>
        <w:t>2、废坯、废瓷</w:t>
      </w:r>
    </w:p>
    <w:p>
      <w:pPr>
        <w:autoSpaceDE w:val="0"/>
        <w:autoSpaceDN w:val="0"/>
        <w:adjustRightInd w:val="0"/>
        <w:ind w:firstLine="480"/>
        <w:rPr>
          <w:rFonts w:cs="Times New Roman"/>
          <w:kern w:val="0"/>
          <w:szCs w:val="20"/>
        </w:rPr>
      </w:pPr>
      <w:r>
        <w:rPr>
          <w:rFonts w:cs="Times New Roman"/>
          <w:kern w:val="0"/>
          <w:szCs w:val="20"/>
        </w:rPr>
        <w:t>陶瓷生产过程中的废坯主要来自于成型修坯、烧成检修等过程中；废瓷来自于辊道釉烧窑炉烧成后经检验不合格的产品。项目产生废坯可全部返回原料车间经粉碎后在球磨工序回用。废瓷可全部返回原料制备工段利用。</w:t>
      </w:r>
    </w:p>
    <w:p>
      <w:pPr>
        <w:ind w:firstLine="482"/>
        <w:rPr>
          <w:rFonts w:cs="Times New Roman"/>
          <w:b/>
          <w:kern w:val="0"/>
          <w:szCs w:val="20"/>
        </w:rPr>
      </w:pPr>
      <w:r>
        <w:rPr>
          <w:rFonts w:cs="Times New Roman"/>
          <w:b/>
          <w:kern w:val="0"/>
          <w:szCs w:val="20"/>
        </w:rPr>
        <w:t>3、污泥</w:t>
      </w:r>
    </w:p>
    <w:p>
      <w:pPr>
        <w:ind w:firstLine="480"/>
        <w:rPr>
          <w:rFonts w:cs="Times New Roman"/>
          <w:kern w:val="0"/>
          <w:szCs w:val="20"/>
        </w:rPr>
      </w:pPr>
      <w:r>
        <w:rPr>
          <w:rFonts w:cs="Times New Roman"/>
          <w:kern w:val="0"/>
          <w:szCs w:val="20"/>
        </w:rPr>
        <w:t>项目生产废水池污泥主要成分为Al</w:t>
      </w:r>
      <w:r>
        <w:rPr>
          <w:rFonts w:cs="Times New Roman"/>
          <w:kern w:val="0"/>
          <w:szCs w:val="20"/>
          <w:vertAlign w:val="subscript"/>
        </w:rPr>
        <w:t>2</w:t>
      </w:r>
      <w:r>
        <w:rPr>
          <w:rFonts w:cs="Times New Roman"/>
          <w:kern w:val="0"/>
          <w:szCs w:val="20"/>
        </w:rPr>
        <w:t>O</w:t>
      </w:r>
      <w:r>
        <w:rPr>
          <w:rFonts w:cs="Times New Roman"/>
          <w:kern w:val="0"/>
          <w:szCs w:val="20"/>
          <w:vertAlign w:val="subscript"/>
        </w:rPr>
        <w:t>3</w:t>
      </w:r>
      <w:r>
        <w:rPr>
          <w:rFonts w:cs="Times New Roman"/>
          <w:kern w:val="0"/>
          <w:szCs w:val="20"/>
        </w:rPr>
        <w:t>、SiO</w:t>
      </w:r>
      <w:r>
        <w:rPr>
          <w:rFonts w:cs="Times New Roman"/>
          <w:kern w:val="0"/>
          <w:szCs w:val="20"/>
          <w:vertAlign w:val="subscript"/>
        </w:rPr>
        <w:t>2</w:t>
      </w:r>
      <w:r>
        <w:rPr>
          <w:rFonts w:cs="Times New Roman"/>
          <w:kern w:val="0"/>
          <w:szCs w:val="20"/>
        </w:rPr>
        <w:t>，且杂质含量低。由于建筑陶瓷对原料要求不高，因此本项目生产废水产生的污泥可全部返回原料制备工段利用。生活污水处理站污泥定期清掏后，委托当地环卫部门处置。</w:t>
      </w:r>
    </w:p>
    <w:p>
      <w:pPr>
        <w:ind w:firstLine="482"/>
        <w:rPr>
          <w:rFonts w:cs="Times New Roman"/>
          <w:b/>
          <w:kern w:val="0"/>
          <w:szCs w:val="20"/>
        </w:rPr>
      </w:pPr>
      <w:r>
        <w:rPr>
          <w:rFonts w:cs="Times New Roman"/>
          <w:b/>
          <w:kern w:val="0"/>
          <w:szCs w:val="20"/>
        </w:rPr>
        <w:t>4、炉渣</w:t>
      </w:r>
    </w:p>
    <w:p>
      <w:pPr>
        <w:ind w:firstLine="480"/>
        <w:rPr>
          <w:rFonts w:cs="Times New Roman"/>
          <w:kern w:val="0"/>
          <w:szCs w:val="20"/>
        </w:rPr>
      </w:pPr>
      <w:r>
        <w:rPr>
          <w:rFonts w:cs="Times New Roman"/>
          <w:kern w:val="0"/>
          <w:szCs w:val="20"/>
        </w:rPr>
        <w:t>项目热风炉产生的炉渣全堆存于厂内渣堆棚，</w:t>
      </w:r>
      <w:r>
        <w:rPr>
          <w:rFonts w:cs="Times New Roman"/>
        </w:rPr>
        <w:t>定期外销给制砖厂制砖</w:t>
      </w:r>
      <w:r>
        <w:rPr>
          <w:rFonts w:cs="Times New Roman"/>
          <w:kern w:val="0"/>
          <w:szCs w:val="20"/>
        </w:rPr>
        <w:t>。</w:t>
      </w:r>
    </w:p>
    <w:p>
      <w:pPr>
        <w:autoSpaceDE w:val="0"/>
        <w:autoSpaceDN w:val="0"/>
        <w:adjustRightInd w:val="0"/>
        <w:ind w:firstLine="482"/>
        <w:rPr>
          <w:rFonts w:cs="Times New Roman"/>
          <w:b/>
          <w:kern w:val="0"/>
          <w:szCs w:val="20"/>
        </w:rPr>
      </w:pPr>
      <w:r>
        <w:rPr>
          <w:rFonts w:cs="Times New Roman"/>
          <w:b/>
          <w:kern w:val="0"/>
          <w:szCs w:val="20"/>
        </w:rPr>
        <w:t>5、粉尘</w:t>
      </w:r>
    </w:p>
    <w:p>
      <w:pPr>
        <w:adjustRightInd w:val="0"/>
        <w:snapToGrid w:val="0"/>
        <w:ind w:firstLine="480"/>
        <w:rPr>
          <w:rFonts w:cs="Times New Roman"/>
        </w:rPr>
      </w:pPr>
      <w:r>
        <w:rPr>
          <w:rFonts w:cs="Times New Roman"/>
        </w:rPr>
        <w:t>本项目生产过程中热风炉除尘器收集烟尘，堆至煤渣棚，定期外售；煤堆场布袋除尘器收集的粉尘主要为煤粉，收集后用作水煤浆制备煤粉；其余布袋除尘器收集的粉尘全部返回原料配料工段利用。</w:t>
      </w:r>
    </w:p>
    <w:p>
      <w:pPr>
        <w:ind w:firstLine="482"/>
        <w:rPr>
          <w:rFonts w:cs="Times New Roman"/>
          <w:b/>
          <w:kern w:val="0"/>
          <w:szCs w:val="20"/>
        </w:rPr>
      </w:pPr>
      <w:r>
        <w:rPr>
          <w:rFonts w:cs="Times New Roman"/>
          <w:b/>
          <w:kern w:val="0"/>
          <w:szCs w:val="20"/>
        </w:rPr>
        <w:t>6、脱硫石膏</w:t>
      </w:r>
    </w:p>
    <w:p>
      <w:pPr>
        <w:ind w:firstLine="480"/>
        <w:rPr>
          <w:rFonts w:cs="Times New Roman"/>
          <w:kern w:val="0"/>
          <w:szCs w:val="20"/>
        </w:rPr>
      </w:pPr>
      <w:r>
        <w:rPr>
          <w:rFonts w:cs="Times New Roman"/>
          <w:kern w:val="0"/>
          <w:szCs w:val="20"/>
        </w:rPr>
        <w:t>项目脱硫石膏全堆于厂内渣堆棚，外售水泥厂或建材厂用作原料。</w:t>
      </w:r>
    </w:p>
    <w:p>
      <w:pPr>
        <w:adjustRightInd w:val="0"/>
        <w:snapToGrid w:val="0"/>
        <w:ind w:firstLine="482"/>
        <w:rPr>
          <w:rFonts w:cs="Times New Roman"/>
          <w:b/>
          <w:kern w:val="0"/>
        </w:rPr>
      </w:pPr>
      <w:r>
        <w:rPr>
          <w:rFonts w:cs="Times New Roman"/>
          <w:b/>
          <w:kern w:val="0"/>
          <w:szCs w:val="20"/>
        </w:rPr>
        <w:t>7、</w:t>
      </w:r>
      <w:r>
        <w:rPr>
          <w:rFonts w:cs="Times New Roman"/>
          <w:b/>
          <w:kern w:val="0"/>
        </w:rPr>
        <w:t>废油墨盒</w:t>
      </w:r>
    </w:p>
    <w:p>
      <w:pPr>
        <w:ind w:firstLine="480"/>
        <w:rPr>
          <w:rFonts w:cs="Times New Roman"/>
          <w:kern w:val="0"/>
        </w:rPr>
      </w:pPr>
      <w:r>
        <w:rPr>
          <w:rFonts w:cs="Times New Roman"/>
          <w:kern w:val="0"/>
        </w:rPr>
        <w:t>本项目油墨使用会产生废油墨盒，根据建设单位提供的资料，本项目使用油墨不属于危险配置品且不含油任何危险物质，因此属于一般固废，全部由厂家回收。</w:t>
      </w:r>
    </w:p>
    <w:p>
      <w:pPr>
        <w:adjustRightInd w:val="0"/>
        <w:snapToGrid w:val="0"/>
        <w:ind w:firstLine="482"/>
        <w:rPr>
          <w:rFonts w:cs="Times New Roman"/>
          <w:b/>
          <w:kern w:val="0"/>
        </w:rPr>
      </w:pPr>
      <w:r>
        <w:rPr>
          <w:rFonts w:cs="Times New Roman"/>
          <w:b/>
          <w:kern w:val="0"/>
        </w:rPr>
        <w:t>8、废陶瓷辊棒</w:t>
      </w:r>
    </w:p>
    <w:p>
      <w:pPr>
        <w:adjustRightInd w:val="0"/>
        <w:snapToGrid w:val="0"/>
        <w:ind w:firstLine="480"/>
        <w:rPr>
          <w:rFonts w:cs="Times New Roman"/>
          <w:kern w:val="0"/>
        </w:rPr>
      </w:pPr>
      <w:r>
        <w:rPr>
          <w:rFonts w:cs="Times New Roman"/>
          <w:kern w:val="0"/>
        </w:rPr>
        <w:t>本项目生产过程需要使用陶瓷辊棒，经破碎后回用于生产。</w:t>
      </w:r>
    </w:p>
    <w:p>
      <w:pPr>
        <w:ind w:firstLine="482"/>
        <w:rPr>
          <w:rFonts w:cs="Times New Roman"/>
          <w:b/>
          <w:kern w:val="0"/>
          <w:szCs w:val="20"/>
        </w:rPr>
      </w:pPr>
      <w:r>
        <w:rPr>
          <w:rFonts w:cs="Times New Roman"/>
          <w:b/>
          <w:kern w:val="0"/>
          <w:szCs w:val="20"/>
        </w:rPr>
        <w:t>9、废机油</w:t>
      </w:r>
    </w:p>
    <w:p>
      <w:pPr>
        <w:ind w:firstLine="480"/>
        <w:rPr>
          <w:rFonts w:cs="Times New Roman"/>
          <w:kern w:val="0"/>
          <w:szCs w:val="20"/>
        </w:rPr>
      </w:pPr>
      <w:r>
        <w:rPr>
          <w:rFonts w:cs="Times New Roman"/>
          <w:kern w:val="0"/>
          <w:szCs w:val="20"/>
        </w:rPr>
        <w:t>项目生产过程中设备维修会产生废机油属于危险废物</w:t>
      </w:r>
      <w:r>
        <w:rPr>
          <w:rFonts w:cs="Times New Roman"/>
        </w:rPr>
        <w:t>（HW08 900-249-08）</w:t>
      </w:r>
      <w:r>
        <w:rPr>
          <w:rFonts w:cs="Times New Roman"/>
          <w:kern w:val="0"/>
          <w:szCs w:val="20"/>
        </w:rPr>
        <w:t>，采用专用桶收集后，暂存于危废暂存间，用作压机刷油，不外排。</w:t>
      </w:r>
    </w:p>
    <w:p>
      <w:pPr>
        <w:adjustRightInd w:val="0"/>
        <w:snapToGrid w:val="0"/>
        <w:ind w:firstLine="482"/>
        <w:rPr>
          <w:rFonts w:cs="Times New Roman"/>
          <w:b/>
        </w:rPr>
      </w:pPr>
      <w:r>
        <w:rPr>
          <w:rFonts w:cs="Times New Roman"/>
          <w:b/>
        </w:rPr>
        <w:t>10、废岩棉</w:t>
      </w:r>
    </w:p>
    <w:p>
      <w:pPr>
        <w:adjustRightInd w:val="0"/>
        <w:snapToGrid w:val="0"/>
        <w:ind w:left="137" w:leftChars="57" w:firstLine="360" w:firstLineChars="150"/>
        <w:rPr>
          <w:rFonts w:cs="Times New Roman"/>
        </w:rPr>
      </w:pPr>
      <w:r>
        <w:rPr>
          <w:rFonts w:cs="Times New Roman"/>
        </w:rPr>
        <w:t>本项目设备检修会产生废岩棉，属于按一般固废处置。</w:t>
      </w:r>
    </w:p>
    <w:p>
      <w:pPr>
        <w:ind w:firstLine="480"/>
        <w:rPr>
          <w:rFonts w:cs="Times New Roman"/>
          <w:kern w:val="0"/>
          <w:szCs w:val="20"/>
        </w:rPr>
      </w:pPr>
      <w:r>
        <w:rPr>
          <w:rFonts w:cs="Times New Roman"/>
          <w:kern w:val="0"/>
          <w:szCs w:val="20"/>
        </w:rPr>
        <w:t>综上所述，项目生产中</w:t>
      </w:r>
      <w:r>
        <w:rPr>
          <w:rFonts w:cs="Times New Roman"/>
        </w:rPr>
        <w:t>产生的筛分粗料、废坯、废瓷，生产废水沉淀池和生活污水处理设施产生的污泥，除尘器收集的粉尘以及炉渣、石灰石膏法脱硫产生的脱硫石膏、废油墨盒、废辊道棒、废机油、</w:t>
      </w:r>
      <w:r>
        <w:rPr>
          <w:rFonts w:cs="Times New Roman"/>
          <w:kern w:val="0"/>
          <w:szCs w:val="20"/>
        </w:rPr>
        <w:t>均可得到合理处置，处置率可达100%。</w:t>
      </w:r>
    </w:p>
    <w:p>
      <w:pPr>
        <w:pStyle w:val="69"/>
        <w:ind w:firstLine="0" w:firstLineChars="0"/>
        <w:outlineLvl w:val="3"/>
        <w:rPr>
          <w:b/>
          <w:bCs/>
        </w:rPr>
      </w:pPr>
      <w:r>
        <w:rPr>
          <w:b/>
          <w:bCs/>
        </w:rPr>
        <w:t>5.2.7.3 生活垃圾处置</w:t>
      </w:r>
    </w:p>
    <w:p>
      <w:pPr>
        <w:ind w:firstLine="480"/>
        <w:rPr>
          <w:rFonts w:cs="Times New Roman"/>
          <w:kern w:val="0"/>
          <w:szCs w:val="20"/>
        </w:rPr>
      </w:pPr>
      <w:r>
        <w:rPr>
          <w:rFonts w:cs="Times New Roman"/>
          <w:kern w:val="0"/>
          <w:szCs w:val="20"/>
        </w:rPr>
        <w:t>项目生活垃圾的物质主要有纸、厨房垃圾、塑料等，对环境的影响是多方面的，特别是厨房垃圾（废弃包装袋、饮料瓶、残菜剩饭）如不及时清运走，在高温的天气，会产生恶臭，使人产生厌恶感。因此建设项目在厂区设置垃圾桶，产生的生活垃圾由建设单位统一收集于垃圾桶后委托当地环卫部门处置。</w:t>
      </w:r>
    </w:p>
    <w:p>
      <w:pPr>
        <w:pStyle w:val="69"/>
        <w:ind w:firstLine="0" w:firstLineChars="0"/>
        <w:outlineLvl w:val="3"/>
        <w:rPr>
          <w:b/>
          <w:bCs/>
        </w:rPr>
      </w:pPr>
      <w:r>
        <w:rPr>
          <w:b/>
          <w:bCs/>
        </w:rPr>
        <w:t>5.2.7.4 小结</w:t>
      </w:r>
    </w:p>
    <w:p>
      <w:pPr>
        <w:ind w:firstLine="480"/>
        <w:rPr>
          <w:rFonts w:cs="Times New Roman"/>
          <w:kern w:val="0"/>
          <w:szCs w:val="20"/>
        </w:rPr>
      </w:pPr>
      <w:r>
        <w:rPr>
          <w:rFonts w:cs="Times New Roman"/>
          <w:kern w:val="0"/>
          <w:szCs w:val="20"/>
        </w:rPr>
        <w:t>由以上分析可知，该项目运营期产生的各类固废均得到了妥善的处置，不外排，且各类固废的处理措施均可行，因此固废对环境的影响不大。</w:t>
      </w:r>
    </w:p>
    <w:p>
      <w:pPr>
        <w:pStyle w:val="4"/>
        <w:adjustRightInd w:val="0"/>
        <w:snapToGrid w:val="0"/>
        <w:jc w:val="left"/>
        <w:rPr>
          <w:rFonts w:cs="Times New Roman"/>
          <w:szCs w:val="24"/>
        </w:rPr>
      </w:pPr>
      <w:bookmarkStart w:id="170" w:name="_Toc86611314"/>
      <w:r>
        <w:rPr>
          <w:rFonts w:cs="Times New Roman"/>
          <w:szCs w:val="24"/>
        </w:rPr>
        <w:t>5.2.8 土壤环境影响分析</w:t>
      </w:r>
      <w:bookmarkEnd w:id="170"/>
    </w:p>
    <w:p>
      <w:pPr>
        <w:pStyle w:val="69"/>
        <w:ind w:firstLine="0" w:firstLineChars="0"/>
        <w:outlineLvl w:val="3"/>
        <w:rPr>
          <w:b/>
          <w:bCs/>
        </w:rPr>
      </w:pPr>
      <w:r>
        <w:rPr>
          <w:b/>
          <w:bCs/>
        </w:rPr>
        <w:t>5.2.8.1 环境影响识别</w:t>
      </w:r>
    </w:p>
    <w:p>
      <w:pPr>
        <w:ind w:firstLine="482"/>
        <w:rPr>
          <w:rFonts w:cs="Times New Roman"/>
          <w:b/>
          <w:kern w:val="0"/>
          <w:szCs w:val="20"/>
        </w:rPr>
      </w:pPr>
      <w:r>
        <w:rPr>
          <w:rFonts w:cs="Times New Roman"/>
          <w:b/>
          <w:kern w:val="0"/>
          <w:szCs w:val="20"/>
        </w:rPr>
        <w:t>1、项目类型</w:t>
      </w:r>
    </w:p>
    <w:p>
      <w:pPr>
        <w:ind w:firstLine="480"/>
        <w:rPr>
          <w:rFonts w:cs="Times New Roman"/>
          <w:kern w:val="0"/>
          <w:szCs w:val="20"/>
        </w:rPr>
      </w:pPr>
      <w:r>
        <w:rPr>
          <w:rFonts w:cs="Times New Roman"/>
          <w:kern w:val="0"/>
          <w:szCs w:val="20"/>
        </w:rPr>
        <w:t>根据《环境影响评价技术导则土壤环境（试行）》（HJ964-2018）附表A.1，本项目属于“金属冶炼和压延加工及非金属矿物制品”行业中“其他”，项目类别为Ⅲ类。</w:t>
      </w:r>
    </w:p>
    <w:p>
      <w:pPr>
        <w:ind w:firstLine="482"/>
        <w:rPr>
          <w:rFonts w:cs="Times New Roman"/>
          <w:b/>
          <w:kern w:val="0"/>
          <w:szCs w:val="20"/>
        </w:rPr>
      </w:pPr>
      <w:r>
        <w:rPr>
          <w:rFonts w:cs="Times New Roman"/>
          <w:b/>
          <w:kern w:val="0"/>
          <w:szCs w:val="20"/>
        </w:rPr>
        <w:t>2、影响类型及途径</w:t>
      </w:r>
    </w:p>
    <w:p>
      <w:pPr>
        <w:autoSpaceDE w:val="0"/>
        <w:autoSpaceDN w:val="0"/>
        <w:adjustRightInd w:val="0"/>
        <w:ind w:firstLine="480"/>
        <w:rPr>
          <w:rFonts w:cs="Times New Roman"/>
          <w:kern w:val="0"/>
          <w:szCs w:val="20"/>
        </w:rPr>
      </w:pPr>
      <w:r>
        <w:rPr>
          <w:rFonts w:cs="Times New Roman"/>
          <w:kern w:val="0"/>
          <w:szCs w:val="20"/>
        </w:rPr>
        <w:t>拟建项目施工期主要为土方施工、厂房建设及设备安装，主要污染物为施工期扬尘，不涉及土壤污染影响。营运期窑炉烟气涉及氟化物外排对土壤有大气沉降影响，</w:t>
      </w:r>
      <w:r>
        <w:rPr>
          <w:rFonts w:hint="eastAsia" w:cs="Times New Roman"/>
          <w:kern w:val="0"/>
          <w:szCs w:val="20"/>
        </w:rPr>
        <w:t>废水</w:t>
      </w:r>
      <w:r>
        <w:rPr>
          <w:rFonts w:cs="Times New Roman"/>
          <w:kern w:val="0"/>
          <w:szCs w:val="20"/>
        </w:rPr>
        <w:t>在事故泄漏工况下下渗将会对土壤造成垂直入渗影响。本项目生产废水</w:t>
      </w:r>
      <w:r>
        <w:rPr>
          <w:rFonts w:cs="Times New Roman"/>
        </w:rPr>
        <w:t>经多级沉淀池处理后，上清液由泵提升回球磨工序循环再用，不外排；生活污水采用A/O型污水处理装置处理后近期</w:t>
      </w:r>
      <w:r>
        <w:rPr>
          <w:rFonts w:hint="eastAsia" w:cs="Times New Roman"/>
        </w:rPr>
        <w:t>排入白象河</w:t>
      </w:r>
      <w:r>
        <w:rPr>
          <w:rFonts w:cs="Times New Roman"/>
        </w:rPr>
        <w:t>，</w:t>
      </w:r>
      <w:r>
        <w:rPr>
          <w:rFonts w:cs="Times New Roman"/>
          <w:kern w:val="0"/>
          <w:szCs w:val="20"/>
        </w:rPr>
        <w:t>不会造成废水地面漫流影响。拟建项目不涉及酸、碱、盐类物质，不会造成土壤酸化、碱化、盐化。综上，本项目影响类型见表5.2-37。</w:t>
      </w:r>
    </w:p>
    <w:p>
      <w:pPr>
        <w:pStyle w:val="14"/>
        <w:spacing w:before="163" w:beforeLines="50"/>
        <w:ind w:firstLine="420"/>
        <w:rPr>
          <w:color w:val="auto"/>
          <w:szCs w:val="24"/>
        </w:rPr>
      </w:pPr>
      <w:r>
        <w:rPr>
          <w:color w:val="auto"/>
          <w:szCs w:val="24"/>
        </w:rPr>
        <w:t>表5.2-37  建设项目土壤环境影响类型与影响途径表</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040"/>
        <w:gridCol w:w="988"/>
        <w:gridCol w:w="1018"/>
        <w:gridCol w:w="989"/>
        <w:gridCol w:w="906"/>
        <w:gridCol w:w="906"/>
        <w:gridCol w:w="844"/>
        <w:gridCol w:w="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3" w:type="dxa"/>
            <w:vMerge w:val="restart"/>
            <w:vAlign w:val="center"/>
          </w:tcPr>
          <w:p>
            <w:pPr>
              <w:spacing w:line="240" w:lineRule="auto"/>
              <w:ind w:firstLine="0" w:firstLineChars="0"/>
              <w:jc w:val="center"/>
              <w:rPr>
                <w:b/>
                <w:sz w:val="21"/>
                <w:szCs w:val="21"/>
              </w:rPr>
            </w:pPr>
            <w:r>
              <w:rPr>
                <w:b/>
                <w:sz w:val="21"/>
                <w:szCs w:val="21"/>
              </w:rPr>
              <w:t>不同阶段</w:t>
            </w:r>
          </w:p>
        </w:tc>
        <w:tc>
          <w:tcPr>
            <w:tcW w:w="4035" w:type="dxa"/>
            <w:gridSpan w:val="4"/>
            <w:vAlign w:val="center"/>
          </w:tcPr>
          <w:p>
            <w:pPr>
              <w:spacing w:line="240" w:lineRule="auto"/>
              <w:ind w:firstLine="0" w:firstLineChars="0"/>
              <w:jc w:val="center"/>
              <w:rPr>
                <w:b/>
                <w:sz w:val="21"/>
                <w:szCs w:val="21"/>
              </w:rPr>
            </w:pPr>
            <w:r>
              <w:rPr>
                <w:b/>
                <w:sz w:val="21"/>
                <w:szCs w:val="21"/>
              </w:rPr>
              <w:t>污染影响型</w:t>
            </w:r>
          </w:p>
        </w:tc>
        <w:tc>
          <w:tcPr>
            <w:tcW w:w="3500" w:type="dxa"/>
            <w:gridSpan w:val="4"/>
            <w:vAlign w:val="center"/>
          </w:tcPr>
          <w:p>
            <w:pPr>
              <w:spacing w:line="240" w:lineRule="auto"/>
              <w:ind w:firstLine="0" w:firstLineChars="0"/>
              <w:jc w:val="center"/>
              <w:rPr>
                <w:b/>
                <w:sz w:val="21"/>
                <w:szCs w:val="21"/>
              </w:rPr>
            </w:pPr>
            <w:r>
              <w:rPr>
                <w:b/>
                <w:sz w:val="21"/>
                <w:szCs w:val="21"/>
              </w:rPr>
              <w:t>生态影响型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3" w:type="dxa"/>
            <w:vMerge w:val="continue"/>
            <w:vAlign w:val="center"/>
          </w:tcPr>
          <w:p>
            <w:pPr>
              <w:spacing w:line="240" w:lineRule="auto"/>
              <w:ind w:firstLine="0" w:firstLineChars="0"/>
              <w:jc w:val="center"/>
              <w:rPr>
                <w:sz w:val="21"/>
                <w:szCs w:val="21"/>
              </w:rPr>
            </w:pPr>
          </w:p>
        </w:tc>
        <w:tc>
          <w:tcPr>
            <w:tcW w:w="1040" w:type="dxa"/>
            <w:vAlign w:val="center"/>
          </w:tcPr>
          <w:p>
            <w:pPr>
              <w:spacing w:line="240" w:lineRule="auto"/>
              <w:ind w:firstLine="0" w:firstLineChars="0"/>
              <w:jc w:val="center"/>
              <w:rPr>
                <w:sz w:val="21"/>
                <w:szCs w:val="21"/>
              </w:rPr>
            </w:pPr>
            <w:r>
              <w:rPr>
                <w:sz w:val="21"/>
                <w:szCs w:val="21"/>
              </w:rPr>
              <w:t>大气沉降</w:t>
            </w:r>
          </w:p>
        </w:tc>
        <w:tc>
          <w:tcPr>
            <w:tcW w:w="988" w:type="dxa"/>
            <w:vAlign w:val="center"/>
          </w:tcPr>
          <w:p>
            <w:pPr>
              <w:spacing w:line="240" w:lineRule="auto"/>
              <w:ind w:firstLine="0" w:firstLineChars="0"/>
              <w:jc w:val="center"/>
              <w:rPr>
                <w:sz w:val="21"/>
                <w:szCs w:val="21"/>
              </w:rPr>
            </w:pPr>
            <w:r>
              <w:rPr>
                <w:sz w:val="21"/>
                <w:szCs w:val="21"/>
              </w:rPr>
              <w:t>地面漫流</w:t>
            </w:r>
          </w:p>
        </w:tc>
        <w:tc>
          <w:tcPr>
            <w:tcW w:w="1018" w:type="dxa"/>
            <w:vAlign w:val="center"/>
          </w:tcPr>
          <w:p>
            <w:pPr>
              <w:spacing w:line="240" w:lineRule="auto"/>
              <w:ind w:firstLine="0" w:firstLineChars="0"/>
              <w:jc w:val="center"/>
              <w:rPr>
                <w:sz w:val="21"/>
                <w:szCs w:val="21"/>
              </w:rPr>
            </w:pPr>
            <w:r>
              <w:rPr>
                <w:sz w:val="21"/>
                <w:szCs w:val="21"/>
              </w:rPr>
              <w:t>垂直入渗</w:t>
            </w:r>
          </w:p>
        </w:tc>
        <w:tc>
          <w:tcPr>
            <w:tcW w:w="989" w:type="dxa"/>
            <w:vAlign w:val="center"/>
          </w:tcPr>
          <w:p>
            <w:pPr>
              <w:spacing w:line="240" w:lineRule="auto"/>
              <w:ind w:firstLine="0" w:firstLineChars="0"/>
              <w:jc w:val="center"/>
              <w:rPr>
                <w:sz w:val="21"/>
                <w:szCs w:val="21"/>
              </w:rPr>
            </w:pPr>
            <w:r>
              <w:rPr>
                <w:sz w:val="21"/>
                <w:szCs w:val="21"/>
              </w:rPr>
              <w:t>其它</w:t>
            </w:r>
          </w:p>
        </w:tc>
        <w:tc>
          <w:tcPr>
            <w:tcW w:w="906" w:type="dxa"/>
            <w:vAlign w:val="center"/>
          </w:tcPr>
          <w:p>
            <w:pPr>
              <w:spacing w:line="240" w:lineRule="auto"/>
              <w:ind w:firstLine="0" w:firstLineChars="0"/>
              <w:jc w:val="center"/>
              <w:rPr>
                <w:sz w:val="21"/>
                <w:szCs w:val="21"/>
              </w:rPr>
            </w:pPr>
            <w:r>
              <w:rPr>
                <w:sz w:val="21"/>
                <w:szCs w:val="21"/>
              </w:rPr>
              <w:t>盐化</w:t>
            </w:r>
          </w:p>
        </w:tc>
        <w:tc>
          <w:tcPr>
            <w:tcW w:w="906" w:type="dxa"/>
            <w:vAlign w:val="center"/>
          </w:tcPr>
          <w:p>
            <w:pPr>
              <w:spacing w:line="240" w:lineRule="auto"/>
              <w:ind w:firstLine="0" w:firstLineChars="0"/>
              <w:jc w:val="center"/>
              <w:rPr>
                <w:sz w:val="21"/>
                <w:szCs w:val="21"/>
              </w:rPr>
            </w:pPr>
            <w:r>
              <w:rPr>
                <w:sz w:val="21"/>
                <w:szCs w:val="21"/>
              </w:rPr>
              <w:t>碱化</w:t>
            </w:r>
          </w:p>
        </w:tc>
        <w:tc>
          <w:tcPr>
            <w:tcW w:w="844" w:type="dxa"/>
            <w:vAlign w:val="center"/>
          </w:tcPr>
          <w:p>
            <w:pPr>
              <w:spacing w:line="240" w:lineRule="auto"/>
              <w:ind w:firstLine="0" w:firstLineChars="0"/>
              <w:jc w:val="center"/>
              <w:rPr>
                <w:sz w:val="21"/>
                <w:szCs w:val="21"/>
              </w:rPr>
            </w:pPr>
            <w:r>
              <w:rPr>
                <w:sz w:val="21"/>
                <w:szCs w:val="21"/>
              </w:rPr>
              <w:t>酸化</w:t>
            </w:r>
          </w:p>
        </w:tc>
        <w:tc>
          <w:tcPr>
            <w:tcW w:w="844" w:type="dxa"/>
            <w:vAlign w:val="center"/>
          </w:tcPr>
          <w:p>
            <w:pPr>
              <w:spacing w:line="240" w:lineRule="auto"/>
              <w:ind w:firstLine="0" w:firstLineChars="0"/>
              <w:jc w:val="center"/>
              <w:rPr>
                <w:sz w:val="21"/>
                <w:szCs w:val="21"/>
              </w:rPr>
            </w:pPr>
            <w:r>
              <w:rPr>
                <w:sz w:val="21"/>
                <w:szCs w:val="21"/>
              </w:rPr>
              <w:t>其它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3" w:type="dxa"/>
            <w:vAlign w:val="center"/>
          </w:tcPr>
          <w:p>
            <w:pPr>
              <w:spacing w:line="240" w:lineRule="auto"/>
              <w:ind w:firstLine="0" w:firstLineChars="0"/>
              <w:jc w:val="center"/>
              <w:rPr>
                <w:sz w:val="21"/>
                <w:szCs w:val="21"/>
              </w:rPr>
            </w:pPr>
            <w:r>
              <w:rPr>
                <w:sz w:val="21"/>
                <w:szCs w:val="21"/>
              </w:rPr>
              <w:t>建设期</w:t>
            </w:r>
          </w:p>
        </w:tc>
        <w:tc>
          <w:tcPr>
            <w:tcW w:w="1040" w:type="dxa"/>
            <w:vAlign w:val="center"/>
          </w:tcPr>
          <w:p>
            <w:pPr>
              <w:spacing w:line="240" w:lineRule="auto"/>
              <w:ind w:firstLine="0" w:firstLineChars="0"/>
              <w:jc w:val="center"/>
              <w:rPr>
                <w:sz w:val="21"/>
                <w:szCs w:val="21"/>
              </w:rPr>
            </w:pPr>
          </w:p>
        </w:tc>
        <w:tc>
          <w:tcPr>
            <w:tcW w:w="988" w:type="dxa"/>
            <w:vAlign w:val="center"/>
          </w:tcPr>
          <w:p>
            <w:pPr>
              <w:spacing w:line="240" w:lineRule="auto"/>
              <w:ind w:firstLine="0" w:firstLineChars="0"/>
              <w:jc w:val="center"/>
              <w:rPr>
                <w:sz w:val="21"/>
                <w:szCs w:val="21"/>
              </w:rPr>
            </w:pPr>
          </w:p>
        </w:tc>
        <w:tc>
          <w:tcPr>
            <w:tcW w:w="1018" w:type="dxa"/>
            <w:vAlign w:val="center"/>
          </w:tcPr>
          <w:p>
            <w:pPr>
              <w:spacing w:line="240" w:lineRule="auto"/>
              <w:ind w:firstLine="0" w:firstLineChars="0"/>
              <w:jc w:val="center"/>
              <w:rPr>
                <w:sz w:val="21"/>
                <w:szCs w:val="21"/>
              </w:rPr>
            </w:pPr>
          </w:p>
        </w:tc>
        <w:tc>
          <w:tcPr>
            <w:tcW w:w="989" w:type="dxa"/>
            <w:vAlign w:val="center"/>
          </w:tcPr>
          <w:p>
            <w:pPr>
              <w:spacing w:line="240" w:lineRule="auto"/>
              <w:ind w:firstLine="0" w:firstLineChars="0"/>
              <w:jc w:val="center"/>
              <w:rPr>
                <w:sz w:val="21"/>
                <w:szCs w:val="21"/>
              </w:rPr>
            </w:pPr>
          </w:p>
        </w:tc>
        <w:tc>
          <w:tcPr>
            <w:tcW w:w="906" w:type="dxa"/>
            <w:vAlign w:val="center"/>
          </w:tcPr>
          <w:p>
            <w:pPr>
              <w:spacing w:line="240" w:lineRule="auto"/>
              <w:ind w:firstLine="0" w:firstLineChars="0"/>
              <w:jc w:val="center"/>
              <w:rPr>
                <w:sz w:val="21"/>
                <w:szCs w:val="21"/>
              </w:rPr>
            </w:pPr>
          </w:p>
        </w:tc>
        <w:tc>
          <w:tcPr>
            <w:tcW w:w="906" w:type="dxa"/>
            <w:vAlign w:val="center"/>
          </w:tcPr>
          <w:p>
            <w:pPr>
              <w:spacing w:line="240" w:lineRule="auto"/>
              <w:ind w:firstLine="0" w:firstLineChars="0"/>
              <w:jc w:val="center"/>
              <w:rPr>
                <w:sz w:val="21"/>
                <w:szCs w:val="21"/>
              </w:rPr>
            </w:pPr>
          </w:p>
        </w:tc>
        <w:tc>
          <w:tcPr>
            <w:tcW w:w="844" w:type="dxa"/>
            <w:vAlign w:val="center"/>
          </w:tcPr>
          <w:p>
            <w:pPr>
              <w:spacing w:line="240" w:lineRule="auto"/>
              <w:ind w:firstLine="0" w:firstLineChars="0"/>
              <w:jc w:val="center"/>
              <w:rPr>
                <w:sz w:val="21"/>
                <w:szCs w:val="21"/>
              </w:rPr>
            </w:pPr>
          </w:p>
        </w:tc>
        <w:tc>
          <w:tcPr>
            <w:tcW w:w="844" w:type="dxa"/>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3" w:type="dxa"/>
            <w:vAlign w:val="center"/>
          </w:tcPr>
          <w:p>
            <w:pPr>
              <w:spacing w:line="240" w:lineRule="auto"/>
              <w:ind w:firstLine="0" w:firstLineChars="0"/>
              <w:jc w:val="center"/>
              <w:rPr>
                <w:sz w:val="21"/>
                <w:szCs w:val="21"/>
              </w:rPr>
            </w:pPr>
            <w:r>
              <w:rPr>
                <w:sz w:val="21"/>
                <w:szCs w:val="21"/>
              </w:rPr>
              <w:t>运营期</w:t>
            </w:r>
          </w:p>
        </w:tc>
        <w:tc>
          <w:tcPr>
            <w:tcW w:w="1040" w:type="dxa"/>
            <w:vAlign w:val="center"/>
          </w:tcPr>
          <w:p>
            <w:pPr>
              <w:spacing w:line="240" w:lineRule="auto"/>
              <w:ind w:firstLine="0" w:firstLineChars="0"/>
              <w:jc w:val="center"/>
              <w:rPr>
                <w:rFonts w:eastAsiaTheme="minorEastAsia"/>
                <w:sz w:val="21"/>
                <w:szCs w:val="21"/>
              </w:rPr>
            </w:pPr>
            <w:r>
              <w:rPr>
                <w:rFonts w:ascii="Segoe UI Emoji" w:hAnsi="Segoe UI Emoji" w:cs="Segoe UI Emoji"/>
                <w:sz w:val="21"/>
                <w:szCs w:val="21"/>
              </w:rPr>
              <w:t>✔</w:t>
            </w:r>
          </w:p>
        </w:tc>
        <w:tc>
          <w:tcPr>
            <w:tcW w:w="988" w:type="dxa"/>
            <w:vAlign w:val="center"/>
          </w:tcPr>
          <w:p>
            <w:pPr>
              <w:spacing w:line="240" w:lineRule="auto"/>
              <w:ind w:firstLine="0" w:firstLineChars="0"/>
              <w:jc w:val="center"/>
              <w:rPr>
                <w:sz w:val="21"/>
                <w:szCs w:val="21"/>
              </w:rPr>
            </w:pPr>
          </w:p>
        </w:tc>
        <w:tc>
          <w:tcPr>
            <w:tcW w:w="1018" w:type="dxa"/>
            <w:vAlign w:val="center"/>
          </w:tcPr>
          <w:p>
            <w:pPr>
              <w:spacing w:line="240" w:lineRule="auto"/>
              <w:ind w:firstLine="0" w:firstLineChars="0"/>
              <w:jc w:val="center"/>
              <w:rPr>
                <w:sz w:val="21"/>
                <w:szCs w:val="21"/>
              </w:rPr>
            </w:pPr>
            <w:r>
              <w:rPr>
                <w:rFonts w:ascii="Segoe UI Emoji" w:hAnsi="Segoe UI Emoji" w:cs="Segoe UI Emoji"/>
                <w:sz w:val="21"/>
                <w:szCs w:val="21"/>
              </w:rPr>
              <w:t>✔</w:t>
            </w:r>
          </w:p>
        </w:tc>
        <w:tc>
          <w:tcPr>
            <w:tcW w:w="989" w:type="dxa"/>
            <w:vAlign w:val="center"/>
          </w:tcPr>
          <w:p>
            <w:pPr>
              <w:spacing w:line="240" w:lineRule="auto"/>
              <w:ind w:firstLine="0" w:firstLineChars="0"/>
              <w:jc w:val="center"/>
              <w:rPr>
                <w:sz w:val="21"/>
                <w:szCs w:val="21"/>
              </w:rPr>
            </w:pPr>
          </w:p>
        </w:tc>
        <w:tc>
          <w:tcPr>
            <w:tcW w:w="906" w:type="dxa"/>
            <w:vAlign w:val="center"/>
          </w:tcPr>
          <w:p>
            <w:pPr>
              <w:spacing w:line="240" w:lineRule="auto"/>
              <w:ind w:firstLine="0" w:firstLineChars="0"/>
              <w:jc w:val="center"/>
              <w:rPr>
                <w:sz w:val="21"/>
                <w:szCs w:val="21"/>
              </w:rPr>
            </w:pPr>
          </w:p>
        </w:tc>
        <w:tc>
          <w:tcPr>
            <w:tcW w:w="906" w:type="dxa"/>
            <w:vAlign w:val="center"/>
          </w:tcPr>
          <w:p>
            <w:pPr>
              <w:spacing w:line="240" w:lineRule="auto"/>
              <w:ind w:firstLine="0" w:firstLineChars="0"/>
              <w:jc w:val="center"/>
              <w:rPr>
                <w:sz w:val="21"/>
                <w:szCs w:val="21"/>
              </w:rPr>
            </w:pPr>
          </w:p>
        </w:tc>
        <w:tc>
          <w:tcPr>
            <w:tcW w:w="844" w:type="dxa"/>
            <w:vAlign w:val="center"/>
          </w:tcPr>
          <w:p>
            <w:pPr>
              <w:spacing w:line="240" w:lineRule="auto"/>
              <w:ind w:firstLine="0" w:firstLineChars="0"/>
              <w:jc w:val="center"/>
              <w:rPr>
                <w:sz w:val="21"/>
                <w:szCs w:val="21"/>
              </w:rPr>
            </w:pPr>
          </w:p>
        </w:tc>
        <w:tc>
          <w:tcPr>
            <w:tcW w:w="844" w:type="dxa"/>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3" w:type="dxa"/>
            <w:vAlign w:val="center"/>
          </w:tcPr>
          <w:p>
            <w:pPr>
              <w:spacing w:line="240" w:lineRule="auto"/>
              <w:ind w:firstLine="0" w:firstLineChars="0"/>
              <w:jc w:val="center"/>
              <w:rPr>
                <w:sz w:val="21"/>
                <w:szCs w:val="21"/>
              </w:rPr>
            </w:pPr>
            <w:r>
              <w:rPr>
                <w:sz w:val="21"/>
                <w:szCs w:val="21"/>
              </w:rPr>
              <w:t>服务期满后</w:t>
            </w:r>
          </w:p>
        </w:tc>
        <w:tc>
          <w:tcPr>
            <w:tcW w:w="1040" w:type="dxa"/>
            <w:vAlign w:val="center"/>
          </w:tcPr>
          <w:p>
            <w:pPr>
              <w:spacing w:line="240" w:lineRule="auto"/>
              <w:ind w:firstLine="0" w:firstLineChars="0"/>
              <w:jc w:val="center"/>
              <w:rPr>
                <w:sz w:val="21"/>
                <w:szCs w:val="21"/>
              </w:rPr>
            </w:pPr>
          </w:p>
        </w:tc>
        <w:tc>
          <w:tcPr>
            <w:tcW w:w="988" w:type="dxa"/>
            <w:vAlign w:val="center"/>
          </w:tcPr>
          <w:p>
            <w:pPr>
              <w:spacing w:line="240" w:lineRule="auto"/>
              <w:ind w:firstLine="0" w:firstLineChars="0"/>
              <w:jc w:val="center"/>
              <w:rPr>
                <w:sz w:val="21"/>
                <w:szCs w:val="21"/>
              </w:rPr>
            </w:pPr>
          </w:p>
        </w:tc>
        <w:tc>
          <w:tcPr>
            <w:tcW w:w="1018" w:type="dxa"/>
            <w:vAlign w:val="center"/>
          </w:tcPr>
          <w:p>
            <w:pPr>
              <w:spacing w:line="240" w:lineRule="auto"/>
              <w:ind w:firstLine="0" w:firstLineChars="0"/>
              <w:jc w:val="center"/>
              <w:rPr>
                <w:sz w:val="21"/>
                <w:szCs w:val="21"/>
              </w:rPr>
            </w:pPr>
          </w:p>
        </w:tc>
        <w:tc>
          <w:tcPr>
            <w:tcW w:w="989" w:type="dxa"/>
            <w:vAlign w:val="center"/>
          </w:tcPr>
          <w:p>
            <w:pPr>
              <w:spacing w:line="240" w:lineRule="auto"/>
              <w:ind w:firstLine="0" w:firstLineChars="0"/>
              <w:jc w:val="center"/>
              <w:rPr>
                <w:sz w:val="21"/>
                <w:szCs w:val="21"/>
              </w:rPr>
            </w:pPr>
          </w:p>
        </w:tc>
        <w:tc>
          <w:tcPr>
            <w:tcW w:w="906" w:type="dxa"/>
            <w:vAlign w:val="center"/>
          </w:tcPr>
          <w:p>
            <w:pPr>
              <w:spacing w:line="240" w:lineRule="auto"/>
              <w:ind w:firstLine="0" w:firstLineChars="0"/>
              <w:jc w:val="center"/>
              <w:rPr>
                <w:sz w:val="21"/>
                <w:szCs w:val="21"/>
              </w:rPr>
            </w:pPr>
          </w:p>
        </w:tc>
        <w:tc>
          <w:tcPr>
            <w:tcW w:w="906" w:type="dxa"/>
            <w:vAlign w:val="center"/>
          </w:tcPr>
          <w:p>
            <w:pPr>
              <w:spacing w:line="240" w:lineRule="auto"/>
              <w:ind w:firstLine="0" w:firstLineChars="0"/>
              <w:jc w:val="center"/>
              <w:rPr>
                <w:sz w:val="21"/>
                <w:szCs w:val="21"/>
              </w:rPr>
            </w:pPr>
          </w:p>
        </w:tc>
        <w:tc>
          <w:tcPr>
            <w:tcW w:w="844" w:type="dxa"/>
            <w:vAlign w:val="center"/>
          </w:tcPr>
          <w:p>
            <w:pPr>
              <w:spacing w:line="240" w:lineRule="auto"/>
              <w:ind w:firstLine="0" w:firstLineChars="0"/>
              <w:jc w:val="center"/>
              <w:rPr>
                <w:sz w:val="21"/>
                <w:szCs w:val="21"/>
              </w:rPr>
            </w:pPr>
          </w:p>
        </w:tc>
        <w:tc>
          <w:tcPr>
            <w:tcW w:w="844" w:type="dxa"/>
            <w:vAlign w:val="center"/>
          </w:tcPr>
          <w:p>
            <w:pPr>
              <w:spacing w:line="240" w:lineRule="auto"/>
              <w:ind w:firstLine="0" w:firstLineChars="0"/>
              <w:jc w:val="center"/>
              <w:rPr>
                <w:sz w:val="21"/>
                <w:szCs w:val="21"/>
              </w:rPr>
            </w:pPr>
          </w:p>
        </w:tc>
      </w:tr>
    </w:tbl>
    <w:p>
      <w:pPr>
        <w:autoSpaceDE w:val="0"/>
        <w:autoSpaceDN w:val="0"/>
        <w:adjustRightInd w:val="0"/>
        <w:ind w:firstLine="480"/>
        <w:rPr>
          <w:rFonts w:cs="Times New Roman"/>
          <w:kern w:val="0"/>
          <w:szCs w:val="20"/>
        </w:rPr>
      </w:pPr>
      <w:r>
        <w:rPr>
          <w:rFonts w:cs="Times New Roman"/>
          <w:kern w:val="0"/>
          <w:szCs w:val="20"/>
        </w:rPr>
        <w:t>由表5.2-28 可知，拟建项目影响途径主要为运营期大气沉降污染和垂直入渗污染，因此拟建项目土壤环境影响类型为“污染影响型”。</w:t>
      </w:r>
    </w:p>
    <w:p>
      <w:pPr>
        <w:autoSpaceDE w:val="0"/>
        <w:autoSpaceDN w:val="0"/>
        <w:adjustRightInd w:val="0"/>
        <w:ind w:firstLine="482"/>
        <w:rPr>
          <w:rFonts w:cs="Times New Roman"/>
          <w:b/>
          <w:kern w:val="0"/>
          <w:szCs w:val="20"/>
        </w:rPr>
      </w:pPr>
      <w:r>
        <w:rPr>
          <w:rFonts w:cs="Times New Roman"/>
          <w:b/>
          <w:kern w:val="0"/>
          <w:szCs w:val="20"/>
        </w:rPr>
        <w:t>3、占地规模</w:t>
      </w:r>
    </w:p>
    <w:p>
      <w:pPr>
        <w:autoSpaceDE w:val="0"/>
        <w:autoSpaceDN w:val="0"/>
        <w:adjustRightInd w:val="0"/>
        <w:ind w:firstLine="480"/>
        <w:rPr>
          <w:rFonts w:cs="Times New Roman"/>
          <w:kern w:val="0"/>
          <w:szCs w:val="20"/>
        </w:rPr>
      </w:pPr>
      <w:r>
        <w:rPr>
          <w:rFonts w:cs="Times New Roman"/>
          <w:kern w:val="0"/>
          <w:szCs w:val="20"/>
        </w:rPr>
        <w:t>本项目建设项目占地面积约1165333.2m</w:t>
      </w:r>
      <w:r>
        <w:rPr>
          <w:rFonts w:cs="Times New Roman"/>
          <w:kern w:val="0"/>
          <w:szCs w:val="20"/>
          <w:vertAlign w:val="superscript"/>
        </w:rPr>
        <w:t>2</w:t>
      </w:r>
      <w:r>
        <w:rPr>
          <w:rFonts w:cs="Times New Roman"/>
          <w:kern w:val="0"/>
          <w:szCs w:val="20"/>
        </w:rPr>
        <w:t>（116.53hm</w:t>
      </w:r>
      <w:r>
        <w:rPr>
          <w:rFonts w:cs="Times New Roman"/>
          <w:kern w:val="0"/>
          <w:szCs w:val="20"/>
          <w:vertAlign w:val="superscript"/>
        </w:rPr>
        <w:t>2</w:t>
      </w:r>
      <w:r>
        <w:rPr>
          <w:rFonts w:cs="Times New Roman"/>
          <w:kern w:val="0"/>
          <w:szCs w:val="20"/>
        </w:rPr>
        <w:t>），占地规模为大型（≥50hm</w:t>
      </w:r>
      <w:r>
        <w:rPr>
          <w:rFonts w:cs="Times New Roman"/>
          <w:kern w:val="0"/>
          <w:szCs w:val="20"/>
          <w:vertAlign w:val="superscript"/>
        </w:rPr>
        <w:t>2</w:t>
      </w:r>
      <w:r>
        <w:rPr>
          <w:rFonts w:cs="Times New Roman"/>
          <w:kern w:val="0"/>
          <w:szCs w:val="20"/>
        </w:rPr>
        <w:t>）。</w:t>
      </w:r>
    </w:p>
    <w:p>
      <w:pPr>
        <w:autoSpaceDE w:val="0"/>
        <w:autoSpaceDN w:val="0"/>
        <w:adjustRightInd w:val="0"/>
        <w:ind w:firstLine="482"/>
        <w:rPr>
          <w:rFonts w:cs="Times New Roman"/>
          <w:b/>
          <w:kern w:val="0"/>
          <w:szCs w:val="20"/>
        </w:rPr>
      </w:pPr>
      <w:r>
        <w:rPr>
          <w:rFonts w:cs="Times New Roman"/>
          <w:b/>
          <w:kern w:val="0"/>
          <w:szCs w:val="20"/>
        </w:rPr>
        <w:t>4、土壤环境敏感程度</w:t>
      </w:r>
    </w:p>
    <w:p>
      <w:pPr>
        <w:autoSpaceDE w:val="0"/>
        <w:autoSpaceDN w:val="0"/>
        <w:adjustRightInd w:val="0"/>
        <w:ind w:firstLine="480"/>
        <w:rPr>
          <w:rFonts w:cs="Times New Roman"/>
          <w:bCs/>
        </w:rPr>
      </w:pPr>
      <w:r>
        <w:rPr>
          <w:rFonts w:cs="Times New Roman"/>
          <w:kern w:val="0"/>
          <w:szCs w:val="20"/>
        </w:rPr>
        <w:t>本项目位于</w:t>
      </w:r>
      <w:r>
        <w:rPr>
          <w:rFonts w:cs="Times New Roman"/>
          <w:bCs/>
        </w:rPr>
        <w:t>衡阳界牌陶瓷循环经济特色工业园区，项目500m范围内存在居民和耕地，故项目所在地周边土壤环境敏感程度为敏感。</w:t>
      </w:r>
    </w:p>
    <w:p>
      <w:pPr>
        <w:autoSpaceDE w:val="0"/>
        <w:autoSpaceDN w:val="0"/>
        <w:adjustRightInd w:val="0"/>
        <w:ind w:firstLine="482"/>
        <w:rPr>
          <w:rFonts w:cs="Times New Roman"/>
          <w:b/>
          <w:bCs/>
        </w:rPr>
      </w:pPr>
      <w:r>
        <w:rPr>
          <w:rFonts w:cs="Times New Roman"/>
          <w:b/>
          <w:bCs/>
        </w:rPr>
        <w:t>5、评价等级</w:t>
      </w:r>
    </w:p>
    <w:p>
      <w:pPr>
        <w:autoSpaceDE w:val="0"/>
        <w:autoSpaceDN w:val="0"/>
        <w:adjustRightInd w:val="0"/>
        <w:ind w:firstLine="480"/>
        <w:rPr>
          <w:rFonts w:cs="Times New Roman"/>
          <w:kern w:val="0"/>
          <w:szCs w:val="20"/>
        </w:rPr>
      </w:pPr>
      <w:r>
        <w:rPr>
          <w:rFonts w:cs="Times New Roman"/>
          <w:kern w:val="0"/>
          <w:szCs w:val="20"/>
        </w:rPr>
        <w:t>根据《环境影响评价技术导则土壤环境（试行）》（HJ964-2018）表4 污染影响型评价工作等级划分表，本项目土壤环境影响评价等级为三级。</w:t>
      </w:r>
    </w:p>
    <w:p>
      <w:pPr>
        <w:pStyle w:val="69"/>
        <w:ind w:firstLine="0" w:firstLineChars="0"/>
        <w:outlineLvl w:val="3"/>
        <w:rPr>
          <w:b/>
          <w:bCs/>
        </w:rPr>
      </w:pPr>
      <w:r>
        <w:rPr>
          <w:b/>
          <w:bCs/>
        </w:rPr>
        <w:t>5.2.8.2 现状调查与评价</w:t>
      </w:r>
    </w:p>
    <w:p>
      <w:pPr>
        <w:autoSpaceDE w:val="0"/>
        <w:autoSpaceDN w:val="0"/>
        <w:adjustRightInd w:val="0"/>
        <w:ind w:firstLine="482"/>
        <w:rPr>
          <w:rFonts w:cs="Times New Roman"/>
          <w:b/>
          <w:kern w:val="0"/>
        </w:rPr>
      </w:pPr>
      <w:r>
        <w:rPr>
          <w:rFonts w:cs="Times New Roman"/>
          <w:b/>
          <w:kern w:val="0"/>
        </w:rPr>
        <w:t>1、调查范围</w:t>
      </w:r>
    </w:p>
    <w:p>
      <w:pPr>
        <w:autoSpaceDE w:val="0"/>
        <w:autoSpaceDN w:val="0"/>
        <w:adjustRightInd w:val="0"/>
        <w:ind w:firstLine="480"/>
        <w:rPr>
          <w:rFonts w:cs="Times New Roman"/>
          <w:kern w:val="0"/>
        </w:rPr>
      </w:pPr>
      <w:r>
        <w:rPr>
          <w:rFonts w:cs="Times New Roman"/>
          <w:kern w:val="0"/>
        </w:rPr>
        <w:t>根据《环境影响评价技术导则土壤环境（试行）》（HJ964-2018），结合项目特性，土壤现状调查范围为项目占地范围及占地范围外0.05km 范围，面积136.45hm</w:t>
      </w:r>
      <w:r>
        <w:rPr>
          <w:rFonts w:cs="Times New Roman"/>
          <w:kern w:val="0"/>
          <w:vertAlign w:val="superscript"/>
        </w:rPr>
        <w:t>2</w:t>
      </w:r>
      <w:r>
        <w:rPr>
          <w:rFonts w:cs="Times New Roman"/>
          <w:kern w:val="0"/>
        </w:rPr>
        <w:t>。</w:t>
      </w:r>
    </w:p>
    <w:p>
      <w:pPr>
        <w:autoSpaceDE w:val="0"/>
        <w:autoSpaceDN w:val="0"/>
        <w:adjustRightInd w:val="0"/>
        <w:ind w:firstLine="482"/>
        <w:rPr>
          <w:rFonts w:cs="Times New Roman"/>
          <w:b/>
          <w:kern w:val="0"/>
          <w:szCs w:val="20"/>
        </w:rPr>
      </w:pPr>
      <w:r>
        <w:rPr>
          <w:rFonts w:cs="Times New Roman"/>
          <w:b/>
          <w:kern w:val="0"/>
          <w:szCs w:val="20"/>
        </w:rPr>
        <w:t>2、敏感目标</w:t>
      </w:r>
    </w:p>
    <w:p>
      <w:pPr>
        <w:autoSpaceDE w:val="0"/>
        <w:autoSpaceDN w:val="0"/>
        <w:adjustRightInd w:val="0"/>
        <w:ind w:firstLine="480"/>
        <w:rPr>
          <w:rFonts w:cs="Times New Roman"/>
          <w:kern w:val="0"/>
        </w:rPr>
      </w:pPr>
      <w:r>
        <w:rPr>
          <w:rFonts w:cs="Times New Roman"/>
          <w:kern w:val="0"/>
        </w:rPr>
        <w:t>项目占地范围及占地范围外0.05km，范围无周边居民点，但有少量耕地。</w:t>
      </w:r>
    </w:p>
    <w:p>
      <w:pPr>
        <w:autoSpaceDE w:val="0"/>
        <w:autoSpaceDN w:val="0"/>
        <w:adjustRightInd w:val="0"/>
        <w:ind w:firstLine="482"/>
        <w:rPr>
          <w:rFonts w:cs="Times New Roman"/>
          <w:b/>
          <w:kern w:val="0"/>
          <w:szCs w:val="20"/>
        </w:rPr>
      </w:pPr>
      <w:r>
        <w:rPr>
          <w:rFonts w:cs="Times New Roman"/>
          <w:b/>
          <w:kern w:val="0"/>
          <w:szCs w:val="20"/>
        </w:rPr>
        <w:t>3、土地利用类型调查</w:t>
      </w:r>
    </w:p>
    <w:p>
      <w:pPr>
        <w:autoSpaceDE w:val="0"/>
        <w:autoSpaceDN w:val="0"/>
        <w:adjustRightInd w:val="0"/>
        <w:ind w:firstLine="480"/>
        <w:rPr>
          <w:rFonts w:cs="Times New Roman"/>
          <w:kern w:val="0"/>
          <w:szCs w:val="20"/>
        </w:rPr>
      </w:pPr>
      <w:r>
        <w:rPr>
          <w:rFonts w:cs="Times New Roman"/>
          <w:kern w:val="0"/>
          <w:szCs w:val="20"/>
        </w:rPr>
        <w:t>根据现场调查结果，拟建项目场地及周边土地利用类型调查结果见表5.2-38。</w:t>
      </w:r>
    </w:p>
    <w:p>
      <w:pPr>
        <w:pStyle w:val="14"/>
        <w:spacing w:before="163" w:beforeLines="50"/>
        <w:ind w:firstLine="420"/>
        <w:rPr>
          <w:color w:val="auto"/>
          <w:szCs w:val="24"/>
        </w:rPr>
      </w:pPr>
      <w:r>
        <w:rPr>
          <w:color w:val="auto"/>
          <w:szCs w:val="24"/>
        </w:rPr>
        <w:t>表5.2-38  土壤评价范围现状土地利用利用类型</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1560"/>
        <w:gridCol w:w="1134"/>
        <w:gridCol w:w="45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Align w:val="center"/>
          </w:tcPr>
          <w:p>
            <w:pPr>
              <w:spacing w:line="240" w:lineRule="auto"/>
              <w:ind w:firstLine="0" w:firstLineChars="0"/>
              <w:jc w:val="center"/>
              <w:rPr>
                <w:b/>
                <w:sz w:val="21"/>
                <w:szCs w:val="16"/>
              </w:rPr>
            </w:pPr>
            <w:r>
              <w:rPr>
                <w:b/>
                <w:sz w:val="21"/>
                <w:szCs w:val="16"/>
              </w:rPr>
              <w:t>土地类型</w:t>
            </w:r>
          </w:p>
        </w:tc>
        <w:tc>
          <w:tcPr>
            <w:tcW w:w="1560" w:type="dxa"/>
            <w:vAlign w:val="center"/>
          </w:tcPr>
          <w:p>
            <w:pPr>
              <w:spacing w:line="240" w:lineRule="auto"/>
              <w:ind w:firstLine="0" w:firstLineChars="0"/>
              <w:jc w:val="center"/>
              <w:rPr>
                <w:b/>
                <w:sz w:val="21"/>
                <w:szCs w:val="16"/>
              </w:rPr>
            </w:pPr>
            <w:r>
              <w:rPr>
                <w:b/>
                <w:sz w:val="21"/>
                <w:szCs w:val="16"/>
              </w:rPr>
              <w:t>面积（hm</w:t>
            </w:r>
            <w:r>
              <w:rPr>
                <w:b/>
                <w:sz w:val="21"/>
                <w:szCs w:val="16"/>
                <w:vertAlign w:val="superscript"/>
              </w:rPr>
              <w:t>2</w:t>
            </w:r>
            <w:r>
              <w:rPr>
                <w:b/>
                <w:sz w:val="21"/>
                <w:szCs w:val="16"/>
              </w:rPr>
              <w:t>）</w:t>
            </w:r>
          </w:p>
        </w:tc>
        <w:tc>
          <w:tcPr>
            <w:tcW w:w="1134" w:type="dxa"/>
            <w:vAlign w:val="center"/>
          </w:tcPr>
          <w:p>
            <w:pPr>
              <w:spacing w:line="240" w:lineRule="auto"/>
              <w:ind w:firstLine="0" w:firstLineChars="0"/>
              <w:jc w:val="center"/>
              <w:rPr>
                <w:b/>
                <w:sz w:val="21"/>
                <w:szCs w:val="16"/>
              </w:rPr>
            </w:pPr>
            <w:r>
              <w:rPr>
                <w:b/>
                <w:sz w:val="21"/>
                <w:szCs w:val="16"/>
              </w:rPr>
              <w:t>占比</w:t>
            </w:r>
          </w:p>
        </w:tc>
        <w:tc>
          <w:tcPr>
            <w:tcW w:w="4592" w:type="dxa"/>
            <w:vAlign w:val="center"/>
          </w:tcPr>
          <w:p>
            <w:pPr>
              <w:spacing w:line="240" w:lineRule="auto"/>
              <w:ind w:firstLine="0" w:firstLineChars="0"/>
              <w:jc w:val="center"/>
              <w:rPr>
                <w:b/>
                <w:sz w:val="21"/>
                <w:szCs w:val="16"/>
              </w:rPr>
            </w:pPr>
            <w:r>
              <w:rPr>
                <w:b/>
                <w:sz w:val="21"/>
                <w:szCs w:val="16"/>
              </w:rPr>
              <w:t>分布情况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Align w:val="center"/>
          </w:tcPr>
          <w:p>
            <w:pPr>
              <w:spacing w:line="240" w:lineRule="auto"/>
              <w:ind w:firstLine="0" w:firstLineChars="0"/>
              <w:jc w:val="center"/>
              <w:rPr>
                <w:sz w:val="21"/>
                <w:szCs w:val="16"/>
              </w:rPr>
            </w:pPr>
            <w:r>
              <w:rPr>
                <w:sz w:val="21"/>
                <w:szCs w:val="16"/>
              </w:rPr>
              <w:t>农用地</w:t>
            </w:r>
          </w:p>
        </w:tc>
        <w:tc>
          <w:tcPr>
            <w:tcW w:w="1560" w:type="dxa"/>
            <w:vAlign w:val="center"/>
          </w:tcPr>
          <w:p>
            <w:pPr>
              <w:spacing w:line="240" w:lineRule="auto"/>
              <w:ind w:firstLine="0" w:firstLineChars="0"/>
              <w:jc w:val="center"/>
              <w:rPr>
                <w:sz w:val="21"/>
                <w:szCs w:val="16"/>
              </w:rPr>
            </w:pPr>
            <w:r>
              <w:rPr>
                <w:sz w:val="21"/>
                <w:szCs w:val="16"/>
              </w:rPr>
              <w:t>18.36</w:t>
            </w:r>
          </w:p>
        </w:tc>
        <w:tc>
          <w:tcPr>
            <w:tcW w:w="1134" w:type="dxa"/>
            <w:vAlign w:val="center"/>
          </w:tcPr>
          <w:p>
            <w:pPr>
              <w:spacing w:line="240" w:lineRule="auto"/>
              <w:ind w:firstLine="0" w:firstLineChars="0"/>
              <w:jc w:val="center"/>
              <w:rPr>
                <w:sz w:val="21"/>
                <w:szCs w:val="16"/>
              </w:rPr>
            </w:pPr>
            <w:r>
              <w:rPr>
                <w:sz w:val="21"/>
                <w:szCs w:val="16"/>
              </w:rPr>
              <w:t>13.45</w:t>
            </w:r>
          </w:p>
        </w:tc>
        <w:tc>
          <w:tcPr>
            <w:tcW w:w="4592" w:type="dxa"/>
            <w:vAlign w:val="center"/>
          </w:tcPr>
          <w:p>
            <w:pPr>
              <w:spacing w:line="240" w:lineRule="auto"/>
              <w:ind w:firstLine="0" w:firstLineChars="0"/>
              <w:jc w:val="center"/>
              <w:rPr>
                <w:sz w:val="21"/>
                <w:szCs w:val="16"/>
              </w:rPr>
            </w:pPr>
            <w:r>
              <w:rPr>
                <w:sz w:val="21"/>
                <w:szCs w:val="16"/>
              </w:rPr>
              <w:t>主要包括高碧塘、方坳村等村庄的农田，在拟建项目厂址四周分布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Align w:val="center"/>
          </w:tcPr>
          <w:p>
            <w:pPr>
              <w:spacing w:line="240" w:lineRule="auto"/>
              <w:ind w:firstLine="0" w:firstLineChars="0"/>
              <w:jc w:val="center"/>
              <w:rPr>
                <w:sz w:val="21"/>
                <w:szCs w:val="16"/>
              </w:rPr>
            </w:pPr>
            <w:r>
              <w:rPr>
                <w:sz w:val="21"/>
                <w:szCs w:val="16"/>
              </w:rPr>
              <w:t>河滩地</w:t>
            </w:r>
          </w:p>
        </w:tc>
        <w:tc>
          <w:tcPr>
            <w:tcW w:w="1560" w:type="dxa"/>
            <w:vAlign w:val="center"/>
          </w:tcPr>
          <w:p>
            <w:pPr>
              <w:spacing w:line="240" w:lineRule="auto"/>
              <w:ind w:firstLine="0" w:firstLineChars="0"/>
              <w:jc w:val="center"/>
              <w:rPr>
                <w:sz w:val="21"/>
                <w:szCs w:val="16"/>
              </w:rPr>
            </w:pPr>
            <w:r>
              <w:rPr>
                <w:sz w:val="21"/>
                <w:szCs w:val="16"/>
              </w:rPr>
              <w:t>0.96</w:t>
            </w:r>
          </w:p>
        </w:tc>
        <w:tc>
          <w:tcPr>
            <w:tcW w:w="1134" w:type="dxa"/>
            <w:vAlign w:val="center"/>
          </w:tcPr>
          <w:p>
            <w:pPr>
              <w:spacing w:line="240" w:lineRule="auto"/>
              <w:ind w:firstLine="0" w:firstLineChars="0"/>
              <w:jc w:val="center"/>
              <w:rPr>
                <w:sz w:val="21"/>
                <w:szCs w:val="16"/>
              </w:rPr>
            </w:pPr>
            <w:r>
              <w:rPr>
                <w:sz w:val="21"/>
                <w:szCs w:val="16"/>
              </w:rPr>
              <w:t>0. 70</w:t>
            </w:r>
          </w:p>
        </w:tc>
        <w:tc>
          <w:tcPr>
            <w:tcW w:w="4592" w:type="dxa"/>
            <w:vAlign w:val="center"/>
          </w:tcPr>
          <w:p>
            <w:pPr>
              <w:spacing w:line="240" w:lineRule="auto"/>
              <w:ind w:firstLine="0" w:firstLineChars="0"/>
              <w:jc w:val="center"/>
              <w:rPr>
                <w:sz w:val="21"/>
                <w:szCs w:val="16"/>
              </w:rPr>
            </w:pPr>
            <w:r>
              <w:rPr>
                <w:sz w:val="21"/>
                <w:szCs w:val="16"/>
              </w:rPr>
              <w:t>无名水塘，在调查范围北部分布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Align w:val="center"/>
          </w:tcPr>
          <w:p>
            <w:pPr>
              <w:spacing w:line="240" w:lineRule="auto"/>
              <w:ind w:firstLine="0" w:firstLineChars="0"/>
              <w:jc w:val="center"/>
              <w:rPr>
                <w:sz w:val="21"/>
                <w:szCs w:val="16"/>
              </w:rPr>
            </w:pPr>
            <w:r>
              <w:rPr>
                <w:sz w:val="21"/>
                <w:szCs w:val="16"/>
              </w:rPr>
              <w:t>其他用</w:t>
            </w:r>
          </w:p>
        </w:tc>
        <w:tc>
          <w:tcPr>
            <w:tcW w:w="1560" w:type="dxa"/>
            <w:vAlign w:val="center"/>
          </w:tcPr>
          <w:p>
            <w:pPr>
              <w:spacing w:line="240" w:lineRule="auto"/>
              <w:ind w:firstLine="0" w:firstLineChars="0"/>
              <w:jc w:val="center"/>
              <w:rPr>
                <w:sz w:val="21"/>
                <w:szCs w:val="16"/>
              </w:rPr>
            </w:pPr>
            <w:r>
              <w:rPr>
                <w:sz w:val="21"/>
                <w:szCs w:val="16"/>
              </w:rPr>
              <w:t>117.13</w:t>
            </w:r>
          </w:p>
        </w:tc>
        <w:tc>
          <w:tcPr>
            <w:tcW w:w="1134" w:type="dxa"/>
            <w:vAlign w:val="center"/>
          </w:tcPr>
          <w:p>
            <w:pPr>
              <w:spacing w:line="240" w:lineRule="auto"/>
              <w:ind w:firstLine="0" w:firstLineChars="0"/>
              <w:jc w:val="center"/>
              <w:rPr>
                <w:sz w:val="21"/>
                <w:szCs w:val="16"/>
              </w:rPr>
            </w:pPr>
            <w:r>
              <w:rPr>
                <w:sz w:val="21"/>
                <w:szCs w:val="16"/>
              </w:rPr>
              <w:t>85.85</w:t>
            </w:r>
          </w:p>
        </w:tc>
        <w:tc>
          <w:tcPr>
            <w:tcW w:w="4592" w:type="dxa"/>
            <w:vAlign w:val="center"/>
          </w:tcPr>
          <w:p>
            <w:pPr>
              <w:spacing w:line="240" w:lineRule="auto"/>
              <w:ind w:firstLine="0" w:firstLineChars="0"/>
              <w:jc w:val="center"/>
              <w:rPr>
                <w:sz w:val="21"/>
                <w:szCs w:val="16"/>
              </w:rPr>
            </w:pPr>
            <w:r>
              <w:rPr>
                <w:sz w:val="21"/>
                <w:szCs w:val="16"/>
              </w:rPr>
              <w:t>主要为荒地等待开发开发建设用地</w:t>
            </w:r>
          </w:p>
        </w:tc>
      </w:tr>
    </w:tbl>
    <w:p>
      <w:pPr>
        <w:autoSpaceDE w:val="0"/>
        <w:autoSpaceDN w:val="0"/>
        <w:adjustRightInd w:val="0"/>
        <w:ind w:firstLine="482"/>
        <w:rPr>
          <w:rFonts w:cs="Times New Roman"/>
          <w:b/>
          <w:kern w:val="0"/>
        </w:rPr>
      </w:pPr>
      <w:r>
        <w:rPr>
          <w:rFonts w:cs="Times New Roman"/>
          <w:b/>
          <w:kern w:val="0"/>
        </w:rPr>
        <w:t>4、影响源调查</w:t>
      </w:r>
    </w:p>
    <w:p>
      <w:pPr>
        <w:autoSpaceDE w:val="0"/>
        <w:autoSpaceDN w:val="0"/>
        <w:adjustRightInd w:val="0"/>
        <w:ind w:firstLine="480"/>
        <w:rPr>
          <w:rFonts w:cs="Times New Roman"/>
          <w:kern w:val="0"/>
          <w:szCs w:val="20"/>
        </w:rPr>
      </w:pPr>
      <w:r>
        <w:rPr>
          <w:rFonts w:cs="Times New Roman"/>
          <w:kern w:val="0"/>
          <w:szCs w:val="20"/>
        </w:rPr>
        <w:t>调查评价范围内现无工业企业，无与建设项目产生同种特征因子或造成相同土壤环境影响后果的影响源。</w:t>
      </w:r>
    </w:p>
    <w:p>
      <w:pPr>
        <w:pStyle w:val="69"/>
        <w:ind w:firstLine="0" w:firstLineChars="0"/>
        <w:outlineLvl w:val="3"/>
        <w:rPr>
          <w:b/>
          <w:bCs/>
        </w:rPr>
      </w:pPr>
      <w:r>
        <w:rPr>
          <w:b/>
          <w:bCs/>
        </w:rPr>
        <w:t>5.2.8.3 影响分析</w:t>
      </w:r>
    </w:p>
    <w:p>
      <w:pPr>
        <w:autoSpaceDE w:val="0"/>
        <w:autoSpaceDN w:val="0"/>
        <w:adjustRightInd w:val="0"/>
        <w:ind w:firstLine="482"/>
        <w:rPr>
          <w:rFonts w:cs="Times New Roman"/>
          <w:b/>
          <w:kern w:val="0"/>
          <w:szCs w:val="20"/>
        </w:rPr>
      </w:pPr>
      <w:r>
        <w:rPr>
          <w:rFonts w:cs="Times New Roman"/>
          <w:b/>
          <w:kern w:val="0"/>
          <w:szCs w:val="20"/>
        </w:rPr>
        <w:t>1、氟化物对植物影响机理</w:t>
      </w:r>
    </w:p>
    <w:p>
      <w:pPr>
        <w:autoSpaceDE w:val="0"/>
        <w:autoSpaceDN w:val="0"/>
        <w:adjustRightInd w:val="0"/>
        <w:ind w:firstLine="480"/>
        <w:rPr>
          <w:rFonts w:cs="Times New Roman"/>
          <w:kern w:val="0"/>
          <w:szCs w:val="20"/>
        </w:rPr>
      </w:pPr>
      <w:r>
        <w:rPr>
          <w:rFonts w:cs="Times New Roman"/>
          <w:kern w:val="0"/>
        </w:rPr>
        <w:t>植物可从空气、土壤和水体中吸收或富集氟化物，植物吸收过多氟化物后，会出现叶褪绿，叶末端坏死，果实发育非正常或受阻等反应，从而降低作物产量，影响粮食品质。空气中的氟化物能够以气态形式通过植物叶片气孔进入植物体内，也可随着颗粒物沉积植物叶面上，这种沉积作用对植物叶片氟的贡献较大，对食用该植物的动物也造成明显伤害，叶片吸附的气氟主要分布在叶片内，而根部吸收的氟能扩散到叶片及根的组织内部，从而造成植物受氟伤害。大气中氟化物危害作物的症状是在叶尖和叶缘出现伤斑，氟化物浓度高时，症状可扩展到叶片中部，当受害严重时由于细胞枯死而出现枯斑症，作物中氟化物的分布为叶&gt;根&gt;果,氟化物对植物的影响与氟化物的浓度、暴露时间、植物种类、生长期及植物生长区的水文地质有关。不同植物或同一植物在不同生长期对氟化物敏感性相差很大，例如：开花期的水稻最易受到氟伤害，植物对大气氟化物有积累特性并与其在氟化物中的暴露时间成正比。据研究，绿色叶菜类具有约10倍高的蓄</w:t>
      </w:r>
      <w:r>
        <w:rPr>
          <w:rFonts w:cs="Times New Roman"/>
          <w:kern w:val="0"/>
          <w:szCs w:val="20"/>
        </w:rPr>
        <w:t>积，大米具有约5 倍高的蓄积，其他作物未表现出明显的蓄积；而另一方面，植物吸收氟化氢后，在叶片中仍保持可溶性状态，可能从叶片中丧失，据报道，玉米停止氟化物熏气一星期后，叶片中失去氟化物46-70%，老油菜停止氟化物熏气十一天后，失去氟化物105-310μg/g，紫花苜蓿停止氟化物熏气8-22 天失去50%，许多植物饲料一天内失去100μg/g，氟的丧失主要靠生长稀释。雨水可以洗脱植物叶片表面的氟化物，减少植物中的氟含量，从而降低植物的伤害。植物生长地土壤中的元素组成决定了氟化物在其中滞留的形式，也决定了植物中元素组成，它们都是决定氟对植物影响的重要因素。大气氟化物危害植物后，不仅能产生各种可见症状，并且对植物生长有明显影响，使生长受阻，如大麦受害后株高降低，穗长缩短，有效穗数、穗粒数和地上部分干重均明显减少，玉米受氟影响则物侯期明显延长，树木受氟危害下，春季发叶推迟、秋季落叶提前、叶片变小、分枝多、节间短、小枝丛生，植株普遍矮化，使光合作用速率下降等。大气中氟化物是引起农作物产量损失较大的污染物，相同浓度的氟化物比SO</w:t>
      </w:r>
      <w:r>
        <w:rPr>
          <w:rFonts w:cs="Times New Roman"/>
          <w:kern w:val="0"/>
          <w:sz w:val="22"/>
          <w:szCs w:val="18"/>
          <w:vertAlign w:val="subscript"/>
        </w:rPr>
        <w:t>2</w:t>
      </w:r>
      <w:r>
        <w:rPr>
          <w:rFonts w:cs="Times New Roman"/>
          <w:kern w:val="0"/>
          <w:szCs w:val="20"/>
        </w:rPr>
        <w:t>的毒性大20-100 倍，据有关资料报道，植物对氟的吸收相当迅速，并随外界氟浓度的增加而增加，在低浓度时，氟也能穿过表面皮层而蔓延开，在叶片内积蓄，其积蓄量与大气浓度相关性极为显著。</w:t>
      </w:r>
    </w:p>
    <w:p>
      <w:pPr>
        <w:autoSpaceDE w:val="0"/>
        <w:autoSpaceDN w:val="0"/>
        <w:adjustRightInd w:val="0"/>
        <w:ind w:firstLine="482"/>
        <w:rPr>
          <w:rFonts w:cs="Times New Roman"/>
          <w:b/>
          <w:kern w:val="0"/>
          <w:szCs w:val="20"/>
        </w:rPr>
      </w:pPr>
      <w:r>
        <w:rPr>
          <w:rFonts w:cs="Times New Roman"/>
          <w:b/>
          <w:kern w:val="0"/>
          <w:szCs w:val="20"/>
        </w:rPr>
        <w:t>2、作物影响分析</w:t>
      </w:r>
    </w:p>
    <w:p>
      <w:pPr>
        <w:autoSpaceDE w:val="0"/>
        <w:autoSpaceDN w:val="0"/>
        <w:adjustRightInd w:val="0"/>
        <w:ind w:firstLine="480"/>
        <w:rPr>
          <w:rFonts w:cs="Times New Roman"/>
          <w:kern w:val="0"/>
          <w:szCs w:val="20"/>
        </w:rPr>
      </w:pPr>
      <w:r>
        <w:rPr>
          <w:rFonts w:cs="Times New Roman"/>
          <w:kern w:val="0"/>
          <w:szCs w:val="20"/>
        </w:rPr>
        <w:t>目前对植物伤害阈值的确定主要是根据叶片产生可见伤害症状（一般以产生5%受害叶面积为标准）的危害剂量（HF 浓度X 暴露时间）来判断，而要确定影响植物生长或产生量的阈值则要困难得多，当前国外已开始转向探讨剂量、生长和剂量、产量关系的研究，以期找出慢性危害的阈值，单尚未有成熟结果。</w:t>
      </w:r>
    </w:p>
    <w:p>
      <w:pPr>
        <w:autoSpaceDE w:val="0"/>
        <w:autoSpaceDN w:val="0"/>
        <w:adjustRightInd w:val="0"/>
        <w:ind w:firstLine="480"/>
        <w:rPr>
          <w:rFonts w:cs="Times New Roman"/>
          <w:kern w:val="0"/>
          <w:szCs w:val="20"/>
        </w:rPr>
      </w:pPr>
    </w:p>
    <w:p>
      <w:pPr>
        <w:pStyle w:val="14"/>
        <w:spacing w:before="163" w:beforeLines="50"/>
        <w:ind w:firstLine="420"/>
        <w:rPr>
          <w:color w:val="auto"/>
          <w:szCs w:val="24"/>
        </w:rPr>
      </w:pPr>
      <w:r>
        <w:rPr>
          <w:color w:val="auto"/>
          <w:szCs w:val="24"/>
        </w:rPr>
        <w:t>表5.2-39  HF对植物的伤害阈值</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5"/>
        <w:gridCol w:w="2207"/>
        <w:gridCol w:w="2095"/>
        <w:gridCol w:w="21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pct"/>
            <w:vMerge w:val="restart"/>
            <w:vAlign w:val="center"/>
          </w:tcPr>
          <w:p>
            <w:pPr>
              <w:spacing w:line="240" w:lineRule="auto"/>
              <w:ind w:firstLine="0" w:firstLineChars="0"/>
              <w:jc w:val="center"/>
              <w:rPr>
                <w:b/>
                <w:sz w:val="21"/>
                <w:szCs w:val="18"/>
              </w:rPr>
            </w:pPr>
            <w:r>
              <w:rPr>
                <w:b/>
                <w:sz w:val="21"/>
                <w:szCs w:val="18"/>
              </w:rPr>
              <w:t>时间</w:t>
            </w:r>
          </w:p>
        </w:tc>
        <w:tc>
          <w:tcPr>
            <w:tcW w:w="3765" w:type="pct"/>
            <w:gridSpan w:val="3"/>
            <w:vAlign w:val="center"/>
          </w:tcPr>
          <w:p>
            <w:pPr>
              <w:spacing w:line="240" w:lineRule="auto"/>
              <w:ind w:firstLine="0" w:firstLineChars="0"/>
              <w:jc w:val="center"/>
              <w:rPr>
                <w:b/>
                <w:sz w:val="21"/>
                <w:szCs w:val="18"/>
              </w:rPr>
            </w:pPr>
            <w:r>
              <w:rPr>
                <w:b/>
                <w:sz w:val="21"/>
                <w:szCs w:val="18"/>
              </w:rPr>
              <w:t>产生5%伤害所需浓度（μg/m</w:t>
            </w:r>
            <w:r>
              <w:rPr>
                <w:b/>
                <w:sz w:val="21"/>
                <w:szCs w:val="18"/>
                <w:vertAlign w:val="superscript"/>
              </w:rPr>
              <w:t>3</w:t>
            </w:r>
            <w:r>
              <w:rPr>
                <w:b/>
                <w:sz w:val="21"/>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pct"/>
            <w:vMerge w:val="continue"/>
            <w:vAlign w:val="center"/>
          </w:tcPr>
          <w:p>
            <w:pPr>
              <w:spacing w:line="240" w:lineRule="auto"/>
              <w:ind w:firstLine="0" w:firstLineChars="0"/>
              <w:jc w:val="center"/>
              <w:rPr>
                <w:sz w:val="21"/>
                <w:szCs w:val="18"/>
              </w:rPr>
            </w:pPr>
          </w:p>
        </w:tc>
        <w:tc>
          <w:tcPr>
            <w:tcW w:w="1295" w:type="pct"/>
            <w:vAlign w:val="center"/>
          </w:tcPr>
          <w:p>
            <w:pPr>
              <w:spacing w:line="240" w:lineRule="auto"/>
              <w:ind w:firstLine="0" w:firstLineChars="0"/>
              <w:jc w:val="center"/>
              <w:rPr>
                <w:sz w:val="21"/>
                <w:szCs w:val="18"/>
              </w:rPr>
            </w:pPr>
            <w:r>
              <w:rPr>
                <w:sz w:val="21"/>
                <w:szCs w:val="18"/>
              </w:rPr>
              <w:t>敏感植物</w:t>
            </w:r>
          </w:p>
        </w:tc>
        <w:tc>
          <w:tcPr>
            <w:tcW w:w="1229" w:type="pct"/>
            <w:vAlign w:val="center"/>
          </w:tcPr>
          <w:p>
            <w:pPr>
              <w:spacing w:line="240" w:lineRule="auto"/>
              <w:ind w:firstLine="0" w:firstLineChars="0"/>
              <w:jc w:val="center"/>
              <w:rPr>
                <w:sz w:val="21"/>
                <w:szCs w:val="18"/>
              </w:rPr>
            </w:pPr>
            <w:r>
              <w:rPr>
                <w:sz w:val="21"/>
                <w:szCs w:val="18"/>
              </w:rPr>
              <w:t>中等植物</w:t>
            </w:r>
          </w:p>
        </w:tc>
        <w:tc>
          <w:tcPr>
            <w:tcW w:w="1241" w:type="pct"/>
            <w:vAlign w:val="center"/>
          </w:tcPr>
          <w:p>
            <w:pPr>
              <w:spacing w:line="240" w:lineRule="auto"/>
              <w:ind w:firstLine="0" w:firstLineChars="0"/>
              <w:jc w:val="center"/>
              <w:rPr>
                <w:sz w:val="21"/>
                <w:szCs w:val="18"/>
              </w:rPr>
            </w:pPr>
            <w:r>
              <w:rPr>
                <w:sz w:val="21"/>
                <w:szCs w:val="18"/>
              </w:rPr>
              <w:t>抗性植物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pct"/>
            <w:vAlign w:val="center"/>
          </w:tcPr>
          <w:p>
            <w:pPr>
              <w:spacing w:line="240" w:lineRule="auto"/>
              <w:ind w:firstLine="0" w:firstLineChars="0"/>
              <w:jc w:val="center"/>
              <w:rPr>
                <w:sz w:val="21"/>
                <w:szCs w:val="18"/>
              </w:rPr>
            </w:pPr>
            <w:r>
              <w:rPr>
                <w:sz w:val="21"/>
                <w:szCs w:val="18"/>
              </w:rPr>
              <w:t>8小时</w:t>
            </w:r>
          </w:p>
        </w:tc>
        <w:tc>
          <w:tcPr>
            <w:tcW w:w="1295" w:type="pct"/>
            <w:vAlign w:val="center"/>
          </w:tcPr>
          <w:p>
            <w:pPr>
              <w:spacing w:line="240" w:lineRule="auto"/>
              <w:ind w:firstLine="0" w:firstLineChars="0"/>
              <w:jc w:val="center"/>
              <w:rPr>
                <w:sz w:val="21"/>
                <w:szCs w:val="18"/>
              </w:rPr>
            </w:pPr>
            <w:r>
              <w:rPr>
                <w:sz w:val="21"/>
                <w:szCs w:val="18"/>
              </w:rPr>
              <w:t>2.0~6.0</w:t>
            </w:r>
          </w:p>
        </w:tc>
        <w:tc>
          <w:tcPr>
            <w:tcW w:w="1229" w:type="pct"/>
            <w:vAlign w:val="center"/>
          </w:tcPr>
          <w:p>
            <w:pPr>
              <w:spacing w:line="240" w:lineRule="auto"/>
              <w:ind w:firstLine="0" w:firstLineChars="0"/>
              <w:jc w:val="center"/>
              <w:rPr>
                <w:sz w:val="21"/>
                <w:szCs w:val="18"/>
              </w:rPr>
            </w:pPr>
            <w:r>
              <w:rPr>
                <w:sz w:val="21"/>
                <w:szCs w:val="18"/>
              </w:rPr>
              <w:t>5.0~30</w:t>
            </w:r>
          </w:p>
        </w:tc>
        <w:tc>
          <w:tcPr>
            <w:tcW w:w="1241" w:type="pct"/>
            <w:vAlign w:val="center"/>
          </w:tcPr>
          <w:p>
            <w:pPr>
              <w:spacing w:line="240" w:lineRule="auto"/>
              <w:ind w:firstLine="0" w:firstLineChars="0"/>
              <w:jc w:val="center"/>
              <w:rPr>
                <w:sz w:val="21"/>
                <w:szCs w:val="18"/>
              </w:rPr>
            </w:pPr>
            <w:r>
              <w:rPr>
                <w:sz w:val="21"/>
                <w:szCs w:val="18"/>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pct"/>
            <w:vAlign w:val="center"/>
          </w:tcPr>
          <w:p>
            <w:pPr>
              <w:spacing w:line="240" w:lineRule="auto"/>
              <w:ind w:firstLine="0" w:firstLineChars="0"/>
              <w:jc w:val="center"/>
              <w:rPr>
                <w:sz w:val="21"/>
                <w:szCs w:val="18"/>
              </w:rPr>
            </w:pPr>
            <w:r>
              <w:rPr>
                <w:sz w:val="21"/>
                <w:szCs w:val="18"/>
              </w:rPr>
              <w:t>12小时</w:t>
            </w:r>
          </w:p>
        </w:tc>
        <w:tc>
          <w:tcPr>
            <w:tcW w:w="1295" w:type="pct"/>
            <w:vAlign w:val="center"/>
          </w:tcPr>
          <w:p>
            <w:pPr>
              <w:spacing w:line="240" w:lineRule="auto"/>
              <w:ind w:firstLine="0" w:firstLineChars="0"/>
              <w:jc w:val="center"/>
              <w:rPr>
                <w:rFonts w:eastAsiaTheme="minorEastAsia"/>
                <w:sz w:val="21"/>
                <w:szCs w:val="18"/>
              </w:rPr>
            </w:pPr>
            <w:r>
              <w:rPr>
                <w:rFonts w:eastAsiaTheme="minorEastAsia"/>
                <w:sz w:val="21"/>
                <w:szCs w:val="18"/>
              </w:rPr>
              <w:t>1.5~5.0</w:t>
            </w:r>
          </w:p>
        </w:tc>
        <w:tc>
          <w:tcPr>
            <w:tcW w:w="1229" w:type="pct"/>
            <w:vAlign w:val="center"/>
          </w:tcPr>
          <w:p>
            <w:pPr>
              <w:spacing w:line="240" w:lineRule="auto"/>
              <w:ind w:firstLine="0" w:firstLineChars="0"/>
              <w:jc w:val="center"/>
              <w:rPr>
                <w:sz w:val="21"/>
                <w:szCs w:val="18"/>
              </w:rPr>
            </w:pPr>
            <w:r>
              <w:rPr>
                <w:sz w:val="21"/>
                <w:szCs w:val="18"/>
              </w:rPr>
              <w:t>4.0~27</w:t>
            </w:r>
          </w:p>
        </w:tc>
        <w:tc>
          <w:tcPr>
            <w:tcW w:w="1241" w:type="pct"/>
            <w:vAlign w:val="center"/>
          </w:tcPr>
          <w:p>
            <w:pPr>
              <w:spacing w:line="240" w:lineRule="auto"/>
              <w:ind w:firstLine="0" w:firstLineChars="0"/>
              <w:jc w:val="center"/>
              <w:rPr>
                <w:sz w:val="21"/>
                <w:szCs w:val="18"/>
              </w:rPr>
            </w:pPr>
            <w:r>
              <w:rPr>
                <w:sz w:val="21"/>
                <w:szCs w:val="18"/>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pct"/>
            <w:vAlign w:val="center"/>
          </w:tcPr>
          <w:p>
            <w:pPr>
              <w:spacing w:line="240" w:lineRule="auto"/>
              <w:ind w:firstLine="0" w:firstLineChars="0"/>
              <w:jc w:val="center"/>
              <w:rPr>
                <w:sz w:val="21"/>
                <w:szCs w:val="18"/>
              </w:rPr>
            </w:pPr>
            <w:r>
              <w:rPr>
                <w:sz w:val="21"/>
                <w:szCs w:val="18"/>
              </w:rPr>
              <w:t>24小时</w:t>
            </w:r>
          </w:p>
        </w:tc>
        <w:tc>
          <w:tcPr>
            <w:tcW w:w="1295" w:type="pct"/>
            <w:vAlign w:val="center"/>
          </w:tcPr>
          <w:p>
            <w:pPr>
              <w:spacing w:line="240" w:lineRule="auto"/>
              <w:ind w:firstLine="0" w:firstLineChars="0"/>
              <w:jc w:val="center"/>
              <w:rPr>
                <w:sz w:val="21"/>
                <w:szCs w:val="18"/>
              </w:rPr>
            </w:pPr>
            <w:r>
              <w:rPr>
                <w:sz w:val="21"/>
                <w:szCs w:val="18"/>
              </w:rPr>
              <w:t>1.0~4.0</w:t>
            </w:r>
          </w:p>
        </w:tc>
        <w:tc>
          <w:tcPr>
            <w:tcW w:w="1229" w:type="pct"/>
            <w:vAlign w:val="center"/>
          </w:tcPr>
          <w:p>
            <w:pPr>
              <w:spacing w:line="240" w:lineRule="auto"/>
              <w:ind w:firstLine="0" w:firstLineChars="0"/>
              <w:jc w:val="center"/>
              <w:rPr>
                <w:sz w:val="21"/>
                <w:szCs w:val="18"/>
              </w:rPr>
            </w:pPr>
            <w:r>
              <w:rPr>
                <w:sz w:val="21"/>
                <w:szCs w:val="18"/>
              </w:rPr>
              <w:t>3.0~20</w:t>
            </w:r>
          </w:p>
        </w:tc>
        <w:tc>
          <w:tcPr>
            <w:tcW w:w="1241" w:type="pct"/>
            <w:vAlign w:val="center"/>
          </w:tcPr>
          <w:p>
            <w:pPr>
              <w:spacing w:line="240" w:lineRule="auto"/>
              <w:ind w:firstLine="0" w:firstLineChars="0"/>
              <w:jc w:val="center"/>
              <w:rPr>
                <w:sz w:val="21"/>
                <w:szCs w:val="18"/>
              </w:rPr>
            </w:pPr>
            <w:r>
              <w:rPr>
                <w:sz w:val="21"/>
                <w:szCs w:val="1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pct"/>
            <w:vAlign w:val="center"/>
          </w:tcPr>
          <w:p>
            <w:pPr>
              <w:spacing w:line="240" w:lineRule="auto"/>
              <w:ind w:firstLine="0" w:firstLineChars="0"/>
              <w:jc w:val="center"/>
              <w:rPr>
                <w:sz w:val="21"/>
                <w:szCs w:val="18"/>
              </w:rPr>
            </w:pPr>
            <w:r>
              <w:rPr>
                <w:sz w:val="21"/>
                <w:szCs w:val="18"/>
              </w:rPr>
              <w:t>1星期</w:t>
            </w:r>
          </w:p>
        </w:tc>
        <w:tc>
          <w:tcPr>
            <w:tcW w:w="1295" w:type="pct"/>
            <w:vAlign w:val="center"/>
          </w:tcPr>
          <w:p>
            <w:pPr>
              <w:spacing w:line="240" w:lineRule="auto"/>
              <w:ind w:firstLine="0" w:firstLineChars="0"/>
              <w:jc w:val="center"/>
              <w:rPr>
                <w:sz w:val="21"/>
                <w:szCs w:val="18"/>
              </w:rPr>
            </w:pPr>
            <w:r>
              <w:rPr>
                <w:sz w:val="21"/>
                <w:szCs w:val="18"/>
              </w:rPr>
              <w:t>0.75~2.0</w:t>
            </w:r>
          </w:p>
        </w:tc>
        <w:tc>
          <w:tcPr>
            <w:tcW w:w="1229" w:type="pct"/>
            <w:vAlign w:val="center"/>
          </w:tcPr>
          <w:p>
            <w:pPr>
              <w:spacing w:line="240" w:lineRule="auto"/>
              <w:ind w:firstLine="0" w:firstLineChars="0"/>
              <w:jc w:val="center"/>
              <w:rPr>
                <w:sz w:val="21"/>
                <w:szCs w:val="18"/>
              </w:rPr>
            </w:pPr>
            <w:r>
              <w:rPr>
                <w:sz w:val="21"/>
                <w:szCs w:val="18"/>
              </w:rPr>
              <w:t>1.5~8</w:t>
            </w:r>
          </w:p>
        </w:tc>
        <w:tc>
          <w:tcPr>
            <w:tcW w:w="1241" w:type="pct"/>
            <w:vAlign w:val="center"/>
          </w:tcPr>
          <w:p>
            <w:pPr>
              <w:spacing w:line="240" w:lineRule="auto"/>
              <w:ind w:firstLine="0" w:firstLineChars="0"/>
              <w:jc w:val="center"/>
              <w:rPr>
                <w:sz w:val="21"/>
                <w:szCs w:val="18"/>
              </w:rPr>
            </w:pPr>
            <w:r>
              <w:rPr>
                <w:sz w:val="21"/>
                <w:szCs w:val="18"/>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pct"/>
            <w:vAlign w:val="center"/>
          </w:tcPr>
          <w:p>
            <w:pPr>
              <w:spacing w:line="240" w:lineRule="auto"/>
              <w:ind w:firstLine="0" w:firstLineChars="0"/>
              <w:jc w:val="center"/>
              <w:rPr>
                <w:sz w:val="21"/>
                <w:szCs w:val="18"/>
              </w:rPr>
            </w:pPr>
            <w:r>
              <w:rPr>
                <w:sz w:val="21"/>
                <w:szCs w:val="18"/>
              </w:rPr>
              <w:t>1个月</w:t>
            </w:r>
          </w:p>
        </w:tc>
        <w:tc>
          <w:tcPr>
            <w:tcW w:w="1295" w:type="pct"/>
            <w:vAlign w:val="center"/>
          </w:tcPr>
          <w:p>
            <w:pPr>
              <w:spacing w:line="240" w:lineRule="auto"/>
              <w:ind w:firstLine="0" w:firstLineChars="0"/>
              <w:jc w:val="center"/>
              <w:rPr>
                <w:sz w:val="21"/>
                <w:szCs w:val="18"/>
              </w:rPr>
            </w:pPr>
            <w:r>
              <w:rPr>
                <w:sz w:val="21"/>
                <w:szCs w:val="18"/>
              </w:rPr>
              <w:t>0.5~1.0</w:t>
            </w:r>
          </w:p>
        </w:tc>
        <w:tc>
          <w:tcPr>
            <w:tcW w:w="1229" w:type="pct"/>
            <w:vAlign w:val="center"/>
          </w:tcPr>
          <w:p>
            <w:pPr>
              <w:spacing w:line="240" w:lineRule="auto"/>
              <w:ind w:firstLine="0" w:firstLineChars="0"/>
              <w:jc w:val="center"/>
              <w:rPr>
                <w:sz w:val="21"/>
                <w:szCs w:val="18"/>
              </w:rPr>
            </w:pPr>
            <w:r>
              <w:rPr>
                <w:sz w:val="21"/>
                <w:szCs w:val="18"/>
              </w:rPr>
              <w:t>1.0~5</w:t>
            </w:r>
          </w:p>
        </w:tc>
        <w:tc>
          <w:tcPr>
            <w:tcW w:w="1241" w:type="pct"/>
            <w:vAlign w:val="center"/>
          </w:tcPr>
          <w:p>
            <w:pPr>
              <w:spacing w:line="240" w:lineRule="auto"/>
              <w:ind w:firstLine="0" w:firstLineChars="0"/>
              <w:jc w:val="center"/>
              <w:rPr>
                <w:sz w:val="21"/>
                <w:szCs w:val="18"/>
              </w:rPr>
            </w:pPr>
            <w:r>
              <w:rPr>
                <w:sz w:val="21"/>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pct"/>
            <w:vAlign w:val="center"/>
          </w:tcPr>
          <w:p>
            <w:pPr>
              <w:spacing w:line="240" w:lineRule="auto"/>
              <w:ind w:firstLine="0" w:firstLineChars="0"/>
              <w:jc w:val="center"/>
              <w:rPr>
                <w:sz w:val="21"/>
                <w:szCs w:val="18"/>
              </w:rPr>
            </w:pPr>
            <w:r>
              <w:rPr>
                <w:sz w:val="21"/>
                <w:szCs w:val="18"/>
              </w:rPr>
              <w:t>生长季节</w:t>
            </w:r>
          </w:p>
        </w:tc>
        <w:tc>
          <w:tcPr>
            <w:tcW w:w="1295" w:type="pct"/>
            <w:vAlign w:val="center"/>
          </w:tcPr>
          <w:p>
            <w:pPr>
              <w:spacing w:line="240" w:lineRule="auto"/>
              <w:ind w:firstLine="0" w:firstLineChars="0"/>
              <w:jc w:val="center"/>
              <w:rPr>
                <w:sz w:val="21"/>
                <w:szCs w:val="18"/>
              </w:rPr>
            </w:pPr>
            <w:r>
              <w:rPr>
                <w:sz w:val="21"/>
                <w:szCs w:val="18"/>
              </w:rPr>
              <w:t>0.3~0.7</w:t>
            </w:r>
          </w:p>
        </w:tc>
        <w:tc>
          <w:tcPr>
            <w:tcW w:w="1229" w:type="pct"/>
            <w:vAlign w:val="center"/>
          </w:tcPr>
          <w:p>
            <w:pPr>
              <w:spacing w:line="240" w:lineRule="auto"/>
              <w:ind w:firstLine="0" w:firstLineChars="0"/>
              <w:jc w:val="center"/>
              <w:rPr>
                <w:sz w:val="21"/>
                <w:szCs w:val="18"/>
              </w:rPr>
            </w:pPr>
            <w:r>
              <w:rPr>
                <w:sz w:val="21"/>
                <w:szCs w:val="18"/>
              </w:rPr>
              <w:t>0.5~2</w:t>
            </w:r>
          </w:p>
        </w:tc>
        <w:tc>
          <w:tcPr>
            <w:tcW w:w="1241" w:type="pct"/>
            <w:vAlign w:val="center"/>
          </w:tcPr>
          <w:p>
            <w:pPr>
              <w:spacing w:line="240" w:lineRule="auto"/>
              <w:ind w:firstLine="0" w:firstLineChars="0"/>
              <w:jc w:val="center"/>
              <w:rPr>
                <w:sz w:val="21"/>
                <w:szCs w:val="18"/>
              </w:rPr>
            </w:pPr>
            <w:r>
              <w:rPr>
                <w:sz w:val="21"/>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pct"/>
            <w:vAlign w:val="center"/>
          </w:tcPr>
          <w:p>
            <w:pPr>
              <w:spacing w:line="240" w:lineRule="auto"/>
              <w:ind w:firstLine="0" w:firstLineChars="0"/>
              <w:jc w:val="center"/>
              <w:rPr>
                <w:sz w:val="21"/>
                <w:szCs w:val="18"/>
              </w:rPr>
            </w:pPr>
            <w:r>
              <w:rPr>
                <w:sz w:val="21"/>
                <w:szCs w:val="18"/>
              </w:rPr>
              <w:t>1年</w:t>
            </w:r>
          </w:p>
        </w:tc>
        <w:tc>
          <w:tcPr>
            <w:tcW w:w="1295" w:type="pct"/>
            <w:vAlign w:val="center"/>
          </w:tcPr>
          <w:p>
            <w:pPr>
              <w:spacing w:line="240" w:lineRule="auto"/>
              <w:ind w:firstLine="0" w:firstLineChars="0"/>
              <w:jc w:val="center"/>
              <w:rPr>
                <w:sz w:val="21"/>
                <w:szCs w:val="18"/>
              </w:rPr>
            </w:pPr>
            <w:r>
              <w:rPr>
                <w:sz w:val="21"/>
                <w:szCs w:val="18"/>
              </w:rPr>
              <w:t>/</w:t>
            </w:r>
          </w:p>
        </w:tc>
        <w:tc>
          <w:tcPr>
            <w:tcW w:w="1229" w:type="pct"/>
            <w:vAlign w:val="center"/>
          </w:tcPr>
          <w:p>
            <w:pPr>
              <w:spacing w:line="240" w:lineRule="auto"/>
              <w:ind w:firstLine="0" w:firstLineChars="0"/>
              <w:jc w:val="center"/>
              <w:rPr>
                <w:sz w:val="21"/>
                <w:szCs w:val="18"/>
              </w:rPr>
            </w:pPr>
            <w:r>
              <w:rPr>
                <w:sz w:val="21"/>
                <w:szCs w:val="18"/>
              </w:rPr>
              <w:t>0.2~0.5</w:t>
            </w:r>
          </w:p>
        </w:tc>
        <w:tc>
          <w:tcPr>
            <w:tcW w:w="1241" w:type="pct"/>
            <w:vAlign w:val="center"/>
          </w:tcPr>
          <w:p>
            <w:pPr>
              <w:spacing w:line="240" w:lineRule="auto"/>
              <w:ind w:firstLine="0" w:firstLineChars="0"/>
              <w:jc w:val="center"/>
              <w:rPr>
                <w:sz w:val="21"/>
                <w:szCs w:val="18"/>
              </w:rPr>
            </w:pPr>
            <w:r>
              <w:rPr>
                <w:sz w:val="21"/>
                <w:szCs w:val="18"/>
              </w:rPr>
              <w:t>/</w:t>
            </w:r>
          </w:p>
        </w:tc>
      </w:tr>
    </w:tbl>
    <w:p>
      <w:pPr>
        <w:autoSpaceDE w:val="0"/>
        <w:autoSpaceDN w:val="0"/>
        <w:adjustRightInd w:val="0"/>
        <w:ind w:firstLine="480"/>
        <w:rPr>
          <w:rFonts w:cs="Times New Roman"/>
          <w:kern w:val="0"/>
          <w:szCs w:val="20"/>
        </w:rPr>
      </w:pPr>
      <w:r>
        <w:rPr>
          <w:rFonts w:cs="Times New Roman"/>
          <w:kern w:val="0"/>
          <w:szCs w:val="20"/>
        </w:rPr>
        <w:t>参考《武钢集团昆明钢铁股份有限公司推进供给侧结构性改革实施环保搬迁转型升级项目环境影响报告书》中HF对植物的伤害阈值预测结论可知：本项目厂址所在地周围种植的农作物较少，主要是水稻、玉米和马铃薯，有少量种植四季豆和萝卜，按照农作物对HF 敏感程度分类，玉米属中等敏感作物，马铃薯属抗性作物。由上表数据分析可知，各关心点氟化物叠加值预测结果基本都在HF 对抗性及中等作物产生5%伤害的阈值范围内；此外，项目附近种植作为稀少，因此本项目建成后对各关心点农作物的影响将是有限的。</w:t>
      </w:r>
    </w:p>
    <w:p>
      <w:pPr>
        <w:pStyle w:val="69"/>
        <w:ind w:firstLine="0" w:firstLineChars="0"/>
        <w:outlineLvl w:val="3"/>
        <w:rPr>
          <w:b/>
          <w:bCs/>
        </w:rPr>
      </w:pPr>
      <w:r>
        <w:rPr>
          <w:b/>
          <w:bCs/>
        </w:rPr>
        <w:t>5.2.8.4 保护措施与对策</w:t>
      </w:r>
    </w:p>
    <w:p>
      <w:pPr>
        <w:autoSpaceDE w:val="0"/>
        <w:autoSpaceDN w:val="0"/>
        <w:adjustRightInd w:val="0"/>
        <w:ind w:firstLine="482"/>
        <w:rPr>
          <w:rFonts w:cs="Times New Roman"/>
          <w:b/>
          <w:kern w:val="0"/>
          <w:szCs w:val="20"/>
        </w:rPr>
      </w:pPr>
      <w:r>
        <w:rPr>
          <w:rFonts w:cs="Times New Roman"/>
          <w:b/>
          <w:kern w:val="0"/>
          <w:szCs w:val="20"/>
        </w:rPr>
        <w:t>1、土壤污染防护措施</w:t>
      </w:r>
    </w:p>
    <w:p>
      <w:pPr>
        <w:autoSpaceDE w:val="0"/>
        <w:autoSpaceDN w:val="0"/>
        <w:adjustRightInd w:val="0"/>
        <w:ind w:firstLine="480"/>
        <w:rPr>
          <w:rFonts w:cs="Times New Roman"/>
          <w:kern w:val="0"/>
          <w:szCs w:val="20"/>
        </w:rPr>
      </w:pPr>
      <w:r>
        <w:rPr>
          <w:rFonts w:cs="Times New Roman"/>
          <w:kern w:val="0"/>
          <w:szCs w:val="20"/>
        </w:rPr>
        <w:t>拟建项目土壤污染防治措施按照“源头控制、过程防控、跟踪监测、应急响应”相结合的原则，从污染物的产生、运移、扩散、应急响应全阶段进行控制。拟建项目主要土壤污染防护措施包括源头控制措施及过程过程措施，拟建项目土壤污染防护措施见表5.2-40。</w:t>
      </w:r>
    </w:p>
    <w:p>
      <w:pPr>
        <w:pStyle w:val="14"/>
        <w:spacing w:before="163" w:beforeLines="50"/>
        <w:ind w:firstLine="420"/>
        <w:rPr>
          <w:color w:val="auto"/>
          <w:szCs w:val="24"/>
        </w:rPr>
      </w:pPr>
      <w:r>
        <w:rPr>
          <w:color w:val="auto"/>
          <w:szCs w:val="24"/>
        </w:rPr>
        <w:t>表5.2-40  土壤污染防护措施一览表</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1418"/>
        <w:gridCol w:w="1276"/>
        <w:gridCol w:w="1559"/>
        <w:gridCol w:w="30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Align w:val="center"/>
          </w:tcPr>
          <w:p>
            <w:pPr>
              <w:spacing w:line="240" w:lineRule="auto"/>
              <w:ind w:firstLine="0" w:firstLineChars="0"/>
              <w:jc w:val="center"/>
              <w:rPr>
                <w:b/>
                <w:sz w:val="21"/>
                <w:szCs w:val="16"/>
              </w:rPr>
            </w:pPr>
            <w:r>
              <w:rPr>
                <w:b/>
                <w:sz w:val="21"/>
                <w:szCs w:val="16"/>
              </w:rPr>
              <w:t>污染类别</w:t>
            </w:r>
          </w:p>
        </w:tc>
        <w:tc>
          <w:tcPr>
            <w:tcW w:w="1418" w:type="dxa"/>
            <w:vAlign w:val="center"/>
          </w:tcPr>
          <w:p>
            <w:pPr>
              <w:spacing w:line="240" w:lineRule="auto"/>
              <w:ind w:firstLine="0" w:firstLineChars="0"/>
              <w:jc w:val="center"/>
              <w:rPr>
                <w:b/>
                <w:sz w:val="21"/>
                <w:szCs w:val="16"/>
              </w:rPr>
            </w:pPr>
            <w:r>
              <w:rPr>
                <w:b/>
                <w:sz w:val="21"/>
                <w:szCs w:val="16"/>
              </w:rPr>
              <w:t>污染源</w:t>
            </w:r>
          </w:p>
        </w:tc>
        <w:tc>
          <w:tcPr>
            <w:tcW w:w="1276" w:type="dxa"/>
            <w:vAlign w:val="center"/>
          </w:tcPr>
          <w:p>
            <w:pPr>
              <w:spacing w:line="240" w:lineRule="auto"/>
              <w:ind w:firstLine="0" w:firstLineChars="0"/>
              <w:jc w:val="center"/>
              <w:rPr>
                <w:b/>
                <w:sz w:val="21"/>
                <w:szCs w:val="16"/>
              </w:rPr>
            </w:pPr>
            <w:r>
              <w:rPr>
                <w:b/>
                <w:sz w:val="21"/>
                <w:szCs w:val="16"/>
              </w:rPr>
              <w:t>污染因子</w:t>
            </w:r>
          </w:p>
        </w:tc>
        <w:tc>
          <w:tcPr>
            <w:tcW w:w="4592" w:type="dxa"/>
            <w:gridSpan w:val="2"/>
            <w:vAlign w:val="center"/>
          </w:tcPr>
          <w:p>
            <w:pPr>
              <w:spacing w:line="240" w:lineRule="auto"/>
              <w:ind w:firstLine="0" w:firstLineChars="0"/>
              <w:jc w:val="center"/>
              <w:rPr>
                <w:b/>
                <w:sz w:val="21"/>
                <w:szCs w:val="16"/>
              </w:rPr>
            </w:pPr>
            <w:r>
              <w:rPr>
                <w:b/>
                <w:sz w:val="21"/>
                <w:szCs w:val="16"/>
              </w:rPr>
              <w:t>污染防护措施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restart"/>
            <w:vAlign w:val="center"/>
          </w:tcPr>
          <w:p>
            <w:pPr>
              <w:spacing w:line="240" w:lineRule="auto"/>
              <w:ind w:firstLine="0" w:firstLineChars="0"/>
              <w:jc w:val="center"/>
              <w:rPr>
                <w:sz w:val="21"/>
                <w:szCs w:val="16"/>
              </w:rPr>
            </w:pPr>
            <w:r>
              <w:rPr>
                <w:sz w:val="21"/>
                <w:szCs w:val="16"/>
              </w:rPr>
              <w:t>大气沉降影响</w:t>
            </w:r>
          </w:p>
        </w:tc>
        <w:tc>
          <w:tcPr>
            <w:tcW w:w="1418" w:type="dxa"/>
            <w:vMerge w:val="restart"/>
            <w:vAlign w:val="center"/>
          </w:tcPr>
          <w:p>
            <w:pPr>
              <w:spacing w:line="240" w:lineRule="auto"/>
              <w:ind w:firstLine="0" w:firstLineChars="0"/>
              <w:jc w:val="center"/>
              <w:rPr>
                <w:sz w:val="21"/>
                <w:szCs w:val="16"/>
              </w:rPr>
            </w:pPr>
            <w:r>
              <w:rPr>
                <w:sz w:val="21"/>
                <w:szCs w:val="16"/>
              </w:rPr>
              <w:t>炉窑烟气</w:t>
            </w:r>
          </w:p>
        </w:tc>
        <w:tc>
          <w:tcPr>
            <w:tcW w:w="1276" w:type="dxa"/>
            <w:vMerge w:val="restart"/>
            <w:vAlign w:val="center"/>
          </w:tcPr>
          <w:p>
            <w:pPr>
              <w:spacing w:line="240" w:lineRule="auto"/>
              <w:ind w:firstLine="0" w:firstLineChars="0"/>
              <w:jc w:val="center"/>
              <w:rPr>
                <w:sz w:val="21"/>
                <w:szCs w:val="16"/>
              </w:rPr>
            </w:pPr>
            <w:r>
              <w:rPr>
                <w:sz w:val="21"/>
                <w:szCs w:val="16"/>
              </w:rPr>
              <w:t>氟化物</w:t>
            </w:r>
          </w:p>
        </w:tc>
        <w:tc>
          <w:tcPr>
            <w:tcW w:w="1559" w:type="dxa"/>
            <w:vAlign w:val="center"/>
          </w:tcPr>
          <w:p>
            <w:pPr>
              <w:spacing w:line="240" w:lineRule="auto"/>
              <w:ind w:firstLine="0" w:firstLineChars="0"/>
              <w:jc w:val="center"/>
              <w:rPr>
                <w:sz w:val="21"/>
                <w:szCs w:val="16"/>
              </w:rPr>
            </w:pPr>
            <w:r>
              <w:rPr>
                <w:sz w:val="21"/>
                <w:szCs w:val="16"/>
              </w:rPr>
              <w:t>源头控制措施</w:t>
            </w:r>
          </w:p>
        </w:tc>
        <w:tc>
          <w:tcPr>
            <w:tcW w:w="3033" w:type="dxa"/>
            <w:vAlign w:val="center"/>
          </w:tcPr>
          <w:p>
            <w:pPr>
              <w:spacing w:line="240" w:lineRule="auto"/>
              <w:ind w:firstLine="0" w:firstLineChars="0"/>
              <w:jc w:val="center"/>
              <w:rPr>
                <w:sz w:val="21"/>
                <w:szCs w:val="16"/>
              </w:rPr>
            </w:pPr>
            <w:r>
              <w:rPr>
                <w:sz w:val="21"/>
                <w:szCs w:val="16"/>
              </w:rPr>
              <w:t>采用石灰-石膏湿法脱硫措施，减少氟化物的粉尘沉降量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242" w:type="dxa"/>
            <w:vMerge w:val="continue"/>
            <w:vAlign w:val="center"/>
          </w:tcPr>
          <w:p>
            <w:pPr>
              <w:spacing w:line="240" w:lineRule="auto"/>
              <w:ind w:firstLine="0" w:firstLineChars="0"/>
              <w:jc w:val="center"/>
              <w:rPr>
                <w:sz w:val="21"/>
                <w:szCs w:val="16"/>
              </w:rPr>
            </w:pPr>
          </w:p>
        </w:tc>
        <w:tc>
          <w:tcPr>
            <w:tcW w:w="1418" w:type="dxa"/>
            <w:vMerge w:val="continue"/>
            <w:vAlign w:val="center"/>
          </w:tcPr>
          <w:p>
            <w:pPr>
              <w:spacing w:line="240" w:lineRule="auto"/>
              <w:ind w:firstLine="0" w:firstLineChars="0"/>
              <w:jc w:val="center"/>
              <w:rPr>
                <w:sz w:val="21"/>
                <w:szCs w:val="16"/>
              </w:rPr>
            </w:pPr>
          </w:p>
        </w:tc>
        <w:tc>
          <w:tcPr>
            <w:tcW w:w="1276" w:type="dxa"/>
            <w:vMerge w:val="continue"/>
            <w:vAlign w:val="center"/>
          </w:tcPr>
          <w:p>
            <w:pPr>
              <w:spacing w:line="240" w:lineRule="auto"/>
              <w:ind w:firstLine="0" w:firstLineChars="0"/>
              <w:jc w:val="center"/>
              <w:rPr>
                <w:sz w:val="21"/>
                <w:szCs w:val="16"/>
              </w:rPr>
            </w:pPr>
          </w:p>
        </w:tc>
        <w:tc>
          <w:tcPr>
            <w:tcW w:w="1559" w:type="dxa"/>
            <w:vAlign w:val="center"/>
          </w:tcPr>
          <w:p>
            <w:pPr>
              <w:spacing w:line="240" w:lineRule="auto"/>
              <w:ind w:firstLine="0" w:firstLineChars="0"/>
              <w:jc w:val="center"/>
              <w:rPr>
                <w:sz w:val="21"/>
                <w:szCs w:val="16"/>
              </w:rPr>
            </w:pPr>
            <w:r>
              <w:rPr>
                <w:sz w:val="21"/>
                <w:szCs w:val="16"/>
              </w:rPr>
              <w:t>过程防控措施</w:t>
            </w:r>
          </w:p>
        </w:tc>
        <w:tc>
          <w:tcPr>
            <w:tcW w:w="3033" w:type="dxa"/>
            <w:vAlign w:val="center"/>
          </w:tcPr>
          <w:p>
            <w:pPr>
              <w:spacing w:line="240" w:lineRule="auto"/>
              <w:ind w:firstLine="0" w:firstLineChars="0"/>
              <w:jc w:val="center"/>
              <w:rPr>
                <w:sz w:val="21"/>
                <w:szCs w:val="16"/>
              </w:rPr>
            </w:pPr>
            <w:r>
              <w:rPr>
                <w:sz w:val="21"/>
                <w:szCs w:val="16"/>
              </w:rPr>
              <w:t>占地范围内采取绿化措施，种植强吸附能力的植物</w:t>
            </w:r>
          </w:p>
        </w:tc>
      </w:tr>
    </w:tbl>
    <w:p>
      <w:pPr>
        <w:autoSpaceDE w:val="0"/>
        <w:autoSpaceDN w:val="0"/>
        <w:adjustRightInd w:val="0"/>
        <w:ind w:firstLine="482"/>
        <w:rPr>
          <w:rFonts w:cs="Times New Roman"/>
          <w:b/>
          <w:kern w:val="0"/>
          <w:szCs w:val="20"/>
        </w:rPr>
      </w:pPr>
      <w:r>
        <w:rPr>
          <w:rFonts w:cs="Times New Roman"/>
          <w:b/>
          <w:kern w:val="0"/>
          <w:szCs w:val="20"/>
        </w:rPr>
        <w:t>2、跟踪监测</w:t>
      </w:r>
    </w:p>
    <w:p>
      <w:pPr>
        <w:autoSpaceDE w:val="0"/>
        <w:autoSpaceDN w:val="0"/>
        <w:adjustRightInd w:val="0"/>
        <w:ind w:firstLine="480"/>
        <w:rPr>
          <w:rFonts w:cs="Times New Roman"/>
          <w:kern w:val="0"/>
          <w:szCs w:val="20"/>
        </w:rPr>
      </w:pPr>
      <w:r>
        <w:rPr>
          <w:rFonts w:cs="Times New Roman"/>
          <w:kern w:val="0"/>
          <w:szCs w:val="20"/>
        </w:rPr>
        <w:t>为了掌握拟建项目土壤环境质量状况和土壤中污染物的动态变化，拟建项目实施后，针对全厂实施土壤跟踪监测。</w:t>
      </w:r>
    </w:p>
    <w:p>
      <w:pPr>
        <w:autoSpaceDE w:val="0"/>
        <w:autoSpaceDN w:val="0"/>
        <w:adjustRightInd w:val="0"/>
        <w:ind w:firstLine="480"/>
        <w:rPr>
          <w:rFonts w:cs="Times New Roman"/>
          <w:kern w:val="0"/>
          <w:szCs w:val="20"/>
        </w:rPr>
      </w:pPr>
      <w:r>
        <w:rPr>
          <w:rFonts w:cs="Times New Roman"/>
          <w:kern w:val="0"/>
          <w:szCs w:val="20"/>
        </w:rPr>
        <w:t>根据导则要求，结合项目特征，在厂区外敏感点布置1 处土壤跟踪监测点，在厂区内布置1 处垂直入渗土壤跟踪监测点，1 处大气沉降土壤跟踪监测点。各土壤跟踪监测布置情况见表5.2-41。</w:t>
      </w:r>
    </w:p>
    <w:p>
      <w:pPr>
        <w:pStyle w:val="14"/>
        <w:spacing w:before="163" w:beforeLines="50"/>
        <w:ind w:firstLine="420"/>
        <w:rPr>
          <w:color w:val="auto"/>
          <w:szCs w:val="24"/>
        </w:rPr>
      </w:pPr>
      <w:r>
        <w:rPr>
          <w:color w:val="auto"/>
          <w:szCs w:val="24"/>
        </w:rPr>
        <w:t>表5.2-41  土壤污跟踪监测点布置一览表</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993"/>
        <w:gridCol w:w="992"/>
        <w:gridCol w:w="2067"/>
        <w:gridCol w:w="1139"/>
        <w:gridCol w:w="1139"/>
        <w:gridCol w:w="1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spacing w:line="240" w:lineRule="auto"/>
              <w:ind w:firstLine="0" w:firstLineChars="0"/>
              <w:jc w:val="center"/>
              <w:rPr>
                <w:b/>
                <w:sz w:val="21"/>
                <w:szCs w:val="16"/>
              </w:rPr>
            </w:pPr>
            <w:r>
              <w:rPr>
                <w:b/>
                <w:sz w:val="21"/>
                <w:szCs w:val="16"/>
              </w:rPr>
              <w:t>点号</w:t>
            </w:r>
          </w:p>
        </w:tc>
        <w:tc>
          <w:tcPr>
            <w:tcW w:w="993" w:type="dxa"/>
            <w:vAlign w:val="center"/>
          </w:tcPr>
          <w:p>
            <w:pPr>
              <w:spacing w:line="240" w:lineRule="auto"/>
              <w:ind w:firstLine="0" w:firstLineChars="0"/>
              <w:jc w:val="center"/>
              <w:rPr>
                <w:b/>
                <w:sz w:val="21"/>
                <w:szCs w:val="16"/>
              </w:rPr>
            </w:pPr>
            <w:r>
              <w:rPr>
                <w:b/>
                <w:sz w:val="21"/>
                <w:szCs w:val="16"/>
              </w:rPr>
              <w:t>监测点位置</w:t>
            </w:r>
          </w:p>
        </w:tc>
        <w:tc>
          <w:tcPr>
            <w:tcW w:w="992" w:type="dxa"/>
            <w:vAlign w:val="center"/>
          </w:tcPr>
          <w:p>
            <w:pPr>
              <w:spacing w:line="240" w:lineRule="auto"/>
              <w:ind w:firstLine="0" w:firstLineChars="0"/>
              <w:jc w:val="center"/>
              <w:rPr>
                <w:b/>
                <w:sz w:val="21"/>
                <w:szCs w:val="16"/>
              </w:rPr>
            </w:pPr>
            <w:r>
              <w:rPr>
                <w:b/>
                <w:sz w:val="21"/>
                <w:szCs w:val="16"/>
              </w:rPr>
              <w:t>监测点类型</w:t>
            </w:r>
          </w:p>
        </w:tc>
        <w:tc>
          <w:tcPr>
            <w:tcW w:w="2067" w:type="dxa"/>
            <w:vAlign w:val="center"/>
          </w:tcPr>
          <w:p>
            <w:pPr>
              <w:spacing w:line="240" w:lineRule="auto"/>
              <w:ind w:firstLine="0" w:firstLineChars="0"/>
              <w:jc w:val="center"/>
              <w:rPr>
                <w:b/>
                <w:sz w:val="21"/>
                <w:szCs w:val="16"/>
              </w:rPr>
            </w:pPr>
            <w:r>
              <w:rPr>
                <w:b/>
                <w:sz w:val="21"/>
                <w:szCs w:val="16"/>
              </w:rPr>
              <w:t>采样深度</w:t>
            </w:r>
          </w:p>
        </w:tc>
        <w:tc>
          <w:tcPr>
            <w:tcW w:w="1139" w:type="dxa"/>
            <w:vAlign w:val="center"/>
          </w:tcPr>
          <w:p>
            <w:pPr>
              <w:spacing w:line="240" w:lineRule="auto"/>
              <w:ind w:firstLine="0" w:firstLineChars="0"/>
              <w:jc w:val="center"/>
              <w:rPr>
                <w:b/>
                <w:sz w:val="21"/>
                <w:szCs w:val="16"/>
              </w:rPr>
            </w:pPr>
            <w:r>
              <w:rPr>
                <w:b/>
                <w:sz w:val="21"/>
                <w:szCs w:val="16"/>
              </w:rPr>
              <w:t>监测频率</w:t>
            </w:r>
          </w:p>
        </w:tc>
        <w:tc>
          <w:tcPr>
            <w:tcW w:w="1139" w:type="dxa"/>
            <w:vAlign w:val="center"/>
          </w:tcPr>
          <w:p>
            <w:pPr>
              <w:spacing w:line="240" w:lineRule="auto"/>
              <w:ind w:firstLine="0" w:firstLineChars="0"/>
              <w:jc w:val="center"/>
              <w:rPr>
                <w:b/>
                <w:sz w:val="21"/>
                <w:szCs w:val="16"/>
              </w:rPr>
            </w:pPr>
            <w:r>
              <w:rPr>
                <w:b/>
                <w:sz w:val="21"/>
                <w:szCs w:val="16"/>
              </w:rPr>
              <w:t>监测因子</w:t>
            </w:r>
          </w:p>
        </w:tc>
        <w:tc>
          <w:tcPr>
            <w:tcW w:w="1523" w:type="dxa"/>
            <w:vAlign w:val="center"/>
          </w:tcPr>
          <w:p>
            <w:pPr>
              <w:spacing w:line="240" w:lineRule="auto"/>
              <w:ind w:firstLine="0" w:firstLineChars="0"/>
              <w:jc w:val="center"/>
              <w:rPr>
                <w:b/>
                <w:sz w:val="21"/>
                <w:szCs w:val="16"/>
              </w:rPr>
            </w:pPr>
            <w:r>
              <w:rPr>
                <w:b/>
                <w:sz w:val="21"/>
                <w:szCs w:val="16"/>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spacing w:line="240" w:lineRule="auto"/>
              <w:ind w:firstLine="0" w:firstLineChars="0"/>
              <w:jc w:val="center"/>
              <w:rPr>
                <w:sz w:val="21"/>
                <w:szCs w:val="16"/>
              </w:rPr>
            </w:pPr>
            <w:r>
              <w:rPr>
                <w:sz w:val="21"/>
                <w:szCs w:val="16"/>
              </w:rPr>
              <w:t>1</w:t>
            </w:r>
          </w:p>
        </w:tc>
        <w:tc>
          <w:tcPr>
            <w:tcW w:w="993" w:type="dxa"/>
            <w:vAlign w:val="center"/>
          </w:tcPr>
          <w:p>
            <w:pPr>
              <w:spacing w:line="240" w:lineRule="auto"/>
              <w:ind w:firstLine="0" w:firstLineChars="0"/>
              <w:jc w:val="center"/>
              <w:rPr>
                <w:sz w:val="21"/>
                <w:szCs w:val="16"/>
              </w:rPr>
            </w:pPr>
            <w:r>
              <w:rPr>
                <w:sz w:val="21"/>
                <w:szCs w:val="16"/>
              </w:rPr>
              <w:t>众拱村</w:t>
            </w:r>
          </w:p>
        </w:tc>
        <w:tc>
          <w:tcPr>
            <w:tcW w:w="992" w:type="dxa"/>
            <w:vAlign w:val="center"/>
          </w:tcPr>
          <w:p>
            <w:pPr>
              <w:spacing w:line="240" w:lineRule="auto"/>
              <w:ind w:firstLine="0" w:firstLineChars="0"/>
              <w:jc w:val="center"/>
              <w:rPr>
                <w:sz w:val="21"/>
                <w:szCs w:val="16"/>
              </w:rPr>
            </w:pPr>
            <w:r>
              <w:rPr>
                <w:sz w:val="21"/>
                <w:szCs w:val="16"/>
              </w:rPr>
              <w:t>敏感点监测点</w:t>
            </w:r>
          </w:p>
        </w:tc>
        <w:tc>
          <w:tcPr>
            <w:tcW w:w="2067" w:type="dxa"/>
            <w:vAlign w:val="center"/>
          </w:tcPr>
          <w:p>
            <w:pPr>
              <w:spacing w:line="240" w:lineRule="auto"/>
              <w:ind w:firstLine="0" w:firstLineChars="0"/>
              <w:jc w:val="center"/>
              <w:rPr>
                <w:sz w:val="21"/>
                <w:szCs w:val="16"/>
              </w:rPr>
            </w:pPr>
            <w:r>
              <w:rPr>
                <w:sz w:val="21"/>
                <w:szCs w:val="16"/>
              </w:rPr>
              <w:t>0.2m</w:t>
            </w:r>
          </w:p>
        </w:tc>
        <w:tc>
          <w:tcPr>
            <w:tcW w:w="1139" w:type="dxa"/>
            <w:vMerge w:val="restart"/>
            <w:vAlign w:val="center"/>
          </w:tcPr>
          <w:p>
            <w:pPr>
              <w:spacing w:line="240" w:lineRule="auto"/>
              <w:ind w:firstLine="0" w:firstLineChars="0"/>
              <w:jc w:val="center"/>
              <w:rPr>
                <w:sz w:val="21"/>
                <w:szCs w:val="16"/>
              </w:rPr>
            </w:pPr>
            <w:r>
              <w:rPr>
                <w:sz w:val="21"/>
                <w:szCs w:val="16"/>
              </w:rPr>
              <w:t>每3年监测一次</w:t>
            </w:r>
          </w:p>
        </w:tc>
        <w:tc>
          <w:tcPr>
            <w:tcW w:w="1139" w:type="dxa"/>
            <w:vAlign w:val="center"/>
          </w:tcPr>
          <w:p>
            <w:pPr>
              <w:spacing w:line="240" w:lineRule="auto"/>
              <w:ind w:firstLine="0" w:firstLineChars="0"/>
              <w:jc w:val="center"/>
              <w:rPr>
                <w:sz w:val="21"/>
                <w:szCs w:val="16"/>
              </w:rPr>
            </w:pPr>
            <w:r>
              <w:rPr>
                <w:sz w:val="21"/>
                <w:szCs w:val="16"/>
              </w:rPr>
              <w:t>氟化物</w:t>
            </w:r>
          </w:p>
        </w:tc>
        <w:tc>
          <w:tcPr>
            <w:tcW w:w="1523" w:type="dxa"/>
            <w:vAlign w:val="center"/>
          </w:tcPr>
          <w:p>
            <w:pPr>
              <w:spacing w:line="240" w:lineRule="auto"/>
              <w:ind w:firstLine="0" w:firstLineChars="0"/>
              <w:jc w:val="center"/>
              <w:rPr>
                <w:sz w:val="21"/>
                <w:szCs w:val="16"/>
              </w:rPr>
            </w:pPr>
            <w:r>
              <w:rPr>
                <w:sz w:val="21"/>
                <w:szCs w:val="16"/>
              </w:rPr>
              <w:t>GB25464-2010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spacing w:line="240" w:lineRule="auto"/>
              <w:ind w:firstLine="0" w:firstLineChars="0"/>
              <w:jc w:val="center"/>
              <w:rPr>
                <w:sz w:val="21"/>
                <w:szCs w:val="16"/>
              </w:rPr>
            </w:pPr>
            <w:r>
              <w:rPr>
                <w:sz w:val="21"/>
                <w:szCs w:val="16"/>
              </w:rPr>
              <w:t>2</w:t>
            </w:r>
          </w:p>
        </w:tc>
        <w:tc>
          <w:tcPr>
            <w:tcW w:w="993" w:type="dxa"/>
            <w:vAlign w:val="center"/>
          </w:tcPr>
          <w:p>
            <w:pPr>
              <w:spacing w:line="240" w:lineRule="auto"/>
              <w:ind w:firstLine="0" w:firstLineChars="0"/>
              <w:jc w:val="center"/>
              <w:rPr>
                <w:sz w:val="21"/>
                <w:szCs w:val="16"/>
              </w:rPr>
            </w:pPr>
            <w:r>
              <w:rPr>
                <w:rFonts w:hint="eastAsia"/>
                <w:sz w:val="21"/>
                <w:szCs w:val="16"/>
              </w:rPr>
              <w:t>废水沉淀池</w:t>
            </w:r>
          </w:p>
        </w:tc>
        <w:tc>
          <w:tcPr>
            <w:tcW w:w="992" w:type="dxa"/>
            <w:vAlign w:val="center"/>
          </w:tcPr>
          <w:p>
            <w:pPr>
              <w:spacing w:line="240" w:lineRule="auto"/>
              <w:ind w:firstLine="0" w:firstLineChars="0"/>
              <w:jc w:val="center"/>
              <w:rPr>
                <w:sz w:val="21"/>
                <w:szCs w:val="16"/>
              </w:rPr>
            </w:pPr>
            <w:r>
              <w:rPr>
                <w:sz w:val="21"/>
                <w:szCs w:val="16"/>
              </w:rPr>
              <w:t>垂直入渗影响区监测点</w:t>
            </w:r>
          </w:p>
        </w:tc>
        <w:tc>
          <w:tcPr>
            <w:tcW w:w="2067" w:type="dxa"/>
            <w:vAlign w:val="center"/>
          </w:tcPr>
          <w:p>
            <w:pPr>
              <w:spacing w:line="240" w:lineRule="auto"/>
              <w:ind w:firstLine="0" w:firstLineChars="0"/>
              <w:jc w:val="center"/>
              <w:rPr>
                <w:sz w:val="21"/>
                <w:szCs w:val="16"/>
              </w:rPr>
            </w:pPr>
            <w:r>
              <w:rPr>
                <w:sz w:val="21"/>
                <w:szCs w:val="16"/>
              </w:rPr>
              <w:t>分层采样，采样深度范围为地面至基岩或潜水含水层自由水面，采样深度分别为0～0.5m、0.5～1.5m、1.5～3m、3～6m</w:t>
            </w:r>
          </w:p>
        </w:tc>
        <w:tc>
          <w:tcPr>
            <w:tcW w:w="1139" w:type="dxa"/>
            <w:vMerge w:val="continue"/>
            <w:vAlign w:val="center"/>
          </w:tcPr>
          <w:p>
            <w:pPr>
              <w:spacing w:line="240" w:lineRule="auto"/>
              <w:ind w:firstLine="0" w:firstLineChars="0"/>
              <w:jc w:val="center"/>
              <w:rPr>
                <w:sz w:val="21"/>
                <w:szCs w:val="16"/>
              </w:rPr>
            </w:pPr>
          </w:p>
        </w:tc>
        <w:tc>
          <w:tcPr>
            <w:tcW w:w="1139" w:type="dxa"/>
            <w:vAlign w:val="center"/>
          </w:tcPr>
          <w:p>
            <w:pPr>
              <w:spacing w:line="240" w:lineRule="auto"/>
              <w:ind w:firstLine="0" w:firstLineChars="0"/>
              <w:jc w:val="center"/>
              <w:rPr>
                <w:sz w:val="21"/>
                <w:szCs w:val="16"/>
              </w:rPr>
            </w:pPr>
            <w:r>
              <w:rPr>
                <w:sz w:val="21"/>
                <w:szCs w:val="16"/>
              </w:rPr>
              <w:t>COD</w:t>
            </w:r>
          </w:p>
          <w:p>
            <w:pPr>
              <w:spacing w:line="240" w:lineRule="auto"/>
              <w:ind w:firstLine="0" w:firstLineChars="0"/>
              <w:jc w:val="center"/>
              <w:rPr>
                <w:sz w:val="21"/>
                <w:szCs w:val="16"/>
              </w:rPr>
            </w:pPr>
            <w:r>
              <w:rPr>
                <w:sz w:val="21"/>
                <w:szCs w:val="16"/>
              </w:rPr>
              <w:t>氨氮</w:t>
            </w:r>
          </w:p>
          <w:p>
            <w:pPr>
              <w:spacing w:line="240" w:lineRule="auto"/>
              <w:ind w:firstLine="0" w:firstLineChars="0"/>
              <w:jc w:val="center"/>
              <w:rPr>
                <w:sz w:val="21"/>
                <w:szCs w:val="16"/>
              </w:rPr>
            </w:pPr>
            <w:r>
              <w:rPr>
                <w:sz w:val="21"/>
                <w:szCs w:val="16"/>
              </w:rPr>
              <w:t>挥发酚</w:t>
            </w:r>
          </w:p>
          <w:p>
            <w:pPr>
              <w:spacing w:line="240" w:lineRule="auto"/>
              <w:ind w:firstLine="0" w:firstLineChars="0"/>
              <w:jc w:val="center"/>
              <w:rPr>
                <w:sz w:val="21"/>
                <w:szCs w:val="16"/>
              </w:rPr>
            </w:pPr>
            <w:r>
              <w:rPr>
                <w:sz w:val="21"/>
                <w:szCs w:val="16"/>
              </w:rPr>
              <w:t>石油类</w:t>
            </w:r>
          </w:p>
        </w:tc>
        <w:tc>
          <w:tcPr>
            <w:tcW w:w="1523" w:type="dxa"/>
            <w:vAlign w:val="center"/>
          </w:tcPr>
          <w:p>
            <w:pPr>
              <w:spacing w:line="240" w:lineRule="auto"/>
              <w:ind w:firstLine="0" w:firstLineChars="0"/>
              <w:jc w:val="center"/>
              <w:rPr>
                <w:sz w:val="21"/>
                <w:szCs w:val="16"/>
              </w:rPr>
            </w:pPr>
            <w:r>
              <w:rPr>
                <w:sz w:val="21"/>
                <w:szCs w:val="16"/>
              </w:rPr>
              <w:t>GB25464-2010</w:t>
            </w:r>
          </w:p>
        </w:tc>
      </w:tr>
    </w:tbl>
    <w:p>
      <w:pPr>
        <w:pStyle w:val="69"/>
        <w:ind w:firstLine="0" w:firstLineChars="0"/>
        <w:outlineLvl w:val="3"/>
        <w:rPr>
          <w:b/>
          <w:bCs/>
        </w:rPr>
      </w:pPr>
      <w:r>
        <w:rPr>
          <w:b/>
          <w:bCs/>
        </w:rPr>
        <w:t>5.2.8.5 小结</w:t>
      </w:r>
    </w:p>
    <w:p>
      <w:pPr>
        <w:ind w:firstLine="480"/>
        <w:rPr>
          <w:rFonts w:cs="Times New Roman"/>
          <w:kern w:val="0"/>
          <w:szCs w:val="20"/>
        </w:rPr>
      </w:pPr>
      <w:r>
        <w:rPr>
          <w:rFonts w:cs="Times New Roman"/>
          <w:kern w:val="0"/>
          <w:szCs w:val="20"/>
        </w:rPr>
        <w:t>综合以上分析，正常状况下，本项目建成后对各关心点农作物的影响将是有限的；由于采取了严格的防渗措施，不会因污水下渗造成土壤污染。污水处理设施泄漏非正常状况下，污水通过污水池裂缝进入土壤，将会造成土壤污染。</w:t>
      </w:r>
    </w:p>
    <w:p>
      <w:pPr>
        <w:pStyle w:val="4"/>
        <w:adjustRightInd w:val="0"/>
        <w:snapToGrid w:val="0"/>
        <w:jc w:val="left"/>
        <w:rPr>
          <w:rFonts w:cs="Times New Roman"/>
          <w:szCs w:val="24"/>
        </w:rPr>
      </w:pPr>
      <w:bookmarkStart w:id="171" w:name="_Toc86611315"/>
      <w:r>
        <w:rPr>
          <w:rFonts w:cs="Times New Roman"/>
          <w:szCs w:val="24"/>
        </w:rPr>
        <w:t>5.2.9 生态环境影响分析</w:t>
      </w:r>
      <w:bookmarkEnd w:id="171"/>
    </w:p>
    <w:p>
      <w:pPr>
        <w:autoSpaceDE w:val="0"/>
        <w:autoSpaceDN w:val="0"/>
        <w:adjustRightInd w:val="0"/>
        <w:ind w:firstLine="480"/>
        <w:rPr>
          <w:rFonts w:cs="Times New Roman"/>
          <w:kern w:val="0"/>
          <w:szCs w:val="20"/>
        </w:rPr>
      </w:pPr>
      <w:r>
        <w:rPr>
          <w:rFonts w:cs="Times New Roman"/>
          <w:kern w:val="0"/>
          <w:szCs w:val="20"/>
        </w:rPr>
        <w:t>建设项目对厂址周围生态环境的影响体现在二个方面，一是废气排放对周围农作物和土壤的影响；二是土地利用方式的改变对厂址现有植被的影响。</w:t>
      </w:r>
    </w:p>
    <w:p>
      <w:pPr>
        <w:pStyle w:val="69"/>
        <w:ind w:firstLine="0" w:firstLineChars="0"/>
        <w:outlineLvl w:val="3"/>
        <w:rPr>
          <w:b/>
          <w:bCs/>
        </w:rPr>
      </w:pPr>
      <w:r>
        <w:rPr>
          <w:b/>
          <w:bCs/>
        </w:rPr>
        <w:t>5.2.9.1 对土地利用、动植物的影响分析</w:t>
      </w:r>
    </w:p>
    <w:p>
      <w:pPr>
        <w:autoSpaceDE w:val="0"/>
        <w:autoSpaceDN w:val="0"/>
        <w:adjustRightInd w:val="0"/>
        <w:ind w:firstLine="480"/>
        <w:rPr>
          <w:rFonts w:cs="Times New Roman"/>
          <w:kern w:val="0"/>
          <w:szCs w:val="20"/>
        </w:rPr>
      </w:pPr>
      <w:r>
        <w:rPr>
          <w:rFonts w:cs="Times New Roman"/>
          <w:kern w:val="0"/>
          <w:szCs w:val="20"/>
        </w:rPr>
        <w:t>根据现场调查，区域的土地利用类型以工业用地和疏树林为主，其次是耕地和居民地。疏林地植被类型以青岗树、栎类灌丛等为主。项目所在区域附近1km内无珍稀动、植物和自然保护区，现场调查未发现国家保护的动植物物种。</w:t>
      </w:r>
    </w:p>
    <w:p>
      <w:pPr>
        <w:autoSpaceDE w:val="0"/>
        <w:autoSpaceDN w:val="0"/>
        <w:adjustRightInd w:val="0"/>
        <w:ind w:firstLine="480"/>
        <w:rPr>
          <w:rFonts w:cs="Times New Roman"/>
          <w:kern w:val="0"/>
          <w:szCs w:val="20"/>
        </w:rPr>
      </w:pPr>
      <w:r>
        <w:rPr>
          <w:rFonts w:cs="Times New Roman"/>
          <w:kern w:val="0"/>
          <w:szCs w:val="20"/>
        </w:rPr>
        <w:t>项目对土地利用方式的改变使厂址现有植被直接破坏，这使得的植物全部死亡，但所受影响的植物物种都是多为常见种、广布种，并且工程影响到的是植物种群的部分个体，种群的大部分个体在评价区域以外广泛分布，不会导致物种灭绝，也不会改变评价区域的区系性质。同时，项目建成后，会种植新的绿化植物，项目的运行不会引起当地动植物物种的灭绝，对当地的植被影响很小。</w:t>
      </w:r>
    </w:p>
    <w:p>
      <w:pPr>
        <w:pStyle w:val="69"/>
        <w:ind w:firstLine="0" w:firstLineChars="0"/>
        <w:outlineLvl w:val="3"/>
        <w:rPr>
          <w:b/>
          <w:bCs/>
        </w:rPr>
      </w:pPr>
      <w:r>
        <w:rPr>
          <w:b/>
          <w:bCs/>
        </w:rPr>
        <w:t>5.2.9.2 烟（粉）尘影响</w:t>
      </w:r>
    </w:p>
    <w:p>
      <w:pPr>
        <w:autoSpaceDE w:val="0"/>
        <w:autoSpaceDN w:val="0"/>
        <w:adjustRightInd w:val="0"/>
        <w:ind w:firstLine="480"/>
        <w:rPr>
          <w:rFonts w:cs="Times New Roman"/>
          <w:kern w:val="0"/>
          <w:szCs w:val="20"/>
        </w:rPr>
      </w:pPr>
      <w:r>
        <w:rPr>
          <w:rFonts w:cs="Times New Roman"/>
          <w:kern w:val="0"/>
          <w:szCs w:val="20"/>
        </w:rPr>
        <w:t>排放烟气中的含烟（粉）尘，进入环境空气后，通过自然沉降和降雨的淋洗进入厂区内、周围土壤和植被表面。</w:t>
      </w:r>
    </w:p>
    <w:p>
      <w:pPr>
        <w:autoSpaceDE w:val="0"/>
        <w:autoSpaceDN w:val="0"/>
        <w:adjustRightInd w:val="0"/>
        <w:ind w:firstLine="480"/>
        <w:rPr>
          <w:rFonts w:cs="Times New Roman"/>
          <w:kern w:val="0"/>
          <w:szCs w:val="20"/>
        </w:rPr>
      </w:pPr>
      <w:r>
        <w:rPr>
          <w:rFonts w:cs="Times New Roman"/>
          <w:kern w:val="0"/>
          <w:szCs w:val="20"/>
        </w:rPr>
        <w:t>烟（粉）尘对植物的危害主要是由于烟（粉）尘沉积于叶、花和茎上并凝结成壳，阻碍植物的光合作用；阻塞气孔，影响植物的蒸腾和呼吸；阻碍花粉发芽，影响受精，甚至导致植物叶面坏死，造成植物生长发育不良。</w:t>
      </w:r>
    </w:p>
    <w:p>
      <w:pPr>
        <w:autoSpaceDE w:val="0"/>
        <w:autoSpaceDN w:val="0"/>
        <w:adjustRightInd w:val="0"/>
        <w:ind w:firstLine="480"/>
        <w:rPr>
          <w:rFonts w:cs="Times New Roman"/>
          <w:kern w:val="0"/>
          <w:szCs w:val="20"/>
        </w:rPr>
      </w:pPr>
      <w:r>
        <w:rPr>
          <w:rFonts w:cs="Times New Roman"/>
          <w:kern w:val="0"/>
          <w:szCs w:val="20"/>
        </w:rPr>
        <w:t>本项目主要是喷雾干燥塔、辊道烧成窑产生的烟尘、料仓粉尘、压机粉尘、磨边粉尘和厂区无组织粉尘，烟尘经除尘器收集后通过35m排气筒排放，料仓、压机和磨边粉尘经布袋除尘器处理后通过15m 排气筒排放，厂区无组织粉尘的处理措施主要为洒水降尘，根据预测得出，项目喷雾干燥塔废气烟尘、料仓粉尘、压机粉尘、磨边粉尘和厂区无组织粉尘最大占标率和最大浓度均较小，排放量不大，能做到达标排放，因此，项目烟（粉）尘对周围植被和土壤的影响有限。</w:t>
      </w:r>
    </w:p>
    <w:p>
      <w:pPr>
        <w:pStyle w:val="69"/>
        <w:ind w:firstLine="0" w:firstLineChars="0"/>
        <w:outlineLvl w:val="3"/>
        <w:rPr>
          <w:b/>
          <w:bCs/>
        </w:rPr>
      </w:pPr>
      <w:r>
        <w:rPr>
          <w:b/>
          <w:bCs/>
        </w:rPr>
        <w:t>5.2.9.3 SO</w:t>
      </w:r>
      <w:r>
        <w:rPr>
          <w:b/>
          <w:bCs/>
          <w:vertAlign w:val="subscript"/>
        </w:rPr>
        <w:t>2</w:t>
      </w:r>
      <w:r>
        <w:rPr>
          <w:b/>
          <w:bCs/>
        </w:rPr>
        <w:t>的影响</w:t>
      </w:r>
    </w:p>
    <w:p>
      <w:pPr>
        <w:autoSpaceDE w:val="0"/>
        <w:autoSpaceDN w:val="0"/>
        <w:adjustRightInd w:val="0"/>
        <w:ind w:firstLine="480"/>
        <w:rPr>
          <w:rFonts w:cs="Times New Roman"/>
          <w:kern w:val="0"/>
          <w:szCs w:val="20"/>
        </w:rPr>
      </w:pPr>
      <w:r>
        <w:rPr>
          <w:rFonts w:cs="Times New Roman"/>
          <w:kern w:val="0"/>
          <w:szCs w:val="20"/>
        </w:rPr>
        <w:t>SO</w:t>
      </w:r>
      <w:r>
        <w:rPr>
          <w:rFonts w:cs="Times New Roman"/>
          <w:kern w:val="0"/>
          <w:szCs w:val="20"/>
          <w:vertAlign w:val="subscript"/>
        </w:rPr>
        <w:t>2</w:t>
      </w:r>
      <w:r>
        <w:rPr>
          <w:rFonts w:cs="Times New Roman"/>
          <w:kern w:val="0"/>
          <w:szCs w:val="20"/>
        </w:rPr>
        <w:t>对植物的危害主要表现在叶片失色，叶绿或叶脉间变成褐色，致使植物的正常生理功能受到抑制甚至死亡。SO</w:t>
      </w:r>
      <w:r>
        <w:rPr>
          <w:rFonts w:cs="Times New Roman"/>
          <w:kern w:val="0"/>
          <w:szCs w:val="20"/>
          <w:vertAlign w:val="subscript"/>
        </w:rPr>
        <w:t>2</w:t>
      </w:r>
      <w:r>
        <w:rPr>
          <w:rFonts w:cs="Times New Roman"/>
          <w:kern w:val="0"/>
          <w:szCs w:val="20"/>
        </w:rPr>
        <w:t>对植物的生理影响表现为：刺激气孔不正常地开放或关闭，影响正常的生理机能；植物的新陈代谢受到干扰，一般是呼吸作用加快；总蛋白质含量降低；使植物光合作用降低叶绿素含量减少等，导致细胞脱水坏死，叶脉间失绿，出现褐色斑点，甚至被漂白。不同的SO</w:t>
      </w:r>
      <w:r>
        <w:rPr>
          <w:rFonts w:cs="Times New Roman"/>
          <w:kern w:val="0"/>
          <w:szCs w:val="20"/>
          <w:vertAlign w:val="subscript"/>
        </w:rPr>
        <w:t>2</w:t>
      </w:r>
      <w:r>
        <w:rPr>
          <w:rFonts w:cs="Times New Roman"/>
          <w:kern w:val="0"/>
          <w:szCs w:val="20"/>
        </w:rPr>
        <w:t>浓度对植物的危害见表5.2-42。</w:t>
      </w:r>
    </w:p>
    <w:p>
      <w:pPr>
        <w:pStyle w:val="14"/>
        <w:spacing w:before="163" w:beforeLines="50"/>
        <w:ind w:firstLine="420"/>
        <w:rPr>
          <w:color w:val="auto"/>
          <w:szCs w:val="24"/>
        </w:rPr>
      </w:pPr>
      <w:r>
        <w:rPr>
          <w:color w:val="auto"/>
          <w:szCs w:val="24"/>
        </w:rPr>
        <w:t>表5.2-42  不同SO</w:t>
      </w:r>
      <w:r>
        <w:rPr>
          <w:color w:val="auto"/>
          <w:szCs w:val="24"/>
          <w:vertAlign w:val="subscript"/>
        </w:rPr>
        <w:t>2</w:t>
      </w:r>
      <w:r>
        <w:rPr>
          <w:color w:val="auto"/>
          <w:szCs w:val="24"/>
        </w:rPr>
        <w:t>浓度对植物的危害情况</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70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spacing w:line="240" w:lineRule="auto"/>
              <w:ind w:firstLine="0" w:firstLineChars="0"/>
              <w:jc w:val="center"/>
              <w:rPr>
                <w:b/>
                <w:sz w:val="21"/>
                <w:szCs w:val="16"/>
              </w:rPr>
            </w:pPr>
            <w:r>
              <w:rPr>
                <w:b/>
                <w:sz w:val="21"/>
                <w:szCs w:val="16"/>
              </w:rPr>
              <w:t>浓度（ppm）</w:t>
            </w:r>
          </w:p>
        </w:tc>
        <w:tc>
          <w:tcPr>
            <w:tcW w:w="7002" w:type="dxa"/>
            <w:vAlign w:val="center"/>
          </w:tcPr>
          <w:p>
            <w:pPr>
              <w:spacing w:line="240" w:lineRule="auto"/>
              <w:ind w:firstLine="0" w:firstLineChars="0"/>
              <w:jc w:val="center"/>
              <w:rPr>
                <w:b/>
                <w:sz w:val="21"/>
                <w:szCs w:val="16"/>
              </w:rPr>
            </w:pPr>
            <w:r>
              <w:rPr>
                <w:b/>
                <w:sz w:val="21"/>
                <w:szCs w:val="16"/>
              </w:rPr>
              <w:t>对植物的影响程度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spacing w:line="240" w:lineRule="auto"/>
              <w:ind w:firstLine="0" w:firstLineChars="0"/>
              <w:jc w:val="center"/>
              <w:rPr>
                <w:sz w:val="21"/>
                <w:szCs w:val="16"/>
              </w:rPr>
            </w:pPr>
            <w:r>
              <w:rPr>
                <w:sz w:val="21"/>
                <w:szCs w:val="16"/>
              </w:rPr>
              <w:t>＜0.3</w:t>
            </w:r>
          </w:p>
        </w:tc>
        <w:tc>
          <w:tcPr>
            <w:tcW w:w="7002" w:type="dxa"/>
            <w:vAlign w:val="center"/>
          </w:tcPr>
          <w:p>
            <w:pPr>
              <w:spacing w:line="240" w:lineRule="auto"/>
              <w:ind w:firstLine="0" w:firstLineChars="0"/>
              <w:jc w:val="center"/>
              <w:rPr>
                <w:sz w:val="21"/>
                <w:szCs w:val="16"/>
              </w:rPr>
            </w:pPr>
            <w:r>
              <w:rPr>
                <w:sz w:val="21"/>
                <w:szCs w:val="16"/>
              </w:rPr>
              <w:t>大多数植物短时间接触不受影响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spacing w:line="240" w:lineRule="auto"/>
              <w:ind w:firstLine="0" w:firstLineChars="0"/>
              <w:jc w:val="center"/>
              <w:rPr>
                <w:sz w:val="21"/>
                <w:szCs w:val="16"/>
              </w:rPr>
            </w:pPr>
            <w:r>
              <w:rPr>
                <w:sz w:val="21"/>
                <w:szCs w:val="16"/>
              </w:rPr>
              <w:t>0.4</w:t>
            </w:r>
          </w:p>
        </w:tc>
        <w:tc>
          <w:tcPr>
            <w:tcW w:w="7002" w:type="dxa"/>
            <w:vAlign w:val="center"/>
          </w:tcPr>
          <w:p>
            <w:pPr>
              <w:spacing w:line="240" w:lineRule="auto"/>
              <w:ind w:firstLine="0" w:firstLineChars="0"/>
              <w:jc w:val="center"/>
              <w:rPr>
                <w:sz w:val="21"/>
                <w:szCs w:val="16"/>
              </w:rPr>
            </w:pPr>
            <w:r>
              <w:rPr>
                <w:sz w:val="21"/>
                <w:szCs w:val="16"/>
              </w:rPr>
              <w:t>敏感的植物如苜蓿、荞麦等在7h 内受害，地衣、苔藓等在十几个小时内完全枯死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spacing w:line="240" w:lineRule="auto"/>
              <w:ind w:firstLine="0" w:firstLineChars="0"/>
              <w:jc w:val="center"/>
              <w:rPr>
                <w:sz w:val="21"/>
                <w:szCs w:val="16"/>
              </w:rPr>
            </w:pPr>
            <w:r>
              <w:rPr>
                <w:sz w:val="21"/>
                <w:szCs w:val="16"/>
              </w:rPr>
              <w:t>0.5</w:t>
            </w:r>
          </w:p>
        </w:tc>
        <w:tc>
          <w:tcPr>
            <w:tcW w:w="7002" w:type="dxa"/>
            <w:vAlign w:val="center"/>
          </w:tcPr>
          <w:p>
            <w:pPr>
              <w:spacing w:line="240" w:lineRule="auto"/>
              <w:ind w:firstLine="0" w:firstLineChars="0"/>
              <w:jc w:val="center"/>
              <w:rPr>
                <w:sz w:val="21"/>
                <w:szCs w:val="16"/>
              </w:rPr>
            </w:pPr>
            <w:r>
              <w:rPr>
                <w:sz w:val="21"/>
                <w:szCs w:val="16"/>
              </w:rPr>
              <w:t>一般植物可能发生危害，西红柿在6h 内受害，树木100h 以上受害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spacing w:line="240" w:lineRule="auto"/>
              <w:ind w:firstLine="0" w:firstLineChars="0"/>
              <w:jc w:val="center"/>
              <w:rPr>
                <w:sz w:val="21"/>
                <w:szCs w:val="16"/>
              </w:rPr>
            </w:pPr>
            <w:r>
              <w:rPr>
                <w:sz w:val="21"/>
                <w:szCs w:val="16"/>
              </w:rPr>
              <w:t>0.8~1.0</w:t>
            </w:r>
          </w:p>
        </w:tc>
        <w:tc>
          <w:tcPr>
            <w:tcW w:w="7002" w:type="dxa"/>
            <w:vAlign w:val="center"/>
          </w:tcPr>
          <w:p>
            <w:pPr>
              <w:spacing w:line="240" w:lineRule="auto"/>
              <w:ind w:firstLine="0" w:firstLineChars="0"/>
              <w:jc w:val="center"/>
              <w:rPr>
                <w:sz w:val="21"/>
                <w:szCs w:val="16"/>
              </w:rPr>
            </w:pPr>
            <w:r>
              <w:rPr>
                <w:sz w:val="21"/>
                <w:szCs w:val="16"/>
              </w:rPr>
              <w:t>菠菜在3h 内受害，树木在数十小时内受害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spacing w:line="240" w:lineRule="auto"/>
              <w:ind w:firstLine="0" w:firstLineChars="0"/>
              <w:jc w:val="center"/>
              <w:rPr>
                <w:sz w:val="21"/>
                <w:szCs w:val="16"/>
              </w:rPr>
            </w:pPr>
            <w:r>
              <w:rPr>
                <w:sz w:val="21"/>
                <w:szCs w:val="16"/>
              </w:rPr>
              <w:t>6~7</w:t>
            </w:r>
          </w:p>
        </w:tc>
        <w:tc>
          <w:tcPr>
            <w:tcW w:w="7002" w:type="dxa"/>
            <w:vAlign w:val="center"/>
          </w:tcPr>
          <w:p>
            <w:pPr>
              <w:spacing w:line="240" w:lineRule="auto"/>
              <w:ind w:firstLine="0" w:firstLineChars="0"/>
              <w:jc w:val="center"/>
              <w:rPr>
                <w:sz w:val="21"/>
                <w:szCs w:val="16"/>
              </w:rPr>
            </w:pPr>
            <w:r>
              <w:rPr>
                <w:sz w:val="21"/>
                <w:szCs w:val="16"/>
              </w:rPr>
              <w:t>某些抗性强的植物在24h 内受害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spacing w:line="240" w:lineRule="auto"/>
              <w:ind w:firstLine="0" w:firstLineChars="0"/>
              <w:jc w:val="center"/>
              <w:rPr>
                <w:sz w:val="21"/>
                <w:szCs w:val="16"/>
              </w:rPr>
            </w:pPr>
            <w:r>
              <w:rPr>
                <w:sz w:val="21"/>
                <w:szCs w:val="16"/>
              </w:rPr>
              <w:t>20</w:t>
            </w:r>
          </w:p>
        </w:tc>
        <w:tc>
          <w:tcPr>
            <w:tcW w:w="7002" w:type="dxa"/>
            <w:vAlign w:val="center"/>
          </w:tcPr>
          <w:p>
            <w:pPr>
              <w:spacing w:line="240" w:lineRule="auto"/>
              <w:ind w:firstLine="0" w:firstLineChars="0"/>
              <w:jc w:val="center"/>
              <w:rPr>
                <w:sz w:val="21"/>
                <w:szCs w:val="16"/>
              </w:rPr>
            </w:pPr>
            <w:r>
              <w:rPr>
                <w:sz w:val="21"/>
                <w:szCs w:val="16"/>
              </w:rPr>
              <w:t>许多农作物发生严重急性危害，明显减产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spacing w:line="240" w:lineRule="auto"/>
              <w:ind w:firstLine="0" w:firstLineChars="0"/>
              <w:jc w:val="center"/>
              <w:rPr>
                <w:sz w:val="21"/>
                <w:szCs w:val="16"/>
              </w:rPr>
            </w:pPr>
            <w:r>
              <w:rPr>
                <w:sz w:val="21"/>
                <w:szCs w:val="16"/>
              </w:rPr>
              <w:t>7~100</w:t>
            </w:r>
          </w:p>
        </w:tc>
        <w:tc>
          <w:tcPr>
            <w:tcW w:w="7002" w:type="dxa"/>
            <w:vAlign w:val="center"/>
          </w:tcPr>
          <w:p>
            <w:pPr>
              <w:spacing w:line="240" w:lineRule="auto"/>
              <w:ind w:firstLine="0" w:firstLineChars="0"/>
              <w:jc w:val="center"/>
              <w:rPr>
                <w:sz w:val="21"/>
                <w:szCs w:val="16"/>
              </w:rPr>
            </w:pPr>
            <w:r>
              <w:rPr>
                <w:sz w:val="21"/>
                <w:szCs w:val="16"/>
              </w:rPr>
              <w:t>植物受害十分严重并逐渐全部枯死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spacing w:line="240" w:lineRule="auto"/>
              <w:ind w:firstLine="0" w:firstLineChars="0"/>
              <w:jc w:val="center"/>
              <w:rPr>
                <w:sz w:val="21"/>
                <w:szCs w:val="16"/>
              </w:rPr>
            </w:pPr>
            <w:r>
              <w:rPr>
                <w:sz w:val="21"/>
                <w:szCs w:val="16"/>
              </w:rPr>
              <w:t>≥100</w:t>
            </w:r>
          </w:p>
        </w:tc>
        <w:tc>
          <w:tcPr>
            <w:tcW w:w="7002" w:type="dxa"/>
            <w:vAlign w:val="center"/>
          </w:tcPr>
          <w:p>
            <w:pPr>
              <w:spacing w:line="240" w:lineRule="auto"/>
              <w:ind w:firstLine="0" w:firstLineChars="0"/>
              <w:jc w:val="center"/>
              <w:rPr>
                <w:sz w:val="21"/>
                <w:szCs w:val="16"/>
              </w:rPr>
            </w:pPr>
            <w:r>
              <w:rPr>
                <w:sz w:val="21"/>
                <w:szCs w:val="16"/>
              </w:rPr>
              <w:t>全部植物在短期内死亡</w:t>
            </w:r>
          </w:p>
        </w:tc>
      </w:tr>
    </w:tbl>
    <w:p>
      <w:pPr>
        <w:autoSpaceDE w:val="0"/>
        <w:autoSpaceDN w:val="0"/>
        <w:adjustRightInd w:val="0"/>
        <w:ind w:firstLine="480"/>
        <w:rPr>
          <w:rFonts w:cs="Times New Roman"/>
          <w:kern w:val="0"/>
        </w:rPr>
      </w:pPr>
      <w:r>
        <w:rPr>
          <w:rFonts w:cs="Times New Roman"/>
          <w:kern w:val="0"/>
        </w:rPr>
        <w:t>本项目建成后排放的SO</w:t>
      </w:r>
      <w:r>
        <w:rPr>
          <w:rFonts w:cs="Times New Roman"/>
          <w:kern w:val="0"/>
          <w:vertAlign w:val="subscript"/>
        </w:rPr>
        <w:t>2</w:t>
      </w:r>
      <w:r>
        <w:rPr>
          <w:rFonts w:cs="Times New Roman"/>
          <w:kern w:val="0"/>
        </w:rPr>
        <w:t>污染物对评价区内各关心点的小时最大地面浓度贡献值均未超过《环境空气质量标准》（GB3095-2012）中小时标准限值。</w:t>
      </w:r>
    </w:p>
    <w:p>
      <w:pPr>
        <w:autoSpaceDE w:val="0"/>
        <w:autoSpaceDN w:val="0"/>
        <w:adjustRightInd w:val="0"/>
        <w:ind w:firstLine="480"/>
        <w:rPr>
          <w:rFonts w:cs="Times New Roman"/>
          <w:kern w:val="0"/>
        </w:rPr>
      </w:pPr>
      <w:r>
        <w:rPr>
          <w:rFonts w:cs="Times New Roman"/>
          <w:kern w:val="0"/>
        </w:rPr>
        <w:t>项目SO</w:t>
      </w:r>
      <w:r>
        <w:rPr>
          <w:rFonts w:cs="Times New Roman"/>
          <w:kern w:val="0"/>
          <w:vertAlign w:val="subscript"/>
        </w:rPr>
        <w:t>2</w:t>
      </w:r>
      <w:r>
        <w:rPr>
          <w:rFonts w:cs="Times New Roman"/>
          <w:kern w:val="0"/>
        </w:rPr>
        <w:t>的排放对周围植物的影响较小，对厂址周围的农作物不会造成有害影响。</w:t>
      </w:r>
    </w:p>
    <w:p>
      <w:pPr>
        <w:pStyle w:val="69"/>
        <w:ind w:firstLine="0" w:firstLineChars="0"/>
        <w:outlineLvl w:val="3"/>
        <w:rPr>
          <w:b/>
          <w:bCs/>
        </w:rPr>
      </w:pPr>
      <w:r>
        <w:rPr>
          <w:b/>
          <w:bCs/>
        </w:rPr>
        <w:t>5.2.9.4 氟化物的影响</w:t>
      </w:r>
    </w:p>
    <w:p>
      <w:pPr>
        <w:autoSpaceDE w:val="0"/>
        <w:autoSpaceDN w:val="0"/>
        <w:adjustRightInd w:val="0"/>
        <w:ind w:firstLine="480"/>
        <w:rPr>
          <w:rFonts w:cs="Times New Roman"/>
          <w:kern w:val="0"/>
        </w:rPr>
      </w:pPr>
      <w:r>
        <w:rPr>
          <w:rFonts w:cs="Times New Roman"/>
          <w:kern w:val="0"/>
        </w:rPr>
        <w:t>氟化物被认为是对环境最严重的污染物之一。慢性氟中毒在人体中第一代上迹象就是出现斑点，然后就是韧带变软。气态氟化物对植物和动物的损害比对人的损害大的多。所有关资料，其环境尝试低至（1.5～4）×10</w:t>
      </w:r>
      <w:r>
        <w:rPr>
          <w:rFonts w:cs="Times New Roman"/>
          <w:kern w:val="0"/>
          <w:vertAlign w:val="superscript"/>
        </w:rPr>
        <w:t>-5</w:t>
      </w:r>
      <w:r>
        <w:rPr>
          <w:rFonts w:cs="Times New Roman"/>
          <w:kern w:val="0"/>
        </w:rPr>
        <w:t>mg/m</w:t>
      </w:r>
      <w:r>
        <w:rPr>
          <w:rFonts w:cs="Times New Roman"/>
          <w:kern w:val="0"/>
          <w:vertAlign w:val="superscript"/>
        </w:rPr>
        <w:t>3</w:t>
      </w:r>
      <w:r>
        <w:rPr>
          <w:rFonts w:cs="Times New Roman"/>
          <w:kern w:val="0"/>
        </w:rPr>
        <w:t>范围内都会损害剑兰，松树和果树。牛等动物在空气中氟化物浓度超过0.03mg/m</w:t>
      </w:r>
      <w:r>
        <w:rPr>
          <w:rFonts w:cs="Times New Roman"/>
          <w:kern w:val="0"/>
          <w:vertAlign w:val="superscript"/>
        </w:rPr>
        <w:t>3</w:t>
      </w:r>
      <w:r>
        <w:rPr>
          <w:rFonts w:cs="Times New Roman"/>
          <w:kern w:val="0"/>
        </w:rPr>
        <w:t>时会受到影响，最终得骨质硬化症。大气中的氟一般以HF的形式存在，它对动、植物都有很强的毒性，当人畜吸收达一定浓度氟化物后，会引起中毒及死亡。当空气中氟化物浓度超过1mg/m</w:t>
      </w:r>
      <w:r>
        <w:rPr>
          <w:rFonts w:cs="Times New Roman"/>
          <w:kern w:val="0"/>
          <w:vertAlign w:val="superscript"/>
        </w:rPr>
        <w:t>3</w:t>
      </w:r>
      <w:r>
        <w:rPr>
          <w:rFonts w:cs="Times New Roman"/>
          <w:kern w:val="0"/>
        </w:rPr>
        <w:t>时，就会对人的呼吸器官等产生影响，同样植物吸收积累一定量后，也会导致中毒死亡。因此，项目投产后，如不控制氟化物的排放浓度，周围植被、周围农民的耕牛及牲畜等健康将遭到威胁。因此应定期对外排废气进行监测，对脱硫塔脱氟效果进行验证，确保其处理效率，使氟化物达标排放。同时采取技术、工艺、设备、管理等综合预防措施，使氟化物排放气体最小量化，对周围环境影响达最小化。</w:t>
      </w:r>
    </w:p>
    <w:p>
      <w:pPr>
        <w:pStyle w:val="69"/>
        <w:ind w:firstLine="0" w:firstLineChars="0"/>
        <w:outlineLvl w:val="3"/>
        <w:rPr>
          <w:b/>
          <w:bCs/>
        </w:rPr>
      </w:pPr>
      <w:r>
        <w:rPr>
          <w:b/>
          <w:bCs/>
        </w:rPr>
        <w:t>5.2.9.5 对农田土壤的影响</w:t>
      </w:r>
    </w:p>
    <w:p>
      <w:pPr>
        <w:autoSpaceDE w:val="0"/>
        <w:autoSpaceDN w:val="0"/>
        <w:adjustRightInd w:val="0"/>
        <w:ind w:firstLine="480"/>
        <w:rPr>
          <w:rFonts w:cs="Times New Roman"/>
          <w:kern w:val="0"/>
        </w:rPr>
      </w:pPr>
      <w:r>
        <w:rPr>
          <w:rFonts w:cs="Times New Roman"/>
          <w:kern w:val="0"/>
        </w:rPr>
        <w:t>拟建项目生产过程中排放的粉尘其主要化学成份是Si、Ca、Al 的氧化物，其水悬浮液呈碱性，过多的粉尘（一般认为在48g/d•m</w:t>
      </w:r>
      <w:r>
        <w:rPr>
          <w:rFonts w:cs="Times New Roman"/>
          <w:kern w:val="0"/>
          <w:vertAlign w:val="superscript"/>
        </w:rPr>
        <w:t>2</w:t>
      </w:r>
      <w:r>
        <w:rPr>
          <w:rFonts w:cs="Times New Roman"/>
          <w:kern w:val="0"/>
        </w:rPr>
        <w:t xml:space="preserve"> 以上）会导致土壤表层PH值的升高，土壤向碱性方向变动，降低了土壤中微量元素的活性，影响土壤微生物的活动，导致土壤发生板结现象，影响植物的正常发育。本建设项目正常排放时的TSP浓度可达到《环境空气质量标准》（GB3095-2012）及其修改单二级标准，因此，项目所排粉尘对周围农田土壤的影响很小，不至于使农田土壤发生板结现象，对土壤质量影响不大。</w:t>
      </w:r>
    </w:p>
    <w:p>
      <w:pPr>
        <w:pStyle w:val="69"/>
        <w:ind w:firstLine="0" w:firstLineChars="0"/>
        <w:outlineLvl w:val="3"/>
        <w:rPr>
          <w:b/>
          <w:bCs/>
        </w:rPr>
      </w:pPr>
      <w:r>
        <w:rPr>
          <w:b/>
          <w:bCs/>
        </w:rPr>
        <w:t>5.2.9.6 小结</w:t>
      </w:r>
    </w:p>
    <w:p>
      <w:pPr>
        <w:ind w:firstLine="480"/>
        <w:rPr>
          <w:rFonts w:cs="Times New Roman"/>
          <w:kern w:val="0"/>
        </w:rPr>
      </w:pPr>
      <w:r>
        <w:rPr>
          <w:rFonts w:cs="Times New Roman"/>
          <w:kern w:val="0"/>
        </w:rPr>
        <w:t>根据上述分析，项目位于工业园区，项目建设对区域生态环境的影响范围和影响程度均较小，实际运行过程中排放污染物量小，项目运营对生态环境的影响是可以接受的。</w:t>
      </w:r>
    </w:p>
    <w:p>
      <w:pPr>
        <w:pStyle w:val="3"/>
        <w:rPr>
          <w:rFonts w:cs="Times New Roman"/>
          <w:szCs w:val="30"/>
          <w:u w:val="single"/>
        </w:rPr>
      </w:pPr>
      <w:bookmarkStart w:id="172" w:name="_Toc24532"/>
      <w:bookmarkStart w:id="173" w:name="_Toc86611316"/>
      <w:r>
        <w:rPr>
          <w:rFonts w:cs="Times New Roman"/>
          <w:szCs w:val="30"/>
          <w:u w:val="single"/>
        </w:rPr>
        <w:t>5.3 环境风险评价</w:t>
      </w:r>
      <w:bookmarkEnd w:id="172"/>
      <w:bookmarkEnd w:id="173"/>
    </w:p>
    <w:p>
      <w:pPr>
        <w:pStyle w:val="4"/>
        <w:adjustRightInd w:val="0"/>
        <w:snapToGrid w:val="0"/>
        <w:jc w:val="left"/>
        <w:rPr>
          <w:rFonts w:cs="Times New Roman"/>
          <w:szCs w:val="24"/>
          <w:u w:val="single"/>
        </w:rPr>
      </w:pPr>
      <w:bookmarkStart w:id="174" w:name="_Toc86611317"/>
      <w:r>
        <w:rPr>
          <w:rFonts w:cs="Times New Roman"/>
          <w:szCs w:val="24"/>
          <w:u w:val="single"/>
        </w:rPr>
        <w:t>5.3.1 影响分析</w:t>
      </w:r>
      <w:bookmarkEnd w:id="174"/>
    </w:p>
    <w:p>
      <w:pPr>
        <w:pStyle w:val="257"/>
        <w:spacing w:line="360" w:lineRule="auto"/>
        <w:ind w:firstLine="480" w:firstLineChars="200"/>
        <w:jc w:val="left"/>
        <w:rPr>
          <w:sz w:val="24"/>
          <w:u w:val="single"/>
        </w:rPr>
      </w:pPr>
      <w:r>
        <w:rPr>
          <w:bCs/>
          <w:sz w:val="24"/>
          <w:u w:val="single"/>
        </w:rPr>
        <w:t>天然气化学计量浓度19.2%，当天然气浓度在化学计量浓度附近时其压力峰值最大，实验发现，当天然气浓度为20%时爆炸威力</w:t>
      </w:r>
      <w:r>
        <w:rPr>
          <w:sz w:val="24"/>
          <w:u w:val="single"/>
        </w:rPr>
        <w:t>最大。</w:t>
      </w:r>
    </w:p>
    <w:p>
      <w:pPr>
        <w:pStyle w:val="257"/>
        <w:spacing w:line="360" w:lineRule="auto"/>
        <w:ind w:firstLine="480" w:firstLineChars="200"/>
        <w:jc w:val="left"/>
        <w:rPr>
          <w:sz w:val="24"/>
          <w:u w:val="single"/>
        </w:rPr>
      </w:pPr>
      <w:r>
        <w:rPr>
          <w:bCs/>
          <w:sz w:val="24"/>
          <w:u w:val="single"/>
        </w:rPr>
        <w:t>天然气</w:t>
      </w:r>
      <w:r>
        <w:rPr>
          <w:sz w:val="24"/>
          <w:u w:val="single"/>
        </w:rPr>
        <w:t>与空气的混合气体产生爆炸必须具备三个条件，即爆炸三要素：一是</w:t>
      </w:r>
      <w:r>
        <w:rPr>
          <w:bCs/>
          <w:sz w:val="24"/>
          <w:u w:val="single"/>
        </w:rPr>
        <w:t>天然气</w:t>
      </w:r>
      <w:r>
        <w:rPr>
          <w:sz w:val="24"/>
          <w:u w:val="single"/>
        </w:rPr>
        <w:t>在空气中有一定的浓度，即在爆炸上下限之间；二是有火源存在或混合气体达到着火温度；三是密闭容器中有一定空间。</w:t>
      </w:r>
      <w:r>
        <w:rPr>
          <w:bCs/>
          <w:sz w:val="24"/>
          <w:u w:val="single"/>
        </w:rPr>
        <w:t>天然气</w:t>
      </w:r>
      <w:r>
        <w:rPr>
          <w:sz w:val="24"/>
          <w:u w:val="single"/>
        </w:rPr>
        <w:t>的爆炸极限分别为21.5~67.5%和4.5~35.8%。</w:t>
      </w:r>
    </w:p>
    <w:p>
      <w:pPr>
        <w:pStyle w:val="257"/>
        <w:spacing w:line="360" w:lineRule="auto"/>
        <w:ind w:firstLine="480" w:firstLineChars="200"/>
        <w:jc w:val="left"/>
        <w:rPr>
          <w:sz w:val="24"/>
          <w:u w:val="single"/>
        </w:rPr>
      </w:pPr>
      <w:r>
        <w:rPr>
          <w:sz w:val="24"/>
          <w:u w:val="single"/>
        </w:rPr>
        <w:t>在</w:t>
      </w:r>
      <w:r>
        <w:rPr>
          <w:bCs/>
          <w:sz w:val="24"/>
          <w:u w:val="single"/>
        </w:rPr>
        <w:t>天然气</w:t>
      </w:r>
      <w:r>
        <w:rPr>
          <w:sz w:val="24"/>
          <w:u w:val="single"/>
        </w:rPr>
        <w:t>与空气混合物中，投入火源即在火源周围发生化学反应，反应生成的热量使气体骤烈膨胀；气体的温度、压力、密度急剧增大，其周围的可燃气体压缩。从热力学可以知道，气体绝热压缩可产生高温，使可燃气体达到燃点而燃烧。此时的火焰传播速度将超过音速，达到1000~3500m/s，温度高达6000K，局部压力会超过20kg/cm</w:t>
      </w:r>
      <w:r>
        <w:rPr>
          <w:sz w:val="24"/>
          <w:u w:val="single"/>
          <w:vertAlign w:val="superscript"/>
        </w:rPr>
        <w:t>2</w:t>
      </w:r>
      <w:r>
        <w:rPr>
          <w:sz w:val="24"/>
          <w:u w:val="single"/>
        </w:rPr>
        <w:t>。如果是发生在密闭容器或空间中，即引起猛烈的爆炸。</w:t>
      </w:r>
    </w:p>
    <w:p>
      <w:pPr>
        <w:pStyle w:val="257"/>
        <w:spacing w:line="360" w:lineRule="auto"/>
        <w:ind w:firstLine="480" w:firstLineChars="200"/>
        <w:jc w:val="left"/>
        <w:rPr>
          <w:sz w:val="24"/>
          <w:u w:val="single"/>
        </w:rPr>
      </w:pPr>
      <w:r>
        <w:rPr>
          <w:sz w:val="24"/>
          <w:u w:val="single"/>
        </w:rPr>
        <w:t>由于</w:t>
      </w:r>
      <w:r>
        <w:rPr>
          <w:bCs/>
          <w:sz w:val="24"/>
          <w:u w:val="single"/>
        </w:rPr>
        <w:t>天然气</w:t>
      </w:r>
      <w:r>
        <w:rPr>
          <w:sz w:val="24"/>
          <w:u w:val="single"/>
        </w:rPr>
        <w:t>爆炸时产生的冲击力很大，压力约为7.5绝对大气压，因而其破坏性和危险性也很大。</w:t>
      </w:r>
      <w:r>
        <w:rPr>
          <w:bCs/>
          <w:sz w:val="24"/>
          <w:u w:val="single"/>
        </w:rPr>
        <w:t>天然气</w:t>
      </w:r>
      <w:r>
        <w:rPr>
          <w:sz w:val="24"/>
          <w:u w:val="single"/>
        </w:rPr>
        <w:t>爆炸可使</w:t>
      </w:r>
      <w:r>
        <w:rPr>
          <w:bCs/>
          <w:sz w:val="24"/>
          <w:u w:val="single"/>
        </w:rPr>
        <w:t>天然气</w:t>
      </w:r>
      <w:r>
        <w:rPr>
          <w:sz w:val="24"/>
          <w:u w:val="single"/>
        </w:rPr>
        <w:t>设施、窑炉、厂房等遭到严重破坏，同时可使人受伤致残或死亡。因此要采取一切安全措施严防</w:t>
      </w:r>
      <w:r>
        <w:rPr>
          <w:bCs/>
          <w:sz w:val="24"/>
          <w:u w:val="single"/>
        </w:rPr>
        <w:t>天然气</w:t>
      </w:r>
      <w:r>
        <w:rPr>
          <w:sz w:val="24"/>
          <w:u w:val="single"/>
        </w:rPr>
        <w:t>爆炸事故的发生。</w:t>
      </w:r>
    </w:p>
    <w:p>
      <w:pPr>
        <w:pStyle w:val="257"/>
        <w:spacing w:line="360" w:lineRule="auto"/>
        <w:ind w:firstLine="480" w:firstLineChars="200"/>
        <w:jc w:val="left"/>
        <w:rPr>
          <w:sz w:val="24"/>
          <w:u w:val="single"/>
        </w:rPr>
      </w:pPr>
      <w:r>
        <w:rPr>
          <w:sz w:val="24"/>
          <w:u w:val="single"/>
        </w:rPr>
        <w:t>在本项目中容易发生</w:t>
      </w:r>
      <w:r>
        <w:rPr>
          <w:bCs/>
          <w:sz w:val="24"/>
          <w:u w:val="single"/>
        </w:rPr>
        <w:t>天然气</w:t>
      </w:r>
      <w:r>
        <w:rPr>
          <w:sz w:val="24"/>
          <w:u w:val="single"/>
        </w:rPr>
        <w:t>爆炸的地点是</w:t>
      </w:r>
      <w:r>
        <w:rPr>
          <w:bCs/>
          <w:sz w:val="24"/>
          <w:u w:val="single"/>
        </w:rPr>
        <w:t>天然气</w:t>
      </w:r>
      <w:r>
        <w:rPr>
          <w:sz w:val="24"/>
          <w:u w:val="single"/>
        </w:rPr>
        <w:t>管道、窑炉燃烧室和烟道、通风不良的厂房、暗沟等，外窑炉点火时发生爆炸的可能性很大。</w:t>
      </w:r>
    </w:p>
    <w:p>
      <w:pPr>
        <w:pStyle w:val="257"/>
        <w:spacing w:line="360" w:lineRule="auto"/>
        <w:ind w:firstLine="480" w:firstLineChars="200"/>
        <w:jc w:val="left"/>
        <w:rPr>
          <w:sz w:val="24"/>
          <w:u w:val="single"/>
        </w:rPr>
      </w:pPr>
      <w:r>
        <w:rPr>
          <w:sz w:val="24"/>
          <w:u w:val="single"/>
        </w:rPr>
        <w:t>现假设持续10分钟</w:t>
      </w:r>
      <w:r>
        <w:rPr>
          <w:bCs/>
          <w:sz w:val="24"/>
          <w:u w:val="single"/>
        </w:rPr>
        <w:t>天然气</w:t>
      </w:r>
      <w:r>
        <w:rPr>
          <w:sz w:val="24"/>
          <w:u w:val="single"/>
        </w:rPr>
        <w:t>泄漏后发生火灾爆炸，采用穆尔哈斯（Moorhowse）和普里恰特（Prichard）提出的经验公式计算热辐射量。</w:t>
      </w:r>
    </w:p>
    <w:p>
      <w:pPr>
        <w:pStyle w:val="257"/>
        <w:spacing w:line="360" w:lineRule="auto"/>
        <w:ind w:firstLine="480" w:firstLineChars="200"/>
        <w:jc w:val="left"/>
        <w:rPr>
          <w:sz w:val="24"/>
          <w:u w:val="single"/>
        </w:rPr>
      </w:pPr>
      <w:r>
        <w:rPr>
          <w:sz w:val="24"/>
          <w:u w:val="single"/>
        </w:rPr>
        <w:t>火灾的最大半径R</w:t>
      </w:r>
      <w:r>
        <w:rPr>
          <w:sz w:val="24"/>
          <w:u w:val="single"/>
          <w:vertAlign w:val="subscript"/>
        </w:rPr>
        <w:t>f</w:t>
      </w:r>
      <w:r>
        <w:rPr>
          <w:sz w:val="24"/>
          <w:u w:val="single"/>
        </w:rPr>
        <w:t>（m）</w:t>
      </w:r>
    </w:p>
    <w:p>
      <w:pPr>
        <w:pStyle w:val="257"/>
        <w:spacing w:line="360" w:lineRule="auto"/>
        <w:ind w:firstLine="480" w:firstLineChars="200"/>
        <w:jc w:val="left"/>
        <w:rPr>
          <w:sz w:val="24"/>
          <w:u w:val="single"/>
        </w:rPr>
      </w:pPr>
      <w:r>
        <w:rPr>
          <w:sz w:val="24"/>
          <w:u w:val="single"/>
        </w:rPr>
        <w:object>
          <v:shape id="_x0000_i1040" o:spt="75" type="#_x0000_t75" style="height:19.95pt;width:97.5pt;" o:ole="t" filled="f" o:preferrelative="t" stroked="f" coordsize="21600,21600">
            <v:path/>
            <v:fill on="f" focussize="0,0"/>
            <v:stroke on="f" joinstyle="miter"/>
            <v:imagedata r:id="rId100" o:title=""/>
            <o:lock v:ext="edit" aspectratio="t"/>
            <w10:wrap type="none"/>
            <w10:anchorlock/>
          </v:shape>
          <o:OLEObject Type="Embed" ProgID="Equation.3" ShapeID="_x0000_i1040" DrawAspect="Content" ObjectID="_1468075740" r:id="rId99">
            <o:LockedField>false</o:LockedField>
          </o:OLEObject>
        </w:object>
      </w:r>
    </w:p>
    <w:p>
      <w:pPr>
        <w:pStyle w:val="257"/>
        <w:spacing w:line="360" w:lineRule="auto"/>
        <w:ind w:firstLine="480" w:firstLineChars="200"/>
        <w:jc w:val="left"/>
        <w:rPr>
          <w:sz w:val="24"/>
          <w:u w:val="single"/>
        </w:rPr>
      </w:pPr>
      <w:r>
        <w:rPr>
          <w:sz w:val="24"/>
          <w:u w:val="single"/>
        </w:rPr>
        <w:t>式中：M为可燃物质释放的质量（kg）</w:t>
      </w:r>
    </w:p>
    <w:p>
      <w:pPr>
        <w:pStyle w:val="257"/>
        <w:spacing w:line="360" w:lineRule="auto"/>
        <w:ind w:firstLine="480" w:firstLineChars="200"/>
        <w:jc w:val="left"/>
        <w:rPr>
          <w:sz w:val="24"/>
          <w:u w:val="single"/>
        </w:rPr>
      </w:pPr>
      <w:r>
        <w:rPr>
          <w:sz w:val="24"/>
          <w:u w:val="single"/>
        </w:rPr>
        <w:t>火球持续时间t</w:t>
      </w:r>
      <w:r>
        <w:rPr>
          <w:sz w:val="24"/>
          <w:u w:val="single"/>
          <w:vertAlign w:val="subscript"/>
        </w:rPr>
        <w:t>f</w:t>
      </w:r>
      <w:r>
        <w:rPr>
          <w:sz w:val="24"/>
          <w:u w:val="single"/>
        </w:rPr>
        <w:t>（s）</w:t>
      </w:r>
    </w:p>
    <w:p>
      <w:pPr>
        <w:pStyle w:val="257"/>
        <w:spacing w:line="360" w:lineRule="auto"/>
        <w:ind w:firstLine="480" w:firstLineChars="200"/>
        <w:jc w:val="left"/>
        <w:rPr>
          <w:sz w:val="24"/>
          <w:u w:val="single"/>
        </w:rPr>
      </w:pPr>
      <w:r>
        <w:rPr>
          <w:sz w:val="24"/>
          <w:u w:val="single"/>
        </w:rPr>
        <w:object>
          <v:shape id="_x0000_i1041" o:spt="75" type="#_x0000_t75" style="height:19.95pt;width:91.95pt;" o:ole="t" filled="f" o:preferrelative="t" stroked="f" coordsize="21600,21600">
            <v:path/>
            <v:fill on="f" focussize="0,0"/>
            <v:stroke on="f" joinstyle="miter"/>
            <v:imagedata r:id="rId102" o:title=""/>
            <o:lock v:ext="edit" aspectratio="t"/>
            <w10:wrap type="none"/>
            <w10:anchorlock/>
          </v:shape>
          <o:OLEObject Type="Embed" ProgID="Equation.3" ShapeID="_x0000_i1041" DrawAspect="Content" ObjectID="_1468075741" r:id="rId101">
            <o:LockedField>false</o:LockedField>
          </o:OLEObject>
        </w:object>
      </w:r>
    </w:p>
    <w:p>
      <w:pPr>
        <w:pStyle w:val="257"/>
        <w:spacing w:line="360" w:lineRule="auto"/>
        <w:ind w:firstLine="480" w:firstLineChars="200"/>
        <w:jc w:val="left"/>
        <w:rPr>
          <w:sz w:val="24"/>
          <w:u w:val="single"/>
        </w:rPr>
      </w:pPr>
      <w:r>
        <w:rPr>
          <w:sz w:val="24"/>
          <w:u w:val="single"/>
        </w:rPr>
        <w:t>燃烧时能量的释放率Q：</w:t>
      </w:r>
    </w:p>
    <w:p>
      <w:pPr>
        <w:pStyle w:val="257"/>
        <w:spacing w:line="360" w:lineRule="auto"/>
        <w:ind w:firstLine="480" w:firstLineChars="200"/>
        <w:jc w:val="left"/>
        <w:rPr>
          <w:sz w:val="24"/>
          <w:u w:val="single"/>
        </w:rPr>
      </w:pPr>
      <w:r>
        <w:rPr>
          <w:sz w:val="24"/>
          <w:u w:val="single"/>
        </w:rPr>
        <w:object>
          <v:shape id="_x0000_i1042" o:spt="75" type="#_x0000_t75" style="height:36.55pt;width:59.8pt;" o:ole="t" filled="f" o:preferrelative="t" stroked="f" coordsize="21600,21600">
            <v:path/>
            <v:fill on="f" focussize="0,0"/>
            <v:stroke on="f" joinstyle="miter"/>
            <v:imagedata r:id="rId104" o:title=""/>
            <o:lock v:ext="edit" aspectratio="t"/>
            <w10:wrap type="none"/>
            <w10:anchorlock/>
          </v:shape>
          <o:OLEObject Type="Embed" ProgID="Equation.3" ShapeID="_x0000_i1042" DrawAspect="Content" ObjectID="_1468075742" r:id="rId103">
            <o:LockedField>false</o:LockedField>
          </o:OLEObject>
        </w:object>
      </w:r>
    </w:p>
    <w:p>
      <w:pPr>
        <w:pStyle w:val="257"/>
        <w:spacing w:line="360" w:lineRule="auto"/>
        <w:ind w:firstLine="480" w:firstLineChars="200"/>
        <w:jc w:val="left"/>
        <w:rPr>
          <w:sz w:val="24"/>
          <w:u w:val="single"/>
        </w:rPr>
      </w:pPr>
      <w:r>
        <w:rPr>
          <w:sz w:val="24"/>
          <w:u w:val="single"/>
        </w:rPr>
        <w:t>式中：H</w:t>
      </w:r>
      <w:r>
        <w:rPr>
          <w:sz w:val="24"/>
          <w:u w:val="single"/>
          <w:vertAlign w:val="subscript"/>
        </w:rPr>
        <w:t>e</w:t>
      </w:r>
      <w:r>
        <w:rPr>
          <w:sz w:val="24"/>
          <w:u w:val="single"/>
        </w:rPr>
        <w:t>为燃烧热（J/kg）；</w:t>
      </w:r>
    </w:p>
    <w:p>
      <w:pPr>
        <w:pStyle w:val="257"/>
        <w:spacing w:line="360" w:lineRule="auto"/>
        <w:ind w:firstLine="480" w:firstLineChars="200"/>
        <w:jc w:val="left"/>
        <w:rPr>
          <w:sz w:val="24"/>
          <w:u w:val="single"/>
        </w:rPr>
      </w:pPr>
      <w:r>
        <w:rPr>
          <w:sz w:val="24"/>
          <w:u w:val="single"/>
        </w:rPr>
        <w:t>η为燃烧效率，随物质的饱和蒸汽压而变化，η=0.27P</w:t>
      </w:r>
      <w:r>
        <w:rPr>
          <w:sz w:val="24"/>
          <w:u w:val="single"/>
          <w:vertAlign w:val="superscript"/>
        </w:rPr>
        <w:t>0.32</w:t>
      </w:r>
      <w:r>
        <w:rPr>
          <w:sz w:val="24"/>
          <w:u w:val="single"/>
        </w:rPr>
        <w:t>。</w:t>
      </w:r>
    </w:p>
    <w:p>
      <w:pPr>
        <w:pStyle w:val="257"/>
        <w:spacing w:line="360" w:lineRule="auto"/>
        <w:ind w:firstLine="480" w:firstLineChars="200"/>
        <w:jc w:val="left"/>
        <w:rPr>
          <w:sz w:val="24"/>
          <w:u w:val="single"/>
        </w:rPr>
      </w:pPr>
      <w:r>
        <w:rPr>
          <w:sz w:val="24"/>
          <w:u w:val="single"/>
        </w:rPr>
        <w:t>距火球中心r</w:t>
      </w:r>
      <w:r>
        <w:rPr>
          <w:sz w:val="24"/>
          <w:u w:val="single"/>
          <w:vertAlign w:val="subscript"/>
        </w:rPr>
        <w:t>m</w:t>
      </w:r>
      <w:r>
        <w:rPr>
          <w:sz w:val="24"/>
          <w:u w:val="single"/>
        </w:rPr>
        <w:t>处的辐射通量H（W/m</w:t>
      </w:r>
      <w:r>
        <w:rPr>
          <w:sz w:val="24"/>
          <w:u w:val="single"/>
          <w:vertAlign w:val="superscript"/>
        </w:rPr>
        <w:t>2</w:t>
      </w:r>
      <w:r>
        <w:rPr>
          <w:sz w:val="24"/>
          <w:u w:val="single"/>
        </w:rPr>
        <w:t>）为：</w:t>
      </w:r>
    </w:p>
    <w:p>
      <w:pPr>
        <w:pStyle w:val="257"/>
        <w:spacing w:line="360" w:lineRule="auto"/>
        <w:ind w:firstLine="480" w:firstLineChars="200"/>
        <w:jc w:val="left"/>
        <w:rPr>
          <w:sz w:val="24"/>
          <w:u w:val="single"/>
        </w:rPr>
      </w:pPr>
      <w:r>
        <w:rPr>
          <w:sz w:val="24"/>
          <w:u w:val="single"/>
        </w:rPr>
        <w:object>
          <v:shape id="_x0000_i1043" o:spt="75" type="#_x0000_t75" style="height:30.45pt;width:52.05pt;" o:ole="t" filled="f" o:preferrelative="t" stroked="f" coordsize="21600,21600">
            <v:path/>
            <v:fill on="f" focussize="0,0"/>
            <v:stroke on="f" joinstyle="miter"/>
            <v:imagedata r:id="rId106" o:title=""/>
            <o:lock v:ext="edit" aspectratio="t"/>
            <w10:wrap type="none"/>
            <w10:anchorlock/>
          </v:shape>
          <o:OLEObject Type="Embed" ProgID="Equation.3" ShapeID="_x0000_i1043" DrawAspect="Content" ObjectID="_1468075743" r:id="rId105">
            <o:LockedField>false</o:LockedField>
          </o:OLEObject>
        </w:object>
      </w:r>
    </w:p>
    <w:p>
      <w:pPr>
        <w:pStyle w:val="257"/>
        <w:spacing w:line="360" w:lineRule="auto"/>
        <w:ind w:firstLine="480" w:firstLineChars="200"/>
        <w:jc w:val="left"/>
        <w:rPr>
          <w:sz w:val="24"/>
          <w:u w:val="single"/>
        </w:rPr>
      </w:pPr>
      <w:r>
        <w:rPr>
          <w:sz w:val="24"/>
          <w:u w:val="single"/>
        </w:rPr>
        <w:t>式中：T为传导系数。</w:t>
      </w:r>
    </w:p>
    <w:p>
      <w:pPr>
        <w:pStyle w:val="257"/>
        <w:spacing w:line="360" w:lineRule="auto"/>
        <w:ind w:firstLine="480" w:firstLineChars="200"/>
        <w:jc w:val="left"/>
        <w:rPr>
          <w:sz w:val="24"/>
          <w:u w:val="single"/>
        </w:rPr>
      </w:pPr>
      <w:r>
        <w:rPr>
          <w:sz w:val="24"/>
          <w:u w:val="single"/>
        </w:rPr>
        <w:t>火灾是火通过放出辐射热影响周围环境，如果辐射足够大时，可以引起其他可燃物燃烧，生物也可能被点燃。因此辐射热造成的损害可由接收热辐射能量的大小来衡量。标准的计量方法是以单位面积在接触时间内所接受能量的大小来衡量，另一等效方法是用单位面积受到辐射的功率大小来计算。火球危害级别划分及不同辐射量对应的损害情况见表5.3-1。</w:t>
      </w:r>
    </w:p>
    <w:p>
      <w:pPr>
        <w:pStyle w:val="258"/>
        <w:spacing w:before="163" w:after="163"/>
        <w:jc w:val="center"/>
        <w:rPr>
          <w:u w:val="single"/>
        </w:rPr>
      </w:pPr>
      <w:r>
        <w:rPr>
          <w:u w:val="single"/>
        </w:rPr>
        <w:t>表5.3-1  辐射通量对应的损害情况</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1229"/>
        <w:gridCol w:w="3941"/>
        <w:gridCol w:w="23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92" w:type="pct"/>
            <w:shd w:val="clear" w:color="auto" w:fill="auto"/>
            <w:vAlign w:val="center"/>
          </w:tcPr>
          <w:p>
            <w:pPr>
              <w:pStyle w:val="14"/>
              <w:rPr>
                <w:u w:val="single"/>
              </w:rPr>
            </w:pPr>
            <w:r>
              <w:rPr>
                <w:u w:val="single"/>
              </w:rPr>
              <w:t>危害级别</w:t>
            </w:r>
          </w:p>
        </w:tc>
        <w:tc>
          <w:tcPr>
            <w:tcW w:w="668" w:type="pct"/>
            <w:shd w:val="clear" w:color="auto" w:fill="auto"/>
            <w:vAlign w:val="center"/>
          </w:tcPr>
          <w:p>
            <w:pPr>
              <w:pStyle w:val="14"/>
              <w:rPr>
                <w:u w:val="single"/>
              </w:rPr>
            </w:pPr>
            <w:r>
              <w:rPr>
                <w:u w:val="single"/>
              </w:rPr>
              <w:t>辐射通量（kW/m</w:t>
            </w:r>
            <w:r>
              <w:rPr>
                <w:u w:val="single"/>
                <w:vertAlign w:val="superscript"/>
              </w:rPr>
              <w:t>2</w:t>
            </w:r>
            <w:r>
              <w:rPr>
                <w:u w:val="single"/>
              </w:rPr>
              <w:t>）</w:t>
            </w:r>
          </w:p>
        </w:tc>
        <w:tc>
          <w:tcPr>
            <w:tcW w:w="2330" w:type="pct"/>
            <w:shd w:val="clear" w:color="auto" w:fill="auto"/>
            <w:vAlign w:val="center"/>
          </w:tcPr>
          <w:p>
            <w:pPr>
              <w:pStyle w:val="14"/>
              <w:rPr>
                <w:u w:val="single"/>
              </w:rPr>
            </w:pPr>
            <w:r>
              <w:rPr>
                <w:u w:val="single"/>
              </w:rPr>
              <w:t>对设备的损害</w:t>
            </w:r>
          </w:p>
        </w:tc>
        <w:tc>
          <w:tcPr>
            <w:tcW w:w="1410" w:type="pct"/>
            <w:shd w:val="clear" w:color="auto" w:fill="auto"/>
            <w:vAlign w:val="center"/>
          </w:tcPr>
          <w:p>
            <w:pPr>
              <w:pStyle w:val="14"/>
              <w:rPr>
                <w:u w:val="single"/>
              </w:rPr>
            </w:pPr>
            <w:r>
              <w:rPr>
                <w:u w:val="single"/>
              </w:rPr>
              <w:t>对人的损害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2" w:type="pct"/>
            <w:shd w:val="clear" w:color="auto" w:fill="auto"/>
            <w:vAlign w:val="center"/>
          </w:tcPr>
          <w:p>
            <w:pPr>
              <w:pStyle w:val="14"/>
              <w:rPr>
                <w:u w:val="single"/>
              </w:rPr>
            </w:pPr>
            <w:r>
              <w:rPr>
                <w:u w:val="single"/>
              </w:rPr>
              <w:t>Ⅰ</w:t>
            </w:r>
          </w:p>
        </w:tc>
        <w:tc>
          <w:tcPr>
            <w:tcW w:w="668" w:type="pct"/>
            <w:shd w:val="clear" w:color="auto" w:fill="auto"/>
            <w:vAlign w:val="center"/>
          </w:tcPr>
          <w:p>
            <w:pPr>
              <w:pStyle w:val="14"/>
              <w:rPr>
                <w:u w:val="single"/>
              </w:rPr>
            </w:pPr>
            <w:r>
              <w:rPr>
                <w:u w:val="single"/>
              </w:rPr>
              <w:t>37.5</w:t>
            </w:r>
          </w:p>
        </w:tc>
        <w:tc>
          <w:tcPr>
            <w:tcW w:w="2330" w:type="pct"/>
            <w:shd w:val="clear" w:color="auto" w:fill="auto"/>
            <w:vAlign w:val="center"/>
          </w:tcPr>
          <w:p>
            <w:pPr>
              <w:pStyle w:val="14"/>
              <w:rPr>
                <w:u w:val="single"/>
              </w:rPr>
            </w:pPr>
            <w:r>
              <w:rPr>
                <w:u w:val="single"/>
              </w:rPr>
              <w:t>操作设备全部损坏</w:t>
            </w:r>
          </w:p>
        </w:tc>
        <w:tc>
          <w:tcPr>
            <w:tcW w:w="1410" w:type="pct"/>
            <w:shd w:val="clear" w:color="auto" w:fill="auto"/>
            <w:vAlign w:val="center"/>
          </w:tcPr>
          <w:p>
            <w:pPr>
              <w:pStyle w:val="14"/>
              <w:rPr>
                <w:u w:val="single"/>
              </w:rPr>
            </w:pPr>
            <w:r>
              <w:rPr>
                <w:u w:val="single"/>
              </w:rPr>
              <w:t>1%死亡/10秒</w:t>
            </w:r>
          </w:p>
          <w:p>
            <w:pPr>
              <w:pStyle w:val="14"/>
              <w:rPr>
                <w:u w:val="single"/>
              </w:rPr>
            </w:pPr>
            <w:r>
              <w:rPr>
                <w:u w:val="single"/>
              </w:rPr>
              <w:t>100%死亡/1分钟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92" w:type="pct"/>
            <w:shd w:val="clear" w:color="auto" w:fill="auto"/>
            <w:vAlign w:val="center"/>
          </w:tcPr>
          <w:p>
            <w:pPr>
              <w:pStyle w:val="14"/>
              <w:rPr>
                <w:u w:val="single"/>
              </w:rPr>
            </w:pPr>
            <w:r>
              <w:rPr>
                <w:u w:val="single"/>
              </w:rPr>
              <w:t>Ⅱ</w:t>
            </w:r>
          </w:p>
        </w:tc>
        <w:tc>
          <w:tcPr>
            <w:tcW w:w="668" w:type="pct"/>
            <w:shd w:val="clear" w:color="auto" w:fill="auto"/>
            <w:vAlign w:val="center"/>
          </w:tcPr>
          <w:p>
            <w:pPr>
              <w:pStyle w:val="14"/>
              <w:rPr>
                <w:u w:val="single"/>
              </w:rPr>
            </w:pPr>
            <w:r>
              <w:rPr>
                <w:u w:val="single"/>
              </w:rPr>
              <w:t>25.0</w:t>
            </w:r>
          </w:p>
        </w:tc>
        <w:tc>
          <w:tcPr>
            <w:tcW w:w="2330" w:type="pct"/>
            <w:shd w:val="clear" w:color="auto" w:fill="auto"/>
            <w:vAlign w:val="center"/>
          </w:tcPr>
          <w:p>
            <w:pPr>
              <w:pStyle w:val="14"/>
              <w:rPr>
                <w:u w:val="single"/>
              </w:rPr>
            </w:pPr>
            <w:r>
              <w:rPr>
                <w:u w:val="single"/>
              </w:rPr>
              <w:t>在无火焰，长时间辐射下木材燃烧的最小能量</w:t>
            </w:r>
          </w:p>
        </w:tc>
        <w:tc>
          <w:tcPr>
            <w:tcW w:w="1410" w:type="pct"/>
            <w:shd w:val="clear" w:color="auto" w:fill="auto"/>
            <w:vAlign w:val="center"/>
          </w:tcPr>
          <w:p>
            <w:pPr>
              <w:pStyle w:val="14"/>
              <w:rPr>
                <w:u w:val="single"/>
              </w:rPr>
            </w:pPr>
            <w:r>
              <w:rPr>
                <w:u w:val="single"/>
              </w:rPr>
              <w:t>重大损伤亡/10秒</w:t>
            </w:r>
          </w:p>
          <w:p>
            <w:pPr>
              <w:pStyle w:val="14"/>
              <w:rPr>
                <w:u w:val="single"/>
              </w:rPr>
            </w:pPr>
            <w:r>
              <w:rPr>
                <w:u w:val="single"/>
              </w:rPr>
              <w:t>100死亡/1分钟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2" w:type="pct"/>
            <w:shd w:val="clear" w:color="auto" w:fill="auto"/>
            <w:vAlign w:val="center"/>
          </w:tcPr>
          <w:p>
            <w:pPr>
              <w:pStyle w:val="14"/>
              <w:rPr>
                <w:u w:val="single"/>
              </w:rPr>
            </w:pPr>
            <w:r>
              <w:rPr>
                <w:u w:val="single"/>
              </w:rPr>
              <w:t>Ⅲ</w:t>
            </w:r>
          </w:p>
        </w:tc>
        <w:tc>
          <w:tcPr>
            <w:tcW w:w="668" w:type="pct"/>
            <w:shd w:val="clear" w:color="auto" w:fill="auto"/>
            <w:vAlign w:val="center"/>
          </w:tcPr>
          <w:p>
            <w:pPr>
              <w:pStyle w:val="14"/>
              <w:rPr>
                <w:u w:val="single"/>
              </w:rPr>
            </w:pPr>
            <w:r>
              <w:rPr>
                <w:u w:val="single"/>
              </w:rPr>
              <w:t>12.5</w:t>
            </w:r>
          </w:p>
        </w:tc>
        <w:tc>
          <w:tcPr>
            <w:tcW w:w="2330" w:type="pct"/>
            <w:shd w:val="clear" w:color="auto" w:fill="auto"/>
            <w:vAlign w:val="center"/>
          </w:tcPr>
          <w:p>
            <w:pPr>
              <w:pStyle w:val="14"/>
              <w:rPr>
                <w:u w:val="single"/>
              </w:rPr>
            </w:pPr>
            <w:r>
              <w:rPr>
                <w:u w:val="single"/>
              </w:rPr>
              <w:t>在火焰时，木材燃烧、塑料熔化的最低能量</w:t>
            </w:r>
          </w:p>
        </w:tc>
        <w:tc>
          <w:tcPr>
            <w:tcW w:w="1410" w:type="pct"/>
            <w:shd w:val="clear" w:color="auto" w:fill="auto"/>
            <w:vAlign w:val="center"/>
          </w:tcPr>
          <w:p>
            <w:pPr>
              <w:pStyle w:val="14"/>
              <w:rPr>
                <w:u w:val="single"/>
              </w:rPr>
            </w:pPr>
            <w:r>
              <w:rPr>
                <w:u w:val="single"/>
              </w:rPr>
              <w:t>1度烧伤/10秒</w:t>
            </w:r>
          </w:p>
          <w:p>
            <w:pPr>
              <w:pStyle w:val="14"/>
              <w:rPr>
                <w:u w:val="single"/>
              </w:rPr>
            </w:pPr>
            <w:r>
              <w:rPr>
                <w:u w:val="single"/>
              </w:rPr>
              <w:t>1%死亡/1分钟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2" w:type="pct"/>
            <w:shd w:val="clear" w:color="auto" w:fill="auto"/>
            <w:vAlign w:val="center"/>
          </w:tcPr>
          <w:p>
            <w:pPr>
              <w:pStyle w:val="14"/>
              <w:rPr>
                <w:u w:val="single"/>
              </w:rPr>
            </w:pPr>
            <w:r>
              <w:rPr>
                <w:u w:val="single"/>
              </w:rPr>
              <w:t>Ⅳ</w:t>
            </w:r>
          </w:p>
        </w:tc>
        <w:tc>
          <w:tcPr>
            <w:tcW w:w="668" w:type="pct"/>
            <w:shd w:val="clear" w:color="auto" w:fill="auto"/>
            <w:vAlign w:val="center"/>
          </w:tcPr>
          <w:p>
            <w:pPr>
              <w:pStyle w:val="14"/>
              <w:rPr>
                <w:u w:val="single"/>
              </w:rPr>
            </w:pPr>
            <w:r>
              <w:rPr>
                <w:u w:val="single"/>
              </w:rPr>
              <w:t>4.0</w:t>
            </w:r>
          </w:p>
        </w:tc>
        <w:tc>
          <w:tcPr>
            <w:tcW w:w="2330" w:type="pct"/>
            <w:shd w:val="clear" w:color="auto" w:fill="auto"/>
            <w:vAlign w:val="center"/>
          </w:tcPr>
          <w:p>
            <w:pPr>
              <w:pStyle w:val="14"/>
              <w:rPr>
                <w:u w:val="single"/>
              </w:rPr>
            </w:pPr>
          </w:p>
        </w:tc>
        <w:tc>
          <w:tcPr>
            <w:tcW w:w="1410" w:type="pct"/>
            <w:shd w:val="clear" w:color="auto" w:fill="auto"/>
            <w:vAlign w:val="center"/>
          </w:tcPr>
          <w:p>
            <w:pPr>
              <w:pStyle w:val="14"/>
              <w:rPr>
                <w:u w:val="single"/>
              </w:rPr>
            </w:pPr>
            <w:r>
              <w:rPr>
                <w:u w:val="single"/>
              </w:rPr>
              <w:t>20秒以上感觉疼痛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2" w:type="pct"/>
            <w:shd w:val="clear" w:color="auto" w:fill="auto"/>
            <w:vAlign w:val="center"/>
          </w:tcPr>
          <w:p>
            <w:pPr>
              <w:pStyle w:val="14"/>
              <w:rPr>
                <w:u w:val="single"/>
              </w:rPr>
            </w:pPr>
            <w:r>
              <w:rPr>
                <w:u w:val="single"/>
              </w:rPr>
              <w:t>Ⅴ</w:t>
            </w:r>
          </w:p>
        </w:tc>
        <w:tc>
          <w:tcPr>
            <w:tcW w:w="668" w:type="pct"/>
            <w:shd w:val="clear" w:color="auto" w:fill="auto"/>
            <w:vAlign w:val="center"/>
          </w:tcPr>
          <w:p>
            <w:pPr>
              <w:pStyle w:val="14"/>
              <w:rPr>
                <w:u w:val="single"/>
              </w:rPr>
            </w:pPr>
            <w:r>
              <w:rPr>
                <w:u w:val="single"/>
              </w:rPr>
              <w:t>1.6</w:t>
            </w:r>
          </w:p>
        </w:tc>
        <w:tc>
          <w:tcPr>
            <w:tcW w:w="2330" w:type="pct"/>
            <w:shd w:val="clear" w:color="auto" w:fill="auto"/>
            <w:vAlign w:val="center"/>
          </w:tcPr>
          <w:p>
            <w:pPr>
              <w:pStyle w:val="14"/>
              <w:rPr>
                <w:u w:val="single"/>
              </w:rPr>
            </w:pPr>
          </w:p>
        </w:tc>
        <w:tc>
          <w:tcPr>
            <w:tcW w:w="1410" w:type="pct"/>
            <w:shd w:val="clear" w:color="auto" w:fill="auto"/>
            <w:vAlign w:val="center"/>
          </w:tcPr>
          <w:p>
            <w:pPr>
              <w:pStyle w:val="14"/>
              <w:rPr>
                <w:u w:val="single"/>
              </w:rPr>
            </w:pPr>
            <w:r>
              <w:rPr>
                <w:u w:val="single"/>
              </w:rPr>
              <w:t>长期辐射，无不舒服感觉</w:t>
            </w:r>
          </w:p>
        </w:tc>
      </w:tr>
    </w:tbl>
    <w:p>
      <w:pPr>
        <w:ind w:firstLine="480"/>
        <w:rPr>
          <w:u w:val="single"/>
        </w:rPr>
      </w:pPr>
      <w:r>
        <w:rPr>
          <w:u w:val="single"/>
        </w:rPr>
        <w:t>本次评价将</w:t>
      </w:r>
      <w:r>
        <w:rPr>
          <w:rFonts w:cs="Times New Roman"/>
          <w:bCs/>
          <w:szCs w:val="24"/>
          <w:u w:val="single"/>
        </w:rPr>
        <w:t>天然气</w:t>
      </w:r>
      <w:r>
        <w:rPr>
          <w:u w:val="single"/>
        </w:rPr>
        <w:t>爆炸类比一氧化碳爆炸，取系数如下：M=268.2kg；P=309kPa；H</w:t>
      </w:r>
      <w:r>
        <w:rPr>
          <w:u w:val="single"/>
          <w:vertAlign w:val="subscript"/>
        </w:rPr>
        <w:t>e</w:t>
      </w:r>
      <w:r>
        <w:rPr>
          <w:u w:val="single"/>
        </w:rPr>
        <w:t>=10107kJ/kg；T=1.0；</w:t>
      </w:r>
    </w:p>
    <w:p>
      <w:pPr>
        <w:ind w:firstLine="480"/>
        <w:rPr>
          <w:u w:val="single"/>
        </w:rPr>
      </w:pPr>
      <w:r>
        <w:rPr>
          <w:u w:val="single"/>
        </w:rPr>
        <w:t>计算结果如下：火灾最大半径R</w:t>
      </w:r>
      <w:r>
        <w:rPr>
          <w:u w:val="single"/>
          <w:vertAlign w:val="subscript"/>
        </w:rPr>
        <w:t>r</w:t>
      </w:r>
      <w:r>
        <w:rPr>
          <w:u w:val="single"/>
        </w:rPr>
        <w:t>=16.6m；火球持续时间t</w:t>
      </w:r>
      <w:r>
        <w:rPr>
          <w:u w:val="single"/>
          <w:vertAlign w:val="subscript"/>
        </w:rPr>
        <w:t>f</w:t>
      </w:r>
      <w:r>
        <w:rPr>
          <w:u w:val="single"/>
        </w:rPr>
        <w:t>=6.78s；火灾释放能量Q=676235kJ/s；</w:t>
      </w:r>
    </w:p>
    <w:p>
      <w:pPr>
        <w:ind w:firstLine="480"/>
        <w:rPr>
          <w:u w:val="single"/>
        </w:rPr>
      </w:pPr>
      <w:r>
        <w:rPr>
          <w:u w:val="single"/>
        </w:rPr>
        <w:t>危险级别对应的距离见表5.3-2。</w:t>
      </w:r>
    </w:p>
    <w:p>
      <w:pPr>
        <w:pStyle w:val="258"/>
        <w:spacing w:before="163" w:after="163"/>
        <w:ind w:firstLine="482"/>
        <w:jc w:val="center"/>
        <w:rPr>
          <w:b/>
          <w:bCs/>
          <w:u w:val="single"/>
        </w:rPr>
      </w:pPr>
      <w:r>
        <w:rPr>
          <w:b/>
          <w:bCs/>
          <w:u w:val="single"/>
        </w:rPr>
        <w:t>表5.3-2 危害级别对应的距离</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8"/>
        <w:gridCol w:w="1326"/>
        <w:gridCol w:w="1328"/>
        <w:gridCol w:w="1328"/>
        <w:gridCol w:w="1328"/>
        <w:gridCol w:w="1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shd w:val="clear" w:color="auto" w:fill="auto"/>
            <w:vAlign w:val="center"/>
          </w:tcPr>
          <w:p>
            <w:pPr>
              <w:pStyle w:val="14"/>
              <w:rPr>
                <w:u w:val="single"/>
              </w:rPr>
            </w:pPr>
            <w:r>
              <w:rPr>
                <w:u w:val="single"/>
              </w:rPr>
              <w:t>危害级别</w:t>
            </w:r>
          </w:p>
        </w:tc>
        <w:tc>
          <w:tcPr>
            <w:tcW w:w="778" w:type="pct"/>
            <w:shd w:val="clear" w:color="auto" w:fill="auto"/>
            <w:vAlign w:val="center"/>
          </w:tcPr>
          <w:p>
            <w:pPr>
              <w:pStyle w:val="14"/>
              <w:rPr>
                <w:u w:val="single"/>
              </w:rPr>
            </w:pPr>
            <w:r>
              <w:rPr>
                <w:u w:val="single"/>
              </w:rPr>
              <w:t>Ⅰ</w:t>
            </w:r>
          </w:p>
        </w:tc>
        <w:tc>
          <w:tcPr>
            <w:tcW w:w="779" w:type="pct"/>
            <w:shd w:val="clear" w:color="auto" w:fill="auto"/>
            <w:vAlign w:val="center"/>
          </w:tcPr>
          <w:p>
            <w:pPr>
              <w:pStyle w:val="14"/>
              <w:rPr>
                <w:u w:val="single"/>
              </w:rPr>
            </w:pPr>
            <w:r>
              <w:rPr>
                <w:u w:val="single"/>
              </w:rPr>
              <w:t>Ⅱ</w:t>
            </w:r>
          </w:p>
        </w:tc>
        <w:tc>
          <w:tcPr>
            <w:tcW w:w="779" w:type="pct"/>
            <w:shd w:val="clear" w:color="auto" w:fill="auto"/>
            <w:vAlign w:val="center"/>
          </w:tcPr>
          <w:p>
            <w:pPr>
              <w:pStyle w:val="14"/>
              <w:rPr>
                <w:u w:val="single"/>
              </w:rPr>
            </w:pPr>
            <w:r>
              <w:rPr>
                <w:u w:val="single"/>
              </w:rPr>
              <w:t>Ⅲ</w:t>
            </w:r>
          </w:p>
        </w:tc>
        <w:tc>
          <w:tcPr>
            <w:tcW w:w="779" w:type="pct"/>
            <w:shd w:val="clear" w:color="auto" w:fill="auto"/>
            <w:vAlign w:val="center"/>
          </w:tcPr>
          <w:p>
            <w:pPr>
              <w:pStyle w:val="14"/>
              <w:rPr>
                <w:u w:val="single"/>
              </w:rPr>
            </w:pPr>
            <w:r>
              <w:rPr>
                <w:u w:val="single"/>
              </w:rPr>
              <w:t>Ⅳ</w:t>
            </w:r>
          </w:p>
        </w:tc>
        <w:tc>
          <w:tcPr>
            <w:tcW w:w="779" w:type="pct"/>
            <w:shd w:val="clear" w:color="auto" w:fill="auto"/>
            <w:vAlign w:val="center"/>
          </w:tcPr>
          <w:p>
            <w:pPr>
              <w:pStyle w:val="14"/>
              <w:rPr>
                <w:u w:val="single"/>
              </w:rPr>
            </w:pPr>
            <w:r>
              <w:rPr>
                <w:u w:val="single"/>
              </w:rPr>
              <w:t>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shd w:val="clear" w:color="auto" w:fill="auto"/>
            <w:vAlign w:val="center"/>
          </w:tcPr>
          <w:p>
            <w:pPr>
              <w:pStyle w:val="14"/>
              <w:rPr>
                <w:u w:val="single"/>
              </w:rPr>
            </w:pPr>
            <w:r>
              <w:rPr>
                <w:u w:val="single"/>
              </w:rPr>
              <w:t>辐射通量（kW/m</w:t>
            </w:r>
            <w:r>
              <w:rPr>
                <w:u w:val="single"/>
                <w:vertAlign w:val="superscript"/>
              </w:rPr>
              <w:t>2</w:t>
            </w:r>
            <w:r>
              <w:rPr>
                <w:u w:val="single"/>
              </w:rPr>
              <w:t>）</w:t>
            </w:r>
          </w:p>
        </w:tc>
        <w:tc>
          <w:tcPr>
            <w:tcW w:w="778" w:type="pct"/>
            <w:shd w:val="clear" w:color="auto" w:fill="auto"/>
            <w:vAlign w:val="center"/>
          </w:tcPr>
          <w:p>
            <w:pPr>
              <w:pStyle w:val="14"/>
              <w:rPr>
                <w:u w:val="single"/>
              </w:rPr>
            </w:pPr>
            <w:r>
              <w:rPr>
                <w:u w:val="single"/>
              </w:rPr>
              <w:t>37.5</w:t>
            </w:r>
          </w:p>
        </w:tc>
        <w:tc>
          <w:tcPr>
            <w:tcW w:w="779" w:type="pct"/>
            <w:shd w:val="clear" w:color="auto" w:fill="auto"/>
            <w:vAlign w:val="center"/>
          </w:tcPr>
          <w:p>
            <w:pPr>
              <w:pStyle w:val="14"/>
              <w:rPr>
                <w:u w:val="single"/>
              </w:rPr>
            </w:pPr>
            <w:r>
              <w:rPr>
                <w:u w:val="single"/>
              </w:rPr>
              <w:t>25.0</w:t>
            </w:r>
          </w:p>
        </w:tc>
        <w:tc>
          <w:tcPr>
            <w:tcW w:w="779" w:type="pct"/>
            <w:shd w:val="clear" w:color="auto" w:fill="auto"/>
            <w:vAlign w:val="center"/>
          </w:tcPr>
          <w:p>
            <w:pPr>
              <w:pStyle w:val="14"/>
              <w:rPr>
                <w:u w:val="single"/>
              </w:rPr>
            </w:pPr>
            <w:r>
              <w:rPr>
                <w:u w:val="single"/>
              </w:rPr>
              <w:t>12.5</w:t>
            </w:r>
          </w:p>
        </w:tc>
        <w:tc>
          <w:tcPr>
            <w:tcW w:w="779" w:type="pct"/>
            <w:shd w:val="clear" w:color="auto" w:fill="auto"/>
            <w:vAlign w:val="center"/>
          </w:tcPr>
          <w:p>
            <w:pPr>
              <w:pStyle w:val="14"/>
              <w:rPr>
                <w:u w:val="single"/>
              </w:rPr>
            </w:pPr>
            <w:r>
              <w:rPr>
                <w:u w:val="single"/>
              </w:rPr>
              <w:t>4.0</w:t>
            </w:r>
          </w:p>
        </w:tc>
        <w:tc>
          <w:tcPr>
            <w:tcW w:w="779" w:type="pct"/>
            <w:shd w:val="clear" w:color="auto" w:fill="auto"/>
            <w:vAlign w:val="center"/>
          </w:tcPr>
          <w:p>
            <w:pPr>
              <w:pStyle w:val="14"/>
              <w:rPr>
                <w:u w:val="single"/>
              </w:rPr>
            </w:pPr>
            <w:r>
              <w:rPr>
                <w:u w:val="single"/>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shd w:val="clear" w:color="auto" w:fill="auto"/>
            <w:vAlign w:val="center"/>
          </w:tcPr>
          <w:p>
            <w:pPr>
              <w:pStyle w:val="14"/>
              <w:rPr>
                <w:u w:val="single"/>
              </w:rPr>
            </w:pPr>
            <w:r>
              <w:rPr>
                <w:u w:val="single"/>
              </w:rPr>
              <w:t>距火球中心r（m）</w:t>
            </w:r>
          </w:p>
        </w:tc>
        <w:tc>
          <w:tcPr>
            <w:tcW w:w="778" w:type="pct"/>
            <w:shd w:val="clear" w:color="auto" w:fill="auto"/>
            <w:vAlign w:val="center"/>
          </w:tcPr>
          <w:p>
            <w:pPr>
              <w:pStyle w:val="14"/>
              <w:rPr>
                <w:u w:val="single"/>
              </w:rPr>
            </w:pPr>
            <w:r>
              <w:rPr>
                <w:u w:val="single"/>
              </w:rPr>
              <w:t>37.9</w:t>
            </w:r>
          </w:p>
        </w:tc>
        <w:tc>
          <w:tcPr>
            <w:tcW w:w="779" w:type="pct"/>
            <w:shd w:val="clear" w:color="auto" w:fill="auto"/>
            <w:vAlign w:val="center"/>
          </w:tcPr>
          <w:p>
            <w:pPr>
              <w:pStyle w:val="14"/>
              <w:rPr>
                <w:u w:val="single"/>
              </w:rPr>
            </w:pPr>
            <w:r>
              <w:rPr>
                <w:u w:val="single"/>
              </w:rPr>
              <w:t>46.4</w:t>
            </w:r>
          </w:p>
        </w:tc>
        <w:tc>
          <w:tcPr>
            <w:tcW w:w="779" w:type="pct"/>
            <w:shd w:val="clear" w:color="auto" w:fill="auto"/>
            <w:vAlign w:val="center"/>
          </w:tcPr>
          <w:p>
            <w:pPr>
              <w:pStyle w:val="14"/>
              <w:rPr>
                <w:u w:val="single"/>
              </w:rPr>
            </w:pPr>
            <w:r>
              <w:rPr>
                <w:u w:val="single"/>
              </w:rPr>
              <w:t>65.6</w:t>
            </w:r>
          </w:p>
        </w:tc>
        <w:tc>
          <w:tcPr>
            <w:tcW w:w="779" w:type="pct"/>
            <w:shd w:val="clear" w:color="auto" w:fill="auto"/>
            <w:vAlign w:val="center"/>
          </w:tcPr>
          <w:p>
            <w:pPr>
              <w:pStyle w:val="14"/>
              <w:rPr>
                <w:u w:val="single"/>
              </w:rPr>
            </w:pPr>
            <w:r>
              <w:rPr>
                <w:u w:val="single"/>
              </w:rPr>
              <w:t>116.0</w:t>
            </w:r>
          </w:p>
        </w:tc>
        <w:tc>
          <w:tcPr>
            <w:tcW w:w="779" w:type="pct"/>
            <w:shd w:val="clear" w:color="auto" w:fill="auto"/>
            <w:vAlign w:val="center"/>
          </w:tcPr>
          <w:p>
            <w:pPr>
              <w:pStyle w:val="14"/>
              <w:rPr>
                <w:u w:val="single"/>
              </w:rPr>
            </w:pPr>
            <w:r>
              <w:rPr>
                <w:u w:val="single"/>
              </w:rPr>
              <w:t>183.4</w:t>
            </w:r>
          </w:p>
        </w:tc>
      </w:tr>
    </w:tbl>
    <w:p>
      <w:pPr>
        <w:ind w:firstLine="480"/>
        <w:rPr>
          <w:u w:val="single"/>
        </w:rPr>
      </w:pPr>
      <w:r>
        <w:rPr>
          <w:u w:val="single"/>
        </w:rPr>
        <w:t>从上分析可见，假设有10分钟持续时间的</w:t>
      </w:r>
      <w:r>
        <w:rPr>
          <w:rFonts w:cs="Times New Roman"/>
          <w:bCs/>
          <w:szCs w:val="24"/>
          <w:u w:val="single"/>
        </w:rPr>
        <w:t>天然气</w:t>
      </w:r>
      <w:r>
        <w:rPr>
          <w:u w:val="single"/>
        </w:rPr>
        <w:t>泄漏并发生爆炸，火球对建筑物和设备的严重损害范围Ⅰ级为距离</w:t>
      </w:r>
      <w:r>
        <w:rPr>
          <w:rFonts w:cs="Times New Roman"/>
          <w:bCs/>
          <w:szCs w:val="24"/>
          <w:u w:val="single"/>
        </w:rPr>
        <w:t>天然气</w:t>
      </w:r>
      <w:r>
        <w:rPr>
          <w:u w:val="single"/>
        </w:rPr>
        <w:t>泄漏点37.9m以内的区域，Ⅲ级为65.6m以内的区域，Ⅳ级为116m以内的区域。因此爆炸的主要影响范围局限于厂区以内，基本上不对外界产生影响。且</w:t>
      </w:r>
      <w:r>
        <w:rPr>
          <w:rFonts w:cs="Times New Roman"/>
          <w:bCs/>
          <w:szCs w:val="24"/>
          <w:u w:val="single"/>
        </w:rPr>
        <w:t>天然气</w:t>
      </w:r>
      <w:r>
        <w:rPr>
          <w:u w:val="single"/>
        </w:rPr>
        <w:t>爆炸燃烧的产物是CO</w:t>
      </w:r>
      <w:r>
        <w:rPr>
          <w:u w:val="single"/>
          <w:vertAlign w:val="subscript"/>
        </w:rPr>
        <w:t>2</w:t>
      </w:r>
      <w:r>
        <w:rPr>
          <w:u w:val="single"/>
        </w:rPr>
        <w:t>，对环境不会构成明显的影响。</w:t>
      </w:r>
    </w:p>
    <w:p>
      <w:pPr>
        <w:pStyle w:val="4"/>
        <w:adjustRightInd w:val="0"/>
        <w:snapToGrid w:val="0"/>
        <w:jc w:val="left"/>
        <w:rPr>
          <w:rFonts w:cs="Times New Roman"/>
          <w:szCs w:val="24"/>
          <w:u w:val="single"/>
        </w:rPr>
      </w:pPr>
      <w:bookmarkStart w:id="175" w:name="_Toc86611318"/>
      <w:r>
        <w:rPr>
          <w:rFonts w:cs="Times New Roman"/>
          <w:szCs w:val="24"/>
          <w:u w:val="single"/>
        </w:rPr>
        <w:t>5.3.2 事故风险防范措施</w:t>
      </w:r>
      <w:bookmarkEnd w:id="175"/>
    </w:p>
    <w:p>
      <w:pPr>
        <w:ind w:firstLine="480"/>
        <w:rPr>
          <w:u w:val="single"/>
        </w:rPr>
      </w:pPr>
      <w:r>
        <w:rPr>
          <w:u w:val="single"/>
        </w:rPr>
        <w:t>根据国家环保总局《关于对重大环境污染事故隐患进行风险评价的通知》（环管字[1990]057号）和国家环境保护部《关于进一步加强环境影响评价管理防范环境风险的通知》（环发[2012]77号），通过对污染事故的风险评价，各有关企事业单位应制定防止重大环境污染事故发生的工作计划，消除事故隐患的实施及突发事故应急处理办法等。</w:t>
      </w:r>
    </w:p>
    <w:p>
      <w:pPr>
        <w:ind w:firstLine="480"/>
        <w:rPr>
          <w:u w:val="single"/>
        </w:rPr>
      </w:pPr>
      <w:r>
        <w:rPr>
          <w:u w:val="single"/>
        </w:rPr>
        <w:t>在制定事故应急计划时，首先要确定事故发生后的事故处理单位部门及合作单位，及各有关部门和单位的应急通讯方式。</w:t>
      </w:r>
    </w:p>
    <w:p>
      <w:pPr>
        <w:ind w:firstLine="480"/>
        <w:rPr>
          <w:u w:val="single"/>
        </w:rPr>
      </w:pPr>
      <w:r>
        <w:rPr>
          <w:u w:val="single"/>
        </w:rPr>
        <w:t>1、事故应急管理系统分为四个主要阶段：</w:t>
      </w:r>
    </w:p>
    <w:p>
      <w:pPr>
        <w:ind w:firstLine="480"/>
        <w:rPr>
          <w:u w:val="single"/>
        </w:rPr>
      </w:pPr>
      <w:r>
        <w:rPr>
          <w:u w:val="single"/>
        </w:rPr>
        <w:t>预防：从应急管理角度，防止紧急事件或事故的发生，采取应急行动；</w:t>
      </w:r>
    </w:p>
    <w:p>
      <w:pPr>
        <w:ind w:firstLine="480"/>
        <w:rPr>
          <w:u w:val="single"/>
        </w:rPr>
      </w:pPr>
      <w:r>
        <w:rPr>
          <w:u w:val="single"/>
        </w:rPr>
        <w:t>预备：应急发生前准备的工作，主要是为了建立应急管理能力；</w:t>
      </w:r>
    </w:p>
    <w:p>
      <w:pPr>
        <w:ind w:firstLine="480"/>
        <w:rPr>
          <w:u w:val="single"/>
        </w:rPr>
      </w:pPr>
      <w:r>
        <w:rPr>
          <w:u w:val="single"/>
        </w:rPr>
        <w:t>响应：事故发生之前、中间和事故所立即采取的行动；</w:t>
      </w:r>
    </w:p>
    <w:p>
      <w:pPr>
        <w:ind w:firstLine="480"/>
        <w:rPr>
          <w:u w:val="single"/>
        </w:rPr>
      </w:pPr>
      <w:r>
        <w:rPr>
          <w:u w:val="single"/>
        </w:rPr>
        <w:t>恢复：在事故发生之后立即进行，尽快恢复正常状态。</w:t>
      </w:r>
    </w:p>
    <w:p>
      <w:pPr>
        <w:ind w:firstLine="480"/>
        <w:rPr>
          <w:u w:val="single"/>
        </w:rPr>
      </w:pPr>
      <w:r>
        <w:rPr>
          <w:u w:val="single"/>
        </w:rPr>
        <w:t>2、事故应急求援系统分为：</w:t>
      </w:r>
    </w:p>
    <w:p>
      <w:pPr>
        <w:ind w:firstLine="480"/>
        <w:rPr>
          <w:u w:val="single"/>
        </w:rPr>
      </w:pPr>
      <w:r>
        <w:rPr>
          <w:u w:val="single"/>
        </w:rPr>
        <w:t>应急求援组织机构：包括应急指挥机构、事故现场指挥机构、支持保障机构、媒体机构、信息管理机构；</w:t>
      </w:r>
    </w:p>
    <w:p>
      <w:pPr>
        <w:ind w:firstLine="480"/>
        <w:rPr>
          <w:u w:val="single"/>
        </w:rPr>
      </w:pPr>
      <w:r>
        <w:rPr>
          <w:u w:val="single"/>
        </w:rPr>
        <w:t>应急求援预案：实现制定，用于计划指导整个应急求援过程；</w:t>
      </w:r>
    </w:p>
    <w:p>
      <w:pPr>
        <w:ind w:firstLine="480"/>
        <w:rPr>
          <w:u w:val="single"/>
        </w:rPr>
      </w:pPr>
      <w:r>
        <w:rPr>
          <w:u w:val="single"/>
        </w:rPr>
        <w:t>应急训练和演习：预案的一部分，确保事故发生时应急预案能得到实施与贯彻；</w:t>
      </w:r>
    </w:p>
    <w:p>
      <w:pPr>
        <w:ind w:firstLine="480"/>
        <w:rPr>
          <w:u w:val="single"/>
        </w:rPr>
      </w:pPr>
      <w:r>
        <w:rPr>
          <w:u w:val="single"/>
        </w:rPr>
        <w:t>应急求援行动：发生紧急情况时所采取的一系列行动；</w:t>
      </w:r>
    </w:p>
    <w:p>
      <w:pPr>
        <w:ind w:firstLine="480"/>
        <w:rPr>
          <w:u w:val="single"/>
        </w:rPr>
      </w:pPr>
      <w:r>
        <w:rPr>
          <w:u w:val="single"/>
        </w:rPr>
        <w:t>现场清除与净化：主要采取稀释，中和等方法。</w:t>
      </w:r>
    </w:p>
    <w:p>
      <w:pPr>
        <w:pStyle w:val="69"/>
        <w:ind w:firstLine="0" w:firstLineChars="0"/>
        <w:outlineLvl w:val="3"/>
        <w:rPr>
          <w:b/>
          <w:bCs/>
          <w:u w:val="single"/>
        </w:rPr>
      </w:pPr>
      <w:r>
        <w:rPr>
          <w:b/>
          <w:bCs/>
          <w:u w:val="single"/>
        </w:rPr>
        <w:t>5.3.2.1生产过程风险防范措施</w:t>
      </w:r>
    </w:p>
    <w:p>
      <w:pPr>
        <w:ind w:firstLine="480"/>
        <w:rPr>
          <w:u w:val="single"/>
        </w:rPr>
      </w:pPr>
      <w:r>
        <w:rPr>
          <w:u w:val="single"/>
        </w:rPr>
        <w:t>生产过程事故风险防范是安全生产的核心，要严格采取措施加以防范，尽可能降低事故概率。</w:t>
      </w:r>
    </w:p>
    <w:p>
      <w:pPr>
        <w:ind w:firstLine="480"/>
        <w:rPr>
          <w:u w:val="single"/>
        </w:rPr>
      </w:pPr>
      <w:r>
        <w:rPr>
          <w:u w:val="single"/>
        </w:rPr>
        <w:t>1、原料准备过程</w:t>
      </w:r>
    </w:p>
    <w:p>
      <w:pPr>
        <w:ind w:firstLine="480"/>
        <w:rPr>
          <w:u w:val="single"/>
        </w:rPr>
      </w:pPr>
      <w:r>
        <w:rPr>
          <w:u w:val="single"/>
        </w:rPr>
        <w:t>煤场应设在地势较高的地域，地面应进行除湿、压实处理，地下应妥善设置排水沟。不同牌号的原煤应分隔存放，煤堆与厂房、生产装置的距离不得小于8m，附近不可堆积易燃物，严禁吸烟。所有设备应经常检查，发现故障及时检修，动人检修时须做好监护。</w:t>
      </w:r>
    </w:p>
    <w:p>
      <w:pPr>
        <w:ind w:firstLine="480"/>
        <w:rPr>
          <w:u w:val="single"/>
        </w:rPr>
      </w:pPr>
      <w:r>
        <w:rPr>
          <w:u w:val="single"/>
        </w:rPr>
        <w:t>2、</w:t>
      </w:r>
      <w:r>
        <w:rPr>
          <w:rFonts w:hint="eastAsia"/>
          <w:u w:val="single"/>
        </w:rPr>
        <w:t>天然气</w:t>
      </w:r>
      <w:r>
        <w:rPr>
          <w:u w:val="single"/>
        </w:rPr>
        <w:t>的燃烧过程</w:t>
      </w:r>
    </w:p>
    <w:p>
      <w:pPr>
        <w:ind w:firstLine="480"/>
        <w:rPr>
          <w:u w:val="single"/>
        </w:rPr>
      </w:pPr>
      <w:r>
        <w:rPr>
          <w:u w:val="single"/>
        </w:rPr>
        <w:t>在窑炉送</w:t>
      </w:r>
      <w:r>
        <w:rPr>
          <w:rFonts w:hint="eastAsia"/>
          <w:u w:val="single"/>
        </w:rPr>
        <w:t>天然气</w:t>
      </w:r>
      <w:r>
        <w:rPr>
          <w:u w:val="single"/>
        </w:rPr>
        <w:t>和点火时首先检查烧嘴前阀门是否关严，同时要检查烟道闸板或排烟机是否打开，使炉膛通风良好，避免</w:t>
      </w:r>
      <w:r>
        <w:rPr>
          <w:rFonts w:hint="eastAsia"/>
          <w:u w:val="single"/>
        </w:rPr>
        <w:t>天然气</w:t>
      </w:r>
      <w:r>
        <w:rPr>
          <w:u w:val="single"/>
        </w:rPr>
        <w:t>淤积。点火时要先开风并伸入点火器，后开</w:t>
      </w:r>
      <w:r>
        <w:rPr>
          <w:rFonts w:hint="eastAsia"/>
          <w:u w:val="single"/>
        </w:rPr>
        <w:t>天然气</w:t>
      </w:r>
      <w:r>
        <w:rPr>
          <w:u w:val="single"/>
        </w:rPr>
        <w:t>。点着火后，当炉温低于750℃时，要时刻注意检查，防止烧嘴熄灭，一旦灭火，必须立即关闭烧嘴。在设计时应考虑设置防爆门。</w:t>
      </w:r>
    </w:p>
    <w:p>
      <w:pPr>
        <w:ind w:firstLine="480"/>
        <w:rPr>
          <w:u w:val="single"/>
        </w:rPr>
      </w:pPr>
      <w:r>
        <w:rPr>
          <w:u w:val="single"/>
        </w:rPr>
        <w:t>6、</w:t>
      </w:r>
      <w:r>
        <w:rPr>
          <w:rFonts w:hint="eastAsia"/>
          <w:u w:val="single"/>
        </w:rPr>
        <w:t>天然气</w:t>
      </w:r>
      <w:r>
        <w:rPr>
          <w:u w:val="single"/>
        </w:rPr>
        <w:t>中毒的防范措施</w:t>
      </w:r>
    </w:p>
    <w:p>
      <w:pPr>
        <w:ind w:firstLine="480"/>
        <w:rPr>
          <w:u w:val="single"/>
        </w:rPr>
      </w:pPr>
      <w:r>
        <w:rPr>
          <w:u w:val="single"/>
        </w:rPr>
        <w:t>（1）对生产中可能泄漏</w:t>
      </w:r>
      <w:r>
        <w:rPr>
          <w:rFonts w:hint="eastAsia"/>
          <w:u w:val="single"/>
        </w:rPr>
        <w:t>天然气</w:t>
      </w:r>
      <w:r>
        <w:rPr>
          <w:u w:val="single"/>
        </w:rPr>
        <w:t>的设备和工作区域设有安全警示标志，配备便携式CO检测仪，安装CO报警装置，制订和实施严格规范的设备维修制度，提高设备、各种泵类、风机及其阀门、法兰等的密封性能，降低设备、管线的泄漏，一经发现泄漏应立即检修，不得延误。</w:t>
      </w:r>
    </w:p>
    <w:p>
      <w:pPr>
        <w:ind w:firstLine="480"/>
        <w:rPr>
          <w:u w:val="single"/>
        </w:rPr>
      </w:pPr>
      <w:r>
        <w:rPr>
          <w:u w:val="single"/>
        </w:rPr>
        <w:t>（2）</w:t>
      </w:r>
      <w:r>
        <w:rPr>
          <w:rFonts w:hint="eastAsia"/>
          <w:u w:val="single"/>
        </w:rPr>
        <w:t>天然气</w:t>
      </w:r>
      <w:r>
        <w:rPr>
          <w:u w:val="single"/>
        </w:rPr>
        <w:t>设施停气检修时，必须切断</w:t>
      </w:r>
      <w:r>
        <w:rPr>
          <w:rFonts w:hint="eastAsia"/>
          <w:u w:val="single"/>
        </w:rPr>
        <w:t>天然气</w:t>
      </w:r>
      <w:r>
        <w:rPr>
          <w:u w:val="single"/>
        </w:rPr>
        <w:t>来源并将内部</w:t>
      </w:r>
      <w:r>
        <w:rPr>
          <w:rFonts w:hint="eastAsia"/>
          <w:u w:val="single"/>
        </w:rPr>
        <w:t>天然气</w:t>
      </w:r>
      <w:r>
        <w:rPr>
          <w:u w:val="single"/>
        </w:rPr>
        <w:t>吹净。进入</w:t>
      </w:r>
      <w:r>
        <w:rPr>
          <w:rFonts w:hint="eastAsia"/>
          <w:u w:val="single"/>
        </w:rPr>
        <w:t>天然气</w:t>
      </w:r>
      <w:r>
        <w:rPr>
          <w:u w:val="single"/>
        </w:rPr>
        <w:t>设备内部或可能存在</w:t>
      </w:r>
      <w:r>
        <w:rPr>
          <w:rFonts w:hint="eastAsia"/>
          <w:u w:val="single"/>
        </w:rPr>
        <w:t>天然气</w:t>
      </w:r>
      <w:r>
        <w:rPr>
          <w:u w:val="single"/>
        </w:rPr>
        <w:t>的部位，应进行CO含量分析，并经安全管理人员开具安全作业证后方可进入。</w:t>
      </w:r>
    </w:p>
    <w:p>
      <w:pPr>
        <w:ind w:firstLine="480"/>
        <w:rPr>
          <w:u w:val="single"/>
        </w:rPr>
      </w:pPr>
      <w:r>
        <w:rPr>
          <w:u w:val="single"/>
        </w:rPr>
        <w:t>7、操作规范</w:t>
      </w:r>
    </w:p>
    <w:p>
      <w:pPr>
        <w:ind w:firstLine="480"/>
        <w:rPr>
          <w:u w:val="single"/>
        </w:rPr>
      </w:pPr>
      <w:r>
        <w:rPr>
          <w:u w:val="single"/>
        </w:rPr>
        <w:t>当作业时必须有</w:t>
      </w:r>
      <w:r>
        <w:rPr>
          <w:rFonts w:hint="eastAsia"/>
          <w:u w:val="single"/>
        </w:rPr>
        <w:t>天然气</w:t>
      </w:r>
      <w:r>
        <w:rPr>
          <w:u w:val="single"/>
        </w:rPr>
        <w:t>泄漏时（如带</w:t>
      </w:r>
      <w:r>
        <w:rPr>
          <w:rFonts w:hint="eastAsia"/>
          <w:u w:val="single"/>
        </w:rPr>
        <w:t>天然气</w:t>
      </w:r>
      <w:r>
        <w:rPr>
          <w:u w:val="single"/>
        </w:rPr>
        <w:t>抽堵盲板），防止事故的唯一办法就是防止火源存在，这时作业必须使用铜质或木质工具；特别情况下使用铁质工具、吊具时，表面应涂好油，并应十分慎重操作，防止摩擦产生火花，作业区内严禁火源接近或存在。</w:t>
      </w:r>
    </w:p>
    <w:p>
      <w:pPr>
        <w:ind w:firstLine="480"/>
        <w:rPr>
          <w:u w:val="single"/>
        </w:rPr>
      </w:pPr>
      <w:r>
        <w:rPr>
          <w:u w:val="single"/>
        </w:rPr>
        <w:t>8、设备检查</w:t>
      </w:r>
    </w:p>
    <w:p>
      <w:pPr>
        <w:ind w:firstLine="480"/>
        <w:rPr>
          <w:u w:val="single"/>
        </w:rPr>
      </w:pPr>
      <w:r>
        <w:rPr>
          <w:u w:val="single"/>
        </w:rPr>
        <w:t>新投产或大修后的</w:t>
      </w:r>
      <w:r>
        <w:rPr>
          <w:rFonts w:hint="eastAsia"/>
          <w:u w:val="single"/>
        </w:rPr>
        <w:t>天然气</w:t>
      </w:r>
      <w:r>
        <w:rPr>
          <w:u w:val="single"/>
        </w:rPr>
        <w:t>管道要按规定进行严密性试验；车间内的</w:t>
      </w:r>
      <w:r>
        <w:rPr>
          <w:rFonts w:hint="eastAsia"/>
          <w:u w:val="single"/>
        </w:rPr>
        <w:t>天然气</w:t>
      </w:r>
      <w:r>
        <w:rPr>
          <w:u w:val="single"/>
        </w:rPr>
        <w:t>管道必须定期用肥皂水试漏；对窑房内空气中</w:t>
      </w:r>
      <w:r>
        <w:rPr>
          <w:rFonts w:hint="eastAsia"/>
          <w:u w:val="single"/>
        </w:rPr>
        <w:t>天然气</w:t>
      </w:r>
      <w:r>
        <w:rPr>
          <w:u w:val="single"/>
        </w:rPr>
        <w:t>含量经常进行检查，并应保持室内通风良好；窑体砌筑上应保证设计给定的夹缝要求，尤其是烧窑和烧体结合不稳u更应加强密封。</w:t>
      </w:r>
    </w:p>
    <w:p>
      <w:pPr>
        <w:pStyle w:val="69"/>
        <w:ind w:firstLine="0" w:firstLineChars="0"/>
        <w:outlineLvl w:val="3"/>
        <w:rPr>
          <w:b/>
          <w:bCs/>
          <w:u w:val="single"/>
        </w:rPr>
      </w:pPr>
      <w:r>
        <w:rPr>
          <w:b/>
          <w:bCs/>
          <w:u w:val="single"/>
        </w:rPr>
        <w:t>5.3.2.2</w:t>
      </w:r>
      <w:r>
        <w:rPr>
          <w:rFonts w:hint="eastAsia"/>
          <w:b/>
          <w:bCs/>
          <w:u w:val="single"/>
        </w:rPr>
        <w:t>废水</w:t>
      </w:r>
      <w:r>
        <w:rPr>
          <w:b/>
          <w:bCs/>
          <w:u w:val="single"/>
        </w:rPr>
        <w:t>贮存过程风险防范</w:t>
      </w:r>
    </w:p>
    <w:p>
      <w:pPr>
        <w:ind w:firstLine="480"/>
        <w:rPr>
          <w:u w:val="single"/>
        </w:rPr>
      </w:pPr>
      <w:r>
        <w:rPr>
          <w:u w:val="single"/>
        </w:rPr>
        <w:t>1、</w:t>
      </w:r>
      <w:r>
        <w:rPr>
          <w:rFonts w:hint="eastAsia"/>
          <w:u w:val="single"/>
        </w:rPr>
        <w:t>废水沉淀池</w:t>
      </w:r>
      <w:r>
        <w:rPr>
          <w:u w:val="single"/>
        </w:rPr>
        <w:t>须采取防腐、防渗、防漏措施。</w:t>
      </w:r>
      <w:r>
        <w:rPr>
          <w:rFonts w:hint="eastAsia"/>
          <w:u w:val="single"/>
        </w:rPr>
        <w:t>废水沉淀池</w:t>
      </w:r>
      <w:r>
        <w:rPr>
          <w:u w:val="single"/>
        </w:rPr>
        <w:t>及输送管道须定时检查，出现渗漏现象应立即抢修。</w:t>
      </w:r>
    </w:p>
    <w:p>
      <w:pPr>
        <w:ind w:firstLine="480"/>
        <w:rPr>
          <w:u w:val="single"/>
        </w:rPr>
      </w:pPr>
      <w:r>
        <w:rPr>
          <w:u w:val="single"/>
        </w:rPr>
        <w:t>2、操作人员应穿戴相应的防护用具。防护用具包括工作服、橡皮围裙、橡皮袖套、橡皮手套、长筒胶靴、防毒面具、滤毒口罩、纱口罩、纱手套和护目镜等。操作前应由专人检查用具是否妥善，穿戴是否合适。操作后应进行清洗或消毒，放在专用的箱柜中保管。</w:t>
      </w:r>
    </w:p>
    <w:p>
      <w:pPr>
        <w:ind w:firstLine="480"/>
        <w:rPr>
          <w:u w:val="single"/>
        </w:rPr>
      </w:pPr>
      <w:r>
        <w:rPr>
          <w:u w:val="single"/>
        </w:rPr>
        <w:t>3、在处理</w:t>
      </w:r>
      <w:r>
        <w:rPr>
          <w:rFonts w:hint="eastAsia"/>
          <w:u w:val="single"/>
        </w:rPr>
        <w:t>废水</w:t>
      </w:r>
      <w:r>
        <w:rPr>
          <w:u w:val="single"/>
        </w:rPr>
        <w:t>时，不得饮酒、吸烟。工作完毕后根据工作情况和危险品的性质，及时清洗手、脸、漱口和淋浴。必须保持现场空气流通。如发现恶心、头晕等中毒现象，应立即到新鲜空气处休息，脱去工作服和防护面具，清洗皮肤沾染部分，重者送医院诊治。</w:t>
      </w:r>
    </w:p>
    <w:p>
      <w:pPr>
        <w:ind w:firstLine="480"/>
        <w:rPr>
          <w:u w:val="single"/>
        </w:rPr>
      </w:pPr>
      <w:r>
        <w:rPr>
          <w:u w:val="single"/>
        </w:rPr>
        <w:t>4、晚间作业应用防爆式或封闭式的安全照明，应有防滑措施。</w:t>
      </w:r>
    </w:p>
    <w:p>
      <w:pPr>
        <w:ind w:firstLine="480"/>
        <w:rPr>
          <w:u w:val="single"/>
        </w:rPr>
      </w:pPr>
      <w:r>
        <w:rPr>
          <w:u w:val="single"/>
        </w:rPr>
        <w:t>5、尽量减少人体与物品包装的接触，工作完毕后以肥皂和水清洗手脸和淋浴后才可进食饮水。</w:t>
      </w:r>
    </w:p>
    <w:p>
      <w:pPr>
        <w:pStyle w:val="69"/>
        <w:ind w:firstLine="0" w:firstLineChars="0"/>
        <w:outlineLvl w:val="3"/>
        <w:rPr>
          <w:b/>
          <w:bCs/>
          <w:u w:val="single"/>
        </w:rPr>
      </w:pPr>
      <w:r>
        <w:rPr>
          <w:b/>
          <w:bCs/>
          <w:u w:val="single"/>
        </w:rPr>
        <w:t>5.3.2.3运输过程中的风险防范措施</w:t>
      </w:r>
    </w:p>
    <w:p>
      <w:pPr>
        <w:ind w:firstLine="480"/>
        <w:rPr>
          <w:u w:val="single"/>
        </w:rPr>
      </w:pPr>
      <w:r>
        <w:rPr>
          <w:u w:val="single"/>
        </w:rPr>
        <w:t>由于危险品的运输由具有危险品运输资质的单位运输，因此在运输过程中应小心谨慎，确保安全。为此还必须注意以下几个问题：</w:t>
      </w:r>
    </w:p>
    <w:p>
      <w:pPr>
        <w:ind w:firstLine="480"/>
        <w:rPr>
          <w:u w:val="single"/>
        </w:rPr>
      </w:pPr>
      <w:r>
        <w:rPr>
          <w:u w:val="single"/>
        </w:rPr>
        <w:t>1、合理规划运输路线及运输时间。</w:t>
      </w:r>
    </w:p>
    <w:p>
      <w:pPr>
        <w:ind w:firstLine="480"/>
        <w:rPr>
          <w:u w:val="single"/>
        </w:rPr>
      </w:pPr>
      <w:r>
        <w:rPr>
          <w:u w:val="single"/>
        </w:rPr>
        <w:t>2、危险品的装运应做到定车、定人。定车就是要把装运危险品的车辆，相对固定，专车专用。凡用来盛装危险物质的容器，包括槽（罐）车不得用来盛装其它物品，更不许盛装食品。而车辆必须是专用车，不能在任务紧急、车辆紧张的情况下使用两轮摩托车或三轮摩托车等担任危险物品的运输任务。定人就是把管理、驾驶、押运及装卸等工作的人员加以固定，这就保证了危险品的运输任务始终是由专业人员来担负，从人员上保障危险品运输过程中的安全。</w:t>
      </w:r>
    </w:p>
    <w:p>
      <w:pPr>
        <w:ind w:firstLine="480"/>
        <w:rPr>
          <w:u w:val="single"/>
        </w:rPr>
      </w:pPr>
      <w:r>
        <w:rPr>
          <w:u w:val="single"/>
        </w:rPr>
        <w:t>3、被装运的危险物品必须在其外包装的明显部位按《危险货物包装标志（GB190-90）》规定的危险物品标志，包装标志要粘牢固、正确。具有易燃、有毒等多种危险特性的化学品，则应该根据其不同危险特性而同时粘贴相应的几个包装标志，以便一旦发生问题，可以进行多种防护。</w:t>
      </w:r>
    </w:p>
    <w:p>
      <w:pPr>
        <w:ind w:firstLine="480"/>
        <w:rPr>
          <w:u w:val="single"/>
        </w:rPr>
      </w:pPr>
      <w:r>
        <w:rPr>
          <w:u w:val="single"/>
        </w:rPr>
        <w:t>4、在危险品运输过程中，一旦发生意外，在采取应急处理的同时，迅速报告公安机关和环保等有关部门，疏散群众，防止事态的进一步扩大，并积极协助前来救助的公安交通和消防人员抢救伤者和物资，使损失降低到最小范围。</w:t>
      </w:r>
    </w:p>
    <w:p>
      <w:pPr>
        <w:ind w:firstLine="480"/>
        <w:rPr>
          <w:u w:val="single"/>
        </w:rPr>
      </w:pPr>
      <w:r>
        <w:rPr>
          <w:u w:val="single"/>
        </w:rPr>
        <w:t>5、运输有毒物品汽车的驾驶员和押运人员，在出车前必须检查防毒、防护用品和检查是否携带齐全有效，在运输途中发现泄漏时应主动采取处理措施，防止事态进一步扩大，在切断泄漏源后，应将情况及时向当地公安机关和有关部门报告，若处理不了，应立即报告当地公安机关和有关部门，请求支援。</w:t>
      </w:r>
    </w:p>
    <w:p>
      <w:pPr>
        <w:pStyle w:val="69"/>
        <w:ind w:firstLine="0" w:firstLineChars="0"/>
        <w:outlineLvl w:val="3"/>
        <w:rPr>
          <w:b/>
          <w:bCs/>
          <w:u w:val="single"/>
        </w:rPr>
      </w:pPr>
      <w:r>
        <w:rPr>
          <w:b/>
          <w:bCs/>
          <w:u w:val="single"/>
        </w:rPr>
        <w:t>5.3.2.4环保设施风险防范措施</w:t>
      </w:r>
    </w:p>
    <w:p>
      <w:pPr>
        <w:ind w:firstLine="480"/>
        <w:rPr>
          <w:u w:val="single"/>
        </w:rPr>
      </w:pPr>
      <w:r>
        <w:rPr>
          <w:u w:val="single"/>
        </w:rPr>
        <w:t>1、废气、废水等环保设施必须确保正常运行，如发现人为原因不开启废气治理设施，责任人应受行政和经济处罚，并承担事故排放责任。若环保治理措施因故不能运行，则生产必须停止。</w:t>
      </w:r>
    </w:p>
    <w:p>
      <w:pPr>
        <w:ind w:firstLine="480"/>
        <w:rPr>
          <w:u w:val="single"/>
        </w:rPr>
      </w:pPr>
      <w:r>
        <w:rPr>
          <w:u w:val="single"/>
        </w:rPr>
        <w:t>2、为确保环保设施的处理效率，在车间设备检修期间，环保装置也应同时进行检修，日常应有专人负责维护。</w:t>
      </w:r>
    </w:p>
    <w:p>
      <w:pPr>
        <w:ind w:firstLine="480"/>
        <w:rPr>
          <w:u w:val="single"/>
        </w:rPr>
      </w:pPr>
      <w:r>
        <w:rPr>
          <w:u w:val="single"/>
        </w:rPr>
        <w:t>3、制定严格的废水排放制度，确保清污分流，残液、残渣禁止排入废水处理系统或直排。</w:t>
      </w:r>
    </w:p>
    <w:p>
      <w:pPr>
        <w:pStyle w:val="4"/>
        <w:adjustRightInd w:val="0"/>
        <w:snapToGrid w:val="0"/>
        <w:jc w:val="left"/>
        <w:rPr>
          <w:rFonts w:cs="Times New Roman"/>
          <w:szCs w:val="24"/>
          <w:u w:val="single"/>
        </w:rPr>
      </w:pPr>
      <w:bookmarkStart w:id="176" w:name="_Toc86611319"/>
      <w:r>
        <w:rPr>
          <w:rFonts w:cs="Times New Roman"/>
          <w:szCs w:val="24"/>
          <w:u w:val="single"/>
        </w:rPr>
        <w:t>5.3.3 应急预案</w:t>
      </w:r>
      <w:bookmarkEnd w:id="176"/>
    </w:p>
    <w:p>
      <w:pPr>
        <w:ind w:firstLine="480"/>
        <w:rPr>
          <w:rFonts w:cs="Times New Roman"/>
          <w:u w:val="single"/>
        </w:rPr>
      </w:pPr>
      <w:r>
        <w:rPr>
          <w:rFonts w:cs="Times New Roman"/>
          <w:u w:val="single"/>
        </w:rPr>
        <w:t>本项目针对环境风险事故拟采取多种防范措施，可将风险事故的概率降至较低的水平，但概率不会降为零，一旦发生事故仍需采取应急措施，控制和减少事故危害，根据环境保护部发布的《企业突发环境事件风险评估指南（试行）》及《突发环境事件应急管理办法》等文件要求，根据项目生产过程中存在的风险事故类型，需制定适用于本项目的事故应急预案，以便在事故发生后，迅速有效的采取应急措施，在短时间内使事故得到有效控制。本评价事故应急预案的内容包括：应急计划区；应急组织机构及人员；报警、汇报、上报机制；应急救援保障设施及监测、抢险、救援、控制措施；检测、防护、清除措施和器材；人员紧急撤离疏散组织计划；基本上能把事故对人员、设备、环境造成的影响控制在尽可能小的范围。</w:t>
      </w:r>
    </w:p>
    <w:p>
      <w:pPr>
        <w:ind w:firstLine="482"/>
        <w:rPr>
          <w:rFonts w:cs="Times New Roman"/>
          <w:b/>
          <w:bCs/>
          <w:u w:val="single"/>
          <w:lang w:bidi="en-US"/>
        </w:rPr>
      </w:pPr>
      <w:r>
        <w:rPr>
          <w:rFonts w:cs="Times New Roman"/>
          <w:b/>
          <w:bCs/>
          <w:u w:val="single"/>
          <w:lang w:bidi="en-US"/>
        </w:rPr>
        <w:t>1、应急计划对象</w:t>
      </w:r>
    </w:p>
    <w:p>
      <w:pPr>
        <w:ind w:firstLine="480"/>
        <w:rPr>
          <w:rFonts w:cs="Times New Roman"/>
          <w:bCs/>
          <w:u w:val="single"/>
          <w:lang w:bidi="en-US"/>
        </w:rPr>
      </w:pPr>
      <w:r>
        <w:rPr>
          <w:rFonts w:cs="Times New Roman"/>
          <w:bCs/>
          <w:u w:val="single"/>
          <w:lang w:bidi="en-US"/>
        </w:rPr>
        <w:t>危险目标：沼气柜、污水处理站及管线。</w:t>
      </w:r>
    </w:p>
    <w:p>
      <w:pPr>
        <w:ind w:firstLine="482"/>
        <w:rPr>
          <w:rFonts w:cs="Times New Roman"/>
          <w:b/>
          <w:bCs/>
          <w:u w:val="single"/>
          <w:lang w:bidi="en-US"/>
        </w:rPr>
      </w:pPr>
      <w:r>
        <w:rPr>
          <w:rFonts w:cs="Times New Roman"/>
          <w:b/>
          <w:bCs/>
          <w:u w:val="single"/>
          <w:lang w:bidi="en-US"/>
        </w:rPr>
        <w:t>2、应急组织机构、人员</w:t>
      </w:r>
    </w:p>
    <w:p>
      <w:pPr>
        <w:ind w:firstLine="480"/>
        <w:rPr>
          <w:rFonts w:cs="Times New Roman"/>
          <w:bCs/>
          <w:u w:val="single"/>
          <w:lang w:bidi="en-US"/>
        </w:rPr>
      </w:pPr>
      <w:r>
        <w:rPr>
          <w:rFonts w:cs="Times New Roman"/>
          <w:bCs/>
          <w:u w:val="single"/>
          <w:lang w:bidi="en-US"/>
        </w:rPr>
        <w:t>由厂区负责人担任事故应急救援领导小组组长，组织预案的制定和修订；指挥事故现场救援工作；向上级汇报和向公众通报事故情况。组织事故调查，总结救援工作经验教训。</w:t>
      </w:r>
    </w:p>
    <w:p>
      <w:pPr>
        <w:ind w:firstLine="480"/>
        <w:rPr>
          <w:rFonts w:cs="Times New Roman"/>
          <w:bCs/>
          <w:u w:val="single"/>
          <w:lang w:bidi="en-US"/>
        </w:rPr>
      </w:pPr>
      <w:r>
        <w:rPr>
          <w:rFonts w:cs="Times New Roman"/>
          <w:bCs/>
          <w:u w:val="single"/>
          <w:lang w:bidi="en-US"/>
        </w:rPr>
        <w:t>副组长协助组长负责应急救援行动的具体工作和日常的安全教育工作。</w:t>
      </w:r>
    </w:p>
    <w:p>
      <w:pPr>
        <w:ind w:firstLine="482"/>
        <w:rPr>
          <w:rFonts w:cs="Times New Roman"/>
          <w:b/>
          <w:bCs/>
          <w:u w:val="single"/>
          <w:lang w:bidi="en-US"/>
        </w:rPr>
      </w:pPr>
      <w:r>
        <w:rPr>
          <w:rFonts w:cs="Times New Roman"/>
          <w:b/>
          <w:bCs/>
          <w:u w:val="single"/>
          <w:lang w:bidi="en-US"/>
        </w:rPr>
        <w:t>3、应急救援保障</w:t>
      </w:r>
    </w:p>
    <w:p>
      <w:pPr>
        <w:ind w:firstLine="480"/>
        <w:rPr>
          <w:rFonts w:cs="Times New Roman"/>
          <w:bCs/>
          <w:u w:val="single"/>
          <w:lang w:bidi="en-US"/>
        </w:rPr>
      </w:pPr>
      <w:r>
        <w:rPr>
          <w:rFonts w:cs="Times New Roman"/>
          <w:bCs/>
          <w:u w:val="single"/>
          <w:lang w:bidi="en-US"/>
        </w:rPr>
        <w:t>（1）内</w:t>
      </w:r>
      <w:r>
        <w:rPr>
          <w:rFonts w:cs="Times New Roman"/>
          <w:bCs/>
          <w:spacing w:val="-11"/>
          <w:u w:val="single"/>
          <w:lang w:bidi="en-US"/>
        </w:rPr>
        <w:t>部保障：厂区按安全和消防要求配备有充足的石灰、劳动防护用品等。</w:t>
      </w:r>
    </w:p>
    <w:p>
      <w:pPr>
        <w:ind w:firstLine="480"/>
        <w:rPr>
          <w:rFonts w:cs="Times New Roman"/>
          <w:bCs/>
          <w:u w:val="single"/>
          <w:lang w:bidi="en-US"/>
        </w:rPr>
      </w:pPr>
      <w:r>
        <w:rPr>
          <w:rFonts w:cs="Times New Roman"/>
          <w:bCs/>
          <w:u w:val="single"/>
          <w:lang w:bidi="en-US"/>
        </w:rPr>
        <w:t>（2）外部保障：急救医疗电话：120</w:t>
      </w:r>
    </w:p>
    <w:p>
      <w:pPr>
        <w:ind w:firstLine="480"/>
        <w:rPr>
          <w:rFonts w:cs="Times New Roman"/>
          <w:bCs/>
          <w:u w:val="single"/>
          <w:lang w:bidi="en-US"/>
        </w:rPr>
      </w:pPr>
      <w:r>
        <w:rPr>
          <w:rFonts w:cs="Times New Roman"/>
          <w:bCs/>
          <w:u w:val="single"/>
          <w:lang w:bidi="en-US"/>
        </w:rPr>
        <w:t>报警电话：110    火警电话：119</w:t>
      </w:r>
    </w:p>
    <w:p>
      <w:pPr>
        <w:ind w:firstLine="480"/>
        <w:rPr>
          <w:rFonts w:cs="Times New Roman"/>
          <w:bCs/>
          <w:u w:val="single"/>
          <w:lang w:bidi="en-US"/>
        </w:rPr>
      </w:pPr>
      <w:r>
        <w:rPr>
          <w:rFonts w:cs="Times New Roman"/>
          <w:bCs/>
          <w:u w:val="single"/>
          <w:lang w:bidi="en-US"/>
        </w:rPr>
        <w:t>衡阳县应急管理局电话：0734-8869036</w:t>
      </w:r>
    </w:p>
    <w:p>
      <w:pPr>
        <w:ind w:firstLine="480"/>
        <w:rPr>
          <w:rFonts w:cs="Times New Roman"/>
          <w:bCs/>
          <w:u w:val="single"/>
          <w:lang w:bidi="en-US"/>
        </w:rPr>
      </w:pPr>
      <w:r>
        <w:rPr>
          <w:rFonts w:cs="Times New Roman"/>
          <w:bCs/>
          <w:u w:val="single"/>
          <w:lang w:bidi="en-US"/>
        </w:rPr>
        <w:t>衡阳县生态环境保护分局电话：0734-6813485</w:t>
      </w:r>
    </w:p>
    <w:p>
      <w:pPr>
        <w:ind w:firstLine="482"/>
        <w:rPr>
          <w:rFonts w:cs="Times New Roman"/>
          <w:b/>
          <w:bCs/>
          <w:u w:val="single"/>
          <w:lang w:bidi="en-US"/>
        </w:rPr>
      </w:pPr>
      <w:r>
        <w:rPr>
          <w:rFonts w:cs="Times New Roman"/>
          <w:b/>
          <w:bCs/>
          <w:u w:val="single"/>
          <w:lang w:bidi="en-US"/>
        </w:rPr>
        <w:t>4、监测、抢险、救援、控制措施</w:t>
      </w:r>
    </w:p>
    <w:p>
      <w:pPr>
        <w:ind w:firstLine="480"/>
        <w:rPr>
          <w:rFonts w:cs="Times New Roman"/>
          <w:bCs/>
          <w:u w:val="single"/>
          <w:lang w:bidi="en-US"/>
        </w:rPr>
      </w:pPr>
      <w:r>
        <w:rPr>
          <w:rFonts w:cs="Times New Roman"/>
          <w:bCs/>
          <w:u w:val="single"/>
          <w:lang w:bidi="en-US"/>
        </w:rPr>
        <w:t>根据事故类型，启动公司抢险、救援、控制措施。协助市、镇政府疾病控制中心、环保局按照专业规程进行现场危害因素监测工作。</w:t>
      </w:r>
    </w:p>
    <w:p>
      <w:pPr>
        <w:ind w:firstLine="482"/>
        <w:rPr>
          <w:rFonts w:cs="Times New Roman"/>
          <w:b/>
          <w:bCs/>
          <w:u w:val="single"/>
          <w:lang w:bidi="en-US"/>
        </w:rPr>
      </w:pPr>
      <w:r>
        <w:rPr>
          <w:rFonts w:cs="Times New Roman"/>
          <w:b/>
          <w:bCs/>
          <w:u w:val="single"/>
          <w:lang w:bidi="en-US"/>
        </w:rPr>
        <w:t>5、人员紧急撤离、疏散，应急剂量控制、撤离组织计划</w:t>
      </w:r>
    </w:p>
    <w:p>
      <w:pPr>
        <w:ind w:firstLine="480"/>
        <w:rPr>
          <w:rFonts w:cs="Times New Roman"/>
          <w:bCs/>
          <w:u w:val="single"/>
          <w:lang w:bidi="en-US"/>
        </w:rPr>
      </w:pPr>
      <w:r>
        <w:rPr>
          <w:rFonts w:cs="Times New Roman"/>
          <w:bCs/>
          <w:u w:val="single"/>
          <w:lang w:bidi="en-US"/>
        </w:rPr>
        <w:t>发生危险事故后立即设立警戒区域，所有非救援人员疏散到安全区域。由专人警戒危险区域出入口，除消防、应急处理人员及车辆外禁止进入事故现场。进入警戒区域人员必须穿戴防护用品。若事故恶化，所有抢救人员要紧急疏散，撤离到安全区域。</w:t>
      </w:r>
    </w:p>
    <w:p>
      <w:pPr>
        <w:ind w:firstLine="482"/>
        <w:rPr>
          <w:rFonts w:cs="Times New Roman"/>
          <w:b/>
          <w:bCs/>
          <w:u w:val="single"/>
          <w:lang w:bidi="en-US"/>
        </w:rPr>
      </w:pPr>
      <w:r>
        <w:rPr>
          <w:rFonts w:cs="Times New Roman"/>
          <w:b/>
          <w:bCs/>
          <w:u w:val="single"/>
          <w:lang w:bidi="en-US"/>
        </w:rPr>
        <w:t>6、报警、汇报、上报机制</w:t>
      </w:r>
    </w:p>
    <w:p>
      <w:pPr>
        <w:ind w:firstLine="480"/>
        <w:rPr>
          <w:rFonts w:cs="Times New Roman"/>
          <w:bCs/>
          <w:u w:val="single"/>
          <w:lang w:bidi="en-US"/>
        </w:rPr>
      </w:pPr>
      <w:r>
        <w:rPr>
          <w:rFonts w:hint="eastAsia" w:ascii="宋体" w:hAnsi="宋体" w:cs="宋体"/>
          <w:bCs/>
          <w:u w:val="single"/>
          <w:lang w:bidi="en-US"/>
        </w:rPr>
        <w:t>①</w:t>
      </w:r>
      <w:r>
        <w:rPr>
          <w:rFonts w:cs="Times New Roman"/>
          <w:bCs/>
          <w:u w:val="single"/>
          <w:lang w:bidi="en-US"/>
        </w:rPr>
        <w:t>事发车间的现场人员应马上向生产调度室报警，并启动车间应急预案，展开自救。</w:t>
      </w:r>
    </w:p>
    <w:p>
      <w:pPr>
        <w:ind w:firstLine="480"/>
        <w:rPr>
          <w:rFonts w:cs="Times New Roman"/>
          <w:bCs/>
          <w:u w:val="single"/>
          <w:lang w:bidi="en-US"/>
        </w:rPr>
      </w:pPr>
      <w:r>
        <w:rPr>
          <w:rFonts w:hint="eastAsia" w:ascii="宋体" w:hAnsi="宋体" w:cs="宋体"/>
          <w:bCs/>
          <w:u w:val="single"/>
          <w:lang w:bidi="en-US"/>
        </w:rPr>
        <w:t>②</w:t>
      </w:r>
      <w:r>
        <w:rPr>
          <w:rFonts w:cs="Times New Roman"/>
          <w:bCs/>
          <w:u w:val="single"/>
          <w:lang w:bidi="en-US"/>
        </w:rPr>
        <w:t>调度在接到报警后视事故情况报告指挥部，指挥部判断是否启动本预案，如需启动本预案及时通知各专业队火速赶赴现场。</w:t>
      </w:r>
    </w:p>
    <w:p>
      <w:pPr>
        <w:ind w:firstLine="480"/>
        <w:rPr>
          <w:rFonts w:cs="Times New Roman"/>
          <w:bCs/>
          <w:u w:val="single"/>
          <w:lang w:bidi="en-US"/>
        </w:rPr>
      </w:pPr>
      <w:r>
        <w:rPr>
          <w:rFonts w:hint="eastAsia" w:ascii="宋体" w:hAnsi="宋体" w:cs="宋体"/>
          <w:bCs/>
          <w:u w:val="single"/>
          <w:lang w:bidi="en-US"/>
        </w:rPr>
        <w:t>③</w:t>
      </w:r>
      <w:r>
        <w:rPr>
          <w:rFonts w:cs="Times New Roman"/>
          <w:bCs/>
          <w:u w:val="single"/>
          <w:lang w:bidi="en-US"/>
        </w:rPr>
        <w:t>指挥部根据事故类别迅速向政府安监、环保、疾病控制中心等相关部门报告。</w:t>
      </w:r>
    </w:p>
    <w:p>
      <w:pPr>
        <w:ind w:firstLine="480"/>
        <w:rPr>
          <w:rFonts w:cs="Times New Roman"/>
          <w:bCs/>
          <w:u w:val="single"/>
          <w:lang w:bidi="en-US"/>
        </w:rPr>
      </w:pPr>
      <w:r>
        <w:rPr>
          <w:rFonts w:hint="eastAsia" w:ascii="宋体" w:hAnsi="宋体" w:cs="宋体"/>
          <w:bCs/>
          <w:u w:val="single"/>
          <w:lang w:bidi="en-US"/>
        </w:rPr>
        <w:t>④</w:t>
      </w:r>
      <w:r>
        <w:rPr>
          <w:rFonts w:cs="Times New Roman"/>
          <w:bCs/>
          <w:u w:val="single"/>
          <w:lang w:bidi="en-US"/>
        </w:rPr>
        <w:t>报警和通讯一般应包括以下内容：</w:t>
      </w:r>
    </w:p>
    <w:p>
      <w:pPr>
        <w:ind w:firstLine="480"/>
        <w:rPr>
          <w:rFonts w:cs="Times New Roman"/>
          <w:bCs/>
          <w:u w:val="single"/>
          <w:lang w:bidi="en-US"/>
        </w:rPr>
      </w:pPr>
      <w:r>
        <w:rPr>
          <w:rFonts w:cs="Times New Roman"/>
          <w:bCs/>
          <w:u w:val="single"/>
          <w:lang w:bidi="en-US"/>
        </w:rPr>
        <w:t>1）事故发生时间、地点、化学品种类、数量、事故类型（火灾、爆炸、泄漏）、周边情况等。</w:t>
      </w:r>
    </w:p>
    <w:p>
      <w:pPr>
        <w:ind w:firstLine="480"/>
        <w:rPr>
          <w:rFonts w:cs="Times New Roman"/>
          <w:bCs/>
          <w:u w:val="single"/>
          <w:lang w:bidi="en-US"/>
        </w:rPr>
      </w:pPr>
      <w:r>
        <w:rPr>
          <w:rFonts w:cs="Times New Roman"/>
          <w:bCs/>
          <w:u w:val="single"/>
          <w:lang w:bidi="en-US"/>
        </w:rPr>
        <w:t>2）必要的补充：事故可能持续的时间；健康危害与必要的医疗措施；对方应注意的措施，如疏散；联系人姓名和电话等。</w:t>
      </w:r>
    </w:p>
    <w:p>
      <w:pPr>
        <w:ind w:firstLine="482"/>
        <w:rPr>
          <w:rFonts w:cs="Times New Roman"/>
          <w:b/>
          <w:bCs/>
          <w:u w:val="single"/>
          <w:lang w:bidi="en-US"/>
        </w:rPr>
      </w:pPr>
      <w:r>
        <w:rPr>
          <w:rFonts w:cs="Times New Roman"/>
          <w:b/>
          <w:bCs/>
          <w:u w:val="single"/>
          <w:lang w:bidi="en-US"/>
        </w:rPr>
        <w:t>7、环境事故应急救援关闭程序与恢复措施</w:t>
      </w:r>
    </w:p>
    <w:p>
      <w:pPr>
        <w:ind w:firstLine="480"/>
        <w:rPr>
          <w:rFonts w:cs="Times New Roman"/>
          <w:bCs/>
          <w:u w:val="single"/>
          <w:lang w:bidi="en-US"/>
        </w:rPr>
      </w:pPr>
      <w:r>
        <w:rPr>
          <w:rFonts w:cs="Times New Roman"/>
          <w:bCs/>
          <w:u w:val="single"/>
          <w:lang w:bidi="en-US"/>
        </w:rPr>
        <w:t>事故发生后立即控制事故区域的边界和人员车辆进出。</w:t>
      </w:r>
    </w:p>
    <w:p>
      <w:pPr>
        <w:ind w:firstLine="480"/>
        <w:rPr>
          <w:rFonts w:cs="Times New Roman"/>
          <w:bCs/>
          <w:u w:val="single"/>
          <w:lang w:bidi="en-US"/>
        </w:rPr>
      </w:pPr>
      <w:r>
        <w:rPr>
          <w:rFonts w:cs="Times New Roman"/>
          <w:bCs/>
          <w:u w:val="single"/>
          <w:lang w:bidi="en-US"/>
        </w:rPr>
        <w:t>事故处理完毕，要撤离警示标志。将周围环境恢复原状。对事故造成的危害进行监测、处置，直至符合国家环境保护标准。</w:t>
      </w:r>
    </w:p>
    <w:p>
      <w:pPr>
        <w:ind w:firstLine="482"/>
        <w:rPr>
          <w:rFonts w:cs="Times New Roman"/>
          <w:b/>
          <w:bCs/>
          <w:u w:val="single"/>
          <w:lang w:bidi="en-US"/>
        </w:rPr>
      </w:pPr>
      <w:r>
        <w:rPr>
          <w:rFonts w:cs="Times New Roman"/>
          <w:b/>
          <w:bCs/>
          <w:u w:val="single"/>
          <w:lang w:bidi="en-US"/>
        </w:rPr>
        <w:t>8、应急培训计划</w:t>
      </w:r>
    </w:p>
    <w:p>
      <w:pPr>
        <w:ind w:firstLine="480"/>
        <w:rPr>
          <w:rFonts w:cs="Times New Roman"/>
          <w:bCs/>
          <w:u w:val="single"/>
          <w:lang w:bidi="en-US"/>
        </w:rPr>
      </w:pPr>
      <w:r>
        <w:rPr>
          <w:rFonts w:cs="Times New Roman"/>
          <w:bCs/>
          <w:u w:val="single"/>
          <w:lang w:bidi="en-US"/>
        </w:rPr>
        <w:t>定期进行应急技能培训，包括设备运用、险情排除、自救和互救等方法。每年进行演练不少于1次，包括演习后评估以及评估后的岗位培训。</w:t>
      </w:r>
    </w:p>
    <w:p>
      <w:pPr>
        <w:ind w:firstLine="482"/>
        <w:rPr>
          <w:rFonts w:cs="Times New Roman"/>
          <w:b/>
          <w:bCs/>
          <w:u w:val="single"/>
          <w:lang w:bidi="en-US"/>
        </w:rPr>
      </w:pPr>
      <w:r>
        <w:rPr>
          <w:rFonts w:cs="Times New Roman"/>
          <w:b/>
          <w:bCs/>
          <w:u w:val="single"/>
          <w:lang w:bidi="en-US"/>
        </w:rPr>
        <w:t>9、公众教育和信息</w:t>
      </w:r>
    </w:p>
    <w:p>
      <w:pPr>
        <w:ind w:firstLine="480"/>
        <w:rPr>
          <w:rFonts w:cs="Times New Roman"/>
          <w:bCs/>
          <w:u w:val="single"/>
        </w:rPr>
      </w:pPr>
      <w:r>
        <w:rPr>
          <w:rFonts w:cs="Times New Roman"/>
          <w:bCs/>
          <w:u w:val="single"/>
          <w:lang w:bidi="en-US"/>
        </w:rPr>
        <w:t>指挥部负责向周边公众进行安全教育。事故发生后指挥部负责事故信息的发布工作。</w:t>
      </w:r>
      <w:r>
        <w:rPr>
          <w:rFonts w:cs="Times New Roman"/>
          <w:bCs/>
          <w:u w:val="single"/>
        </w:rPr>
        <w:t>建立完备的环境信息平台，定期向社会公布企业环境信息，接受公众监督。</w:t>
      </w:r>
    </w:p>
    <w:p>
      <w:pPr>
        <w:ind w:firstLine="482"/>
        <w:rPr>
          <w:rFonts w:cs="Times New Roman"/>
          <w:b/>
          <w:bCs/>
          <w:u w:val="single"/>
        </w:rPr>
      </w:pPr>
      <w:r>
        <w:rPr>
          <w:rFonts w:cs="Times New Roman"/>
          <w:b/>
          <w:bCs/>
          <w:u w:val="single"/>
        </w:rPr>
        <w:t>10、应急预案联动机制</w:t>
      </w:r>
    </w:p>
    <w:p>
      <w:pPr>
        <w:ind w:firstLine="480"/>
        <w:rPr>
          <w:rFonts w:cs="Times New Roman"/>
          <w:u w:val="single"/>
        </w:rPr>
      </w:pPr>
      <w:r>
        <w:rPr>
          <w:rFonts w:cs="Times New Roman"/>
          <w:u w:val="single"/>
        </w:rPr>
        <w:t>企业突发环境事件应急预案应与当地政府和相关部门以及周边企业、园区的应急预案相衔接，加强区域应急物资调配管理，构建区域环境风险联控机制。</w:t>
      </w:r>
    </w:p>
    <w:p>
      <w:pPr>
        <w:pStyle w:val="4"/>
        <w:adjustRightInd w:val="0"/>
        <w:snapToGrid w:val="0"/>
        <w:jc w:val="left"/>
        <w:rPr>
          <w:rFonts w:cs="Times New Roman"/>
          <w:szCs w:val="24"/>
          <w:u w:val="single"/>
        </w:rPr>
      </w:pPr>
      <w:bookmarkStart w:id="177" w:name="_Toc86611320"/>
      <w:r>
        <w:rPr>
          <w:rFonts w:cs="Times New Roman"/>
          <w:szCs w:val="24"/>
          <w:u w:val="single"/>
        </w:rPr>
        <w:t>5.3.4 环境风险的防范与管理</w:t>
      </w:r>
      <w:bookmarkEnd w:id="177"/>
    </w:p>
    <w:p>
      <w:pPr>
        <w:ind w:firstLine="480"/>
        <w:rPr>
          <w:rFonts w:cs="Times New Roman"/>
          <w:bCs/>
          <w:u w:val="single"/>
          <w:lang w:bidi="en-US"/>
        </w:rPr>
      </w:pPr>
      <w:r>
        <w:rPr>
          <w:rFonts w:cs="Times New Roman"/>
          <w:bCs/>
          <w:u w:val="single"/>
          <w:lang w:bidi="en-US"/>
        </w:rPr>
        <w:t>企业应按照相关风险管理的要求不断完善和改进项目的风险管理体系，并配合相关部门的监管：</w:t>
      </w:r>
    </w:p>
    <w:p>
      <w:pPr>
        <w:ind w:firstLine="480"/>
        <w:rPr>
          <w:rFonts w:cs="Times New Roman"/>
          <w:bCs/>
          <w:u w:val="single"/>
          <w:lang w:bidi="en-US"/>
        </w:rPr>
      </w:pPr>
      <w:r>
        <w:rPr>
          <w:rFonts w:cs="Times New Roman"/>
          <w:bCs/>
          <w:u w:val="single"/>
          <w:lang w:bidi="en-US"/>
        </w:rPr>
        <w:t>（1）建设单位是环境风险防范的责任主体，应建立有效的环境风险防范与应急管理体系并不断完善。环境监理单位要督促建设单位按环评及批复文件要求建设环境风险防范设施；验收监测或验收调查单位要全面调查环境风险防范设施建设和应急措施落实情况。</w:t>
      </w:r>
    </w:p>
    <w:p>
      <w:pPr>
        <w:ind w:firstLine="480"/>
        <w:rPr>
          <w:rFonts w:cs="Times New Roman"/>
          <w:u w:val="single"/>
        </w:rPr>
      </w:pPr>
      <w:r>
        <w:rPr>
          <w:rFonts w:cs="Times New Roman"/>
          <w:u w:val="single"/>
        </w:rPr>
        <w:t>（2）企业突发环境事件应急预案的编制、评估、备案和实施等，应按《突发环境事件应急预案管理暂行办法》（环发〔2010〕113号）等相关规定执行。</w:t>
      </w:r>
    </w:p>
    <w:p>
      <w:pPr>
        <w:ind w:firstLine="480"/>
        <w:rPr>
          <w:rFonts w:cs="Times New Roman"/>
          <w:u w:val="single"/>
        </w:rPr>
      </w:pPr>
      <w:r>
        <w:rPr>
          <w:rFonts w:cs="Times New Roman"/>
          <w:u w:val="single"/>
        </w:rPr>
        <w:t>（3）项目的设计阶段，应按照或参照《化工建设项目环境保护设计规范》（GB50483）等国家标准和规范要求，设计有效防止泄漏物质、消防水、污染雨水等扩散至外环境的收集、导流、拦截、降污等环境风险防范设施。</w:t>
      </w:r>
    </w:p>
    <w:p>
      <w:pPr>
        <w:ind w:firstLine="480"/>
        <w:rPr>
          <w:rFonts w:cs="Times New Roman"/>
          <w:u w:val="single"/>
        </w:rPr>
      </w:pPr>
      <w:r>
        <w:rPr>
          <w:rFonts w:cs="Times New Roman"/>
          <w:u w:val="single"/>
        </w:rPr>
        <w:t>（4）项目申请试生产时，建设单位应将项目设计阶段环保措施落实情况、环境监理报告和企业突发环境事件应急预案的备案材料一并提交。建设项目防治污染、防止生态破坏措施以及环境风险防范设施和应急措施不能满足环境影响评价文件及批复要求以及无《突发环境事件应急预案备案登记表》的，各级环保部门不得批准其投入试生产。</w:t>
      </w:r>
    </w:p>
    <w:p>
      <w:pPr>
        <w:ind w:firstLine="480"/>
        <w:rPr>
          <w:rFonts w:cs="Times New Roman"/>
          <w:u w:val="single"/>
        </w:rPr>
      </w:pPr>
      <w:r>
        <w:rPr>
          <w:rFonts w:cs="Times New Roman"/>
          <w:u w:val="single"/>
        </w:rPr>
        <w:t>（5）项目竣工环境保护验收监测时，应对环境风险防范设施和应急措施的落实情况进行全面调查。相关建设项目验收监测报告，应设环境风险防范设施和应急措施落实情况专章；无相关内容的，各级环保部门不得受理其验收申请。</w:t>
      </w:r>
    </w:p>
    <w:p>
      <w:pPr>
        <w:ind w:firstLine="480"/>
        <w:rPr>
          <w:rFonts w:cs="Times New Roman"/>
          <w:u w:val="single"/>
        </w:rPr>
      </w:pPr>
      <w:r>
        <w:rPr>
          <w:rFonts w:cs="Times New Roman"/>
          <w:u w:val="single"/>
        </w:rPr>
        <w:t>（6）企业应建设并完善日常和应急监测系统，配备大气、水环境特征污染物监控设备，编制日常和应急监测方案，提高监控水平、应急响应速度和应急处理能力；建立完备的环境信息平台，定期向社会公布企业环境信息，接受公众监督。将企业突发环境事件应急预案演练和应急物资管理作为日常工作任务，不断提升环境风险防范应急保障能力。</w:t>
      </w:r>
    </w:p>
    <w:p>
      <w:pPr>
        <w:ind w:firstLine="480"/>
        <w:rPr>
          <w:rFonts w:cs="Times New Roman"/>
          <w:u w:val="single"/>
        </w:rPr>
      </w:pPr>
      <w:r>
        <w:rPr>
          <w:rFonts w:cs="Times New Roman"/>
          <w:u w:val="single"/>
        </w:rPr>
        <w:t>（7）企业应积极配合当地政府建设和完善项目所在园区环境风险预警体系、环境风险防控工程、环境应急保障体系。</w:t>
      </w:r>
    </w:p>
    <w:p>
      <w:pPr>
        <w:pStyle w:val="4"/>
        <w:adjustRightInd w:val="0"/>
        <w:snapToGrid w:val="0"/>
        <w:jc w:val="left"/>
        <w:rPr>
          <w:rFonts w:cs="Times New Roman"/>
          <w:szCs w:val="24"/>
          <w:u w:val="single"/>
        </w:rPr>
      </w:pPr>
      <w:bookmarkStart w:id="178" w:name="_Toc86611321"/>
      <w:r>
        <w:rPr>
          <w:rFonts w:cs="Times New Roman"/>
          <w:szCs w:val="24"/>
          <w:u w:val="single"/>
        </w:rPr>
        <w:t>5.3.5 评价结论</w:t>
      </w:r>
      <w:bookmarkEnd w:id="178"/>
    </w:p>
    <w:p>
      <w:pPr>
        <w:ind w:firstLine="480"/>
        <w:rPr>
          <w:rFonts w:cs="Times New Roman"/>
          <w:u w:val="single"/>
        </w:rPr>
      </w:pPr>
      <w:r>
        <w:rPr>
          <w:rFonts w:cs="Times New Roman"/>
          <w:u w:val="single"/>
        </w:rPr>
        <w:t>本工程生产过程中使用和贮存一定量的易燃易爆和有毒的</w:t>
      </w:r>
      <w:r>
        <w:rPr>
          <w:rFonts w:hint="eastAsia"/>
          <w:u w:val="single"/>
        </w:rPr>
        <w:t>天然气</w:t>
      </w:r>
      <w:r>
        <w:rPr>
          <w:rFonts w:cs="Times New Roman"/>
          <w:u w:val="single"/>
        </w:rPr>
        <w:t>，根据物料危害和源项分析，一氧化碳、硫化氢、甲烷和</w:t>
      </w:r>
      <w:r>
        <w:rPr>
          <w:rFonts w:hint="eastAsia"/>
          <w:u w:val="single"/>
        </w:rPr>
        <w:t>天然气</w:t>
      </w:r>
      <w:r>
        <w:rPr>
          <w:rFonts w:cs="Times New Roman"/>
          <w:u w:val="single"/>
        </w:rPr>
        <w:t>是主要危险污染物。根据分析，发生炉</w:t>
      </w:r>
      <w:r>
        <w:rPr>
          <w:rFonts w:hint="eastAsia"/>
          <w:u w:val="single"/>
        </w:rPr>
        <w:t>天然气</w:t>
      </w:r>
      <w:r>
        <w:rPr>
          <w:rFonts w:cs="Times New Roman"/>
          <w:u w:val="single"/>
        </w:rPr>
        <w:t>泄漏可能会造成人员伤亡，风险程度是人们所关心的，其风险程度在可接受范围之内。本次环评提出了风险防范措施，以便在发生风险事故时，能以最快的速度发挥最大的能效，有序的实施救援，尽快控制事态的发展，降低事故对人群造成的危害，削减对环境产生的不利影响。项目在采取风险管理、防范、减缓措施，并制定风险事故应急预案后，其存在的环境风险基本在可以接受的范围内。建设单位应该尽快编制本工程的《突发环境风险应急预案》并报当地环保部门备案。</w:t>
      </w:r>
    </w:p>
    <w:p>
      <w:pPr>
        <w:ind w:firstLine="480"/>
        <w:rPr>
          <w:rFonts w:cs="Times New Roman"/>
        </w:rPr>
        <w:sectPr>
          <w:pgSz w:w="11906" w:h="16838"/>
          <w:pgMar w:top="1440" w:right="1800" w:bottom="1440" w:left="1800" w:header="851" w:footer="992" w:gutter="0"/>
          <w:cols w:space="425" w:num="1"/>
          <w:docGrid w:type="lines" w:linePitch="326" w:charSpace="0"/>
        </w:sectPr>
      </w:pPr>
    </w:p>
    <w:p>
      <w:pPr>
        <w:pStyle w:val="2"/>
        <w:rPr>
          <w:rFonts w:cs="Times New Roman"/>
        </w:rPr>
      </w:pPr>
      <w:bookmarkStart w:id="179" w:name="_Toc86611322"/>
      <w:r>
        <w:rPr>
          <w:rFonts w:cs="Times New Roman"/>
        </w:rPr>
        <w:t>6环境保护措施及其可行性论证</w:t>
      </w:r>
      <w:bookmarkEnd w:id="179"/>
    </w:p>
    <w:p>
      <w:pPr>
        <w:pStyle w:val="3"/>
        <w:rPr>
          <w:rFonts w:cs="Times New Roman"/>
          <w:szCs w:val="30"/>
        </w:rPr>
      </w:pPr>
      <w:bookmarkStart w:id="180" w:name="_Toc86611323"/>
      <w:bookmarkStart w:id="181" w:name="_Toc13113"/>
      <w:r>
        <w:rPr>
          <w:rFonts w:cs="Times New Roman"/>
          <w:szCs w:val="30"/>
        </w:rPr>
        <w:t>6.1 施工期污染防治措施及可行性论证</w:t>
      </w:r>
      <w:bookmarkEnd w:id="180"/>
      <w:bookmarkEnd w:id="181"/>
    </w:p>
    <w:p>
      <w:pPr>
        <w:autoSpaceDE w:val="0"/>
        <w:autoSpaceDN w:val="0"/>
        <w:adjustRightInd w:val="0"/>
        <w:ind w:firstLine="480"/>
        <w:rPr>
          <w:rFonts w:cs="Times New Roman"/>
          <w:kern w:val="0"/>
        </w:rPr>
      </w:pPr>
      <w:r>
        <w:rPr>
          <w:rFonts w:cs="Times New Roman"/>
          <w:kern w:val="0"/>
        </w:rPr>
        <w:t>由施工期环境影响因素和途径的分析可知，虽然施工期的环境影响基本上都是短期的、局部的，但若不采取有效的污染防治措施，仍会对周围环境造成一定的不利影响。因此，建设单位与施工单位须制定切实有效的施工期污染防治计划，采取相应的污染控制措施，尽量减小对周围环境的影响范围和程度。建设单位应在施工合同中明确有关内容，对施工单位提出具体要求，同时工程及环境监理单位和当地环境保护管理部门要对施工过程中的污染防治措施落实情况进行监督和指导，发现问题及时纠正，确保污染防治措施得到充分的落实。</w:t>
      </w:r>
    </w:p>
    <w:p>
      <w:pPr>
        <w:pStyle w:val="4"/>
        <w:adjustRightInd w:val="0"/>
        <w:snapToGrid w:val="0"/>
        <w:jc w:val="left"/>
        <w:rPr>
          <w:rFonts w:cs="Times New Roman"/>
          <w:szCs w:val="24"/>
        </w:rPr>
      </w:pPr>
      <w:bookmarkStart w:id="182" w:name="_Toc517522335"/>
      <w:bookmarkStart w:id="183" w:name="_Toc86611324"/>
      <w:r>
        <w:rPr>
          <w:rFonts w:cs="Times New Roman"/>
          <w:szCs w:val="24"/>
        </w:rPr>
        <w:t>6.1.1 大气污染防治措施</w:t>
      </w:r>
      <w:bookmarkEnd w:id="182"/>
      <w:bookmarkEnd w:id="183"/>
    </w:p>
    <w:p>
      <w:pPr>
        <w:autoSpaceDE w:val="0"/>
        <w:autoSpaceDN w:val="0"/>
        <w:adjustRightInd w:val="0"/>
        <w:ind w:firstLine="480"/>
        <w:rPr>
          <w:rFonts w:cs="Times New Roman"/>
          <w:kern w:val="0"/>
        </w:rPr>
      </w:pPr>
      <w:r>
        <w:rPr>
          <w:rFonts w:cs="Times New Roman"/>
          <w:kern w:val="0"/>
        </w:rPr>
        <w:t>项目施工扬尘对周围居民将产生一定不良影响。为使建设项目在施工期间对周围大气环境的影响降到最低程度，在施工过程中应严格遵守相关规定。施工单位已采取的防治措施有：</w:t>
      </w:r>
    </w:p>
    <w:p>
      <w:pPr>
        <w:autoSpaceDE w:val="0"/>
        <w:autoSpaceDN w:val="0"/>
        <w:adjustRightInd w:val="0"/>
        <w:ind w:firstLine="480"/>
        <w:rPr>
          <w:rFonts w:cs="Times New Roman"/>
          <w:kern w:val="0"/>
        </w:rPr>
      </w:pPr>
      <w:r>
        <w:rPr>
          <w:rFonts w:hint="eastAsia" w:ascii="宋体" w:hAnsi="宋体" w:cs="宋体"/>
          <w:kern w:val="0"/>
        </w:rPr>
        <w:t>①</w:t>
      </w:r>
      <w:r>
        <w:rPr>
          <w:rFonts w:cs="Times New Roman"/>
          <w:kern w:val="0"/>
        </w:rPr>
        <w:t>道路运输扬尘防治措施</w:t>
      </w:r>
    </w:p>
    <w:p>
      <w:pPr>
        <w:autoSpaceDE w:val="0"/>
        <w:autoSpaceDN w:val="0"/>
        <w:adjustRightInd w:val="0"/>
        <w:ind w:firstLine="480"/>
        <w:rPr>
          <w:rFonts w:cs="Times New Roman"/>
          <w:kern w:val="0"/>
        </w:rPr>
      </w:pPr>
      <w:r>
        <w:rPr>
          <w:rFonts w:cs="Times New Roman"/>
          <w:kern w:val="0"/>
        </w:rPr>
        <w:t>A、向有关行政主管部门申请运输路线，车辆应当按照批准的路线和时间进行土石方及其它粉质建筑材料的运输。</w:t>
      </w:r>
    </w:p>
    <w:p>
      <w:pPr>
        <w:autoSpaceDE w:val="0"/>
        <w:autoSpaceDN w:val="0"/>
        <w:adjustRightInd w:val="0"/>
        <w:ind w:firstLine="480"/>
        <w:rPr>
          <w:rFonts w:cs="Times New Roman"/>
          <w:kern w:val="0"/>
        </w:rPr>
      </w:pPr>
      <w:r>
        <w:rPr>
          <w:rFonts w:cs="Times New Roman"/>
          <w:kern w:val="0"/>
        </w:rPr>
        <w:t>B、运送建筑原料的车辆实行密闭运输，装载的物料、渣土高度不得超过车辆槽帮上沿，车斗用苫布遮盖或者采用密闭车斗，避免在运输过程中发生遗撒或泄漏。</w:t>
      </w:r>
    </w:p>
    <w:p>
      <w:pPr>
        <w:autoSpaceDE w:val="0"/>
        <w:autoSpaceDN w:val="0"/>
        <w:adjustRightInd w:val="0"/>
        <w:ind w:firstLine="480"/>
        <w:rPr>
          <w:rFonts w:cs="Times New Roman"/>
          <w:kern w:val="0"/>
        </w:rPr>
      </w:pPr>
      <w:r>
        <w:rPr>
          <w:rFonts w:cs="Times New Roman"/>
          <w:kern w:val="0"/>
        </w:rPr>
        <w:t>C、运输车辆的载重等按照《城市道路管理条例》有关规定，防止超载，防止路面破损引起运输过程颠簸遗撒。</w:t>
      </w:r>
    </w:p>
    <w:p>
      <w:pPr>
        <w:autoSpaceDE w:val="0"/>
        <w:autoSpaceDN w:val="0"/>
        <w:adjustRightInd w:val="0"/>
        <w:ind w:firstLine="480"/>
        <w:rPr>
          <w:rFonts w:cs="Times New Roman"/>
          <w:kern w:val="0"/>
        </w:rPr>
      </w:pPr>
      <w:r>
        <w:rPr>
          <w:rFonts w:cs="Times New Roman"/>
          <w:kern w:val="0"/>
        </w:rPr>
        <w:t>D、运输车辆在施工场地的出入口内侧设置洗车平台及隔油沉淀池，车辆驶离工地前，在洗车平台冲洗轮胎及车身，其表面不得附着污泥。</w:t>
      </w:r>
    </w:p>
    <w:p>
      <w:pPr>
        <w:ind w:firstLine="480"/>
        <w:rPr>
          <w:rFonts w:cs="Times New Roman"/>
          <w:kern w:val="0"/>
        </w:rPr>
      </w:pPr>
      <w:r>
        <w:rPr>
          <w:rFonts w:hint="eastAsia" w:ascii="宋体" w:hAnsi="宋体" w:cs="宋体"/>
          <w:kern w:val="0"/>
        </w:rPr>
        <w:t>②</w:t>
      </w:r>
      <w:r>
        <w:rPr>
          <w:rFonts w:cs="Times New Roman"/>
          <w:kern w:val="0"/>
        </w:rPr>
        <w:t>施工场内施工扬尘防治措施。</w:t>
      </w:r>
    </w:p>
    <w:p>
      <w:pPr>
        <w:ind w:firstLine="480"/>
        <w:rPr>
          <w:rFonts w:cs="Times New Roman"/>
          <w:kern w:val="0"/>
        </w:rPr>
      </w:pPr>
      <w:r>
        <w:rPr>
          <w:rFonts w:cs="Times New Roman"/>
          <w:kern w:val="0"/>
        </w:rPr>
        <w:t>A、在施工现场周边按照规定设置围档设施，对施工区域实行封闭；对堆土等易产生扬尘污染的建筑材料采取洒水、喷淋、覆盖、隔离等有效防尘措施。</w:t>
      </w:r>
    </w:p>
    <w:p>
      <w:pPr>
        <w:ind w:firstLine="480"/>
        <w:rPr>
          <w:rFonts w:cs="Times New Roman"/>
          <w:kern w:val="0"/>
        </w:rPr>
      </w:pPr>
      <w:r>
        <w:rPr>
          <w:rFonts w:cs="Times New Roman"/>
          <w:kern w:val="0"/>
        </w:rPr>
        <w:t>B、对于施工便道等裸露施工区地表压实处理，并指定专人定期喷水，使其保持一定的湿度，防止扬尘。</w:t>
      </w:r>
    </w:p>
    <w:p>
      <w:pPr>
        <w:ind w:firstLine="480"/>
        <w:rPr>
          <w:rFonts w:cs="Times New Roman"/>
          <w:kern w:val="0"/>
        </w:rPr>
      </w:pPr>
      <w:r>
        <w:rPr>
          <w:rFonts w:cs="Times New Roman"/>
          <w:kern w:val="0"/>
        </w:rPr>
        <w:t>C、天气预报4级风以上天气应停止产生扬尘的施工作业，例如土方工程、粉状建筑材料的相关作业。</w:t>
      </w:r>
    </w:p>
    <w:p>
      <w:pPr>
        <w:ind w:firstLine="480"/>
        <w:rPr>
          <w:rFonts w:cs="Times New Roman"/>
          <w:kern w:val="0"/>
        </w:rPr>
      </w:pPr>
      <w:r>
        <w:rPr>
          <w:rFonts w:cs="Times New Roman"/>
          <w:kern w:val="0"/>
        </w:rPr>
        <w:t>D、合理安排工期，尽可能地加快施工进度，减少施工时间，并建议施工单位采取逐片施工方式，避免大面积地表长时间裸露产生的扬尘。</w:t>
      </w:r>
    </w:p>
    <w:p>
      <w:pPr>
        <w:ind w:firstLine="480"/>
        <w:rPr>
          <w:rFonts w:cs="Times New Roman"/>
          <w:kern w:val="0"/>
        </w:rPr>
      </w:pPr>
      <w:r>
        <w:rPr>
          <w:rFonts w:hint="eastAsia" w:ascii="宋体" w:hAnsi="宋体" w:cs="宋体"/>
          <w:kern w:val="0"/>
        </w:rPr>
        <w:t>③</w:t>
      </w:r>
      <w:r>
        <w:rPr>
          <w:rFonts w:cs="Times New Roman"/>
          <w:kern w:val="0"/>
        </w:rPr>
        <w:t>堆场扬尘防治措施</w:t>
      </w:r>
    </w:p>
    <w:p>
      <w:pPr>
        <w:ind w:firstLine="480"/>
        <w:rPr>
          <w:rFonts w:cs="Times New Roman"/>
          <w:kern w:val="0"/>
        </w:rPr>
      </w:pPr>
      <w:r>
        <w:rPr>
          <w:rFonts w:cs="Times New Roman"/>
          <w:kern w:val="0"/>
        </w:rPr>
        <w:t>A、临时弃渣堆场需设置高于废弃物堆的围挡、防风网、挡风屏。</w:t>
      </w:r>
    </w:p>
    <w:p>
      <w:pPr>
        <w:ind w:firstLine="480"/>
        <w:rPr>
          <w:rFonts w:cs="Times New Roman"/>
          <w:kern w:val="0"/>
        </w:rPr>
      </w:pPr>
      <w:r>
        <w:rPr>
          <w:rFonts w:cs="Times New Roman"/>
          <w:kern w:val="0"/>
        </w:rPr>
        <w:t>B、对于散装粉状建筑材料利用仓库、封闭堆场、储藏罐等形式，避免作业起尘和风蚀起尘。</w:t>
      </w:r>
    </w:p>
    <w:p>
      <w:pPr>
        <w:ind w:firstLine="480"/>
        <w:rPr>
          <w:rFonts w:cs="Times New Roman"/>
          <w:kern w:val="0"/>
        </w:rPr>
      </w:pPr>
      <w:r>
        <w:rPr>
          <w:rFonts w:cs="Times New Roman"/>
          <w:kern w:val="0"/>
        </w:rPr>
        <w:t>C、若在工地内露天堆置砂石，则应采取覆盖防尘布、覆盖防尘网等措施，必要时进行喷淋，防止风蚀起尘。</w:t>
      </w:r>
    </w:p>
    <w:p>
      <w:pPr>
        <w:ind w:firstLine="480"/>
        <w:rPr>
          <w:rFonts w:cs="Times New Roman"/>
          <w:kern w:val="0"/>
        </w:rPr>
      </w:pPr>
      <w:r>
        <w:rPr>
          <w:rFonts w:cs="Times New Roman"/>
          <w:kern w:val="0"/>
        </w:rPr>
        <w:t>D、采用商品混凝土，避免现场搅拌混凝土产生的废气与粉尘，并减少建筑材料堆存量及扬尘的产生。</w:t>
      </w:r>
    </w:p>
    <w:p>
      <w:pPr>
        <w:ind w:firstLine="480"/>
        <w:rPr>
          <w:rFonts w:cs="Times New Roman"/>
          <w:kern w:val="0"/>
        </w:rPr>
      </w:pPr>
      <w:r>
        <w:rPr>
          <w:rFonts w:hint="eastAsia" w:ascii="宋体" w:hAnsi="宋体" w:cs="宋体"/>
          <w:kern w:val="0"/>
        </w:rPr>
        <w:t>④</w:t>
      </w:r>
      <w:r>
        <w:rPr>
          <w:rFonts w:cs="Times New Roman"/>
          <w:kern w:val="0"/>
        </w:rPr>
        <w:t>施工过程中，应严禁将废弃的建筑材料作为燃料燃烧。</w:t>
      </w:r>
    </w:p>
    <w:p>
      <w:pPr>
        <w:ind w:firstLine="480"/>
        <w:rPr>
          <w:rFonts w:cs="Times New Roman"/>
          <w:kern w:val="0"/>
        </w:rPr>
      </w:pPr>
      <w:r>
        <w:rPr>
          <w:rFonts w:hint="eastAsia" w:ascii="宋体" w:hAnsi="宋体" w:cs="宋体"/>
          <w:kern w:val="0"/>
        </w:rPr>
        <w:t>⑤</w:t>
      </w:r>
      <w:r>
        <w:rPr>
          <w:rFonts w:cs="Times New Roman"/>
          <w:kern w:val="0"/>
        </w:rPr>
        <w:t>项目应进行严格的施工布置，合理安排工作时间，明确施工路线，安排专人负责逸散性材料、垃圾、渣土、裸地等密闭、覆盖、洒水作业等工作，并记录扬尘控制措施。</w:t>
      </w:r>
    </w:p>
    <w:p>
      <w:pPr>
        <w:ind w:firstLine="480"/>
        <w:rPr>
          <w:rFonts w:cs="Times New Roman"/>
          <w:kern w:val="0"/>
        </w:rPr>
      </w:pPr>
      <w:r>
        <w:rPr>
          <w:rFonts w:hint="eastAsia" w:ascii="宋体" w:hAnsi="宋体" w:cs="宋体"/>
          <w:kern w:val="0"/>
        </w:rPr>
        <w:t>⑥</w:t>
      </w:r>
      <w:r>
        <w:rPr>
          <w:rFonts w:cs="Times New Roman"/>
          <w:kern w:val="0"/>
        </w:rPr>
        <w:t>施工结束后，应及时对施工占用场地恢复地面道路及植被。</w:t>
      </w:r>
    </w:p>
    <w:p>
      <w:pPr>
        <w:pStyle w:val="4"/>
        <w:adjustRightInd w:val="0"/>
        <w:snapToGrid w:val="0"/>
        <w:jc w:val="left"/>
        <w:rPr>
          <w:rFonts w:cs="Times New Roman"/>
          <w:szCs w:val="24"/>
        </w:rPr>
      </w:pPr>
      <w:bookmarkStart w:id="184" w:name="_Toc517522336"/>
      <w:bookmarkStart w:id="185" w:name="_Toc86611325"/>
      <w:r>
        <w:rPr>
          <w:rFonts w:cs="Times New Roman"/>
          <w:szCs w:val="24"/>
        </w:rPr>
        <w:t>6.1.2 水污染防治措施</w:t>
      </w:r>
      <w:bookmarkEnd w:id="184"/>
      <w:bookmarkEnd w:id="185"/>
    </w:p>
    <w:p>
      <w:pPr>
        <w:autoSpaceDE w:val="0"/>
        <w:autoSpaceDN w:val="0"/>
        <w:adjustRightInd w:val="0"/>
        <w:ind w:firstLine="480"/>
        <w:rPr>
          <w:rFonts w:cs="Times New Roman"/>
          <w:kern w:val="0"/>
        </w:rPr>
      </w:pPr>
      <w:r>
        <w:rPr>
          <w:rFonts w:cs="Times New Roman"/>
          <w:kern w:val="0"/>
        </w:rPr>
        <w:t>施工期废水包括施工人员的生活污水和施工废水（泥浆水、基坑开挖排水、混凝土养护水、施工设备清洗及进出车辆冲洗废水），施工废水污染治理措施如下：</w:t>
      </w:r>
    </w:p>
    <w:p>
      <w:pPr>
        <w:autoSpaceDE w:val="0"/>
        <w:autoSpaceDN w:val="0"/>
        <w:adjustRightInd w:val="0"/>
        <w:ind w:firstLine="480"/>
        <w:rPr>
          <w:rFonts w:cs="Times New Roman"/>
          <w:kern w:val="0"/>
        </w:rPr>
      </w:pPr>
      <w:r>
        <w:rPr>
          <w:rFonts w:cs="Times New Roman"/>
          <w:kern w:val="0"/>
        </w:rPr>
        <w:t>（1）设置一座环保旱厕，施工结束后清掏并卫生填埋。施工人员产生的生活污水统一收集沉淀处理后回用，不外排。</w:t>
      </w:r>
    </w:p>
    <w:p>
      <w:pPr>
        <w:autoSpaceDE w:val="0"/>
        <w:autoSpaceDN w:val="0"/>
        <w:adjustRightInd w:val="0"/>
        <w:ind w:firstLine="480"/>
        <w:rPr>
          <w:rFonts w:cs="Times New Roman"/>
          <w:kern w:val="0"/>
        </w:rPr>
      </w:pPr>
      <w:r>
        <w:rPr>
          <w:rFonts w:cs="Times New Roman"/>
          <w:kern w:val="0"/>
        </w:rPr>
        <w:t>（2）水泥、黄沙类的建筑材料需集中堆放，四周必须开挖明沟和沉沙井，必要时还要设置阻隔挡墙，防止暴雨径流引起水体污染。及时清扫施工运输过程中抛射的建筑材料，物料堆场。</w:t>
      </w:r>
    </w:p>
    <w:p>
      <w:pPr>
        <w:autoSpaceDE w:val="0"/>
        <w:autoSpaceDN w:val="0"/>
        <w:adjustRightInd w:val="0"/>
        <w:ind w:firstLine="480"/>
        <w:rPr>
          <w:rFonts w:cs="Times New Roman"/>
          <w:kern w:val="0"/>
        </w:rPr>
      </w:pPr>
      <w:r>
        <w:rPr>
          <w:rFonts w:cs="Times New Roman"/>
          <w:kern w:val="0"/>
        </w:rPr>
        <w:t>（3）建设单位严禁任何废水未经处理随意排放，施工泥浆水须经沉淀池沉淀后全部回用；污水沉淀时间应大于2小时，因此须在工地施工出口处，设置一个30m</w:t>
      </w:r>
      <w:r>
        <w:rPr>
          <w:rFonts w:cs="Times New Roman"/>
          <w:kern w:val="0"/>
          <w:vertAlign w:val="superscript"/>
        </w:rPr>
        <w:t>3</w:t>
      </w:r>
      <w:r>
        <w:rPr>
          <w:rFonts w:cs="Times New Roman"/>
          <w:kern w:val="0"/>
        </w:rPr>
        <w:t>的施工期车辆清洗设施和沉淀池，以收集施工污水，清洗废水经沉淀池澄清后循环使用于生产或者路面养护，本项目设2个贮水池，污水产生量较多如不能及时回用时可进入贮水池暂时贮存，施工废水不外排。</w:t>
      </w:r>
    </w:p>
    <w:p>
      <w:pPr>
        <w:autoSpaceDE w:val="0"/>
        <w:autoSpaceDN w:val="0"/>
        <w:adjustRightInd w:val="0"/>
        <w:ind w:firstLine="480"/>
        <w:rPr>
          <w:rFonts w:cs="Times New Roman"/>
          <w:kern w:val="0"/>
        </w:rPr>
      </w:pPr>
      <w:r>
        <w:rPr>
          <w:rFonts w:cs="Times New Roman"/>
          <w:kern w:val="0"/>
        </w:rPr>
        <w:t>（4）在施工工地周界应设置排水明沟，场地冲洗废水和施工场地初期雨水，经隔油沉淀处理后用于生产或者路面养护。</w:t>
      </w:r>
    </w:p>
    <w:p>
      <w:pPr>
        <w:autoSpaceDE w:val="0"/>
        <w:autoSpaceDN w:val="0"/>
        <w:adjustRightInd w:val="0"/>
        <w:ind w:firstLine="480"/>
        <w:rPr>
          <w:rFonts w:cs="Times New Roman"/>
          <w:kern w:val="0"/>
        </w:rPr>
      </w:pPr>
      <w:r>
        <w:rPr>
          <w:rFonts w:cs="Times New Roman"/>
          <w:kern w:val="0"/>
        </w:rPr>
        <w:t>（5）为了减少养护废水对水环境的影响，在养护洒水过程中，采取少量多次，确保路面湿润而水不流到环境中。</w:t>
      </w:r>
    </w:p>
    <w:p>
      <w:pPr>
        <w:autoSpaceDE w:val="0"/>
        <w:autoSpaceDN w:val="0"/>
        <w:adjustRightInd w:val="0"/>
        <w:ind w:firstLine="480"/>
        <w:rPr>
          <w:rFonts w:cs="Times New Roman"/>
          <w:kern w:val="0"/>
        </w:rPr>
      </w:pPr>
      <w:r>
        <w:rPr>
          <w:rFonts w:cs="Times New Roman"/>
          <w:kern w:val="0"/>
        </w:rPr>
        <w:t>（6）在施工过程中应加强对机械设备的检修，防止设备漏油现象的发生。施工机械设备的维修应在专业厂家进行，防止施工现场地表油类污染;定时清洁建筑施工机械表面不必要的润滑油及其它油污，尽量减小建筑施工机械设备与水体的直接接触。</w:t>
      </w:r>
    </w:p>
    <w:p>
      <w:pPr>
        <w:autoSpaceDE w:val="0"/>
        <w:autoSpaceDN w:val="0"/>
        <w:adjustRightInd w:val="0"/>
        <w:ind w:firstLine="480"/>
        <w:rPr>
          <w:rFonts w:cs="Times New Roman"/>
          <w:kern w:val="0"/>
        </w:rPr>
      </w:pPr>
      <w:r>
        <w:rPr>
          <w:rFonts w:cs="Times New Roman"/>
          <w:kern w:val="0"/>
        </w:rPr>
        <w:t>（7）建筑材料运输及堆放过程必须严格按照</w:t>
      </w:r>
      <w:r>
        <w:rPr>
          <w:rFonts w:hint="eastAsia" w:cs="Times New Roman"/>
          <w:kern w:val="0"/>
        </w:rPr>
        <w:t>交通运输部</w:t>
      </w:r>
      <w:bookmarkStart w:id="285" w:name="_GoBack"/>
      <w:bookmarkEnd w:id="285"/>
      <w:r>
        <w:rPr>
          <w:rFonts w:cs="Times New Roman"/>
          <w:kern w:val="0"/>
        </w:rPr>
        <w:t>有关规范规定，在施工中应根据不同建筑材料的特点，有针对性的加强保护管理措施，禁止废物和有毒物质进入水体。</w:t>
      </w:r>
    </w:p>
    <w:p>
      <w:pPr>
        <w:autoSpaceDE w:val="0"/>
        <w:autoSpaceDN w:val="0"/>
        <w:adjustRightInd w:val="0"/>
        <w:ind w:firstLine="480"/>
        <w:rPr>
          <w:rFonts w:cs="Times New Roman"/>
          <w:kern w:val="0"/>
        </w:rPr>
      </w:pPr>
      <w:r>
        <w:rPr>
          <w:rFonts w:cs="Times New Roman"/>
          <w:kern w:val="0"/>
        </w:rPr>
        <w:t>（8）土方随挖随填，随铺随压，以减少水土流失。</w:t>
      </w:r>
    </w:p>
    <w:p>
      <w:pPr>
        <w:pStyle w:val="4"/>
        <w:adjustRightInd w:val="0"/>
        <w:snapToGrid w:val="0"/>
        <w:jc w:val="left"/>
        <w:rPr>
          <w:rFonts w:cs="Times New Roman"/>
          <w:szCs w:val="24"/>
        </w:rPr>
      </w:pPr>
      <w:bookmarkStart w:id="186" w:name="_Toc86611326"/>
      <w:bookmarkStart w:id="187" w:name="_Toc517522337"/>
      <w:r>
        <w:rPr>
          <w:rFonts w:cs="Times New Roman"/>
          <w:szCs w:val="24"/>
        </w:rPr>
        <w:t>6.1.3 噪声防治措施</w:t>
      </w:r>
      <w:bookmarkEnd w:id="186"/>
      <w:bookmarkEnd w:id="187"/>
    </w:p>
    <w:p>
      <w:pPr>
        <w:ind w:firstLine="480"/>
        <w:rPr>
          <w:rFonts w:cs="Times New Roman"/>
        </w:rPr>
      </w:pPr>
      <w:r>
        <w:rPr>
          <w:rFonts w:cs="Times New Roman"/>
        </w:rPr>
        <w:t xml:space="preserve">  施工期的噪声主要可分为机械噪声、施工作业噪声和施工车辆噪声等，可分别采取相应的控制措施，防止噪声影响周围环境和人们的正常生活，评价建议：</w:t>
      </w:r>
    </w:p>
    <w:p>
      <w:pPr>
        <w:ind w:firstLine="480"/>
        <w:rPr>
          <w:rFonts w:cs="Times New Roman"/>
        </w:rPr>
      </w:pPr>
      <w:r>
        <w:rPr>
          <w:rFonts w:cs="Times New Roman"/>
        </w:rPr>
        <w:t>（1）使用低噪声机械设备，同时在施工过程中施工单位应设专人对设备进行定期保养和维护，并负责对现场工作人员进行培训，严格按操作规范使用各类机械。</w:t>
      </w:r>
    </w:p>
    <w:p>
      <w:pPr>
        <w:ind w:firstLine="480"/>
        <w:rPr>
          <w:rFonts w:cs="Times New Roman"/>
        </w:rPr>
      </w:pPr>
      <w:r>
        <w:rPr>
          <w:rFonts w:cs="Times New Roman"/>
        </w:rPr>
        <w:t>（2）对高噪声的施工机械要采取一定的减震、隔音等降噪措施，定期检查施工设备，一发现产生的噪声增加应及时维修或更换。</w:t>
      </w:r>
    </w:p>
    <w:p>
      <w:pPr>
        <w:ind w:firstLine="480"/>
        <w:rPr>
          <w:rFonts w:cs="Times New Roman"/>
        </w:rPr>
      </w:pPr>
      <w:r>
        <w:rPr>
          <w:rFonts w:cs="Times New Roman"/>
        </w:rPr>
        <w:t>（3）合理安排施工计划和施工机械设备组合以及施工时间，避免在同一时间集中使用大量的动力机械设备。</w:t>
      </w:r>
    </w:p>
    <w:p>
      <w:pPr>
        <w:ind w:firstLine="480"/>
        <w:rPr>
          <w:rFonts w:cs="Times New Roman"/>
        </w:rPr>
      </w:pPr>
      <w:r>
        <w:rPr>
          <w:rFonts w:cs="Times New Roman"/>
        </w:rPr>
        <w:t>（4）对施工进行合理布局，尽量使高噪声的机械设备远离环境敏感点。</w:t>
      </w:r>
    </w:p>
    <w:p>
      <w:pPr>
        <w:ind w:firstLine="480"/>
        <w:rPr>
          <w:rFonts w:cs="Times New Roman"/>
        </w:rPr>
      </w:pPr>
      <w:r>
        <w:rPr>
          <w:rFonts w:cs="Times New Roman"/>
        </w:rPr>
        <w:t>（5）在施工场地周围有敏感点的地方设立临时声屏障，在高噪声的机械设备旁建立独立声屏障，以减轻没备噪声对周围环境的影响。</w:t>
      </w:r>
    </w:p>
    <w:p>
      <w:pPr>
        <w:ind w:firstLine="480"/>
        <w:rPr>
          <w:rFonts w:cs="Times New Roman"/>
        </w:rPr>
      </w:pPr>
      <w:r>
        <w:rPr>
          <w:rFonts w:cs="Times New Roman"/>
        </w:rPr>
        <w:t>（6）车辆出入现场时应低速、禁鸣。</w:t>
      </w:r>
    </w:p>
    <w:p>
      <w:pPr>
        <w:ind w:firstLine="480"/>
        <w:rPr>
          <w:rFonts w:cs="Times New Roman"/>
        </w:rPr>
      </w:pPr>
      <w:r>
        <w:rPr>
          <w:rFonts w:cs="Times New Roman"/>
        </w:rPr>
        <w:t>（7）建设管理部门加强对施工场地的噪声管理，施工企业也应对施工噪声进行自律，文明施工，避免因施工噪声产生纠纷。</w:t>
      </w:r>
    </w:p>
    <w:p>
      <w:pPr>
        <w:pStyle w:val="4"/>
        <w:adjustRightInd w:val="0"/>
        <w:snapToGrid w:val="0"/>
        <w:jc w:val="left"/>
        <w:rPr>
          <w:rFonts w:cs="Times New Roman"/>
          <w:szCs w:val="24"/>
        </w:rPr>
      </w:pPr>
      <w:bookmarkStart w:id="188" w:name="_Toc86611327"/>
      <w:bookmarkStart w:id="189" w:name="_Toc517522338"/>
      <w:r>
        <w:rPr>
          <w:rFonts w:cs="Times New Roman"/>
          <w:szCs w:val="24"/>
        </w:rPr>
        <w:t>6.1.4 固体废弃物处置</w:t>
      </w:r>
      <w:bookmarkEnd w:id="188"/>
      <w:bookmarkEnd w:id="189"/>
    </w:p>
    <w:p>
      <w:pPr>
        <w:autoSpaceDE w:val="0"/>
        <w:autoSpaceDN w:val="0"/>
        <w:adjustRightInd w:val="0"/>
        <w:ind w:firstLine="480"/>
        <w:rPr>
          <w:rFonts w:cs="Times New Roman"/>
        </w:rPr>
      </w:pPr>
      <w:r>
        <w:rPr>
          <w:rFonts w:cs="Times New Roman"/>
        </w:rPr>
        <w:t>针对施工期的固体废物，需采取以下措施：</w:t>
      </w:r>
    </w:p>
    <w:p>
      <w:pPr>
        <w:autoSpaceDE w:val="0"/>
        <w:autoSpaceDN w:val="0"/>
        <w:adjustRightInd w:val="0"/>
        <w:ind w:firstLine="480"/>
        <w:rPr>
          <w:rFonts w:cs="Times New Roman"/>
        </w:rPr>
      </w:pPr>
      <w:r>
        <w:rPr>
          <w:rFonts w:cs="Times New Roman"/>
        </w:rPr>
        <w:t>（1）需合理安排施工方案，尽量做到土方的填挖平衡，减少弃土的产生量。</w:t>
      </w:r>
    </w:p>
    <w:p>
      <w:pPr>
        <w:autoSpaceDE w:val="0"/>
        <w:autoSpaceDN w:val="0"/>
        <w:adjustRightInd w:val="0"/>
        <w:ind w:firstLine="480"/>
        <w:rPr>
          <w:rFonts w:cs="Times New Roman"/>
        </w:rPr>
      </w:pPr>
      <w:r>
        <w:rPr>
          <w:rFonts w:cs="Times New Roman"/>
        </w:rPr>
        <w:t>（2）该项目建设施工期间将产生一定量的建筑垃圾，其中能回收利用的建筑材料（如钢筋和木材），全部外售给废品回收公司。不能回收的建筑垃圾由当地城管部门指定地方消纳填埋。建议集中垃圾堆场采用四周挖明沟等方式，防止因暴雨冲刷而进入水体。</w:t>
      </w:r>
    </w:p>
    <w:p>
      <w:pPr>
        <w:autoSpaceDE w:val="0"/>
        <w:autoSpaceDN w:val="0"/>
        <w:adjustRightInd w:val="0"/>
        <w:ind w:firstLine="480"/>
        <w:rPr>
          <w:rFonts w:cs="Times New Roman"/>
          <w:kern w:val="0"/>
        </w:rPr>
      </w:pPr>
      <w:r>
        <w:rPr>
          <w:rFonts w:cs="Times New Roman"/>
        </w:rPr>
        <w:t>（3）施工单位加强管理，在施工场地内设临时垃圾箱，由专人收集工地内产生的生活垃圾，并统一由环卫部门及时清运</w:t>
      </w:r>
      <w:r>
        <w:rPr>
          <w:rFonts w:cs="Times New Roman"/>
          <w:kern w:val="0"/>
        </w:rPr>
        <w:t>。</w:t>
      </w:r>
    </w:p>
    <w:p>
      <w:pPr>
        <w:autoSpaceDE w:val="0"/>
        <w:autoSpaceDN w:val="0"/>
        <w:adjustRightInd w:val="0"/>
        <w:ind w:firstLine="480"/>
        <w:rPr>
          <w:rFonts w:cs="Times New Roman"/>
          <w:kern w:val="0"/>
        </w:rPr>
      </w:pPr>
      <w:r>
        <w:rPr>
          <w:rFonts w:cs="Times New Roman"/>
          <w:kern w:val="0"/>
        </w:rPr>
        <w:t>（4）不得占用道路堆放建筑垃圾、工程渣土。</w:t>
      </w:r>
    </w:p>
    <w:p>
      <w:pPr>
        <w:autoSpaceDE w:val="0"/>
        <w:autoSpaceDN w:val="0"/>
        <w:adjustRightInd w:val="0"/>
        <w:ind w:firstLine="480"/>
        <w:rPr>
          <w:rFonts w:cs="Times New Roman"/>
          <w:kern w:val="0"/>
        </w:rPr>
      </w:pPr>
      <w:r>
        <w:rPr>
          <w:rFonts w:cs="Times New Roman"/>
          <w:kern w:val="0"/>
        </w:rPr>
        <w:t>（5）车辆运输散体物和废弃物时，须用封闭式渣土运输车将建筑垃圾及时清运,不能随意抛弃、转移和扩散，更不能向周围环境转移，及时将固废运到指定地点（如垃圾填埋场、铺路基等）妥善处置，严防制造新的“垃圾堆场”，对周围环境造成二次污染。运载土方的车辆必须在规定的时间内，按指定路段行驶。</w:t>
      </w:r>
    </w:p>
    <w:p>
      <w:pPr>
        <w:pStyle w:val="4"/>
        <w:tabs>
          <w:tab w:val="left" w:pos="567"/>
        </w:tabs>
        <w:adjustRightInd w:val="0"/>
        <w:snapToGrid w:val="0"/>
        <w:jc w:val="left"/>
        <w:rPr>
          <w:rFonts w:cs="Times New Roman"/>
          <w:szCs w:val="24"/>
        </w:rPr>
      </w:pPr>
      <w:bookmarkStart w:id="190" w:name="_Toc517522339"/>
      <w:bookmarkStart w:id="191" w:name="_Toc86611328"/>
      <w:r>
        <w:rPr>
          <w:rFonts w:cs="Times New Roman"/>
          <w:szCs w:val="24"/>
        </w:rPr>
        <w:t>6.1.5 生态保护措施</w:t>
      </w:r>
      <w:bookmarkEnd w:id="190"/>
      <w:bookmarkEnd w:id="191"/>
    </w:p>
    <w:p>
      <w:pPr>
        <w:autoSpaceDE w:val="0"/>
        <w:autoSpaceDN w:val="0"/>
        <w:adjustRightInd w:val="0"/>
        <w:ind w:firstLine="480"/>
        <w:rPr>
          <w:rFonts w:cs="Times New Roman"/>
          <w:kern w:val="0"/>
        </w:rPr>
      </w:pPr>
      <w:r>
        <w:rPr>
          <w:rFonts w:cs="Times New Roman"/>
          <w:kern w:val="0"/>
        </w:rPr>
        <w:t>在施工期间应采取生态环境保护措施，以利于项目建成后的生态环境恢复和建设：</w:t>
      </w:r>
    </w:p>
    <w:p>
      <w:pPr>
        <w:autoSpaceDE w:val="0"/>
        <w:autoSpaceDN w:val="0"/>
        <w:adjustRightInd w:val="0"/>
        <w:ind w:firstLine="480"/>
        <w:rPr>
          <w:rFonts w:cs="Times New Roman"/>
          <w:kern w:val="0"/>
        </w:rPr>
      </w:pPr>
      <w:r>
        <w:rPr>
          <w:rFonts w:cs="Times New Roman"/>
          <w:kern w:val="0"/>
        </w:rPr>
        <w:t>1、施工期间项目开发区域的大部分植被将会消失，但应尽量结合绿地建设争取保留项目边缘地带的植被，因为这些物种是适合当地生长条件的乡土植物，是当地植被建设的基础。施工期间尽量保留这些植物群落和物种，并适当地对其进行改造，是改善区域生态环境的良好途径，既可节省复绿开支，也可减少物种的生态入侵及绿地与当地景观不协调的问题。</w:t>
      </w:r>
    </w:p>
    <w:p>
      <w:pPr>
        <w:autoSpaceDE w:val="0"/>
        <w:autoSpaceDN w:val="0"/>
        <w:adjustRightInd w:val="0"/>
        <w:ind w:firstLine="480"/>
        <w:rPr>
          <w:rFonts w:cs="Times New Roman"/>
          <w:kern w:val="0"/>
        </w:rPr>
      </w:pPr>
      <w:r>
        <w:rPr>
          <w:rFonts w:cs="Times New Roman"/>
          <w:kern w:val="0"/>
        </w:rPr>
        <w:t>2、水土保持工作应坚持及时、多样、因地制宜、长短期相结合以及总体和局部结合的原则。结合本建设区域的具体情况在施工中可以采取以下对策：</w:t>
      </w:r>
    </w:p>
    <w:p>
      <w:pPr>
        <w:autoSpaceDE w:val="0"/>
        <w:autoSpaceDN w:val="0"/>
        <w:adjustRightInd w:val="0"/>
        <w:ind w:firstLine="480"/>
        <w:rPr>
          <w:rFonts w:cs="Times New Roman"/>
          <w:kern w:val="0"/>
        </w:rPr>
      </w:pPr>
      <w:r>
        <w:rPr>
          <w:rFonts w:hint="eastAsia" w:ascii="宋体" w:hAnsi="宋体" w:cs="宋体"/>
          <w:kern w:val="0"/>
        </w:rPr>
        <w:t>①</w:t>
      </w:r>
      <w:r>
        <w:rPr>
          <w:rFonts w:cs="Times New Roman"/>
          <w:kern w:val="0"/>
        </w:rPr>
        <w:t>建设单位在动工前应在必要地段完成拦土堤及护坡垒砌工程，在整体上形成完整的档土墙体系。同时，开边沟，边坡要用石块铺砌，填土场的上游要设置导流沟，防止上游的径流冲刷填土场。</w:t>
      </w:r>
    </w:p>
    <w:p>
      <w:pPr>
        <w:autoSpaceDE w:val="0"/>
        <w:autoSpaceDN w:val="0"/>
        <w:adjustRightInd w:val="0"/>
        <w:ind w:firstLine="480"/>
        <w:rPr>
          <w:rFonts w:cs="Times New Roman"/>
          <w:kern w:val="0"/>
        </w:rPr>
      </w:pPr>
      <w:r>
        <w:rPr>
          <w:rFonts w:hint="eastAsia" w:ascii="宋体" w:hAnsi="宋体" w:cs="宋体"/>
          <w:kern w:val="0"/>
        </w:rPr>
        <w:t>②</w:t>
      </w:r>
      <w:r>
        <w:rPr>
          <w:rFonts w:cs="Times New Roman"/>
          <w:kern w:val="0"/>
        </w:rPr>
        <w:t>开发区周围设置防洪墙或淤泥幕，防止对水体的淤积影响。</w:t>
      </w:r>
    </w:p>
    <w:p>
      <w:pPr>
        <w:autoSpaceDE w:val="0"/>
        <w:autoSpaceDN w:val="0"/>
        <w:adjustRightInd w:val="0"/>
        <w:ind w:firstLine="480"/>
        <w:rPr>
          <w:rFonts w:cs="Times New Roman"/>
          <w:kern w:val="0"/>
        </w:rPr>
      </w:pPr>
      <w:r>
        <w:rPr>
          <w:rFonts w:hint="eastAsia" w:ascii="宋体" w:hAnsi="宋体" w:cs="宋体"/>
          <w:kern w:val="0"/>
        </w:rPr>
        <w:t>③</w:t>
      </w:r>
      <w:r>
        <w:rPr>
          <w:rFonts w:cs="Times New Roman"/>
          <w:kern w:val="0"/>
        </w:rPr>
        <w:t>在推挖填土工程完成后，工地往往还要裸露一段时间才能完成建设或重新绿化，这就要及时在地面的径流汇集线上设置缓流泥砂阻隔带。阻隔带可以采用透水的高强PVC编织带，用角铁或木桩将编织袋固置于与汇流线相切的方向上，带高一般为50cm就已足够，带长可以视地形决定，一般为数米至数十米不等，可以有效地阻止泥沙随径流的初始流动，控制住施工期的水土流失。</w:t>
      </w:r>
    </w:p>
    <w:p>
      <w:pPr>
        <w:autoSpaceDE w:val="0"/>
        <w:autoSpaceDN w:val="0"/>
        <w:adjustRightInd w:val="0"/>
        <w:ind w:firstLine="480"/>
        <w:rPr>
          <w:rFonts w:cs="Times New Roman"/>
          <w:kern w:val="0"/>
        </w:rPr>
      </w:pPr>
      <w:r>
        <w:rPr>
          <w:rFonts w:hint="eastAsia" w:ascii="宋体" w:hAnsi="宋体" w:cs="宋体"/>
          <w:kern w:val="0"/>
        </w:rPr>
        <w:t>④</w:t>
      </w:r>
      <w:r>
        <w:rPr>
          <w:rFonts w:cs="Times New Roman"/>
          <w:kern w:val="0"/>
        </w:rPr>
        <w:t>在施工中，要合理安排施工计划、施工程序，协调好各个施工步骤，土方填挖应尽量集中和避开暴雨期，并争取土料随挖随运、随填随压，减少堆土裸土的暴露时间，以避免受降雨的直接冲刷。在暴雨期，还应采取应急措施，尽量用覆盖物覆盖新开挖的陡坡，防止冲刷和崩塌。</w:t>
      </w:r>
    </w:p>
    <w:p>
      <w:pPr>
        <w:autoSpaceDE w:val="0"/>
        <w:autoSpaceDN w:val="0"/>
        <w:adjustRightInd w:val="0"/>
        <w:ind w:firstLine="480"/>
        <w:rPr>
          <w:rFonts w:cs="Times New Roman"/>
          <w:kern w:val="0"/>
        </w:rPr>
      </w:pPr>
      <w:r>
        <w:rPr>
          <w:rFonts w:hint="eastAsia" w:ascii="宋体" w:hAnsi="宋体" w:cs="宋体"/>
          <w:kern w:val="0"/>
        </w:rPr>
        <w:t>⑤</w:t>
      </w:r>
      <w:r>
        <w:rPr>
          <w:rFonts w:cs="Times New Roman"/>
          <w:kern w:val="0"/>
        </w:rPr>
        <w:t>各个分项目建成以后，及时恢复被扰乱的地域，重新组织未利用的小块土地，种植人工植被，辟为花园或绿地；管理部门应组织人员对区内荒芜的地块栽种人工植被，减少自然的水土流失。</w:t>
      </w:r>
    </w:p>
    <w:p>
      <w:pPr>
        <w:pStyle w:val="4"/>
        <w:tabs>
          <w:tab w:val="left" w:pos="567"/>
        </w:tabs>
        <w:adjustRightInd w:val="0"/>
        <w:snapToGrid w:val="0"/>
        <w:jc w:val="left"/>
        <w:rPr>
          <w:rFonts w:cs="Times New Roman"/>
          <w:szCs w:val="24"/>
        </w:rPr>
      </w:pPr>
      <w:bookmarkStart w:id="192" w:name="_Toc86611329"/>
      <w:r>
        <w:rPr>
          <w:rFonts w:cs="Times New Roman"/>
          <w:szCs w:val="24"/>
        </w:rPr>
        <w:t>6.1.6 水土流失防治措施</w:t>
      </w:r>
      <w:bookmarkEnd w:id="192"/>
    </w:p>
    <w:p>
      <w:pPr>
        <w:autoSpaceDE w:val="0"/>
        <w:autoSpaceDN w:val="0"/>
        <w:adjustRightInd w:val="0"/>
        <w:ind w:firstLine="480"/>
        <w:rPr>
          <w:rFonts w:cs="Times New Roman"/>
          <w:kern w:val="0"/>
        </w:rPr>
      </w:pPr>
      <w:r>
        <w:rPr>
          <w:rFonts w:hint="eastAsia" w:ascii="宋体" w:hAnsi="宋体" w:cs="宋体"/>
          <w:kern w:val="0"/>
        </w:rPr>
        <w:t>①</w:t>
      </w:r>
      <w:r>
        <w:rPr>
          <w:rFonts w:cs="Times New Roman"/>
          <w:kern w:val="0"/>
        </w:rPr>
        <w:t>合理安排施工季节，尽量避免雨季施工。不能避免时，应做好雨季施工防排水工作，保证施工期间排水通畅，不出现积水浸泡工作面的现象。</w:t>
      </w:r>
    </w:p>
    <w:p>
      <w:pPr>
        <w:autoSpaceDE w:val="0"/>
        <w:autoSpaceDN w:val="0"/>
        <w:adjustRightInd w:val="0"/>
        <w:ind w:firstLine="480"/>
        <w:rPr>
          <w:rFonts w:cs="Times New Roman"/>
          <w:kern w:val="0"/>
        </w:rPr>
      </w:pPr>
      <w:r>
        <w:rPr>
          <w:rFonts w:hint="eastAsia" w:ascii="宋体" w:hAnsi="宋体" w:cs="宋体"/>
          <w:kern w:val="0"/>
        </w:rPr>
        <w:t>②</w:t>
      </w:r>
      <w:r>
        <w:rPr>
          <w:rFonts w:cs="Times New Roman"/>
          <w:kern w:val="0"/>
        </w:rPr>
        <w:t>合理安排施工进度，衔接好各施工程序，及时配套完成水土保持措施，做到工序紧凑、有序，以减少施工期土壤流失量。</w:t>
      </w:r>
    </w:p>
    <w:p>
      <w:pPr>
        <w:autoSpaceDE w:val="0"/>
        <w:autoSpaceDN w:val="0"/>
        <w:adjustRightInd w:val="0"/>
        <w:ind w:firstLine="480"/>
        <w:rPr>
          <w:rFonts w:cs="Times New Roman"/>
          <w:kern w:val="0"/>
        </w:rPr>
      </w:pPr>
      <w:r>
        <w:rPr>
          <w:rFonts w:hint="eastAsia" w:ascii="宋体" w:hAnsi="宋体" w:cs="宋体"/>
          <w:kern w:val="0"/>
        </w:rPr>
        <w:t>③</w:t>
      </w:r>
      <w:r>
        <w:rPr>
          <w:rFonts w:cs="Times New Roman"/>
          <w:kern w:val="0"/>
        </w:rPr>
        <w:t>建筑垃圾的运输车辆加盖板，以防止洒落。</w:t>
      </w:r>
    </w:p>
    <w:p>
      <w:pPr>
        <w:autoSpaceDE w:val="0"/>
        <w:autoSpaceDN w:val="0"/>
        <w:adjustRightInd w:val="0"/>
        <w:ind w:firstLine="480"/>
        <w:rPr>
          <w:rFonts w:cs="Times New Roman"/>
          <w:kern w:val="0"/>
        </w:rPr>
      </w:pPr>
      <w:r>
        <w:rPr>
          <w:rFonts w:hint="eastAsia" w:ascii="宋体" w:hAnsi="宋体" w:cs="宋体"/>
          <w:kern w:val="0"/>
        </w:rPr>
        <w:t>④</w:t>
      </w:r>
      <w:r>
        <w:rPr>
          <w:rFonts w:cs="Times New Roman"/>
          <w:kern w:val="0"/>
        </w:rPr>
        <w:t>对挖方路段有坡面径流汇入施工工作面的应先修建截水沟，使暴雨径流不致冲刷坡面造成水土流失。</w:t>
      </w:r>
    </w:p>
    <w:p>
      <w:pPr>
        <w:autoSpaceDE w:val="0"/>
        <w:autoSpaceDN w:val="0"/>
        <w:adjustRightInd w:val="0"/>
        <w:ind w:firstLine="480"/>
        <w:rPr>
          <w:rFonts w:cs="Times New Roman"/>
          <w:kern w:val="0"/>
        </w:rPr>
      </w:pPr>
      <w:r>
        <w:rPr>
          <w:rFonts w:hint="eastAsia" w:ascii="宋体" w:hAnsi="宋体" w:cs="宋体"/>
          <w:kern w:val="0"/>
        </w:rPr>
        <w:t>⑤</w:t>
      </w:r>
      <w:r>
        <w:rPr>
          <w:rFonts w:cs="Times New Roman"/>
          <w:kern w:val="0"/>
        </w:rPr>
        <w:t>施工完成后，要实施植被恢复工程、绿化补缺工程建设，种植当地观赏性好的野生花草灌木和乡土树种，恢复原有生态平衡和自然环境，恢复景区的景观效果。引进外来树种时，需进行严格的检疫措施，以免感染和带来病虫害。</w:t>
      </w:r>
    </w:p>
    <w:p>
      <w:pPr>
        <w:autoSpaceDE w:val="0"/>
        <w:autoSpaceDN w:val="0"/>
        <w:adjustRightInd w:val="0"/>
        <w:ind w:firstLine="480"/>
        <w:rPr>
          <w:rFonts w:cs="Times New Roman"/>
          <w:kern w:val="0"/>
        </w:rPr>
      </w:pPr>
      <w:r>
        <w:rPr>
          <w:rFonts w:cs="Times New Roman"/>
          <w:kern w:val="0"/>
        </w:rPr>
        <w:t>采取此类措施后，水土流失防治效率可达90%以上，水土流失量可减至90.03t。</w:t>
      </w:r>
    </w:p>
    <w:p>
      <w:pPr>
        <w:pStyle w:val="4"/>
        <w:tabs>
          <w:tab w:val="left" w:pos="567"/>
        </w:tabs>
        <w:adjustRightInd w:val="0"/>
        <w:snapToGrid w:val="0"/>
        <w:jc w:val="left"/>
        <w:rPr>
          <w:rFonts w:cs="Times New Roman"/>
          <w:szCs w:val="24"/>
        </w:rPr>
      </w:pPr>
      <w:bookmarkStart w:id="193" w:name="_Toc86611330"/>
      <w:r>
        <w:rPr>
          <w:rFonts w:cs="Times New Roman"/>
          <w:szCs w:val="24"/>
        </w:rPr>
        <w:t>6.1.7 施工期污染防治措施可行性分析</w:t>
      </w:r>
      <w:bookmarkEnd w:id="193"/>
    </w:p>
    <w:p>
      <w:pPr>
        <w:autoSpaceDE w:val="0"/>
        <w:autoSpaceDN w:val="0"/>
        <w:adjustRightInd w:val="0"/>
        <w:ind w:firstLine="480"/>
        <w:rPr>
          <w:rFonts w:cs="Times New Roman"/>
        </w:rPr>
      </w:pPr>
      <w:r>
        <w:rPr>
          <w:rFonts w:cs="Times New Roman"/>
        </w:rPr>
        <w:t>本项目为新建项目，分两期建设，施工期合计约为18个月，根据工程分析，施工期工程量不大，产生的污染物较少。</w:t>
      </w:r>
    </w:p>
    <w:p>
      <w:pPr>
        <w:autoSpaceDE w:val="0"/>
        <w:autoSpaceDN w:val="0"/>
        <w:adjustRightInd w:val="0"/>
        <w:ind w:firstLine="480"/>
        <w:rPr>
          <w:rFonts w:cs="Times New Roman"/>
        </w:rPr>
      </w:pPr>
      <w:r>
        <w:rPr>
          <w:rFonts w:cs="Times New Roman"/>
        </w:rPr>
        <w:t>项目施工期废气采取的措施为合理布局、对散体物料采取挡墙和覆盖、洒水降尘和加强管理，其中最主要的洒水降尘。一般情况下，在风速2.9m/s下，影响至施工边界外200m内TSP浓度超标3-5倍，采取洒水降尘防治措施后可缩小影响范围30m~50m，项目区多年平均风速为2.0m/s，本项目距离最近的居民点为东南面50m处的芳玉堂村，位于侧风向，下风向最近居民点为480m以外的众拱村，因此项目施工期对关心点影响较小。</w:t>
      </w:r>
    </w:p>
    <w:p>
      <w:pPr>
        <w:autoSpaceDE w:val="0"/>
        <w:autoSpaceDN w:val="0"/>
        <w:adjustRightInd w:val="0"/>
        <w:ind w:firstLine="480"/>
        <w:rPr>
          <w:rFonts w:cs="Times New Roman"/>
        </w:rPr>
      </w:pPr>
      <w:r>
        <w:rPr>
          <w:rFonts w:cs="Times New Roman"/>
        </w:rPr>
        <w:t>环评提出相关措施后，可以有效减轻项目施工扬尘对其的影响。</w:t>
      </w:r>
    </w:p>
    <w:p>
      <w:pPr>
        <w:autoSpaceDE w:val="0"/>
        <w:autoSpaceDN w:val="0"/>
        <w:adjustRightInd w:val="0"/>
        <w:ind w:firstLine="480"/>
        <w:rPr>
          <w:rFonts w:cs="Times New Roman"/>
        </w:rPr>
      </w:pPr>
      <w:r>
        <w:rPr>
          <w:rFonts w:cs="Times New Roman"/>
        </w:rPr>
        <w:t>项目施工期产生的施工废水经收集后回用，施工用水对水质要求不要，施工废水经沉淀后回用是可行的；项目施工人员产生的生活污水统一收集沉淀处理后回用，不外排是可行的。</w:t>
      </w:r>
    </w:p>
    <w:p>
      <w:pPr>
        <w:autoSpaceDE w:val="0"/>
        <w:autoSpaceDN w:val="0"/>
        <w:adjustRightInd w:val="0"/>
        <w:ind w:firstLine="480"/>
        <w:rPr>
          <w:rFonts w:cs="Times New Roman"/>
        </w:rPr>
      </w:pPr>
      <w:r>
        <w:rPr>
          <w:rFonts w:cs="Times New Roman"/>
        </w:rPr>
        <w:t>项目施工期噪声防治措施主要为选取环保低噪声施工设备、合理布局等措施。由于项目距离周围关心点较远，项目只要合理安排施工时间，高噪声设备在夜间禁止施工，则施工期噪声对环境的影响很小。</w:t>
      </w:r>
    </w:p>
    <w:p>
      <w:pPr>
        <w:autoSpaceDE w:val="0"/>
        <w:autoSpaceDN w:val="0"/>
        <w:adjustRightInd w:val="0"/>
        <w:ind w:firstLine="480"/>
        <w:rPr>
          <w:rFonts w:cs="Times New Roman"/>
        </w:rPr>
      </w:pPr>
      <w:r>
        <w:rPr>
          <w:rFonts w:cs="Times New Roman"/>
        </w:rPr>
        <w:t>项目施工期固体废物主要为少量建筑垃圾和生活垃圾，项目产生的固体废物尽量回收利用，不能回收利用的分类处置，并根据固废特性的不同委托不同的单位进行清运和处置，处置率100%。</w:t>
      </w:r>
    </w:p>
    <w:p>
      <w:pPr>
        <w:autoSpaceDE w:val="0"/>
        <w:autoSpaceDN w:val="0"/>
        <w:adjustRightInd w:val="0"/>
        <w:ind w:firstLine="480"/>
        <w:rPr>
          <w:rFonts w:cs="Times New Roman"/>
        </w:rPr>
      </w:pPr>
      <w:r>
        <w:rPr>
          <w:rFonts w:cs="Times New Roman"/>
        </w:rPr>
        <w:t>通过以上分析，本项目施工期采取的各项环保措施技术科学，能够达标回用或外排，不会增加周边环境容量。本项目施工时间约为18个月，施工期的影响将随着施工的结束而结束。</w:t>
      </w:r>
    </w:p>
    <w:p>
      <w:pPr>
        <w:pStyle w:val="3"/>
        <w:rPr>
          <w:rFonts w:cs="Times New Roman"/>
        </w:rPr>
      </w:pPr>
      <w:bookmarkStart w:id="194" w:name="_Toc519020905"/>
      <w:bookmarkStart w:id="195" w:name="_Toc517522340"/>
      <w:bookmarkStart w:id="196" w:name="_Toc10233"/>
      <w:bookmarkStart w:id="197" w:name="_Toc86611331"/>
      <w:r>
        <w:rPr>
          <w:rFonts w:cs="Times New Roman"/>
        </w:rPr>
        <w:t>6.2 运营期污染防治措施及可行性论证</w:t>
      </w:r>
      <w:bookmarkEnd w:id="194"/>
      <w:bookmarkEnd w:id="195"/>
      <w:bookmarkEnd w:id="196"/>
      <w:bookmarkEnd w:id="197"/>
    </w:p>
    <w:p>
      <w:pPr>
        <w:pStyle w:val="4"/>
        <w:rPr>
          <w:rFonts w:cs="Times New Roman"/>
        </w:rPr>
      </w:pPr>
      <w:bookmarkStart w:id="198" w:name="_Toc517522341"/>
      <w:bookmarkStart w:id="199" w:name="_Toc86611332"/>
      <w:r>
        <w:rPr>
          <w:rFonts w:cs="Times New Roman"/>
        </w:rPr>
        <w:t>6.2.1 废水污染防治措施及可行性论证</w:t>
      </w:r>
      <w:bookmarkEnd w:id="198"/>
      <w:bookmarkEnd w:id="199"/>
    </w:p>
    <w:p>
      <w:pPr>
        <w:pStyle w:val="5"/>
      </w:pPr>
      <w:r>
        <w:t>6.2.1.1 废水治理措施</w:t>
      </w:r>
    </w:p>
    <w:p>
      <w:pPr>
        <w:ind w:firstLine="480"/>
        <w:rPr>
          <w:rFonts w:cs="Times New Roman"/>
          <w:bCs/>
          <w:u w:val="single"/>
        </w:rPr>
      </w:pPr>
      <w:r>
        <w:rPr>
          <w:rFonts w:cs="Times New Roman"/>
          <w:bCs/>
          <w:u w:val="single"/>
        </w:rPr>
        <w:t>1、陶瓷生产废水：产生环节主要为制釉制备工序、原料制备、设备冷却水、烧成坯件磨边/抛光、以及设备和车间地面冲洗生产辅助用水。项目生产废水经生产单元设置的二级絮凝沉淀池（2个3744m</w:t>
      </w:r>
      <w:r>
        <w:rPr>
          <w:rFonts w:cs="Times New Roman"/>
          <w:bCs/>
          <w:u w:val="single"/>
          <w:vertAlign w:val="superscript"/>
        </w:rPr>
        <w:t>3</w:t>
      </w:r>
      <w:r>
        <w:rPr>
          <w:rFonts w:cs="Times New Roman"/>
          <w:bCs/>
          <w:u w:val="single"/>
        </w:rPr>
        <w:t>）收集后回用球磨工序，不外排；设备冷却水经循环水池（2个448m</w:t>
      </w:r>
      <w:r>
        <w:rPr>
          <w:rFonts w:cs="Times New Roman"/>
          <w:bCs/>
          <w:u w:val="single"/>
          <w:vertAlign w:val="superscript"/>
        </w:rPr>
        <w:t>3</w:t>
      </w:r>
      <w:r>
        <w:rPr>
          <w:rFonts w:cs="Times New Roman"/>
          <w:bCs/>
          <w:u w:val="single"/>
        </w:rPr>
        <w:t>）冷却后循环使用，不外排。</w:t>
      </w:r>
    </w:p>
    <w:p>
      <w:pPr>
        <w:ind w:firstLine="480"/>
        <w:rPr>
          <w:rFonts w:cs="Times New Roman"/>
          <w:bCs/>
          <w:u w:val="single"/>
        </w:rPr>
      </w:pPr>
      <w:r>
        <w:rPr>
          <w:rFonts w:cs="Times New Roman"/>
          <w:bCs/>
          <w:u w:val="single"/>
        </w:rPr>
        <w:t>2、脱硫废水：每个脱硫塔通过设置脱硫废水池沉淀处理后回用，不外排，每个脱硫废水池容积为600m</w:t>
      </w:r>
      <w:r>
        <w:rPr>
          <w:rFonts w:cs="Times New Roman"/>
          <w:bCs/>
          <w:u w:val="single"/>
          <w:vertAlign w:val="superscript"/>
        </w:rPr>
        <w:t>3</w:t>
      </w:r>
      <w:r>
        <w:rPr>
          <w:rFonts w:cs="Times New Roman"/>
          <w:bCs/>
          <w:u w:val="single"/>
        </w:rPr>
        <w:t>。</w:t>
      </w:r>
    </w:p>
    <w:p>
      <w:pPr>
        <w:ind w:firstLine="480"/>
        <w:rPr>
          <w:rFonts w:cs="Times New Roman"/>
          <w:bCs/>
          <w:u w:val="single"/>
        </w:rPr>
      </w:pPr>
      <w:r>
        <w:rPr>
          <w:rFonts w:cs="Times New Roman"/>
          <w:bCs/>
          <w:u w:val="single"/>
        </w:rPr>
        <w:t>3、生活污水：生活污水处理站处理工艺采用AO生物处理的工艺，生活废水经处理后</w:t>
      </w:r>
      <w:r>
        <w:rPr>
          <w:rFonts w:hint="eastAsia" w:cs="Times New Roman"/>
          <w:bCs/>
          <w:u w:val="single"/>
        </w:rPr>
        <w:t>近期排入白象河，远期待园区污水处理厂建成正常运行后，生活污水排入白象河</w:t>
      </w:r>
      <w:r>
        <w:rPr>
          <w:rFonts w:cs="Times New Roman"/>
          <w:bCs/>
          <w:u w:val="single"/>
        </w:rPr>
        <w:t>。</w:t>
      </w:r>
    </w:p>
    <w:p>
      <w:pPr>
        <w:ind w:firstLine="480"/>
        <w:rPr>
          <w:rFonts w:cs="Times New Roman"/>
          <w:bCs/>
          <w:u w:val="single"/>
        </w:rPr>
      </w:pPr>
      <w:r>
        <w:rPr>
          <w:rFonts w:cs="Times New Roman"/>
          <w:bCs/>
          <w:u w:val="single"/>
        </w:rPr>
        <w:t>4、初期雨水：自建1#应急收集水池15000m³。建设完善的厂区雨污管网，确保初期雨水能够收集进入收集池。</w:t>
      </w:r>
    </w:p>
    <w:p>
      <w:pPr>
        <w:ind w:firstLine="480"/>
        <w:rPr>
          <w:rFonts w:cs="Times New Roman"/>
          <w:bCs/>
          <w:u w:val="single"/>
        </w:rPr>
      </w:pPr>
      <w:r>
        <w:rPr>
          <w:rFonts w:cs="Times New Roman"/>
          <w:bCs/>
          <w:u w:val="single"/>
        </w:rPr>
        <w:t>5、项目生产废水输送管道、污水管道必须定期检修，保证无故障运行，若发现上述设备及装置发生泄漏事故，必须尽快修复，避免长时间泄漏废水造成汇水、下渗污染地下水。</w:t>
      </w:r>
    </w:p>
    <w:p>
      <w:pPr>
        <w:ind w:firstLine="480"/>
        <w:rPr>
          <w:rFonts w:cs="Times New Roman"/>
          <w:bCs/>
          <w:u w:val="single"/>
        </w:rPr>
      </w:pPr>
      <w:r>
        <w:rPr>
          <w:rFonts w:cs="Times New Roman"/>
          <w:bCs/>
          <w:u w:val="single"/>
        </w:rPr>
        <w:t>6、对厂区严格划分污染区和非污染区，根据污染性质的不同，防渗区分为重点防渗区、一般防渗区和简单防渗区。</w:t>
      </w:r>
    </w:p>
    <w:p>
      <w:pPr>
        <w:ind w:firstLine="480"/>
        <w:rPr>
          <w:rFonts w:cs="Times New Roman"/>
          <w:bCs/>
          <w:u w:val="single"/>
        </w:rPr>
      </w:pPr>
      <w:r>
        <w:rPr>
          <w:rFonts w:cs="Times New Roman"/>
          <w:bCs/>
          <w:u w:val="single"/>
        </w:rPr>
        <w:t>（1）重点防渗区</w:t>
      </w:r>
    </w:p>
    <w:p>
      <w:pPr>
        <w:ind w:firstLine="480"/>
        <w:rPr>
          <w:rFonts w:cs="Times New Roman"/>
          <w:bCs/>
          <w:u w:val="single"/>
        </w:rPr>
      </w:pPr>
      <w:r>
        <w:rPr>
          <w:rFonts w:cs="Times New Roman"/>
          <w:bCs/>
          <w:u w:val="single"/>
        </w:rPr>
        <w:t>重点防渗区指危害性较大、毒性较大的生产装置区、物料储存、装卸区等，主要包括</w:t>
      </w:r>
      <w:r>
        <w:rPr>
          <w:rFonts w:hint="eastAsia" w:cs="Times New Roman"/>
          <w:bCs/>
          <w:u w:val="single"/>
        </w:rPr>
        <w:t>废水沉淀池</w:t>
      </w:r>
      <w:r>
        <w:rPr>
          <w:rFonts w:cs="Times New Roman"/>
          <w:bCs/>
          <w:u w:val="single"/>
        </w:rPr>
        <w:t>、事故池及危废暂存间，防渗要求：等效黏土防渗层Mb≥6.0m，K≤1×10</w:t>
      </w:r>
      <w:r>
        <w:rPr>
          <w:rFonts w:cs="Times New Roman"/>
          <w:bCs/>
          <w:u w:val="single"/>
          <w:vertAlign w:val="superscript"/>
        </w:rPr>
        <w:t>-7</w:t>
      </w:r>
      <w:r>
        <w:rPr>
          <w:rFonts w:cs="Times New Roman"/>
          <w:bCs/>
          <w:u w:val="single"/>
        </w:rPr>
        <w:t>cm/s；或参照《危险废物填埋污染控制标准》（GB18598 -2001）标准进行防渗。根据天然基础层的地质情况分别采用天然材料衬层、复合衬层或双人工衬层作为其防渗层：</w:t>
      </w:r>
      <w:r>
        <w:rPr>
          <w:rFonts w:hint="eastAsia" w:ascii="宋体" w:hAnsi="宋体" w:cs="宋体"/>
          <w:bCs/>
          <w:u w:val="single"/>
        </w:rPr>
        <w:t>①</w:t>
      </w:r>
      <w:r>
        <w:rPr>
          <w:rFonts w:cs="Times New Roman"/>
          <w:bCs/>
          <w:u w:val="single"/>
        </w:rPr>
        <w:t>如果天然基础层饱和渗透系数小于1.0×10</w:t>
      </w:r>
      <w:r>
        <w:rPr>
          <w:rFonts w:cs="Times New Roman"/>
          <w:bCs/>
          <w:u w:val="single"/>
          <w:vertAlign w:val="superscript"/>
        </w:rPr>
        <w:t>-7</w:t>
      </w:r>
      <w:r>
        <w:rPr>
          <w:rFonts w:cs="Times New Roman"/>
          <w:bCs/>
          <w:u w:val="single"/>
        </w:rPr>
        <w:t>cm/s，且厚度大于5m，可以选用天然材料衬层，天然材料衬层经机械压实后的饱和渗透系数不应大于1.0×10</w:t>
      </w:r>
      <w:r>
        <w:rPr>
          <w:rFonts w:cs="Times New Roman"/>
          <w:bCs/>
          <w:u w:val="single"/>
          <w:vertAlign w:val="superscript"/>
        </w:rPr>
        <w:t>-7</w:t>
      </w:r>
      <w:r>
        <w:rPr>
          <w:rFonts w:cs="Times New Roman"/>
          <w:bCs/>
          <w:u w:val="single"/>
        </w:rPr>
        <w:t>cm/s，厚度不应小于1m；</w:t>
      </w:r>
      <w:r>
        <w:rPr>
          <w:rFonts w:hint="eastAsia" w:ascii="宋体" w:hAnsi="宋体" w:cs="宋体"/>
          <w:bCs/>
          <w:u w:val="single"/>
        </w:rPr>
        <w:t>②</w:t>
      </w:r>
      <w:r>
        <w:rPr>
          <w:rFonts w:cs="Times New Roman"/>
          <w:bCs/>
          <w:u w:val="single"/>
        </w:rPr>
        <w:t>如果天然基础层饱和渗透系数小于1.0×10</w:t>
      </w:r>
      <w:r>
        <w:rPr>
          <w:rFonts w:cs="Times New Roman"/>
          <w:bCs/>
          <w:u w:val="single"/>
          <w:vertAlign w:val="superscript"/>
        </w:rPr>
        <w:t>-6</w:t>
      </w:r>
      <w:r>
        <w:rPr>
          <w:rFonts w:cs="Times New Roman"/>
          <w:bCs/>
          <w:u w:val="single"/>
        </w:rPr>
        <w:t>cm/s，可以选用复合衬层,复合衬层必须满足下列条件：a.天然材料衬层经机械压实后的饱和渗透系数不应大于1.0×10</w:t>
      </w:r>
      <w:r>
        <w:rPr>
          <w:rFonts w:cs="Times New Roman"/>
          <w:bCs/>
          <w:u w:val="single"/>
          <w:vertAlign w:val="superscript"/>
        </w:rPr>
        <w:t>-7</w:t>
      </w:r>
      <w:r>
        <w:rPr>
          <w:rFonts w:cs="Times New Roman"/>
          <w:bCs/>
          <w:u w:val="single"/>
        </w:rPr>
        <w:t>cm/s，厚度应满足符合衬层厚度设计要求，坡面天然材料衬层厚度应比相对应指标大10%；b. 人工合成材料衬层可以采用高密度聚乙烯（HDPE），其渗透系数不大于10-12cm/s，厚度不小于1.5mm，HDPE材料必须是优质品，禁止使用再生产品；</w:t>
      </w:r>
      <w:r>
        <w:rPr>
          <w:rFonts w:hint="eastAsia" w:ascii="宋体" w:hAnsi="宋体" w:cs="宋体"/>
          <w:bCs/>
          <w:u w:val="single"/>
        </w:rPr>
        <w:t>③</w:t>
      </w:r>
      <w:r>
        <w:rPr>
          <w:rFonts w:cs="Times New Roman"/>
          <w:bCs/>
          <w:u w:val="single"/>
        </w:rPr>
        <w:t>如果天然基础层饱和渗透系数大于1.0×10</w:t>
      </w:r>
      <w:r>
        <w:rPr>
          <w:rFonts w:cs="Times New Roman"/>
          <w:bCs/>
          <w:u w:val="single"/>
          <w:vertAlign w:val="superscript"/>
        </w:rPr>
        <w:t>-6</w:t>
      </w:r>
      <w:r>
        <w:rPr>
          <w:rFonts w:cs="Times New Roman"/>
          <w:bCs/>
          <w:u w:val="single"/>
        </w:rPr>
        <w:t>cm/s，则必须选用双人工衬层。双人工衬层必须满足下列条件：a.天然材料衬层经机械压实后的渗透系数不大于1.0×10-7cm/s，厚度不小于0.5m；b. 上人工合成衬层可以采用HDPE 材料，厚度不小于2.0mm；c. 下人工合成衬层可以采用HDPE材料，厚度不小于1.0mm。</w:t>
      </w:r>
    </w:p>
    <w:p>
      <w:pPr>
        <w:ind w:firstLine="480"/>
        <w:rPr>
          <w:rFonts w:cs="Times New Roman"/>
          <w:bCs/>
          <w:u w:val="single"/>
        </w:rPr>
      </w:pPr>
      <w:r>
        <w:rPr>
          <w:rFonts w:cs="Times New Roman"/>
          <w:bCs/>
          <w:u w:val="single"/>
        </w:rPr>
        <w:t>（2）一般防渗区</w:t>
      </w:r>
    </w:p>
    <w:p>
      <w:pPr>
        <w:ind w:firstLine="480"/>
        <w:rPr>
          <w:rFonts w:cs="Times New Roman"/>
          <w:bCs/>
          <w:u w:val="single"/>
        </w:rPr>
      </w:pPr>
      <w:r>
        <w:rPr>
          <w:rFonts w:cs="Times New Roman"/>
          <w:bCs/>
          <w:u w:val="single"/>
        </w:rPr>
        <w:t>一般防渗区包括毒性较小的生产装置区和辅助设施区，主要包括生产车间、原辅料堆场、煤渣堆场、絮凝沉淀池、生活污水处理池、脱硫塔循环水池和成品仓库，防渗要求：等效黏土防渗层Mb≥1.5m，K≤1×10</w:t>
      </w:r>
      <w:r>
        <w:rPr>
          <w:rFonts w:cs="Times New Roman"/>
          <w:bCs/>
          <w:u w:val="single"/>
          <w:vertAlign w:val="superscript"/>
        </w:rPr>
        <w:t>-7</w:t>
      </w:r>
      <w:r>
        <w:rPr>
          <w:rFonts w:cs="Times New Roman"/>
          <w:bCs/>
          <w:u w:val="single"/>
        </w:rPr>
        <w:t>cm/s；或参照《生活垃圾填埋场污染控制标准》（GB16889-2008）执行：</w:t>
      </w:r>
      <w:r>
        <w:rPr>
          <w:rFonts w:hint="eastAsia" w:ascii="宋体" w:hAnsi="宋体" w:cs="宋体"/>
          <w:bCs/>
          <w:u w:val="single"/>
        </w:rPr>
        <w:t>①</w:t>
      </w:r>
      <w:r>
        <w:rPr>
          <w:rFonts w:cs="Times New Roman"/>
          <w:bCs/>
          <w:u w:val="single"/>
        </w:rPr>
        <w:t>如果天然基础层饱和渗透系数小于1.0×10-7cm/s，且厚度不小于2m，可采用天然粘土防渗衬层。采用天然粘土防渗衬层应满足以下基本条件：a、压实后的粘土防渗衬层饱和渗透系数应小于1.0×10-7cm/s，b、粘土防渗衬层的厚度应不小于2m；</w:t>
      </w:r>
      <w:r>
        <w:rPr>
          <w:rFonts w:hint="eastAsia" w:ascii="宋体" w:hAnsi="宋体" w:cs="宋体"/>
          <w:bCs/>
          <w:u w:val="single"/>
        </w:rPr>
        <w:t>②</w:t>
      </w:r>
      <w:r>
        <w:rPr>
          <w:rFonts w:cs="Times New Roman"/>
          <w:bCs/>
          <w:u w:val="single"/>
        </w:rPr>
        <w:t>如果天然基础层饱和渗透系数小于1.0×10</w:t>
      </w:r>
      <w:r>
        <w:rPr>
          <w:rFonts w:cs="Times New Roman"/>
          <w:bCs/>
          <w:u w:val="single"/>
          <w:vertAlign w:val="superscript"/>
        </w:rPr>
        <w:t>-5</w:t>
      </w:r>
      <w:r>
        <w:rPr>
          <w:rFonts w:cs="Times New Roman"/>
          <w:bCs/>
          <w:u w:val="single"/>
        </w:rPr>
        <w:t>cm/s，且厚度不小于2m，可采用单层人工合成材料防渗衬层，人工合成材料衬层下应具有厚度不小于0.75m，且其被压实后的饱和渗透系数小于1.0×10</w:t>
      </w:r>
      <w:r>
        <w:rPr>
          <w:rFonts w:cs="Times New Roman"/>
          <w:bCs/>
          <w:u w:val="single"/>
          <w:vertAlign w:val="superscript"/>
        </w:rPr>
        <w:t>-7</w:t>
      </w:r>
      <w:r>
        <w:rPr>
          <w:rFonts w:cs="Times New Roman"/>
          <w:bCs/>
          <w:u w:val="single"/>
        </w:rPr>
        <w:t xml:space="preserve">cm/s 的天然粘土防渗衬层，或具有同等以上隔水效力的其他材料防渗衬层，工合成材料防渗衬层应采用满足CJ/T 234 中规定技术要求的高密度聚乙烯或者其他具有同等效力的人工合成材料； </w:t>
      </w:r>
      <w:r>
        <w:rPr>
          <w:rFonts w:hint="eastAsia" w:ascii="宋体" w:hAnsi="宋体" w:cs="宋体"/>
          <w:bCs/>
          <w:u w:val="single"/>
        </w:rPr>
        <w:t>③</w:t>
      </w:r>
      <w:r>
        <w:rPr>
          <w:rFonts w:cs="Times New Roman"/>
          <w:bCs/>
          <w:u w:val="single"/>
        </w:rPr>
        <w:t xml:space="preserve"> 如果天然基础层饱和渗透系数不小于1.0×10</w:t>
      </w:r>
      <w:r>
        <w:rPr>
          <w:rFonts w:cs="Times New Roman"/>
          <w:bCs/>
          <w:u w:val="single"/>
          <w:vertAlign w:val="superscript"/>
        </w:rPr>
        <w:t>-5</w:t>
      </w:r>
      <w:r>
        <w:rPr>
          <w:rFonts w:cs="Times New Roman"/>
          <w:bCs/>
          <w:u w:val="single"/>
        </w:rPr>
        <w:t>cm/s，或者天然基础层厚度小于2m，应采用双层人工合成材料防渗衬层。下层人工合成材料防衬层下应具有厚度不小于0.75m，且其被压实后的饱和渗透系数小于1.0×10</w:t>
      </w:r>
      <w:r>
        <w:rPr>
          <w:rFonts w:cs="Times New Roman"/>
          <w:bCs/>
          <w:u w:val="single"/>
          <w:vertAlign w:val="superscript"/>
        </w:rPr>
        <w:t>-7</w:t>
      </w:r>
      <w:r>
        <w:rPr>
          <w:rFonts w:cs="Times New Roman"/>
          <w:bCs/>
          <w:u w:val="single"/>
        </w:rPr>
        <w:t>cm/s 的天然粘土衬层，或具有同等以上隔水效力的其他材料衬层；两层人工合成材料衬层之间应布设导水层及渗漏检测层。人工合成材料的性能要求同第</w:t>
      </w:r>
      <w:r>
        <w:rPr>
          <w:rFonts w:hint="eastAsia" w:ascii="宋体" w:hAnsi="宋体" w:cs="宋体"/>
          <w:bCs/>
          <w:u w:val="single"/>
        </w:rPr>
        <w:t>②</w:t>
      </w:r>
      <w:r>
        <w:rPr>
          <w:rFonts w:cs="Times New Roman"/>
          <w:bCs/>
          <w:u w:val="single"/>
        </w:rPr>
        <w:t>条。</w:t>
      </w:r>
    </w:p>
    <w:p>
      <w:pPr>
        <w:ind w:firstLine="480"/>
        <w:rPr>
          <w:rFonts w:cs="Times New Roman"/>
          <w:bCs/>
          <w:u w:val="single"/>
        </w:rPr>
      </w:pPr>
      <w:r>
        <w:rPr>
          <w:rFonts w:cs="Times New Roman"/>
          <w:bCs/>
          <w:u w:val="single"/>
        </w:rPr>
        <w:t>（3）简单防渗区</w:t>
      </w:r>
    </w:p>
    <w:p>
      <w:pPr>
        <w:ind w:firstLine="480"/>
        <w:rPr>
          <w:rFonts w:cs="Times New Roman"/>
          <w:bCs/>
          <w:u w:val="single"/>
        </w:rPr>
      </w:pPr>
      <w:r>
        <w:rPr>
          <w:rFonts w:cs="Times New Roman"/>
          <w:bCs/>
          <w:u w:val="single"/>
        </w:rPr>
        <w:t>除上述区域外的厂区，按常规建筑结构要求进行一般地面硬化处理。</w:t>
      </w:r>
    </w:p>
    <w:p>
      <w:pPr>
        <w:pStyle w:val="69"/>
        <w:ind w:firstLine="0" w:firstLineChars="0"/>
        <w:outlineLvl w:val="3"/>
        <w:rPr>
          <w:b/>
          <w:bCs/>
          <w:u w:val="single"/>
        </w:rPr>
      </w:pPr>
      <w:r>
        <w:rPr>
          <w:b/>
          <w:bCs/>
          <w:u w:val="single"/>
        </w:rPr>
        <w:t>6.2.1.2 可行性分析</w:t>
      </w:r>
    </w:p>
    <w:p>
      <w:pPr>
        <w:ind w:firstLine="480"/>
        <w:rPr>
          <w:rFonts w:cs="Times New Roman"/>
          <w:bCs/>
          <w:u w:val="single"/>
        </w:rPr>
      </w:pPr>
      <w:r>
        <w:rPr>
          <w:rFonts w:cs="Times New Roman"/>
          <w:bCs/>
          <w:u w:val="single"/>
        </w:rPr>
        <w:t>陶瓷生产原料制备工段对水质要求不高，各工序产生的废水及清洁用水的主要污染物为SS，项目设集水池对其进行收集后回用于球磨用水，不外排。可以满足生产要求，又可以节约生产用水，国内陶瓷企业大部分采用此工艺，环评认为该方案措施可行。</w:t>
      </w:r>
    </w:p>
    <w:p>
      <w:pPr>
        <w:ind w:firstLine="480"/>
        <w:rPr>
          <w:rFonts w:cs="Times New Roman"/>
          <w:bCs/>
          <w:u w:val="single"/>
        </w:rPr>
      </w:pPr>
      <w:r>
        <w:rPr>
          <w:rFonts w:cs="Times New Roman"/>
          <w:bCs/>
          <w:u w:val="single"/>
        </w:rPr>
        <w:t>由于项目建成后，劳动定员1600名，项目设置一个20m</w:t>
      </w:r>
      <w:r>
        <w:rPr>
          <w:rFonts w:cs="Times New Roman"/>
          <w:bCs/>
          <w:u w:val="single"/>
          <w:vertAlign w:val="superscript"/>
        </w:rPr>
        <w:t>3</w:t>
      </w:r>
      <w:r>
        <w:rPr>
          <w:rFonts w:cs="Times New Roman"/>
          <w:bCs/>
          <w:u w:val="single"/>
        </w:rPr>
        <w:t>隔油池、一套200m</w:t>
      </w:r>
      <w:r>
        <w:rPr>
          <w:rFonts w:cs="Times New Roman"/>
          <w:bCs/>
          <w:u w:val="single"/>
          <w:vertAlign w:val="superscript"/>
        </w:rPr>
        <w:t>3</w:t>
      </w:r>
      <w:r>
        <w:rPr>
          <w:rFonts w:cs="Times New Roman"/>
          <w:bCs/>
          <w:u w:val="single"/>
        </w:rPr>
        <w:t>/d的生活污水处理站，生活污水处理站处理工艺采用AO生物处理的工艺，生活废水经处理后</w:t>
      </w:r>
      <w:r>
        <w:rPr>
          <w:rFonts w:hint="eastAsia" w:cs="Times New Roman"/>
          <w:bCs/>
          <w:u w:val="single"/>
        </w:rPr>
        <w:t>近期排入白象河，远期排入污水处理厂</w:t>
      </w:r>
      <w:r>
        <w:rPr>
          <w:rFonts w:cs="Times New Roman"/>
          <w:bCs/>
          <w:u w:val="single"/>
        </w:rPr>
        <w:t>。</w:t>
      </w:r>
    </w:p>
    <w:p>
      <w:pPr>
        <w:ind w:firstLine="482"/>
        <w:rPr>
          <w:rFonts w:cs="Times New Roman"/>
          <w:b/>
          <w:bCs/>
          <w:u w:val="single"/>
        </w:rPr>
      </w:pPr>
      <w:r>
        <w:rPr>
          <w:rFonts w:cs="Times New Roman"/>
          <w:b/>
          <w:bCs/>
          <w:u w:val="single"/>
        </w:rPr>
        <w:t>1、废水不外排的可行性及可靠性分析</w:t>
      </w:r>
    </w:p>
    <w:p>
      <w:pPr>
        <w:ind w:firstLine="480"/>
        <w:rPr>
          <w:rFonts w:cs="Times New Roman"/>
          <w:bCs/>
          <w:u w:val="single"/>
        </w:rPr>
      </w:pPr>
      <w:r>
        <w:rPr>
          <w:rFonts w:cs="Times New Roman"/>
          <w:bCs/>
          <w:u w:val="single"/>
        </w:rPr>
        <w:t>本项目在陶瓷生产区设置2个448m</w:t>
      </w:r>
      <w:r>
        <w:rPr>
          <w:rFonts w:cs="Times New Roman"/>
          <w:bCs/>
          <w:u w:val="single"/>
          <w:vertAlign w:val="superscript"/>
        </w:rPr>
        <w:t>3</w:t>
      </w:r>
      <w:r>
        <w:rPr>
          <w:rFonts w:cs="Times New Roman"/>
          <w:bCs/>
          <w:u w:val="single"/>
        </w:rPr>
        <w:t>的设备间接冷却循环水池，3个3522m</w:t>
      </w:r>
      <w:r>
        <w:rPr>
          <w:rFonts w:cs="Times New Roman"/>
          <w:bCs/>
          <w:u w:val="single"/>
          <w:vertAlign w:val="superscript"/>
        </w:rPr>
        <w:t>3</w:t>
      </w:r>
      <w:r>
        <w:rPr>
          <w:rFonts w:cs="Times New Roman"/>
          <w:bCs/>
          <w:u w:val="single"/>
        </w:rPr>
        <w:t xml:space="preserve"> 、1个1388m</w:t>
      </w:r>
      <w:r>
        <w:rPr>
          <w:rFonts w:cs="Times New Roman"/>
          <w:bCs/>
          <w:u w:val="single"/>
          <w:vertAlign w:val="superscript"/>
        </w:rPr>
        <w:t>3</w:t>
      </w:r>
      <w:r>
        <w:rPr>
          <w:rFonts w:cs="Times New Roman"/>
          <w:bCs/>
          <w:u w:val="single"/>
        </w:rPr>
        <w:t>、1个2448m</w:t>
      </w:r>
      <w:r>
        <w:rPr>
          <w:rFonts w:cs="Times New Roman"/>
          <w:bCs/>
          <w:u w:val="single"/>
          <w:vertAlign w:val="superscript"/>
        </w:rPr>
        <w:t>3</w:t>
      </w:r>
      <w:r>
        <w:rPr>
          <w:rFonts w:cs="Times New Roman"/>
          <w:bCs/>
          <w:u w:val="single"/>
        </w:rPr>
        <w:t>二级絮凝沉淀池，各脱硫塔分别配备1个600m</w:t>
      </w:r>
      <w:r>
        <w:rPr>
          <w:rFonts w:cs="Times New Roman"/>
          <w:bCs/>
          <w:u w:val="single"/>
          <w:vertAlign w:val="superscript"/>
        </w:rPr>
        <w:t>3</w:t>
      </w:r>
      <w:r>
        <w:rPr>
          <w:rFonts w:cs="Times New Roman"/>
          <w:bCs/>
          <w:u w:val="single"/>
        </w:rPr>
        <w:t xml:space="preserve"> 的循环水池。生活污水：建设生活污水处理站，生活污水处理站处理工艺采用AO生物处理的工艺等生活污水处理设施。雨污分流系统：设置雨污分流沟渠、管线、初期雨水收集池。</w:t>
      </w:r>
    </w:p>
    <w:p>
      <w:pPr>
        <w:ind w:firstLine="480"/>
        <w:rPr>
          <w:rFonts w:cs="Times New Roman"/>
          <w:bCs/>
          <w:u w:val="single"/>
        </w:rPr>
      </w:pPr>
      <w:r>
        <w:rPr>
          <w:rFonts w:cs="Times New Roman"/>
          <w:bCs/>
          <w:u w:val="single"/>
        </w:rPr>
        <w:t>根据本项目的水平衡分析，陶瓷生产设备间接冷却排污水（用作设备及车间地面冲洗水后排放水量）为100m</w:t>
      </w:r>
      <w:r>
        <w:rPr>
          <w:rFonts w:cs="Times New Roman"/>
          <w:bCs/>
          <w:u w:val="single"/>
          <w:vertAlign w:val="superscript"/>
        </w:rPr>
        <w:t>3</w:t>
      </w:r>
      <w:r>
        <w:rPr>
          <w:rFonts w:cs="Times New Roman"/>
          <w:bCs/>
          <w:u w:val="single"/>
        </w:rPr>
        <w:t>/d，项目设置有2个448m</w:t>
      </w:r>
      <w:r>
        <w:rPr>
          <w:rFonts w:cs="Times New Roman"/>
          <w:bCs/>
          <w:u w:val="single"/>
          <w:vertAlign w:val="superscript"/>
        </w:rPr>
        <w:t>3</w:t>
      </w:r>
      <w:r>
        <w:rPr>
          <w:rFonts w:cs="Times New Roman"/>
          <w:bCs/>
          <w:u w:val="single"/>
        </w:rPr>
        <w:t>的设备间接冷却循环水池，满足要求；项目是生产废水总量约为2910.8 m</w:t>
      </w:r>
      <w:r>
        <w:rPr>
          <w:rFonts w:cs="Times New Roman"/>
          <w:bCs/>
          <w:u w:val="single"/>
          <w:vertAlign w:val="superscript"/>
        </w:rPr>
        <w:t>3</w:t>
      </w:r>
      <w:r>
        <w:rPr>
          <w:rFonts w:cs="Times New Roman"/>
          <w:bCs/>
          <w:u w:val="single"/>
        </w:rPr>
        <w:t>，项目设置有3个3522m</w:t>
      </w:r>
      <w:r>
        <w:rPr>
          <w:rFonts w:cs="Times New Roman"/>
          <w:bCs/>
          <w:u w:val="single"/>
          <w:vertAlign w:val="superscript"/>
        </w:rPr>
        <w:t>3</w:t>
      </w:r>
      <w:r>
        <w:rPr>
          <w:rFonts w:cs="Times New Roman"/>
          <w:bCs/>
          <w:u w:val="single"/>
        </w:rPr>
        <w:t xml:space="preserve"> 、1个1388m</w:t>
      </w:r>
      <w:r>
        <w:rPr>
          <w:rFonts w:cs="Times New Roman"/>
          <w:bCs/>
          <w:u w:val="single"/>
          <w:vertAlign w:val="superscript"/>
        </w:rPr>
        <w:t>3</w:t>
      </w:r>
      <w:r>
        <w:rPr>
          <w:rFonts w:cs="Times New Roman"/>
          <w:bCs/>
          <w:u w:val="single"/>
        </w:rPr>
        <w:t>、1个2448m</w:t>
      </w:r>
      <w:r>
        <w:rPr>
          <w:rFonts w:cs="Times New Roman"/>
          <w:bCs/>
          <w:u w:val="single"/>
          <w:vertAlign w:val="superscript"/>
        </w:rPr>
        <w:t>3</w:t>
      </w:r>
      <w:r>
        <w:rPr>
          <w:rFonts w:cs="Times New Roman"/>
          <w:bCs/>
          <w:u w:val="single"/>
        </w:rPr>
        <w:t>二级絮凝沉淀池，满足要求。</w:t>
      </w:r>
    </w:p>
    <w:p>
      <w:pPr>
        <w:ind w:firstLine="480"/>
        <w:rPr>
          <w:rFonts w:cs="Times New Roman"/>
          <w:bCs/>
          <w:u w:val="single"/>
        </w:rPr>
      </w:pPr>
      <w:r>
        <w:rPr>
          <w:rFonts w:cs="Times New Roman"/>
          <w:bCs/>
          <w:u w:val="single"/>
        </w:rPr>
        <w:t xml:space="preserve">建设项目在对生产废水进行二级絮凝沉淀处理后可部分作为原料配料、磨料补充用水，生活污水经隔油、生活污水处理站处理后可作为道路清扫、绿化用水。 </w:t>
      </w:r>
    </w:p>
    <w:p>
      <w:pPr>
        <w:ind w:firstLine="480"/>
        <w:rPr>
          <w:rFonts w:cs="Times New Roman"/>
          <w:bCs/>
          <w:u w:val="single"/>
        </w:rPr>
      </w:pPr>
      <w:r>
        <w:rPr>
          <w:rFonts w:cs="Times New Roman"/>
          <w:bCs/>
          <w:u w:val="single"/>
        </w:rPr>
        <w:t>从以上分析可知，项目全厂处于亏水状态，需补充新鲜水；此外，厂区设置的沉淀池及收集池容积满足要求，且配备有进出水水管、水泵及事故应急池，能够保证废水不外排。</w:t>
      </w:r>
    </w:p>
    <w:p>
      <w:pPr>
        <w:ind w:firstLine="482"/>
        <w:rPr>
          <w:rFonts w:cs="Times New Roman"/>
          <w:b/>
          <w:bCs/>
          <w:u w:val="single"/>
        </w:rPr>
      </w:pPr>
      <w:r>
        <w:rPr>
          <w:rFonts w:cs="Times New Roman"/>
          <w:b/>
          <w:bCs/>
          <w:u w:val="single"/>
        </w:rPr>
        <w:t>2、废水水质回用的可行性分析</w:t>
      </w:r>
    </w:p>
    <w:p>
      <w:pPr>
        <w:ind w:firstLine="480"/>
        <w:rPr>
          <w:rFonts w:cs="Times New Roman"/>
          <w:bCs/>
          <w:u w:val="single"/>
        </w:rPr>
      </w:pPr>
      <w:r>
        <w:rPr>
          <w:rFonts w:cs="Times New Roman"/>
          <w:bCs/>
          <w:u w:val="single"/>
        </w:rPr>
        <w:t>（1）生产废水处理</w:t>
      </w:r>
    </w:p>
    <w:p>
      <w:pPr>
        <w:ind w:firstLine="480"/>
        <w:rPr>
          <w:rFonts w:cs="Times New Roman"/>
          <w:bCs/>
          <w:u w:val="single"/>
        </w:rPr>
      </w:pPr>
      <w:r>
        <w:rPr>
          <w:rFonts w:cs="Times New Roman"/>
          <w:bCs/>
          <w:u w:val="single"/>
        </w:rPr>
        <w:t>本项目为建筑陶瓷生产项目，原料配料、球磨对用水要求较低，因此生产废水主要去除SS 后回用于原料配制。根据《陶瓷工业污染物排放标准》编制说明中针对陶瓷工业水污染特征推荐的生产废水处理工艺，去除SS 通用的处理技术为沉淀池；同时根据《陶瓷制品制造业污染防治可行技术指南》，陶瓷制品制造企业含泥废水、含釉废水和陶瓷砖后加工废水回收利用宜采用絮凝沉淀处理工艺，沉淀物经压滤脱水后回收利用，废水经处理后可循环利用，本项目采用二级絮凝沉淀，主要工艺系统包括均集水池、絮凝沉淀池、二级斜管沉淀/平流沉淀池、过滤等；沉淀后的上清液、污泥均可返回原料配料、球磨中使用。此工艺较成熟，该工艺的出水水质情况类比某陶瓷企业的应用实例，其处理结果能满足陶瓷生产要求，出水水质情况具体见表7.2-1。</w:t>
      </w:r>
    </w:p>
    <w:p>
      <w:pPr>
        <w:ind w:firstLine="480"/>
        <w:rPr>
          <w:rFonts w:cs="Times New Roman"/>
          <w:bCs/>
          <w:u w:val="single"/>
        </w:rPr>
      </w:pPr>
      <w:r>
        <w:rPr>
          <w:rFonts w:cs="Times New Roman"/>
          <w:u w:val="single"/>
        </w:rPr>
        <w:drawing>
          <wp:inline distT="0" distB="0" distL="114300" distR="114300">
            <wp:extent cx="4991100" cy="2028825"/>
            <wp:effectExtent l="0" t="0" r="0" b="9525"/>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107"/>
                    <a:stretch>
                      <a:fillRect/>
                    </a:stretch>
                  </pic:blipFill>
                  <pic:spPr>
                    <a:xfrm>
                      <a:off x="0" y="0"/>
                      <a:ext cx="4991100" cy="2028825"/>
                    </a:xfrm>
                    <a:prstGeom prst="rect">
                      <a:avLst/>
                    </a:prstGeom>
                    <a:noFill/>
                    <a:ln>
                      <a:noFill/>
                    </a:ln>
                  </pic:spPr>
                </pic:pic>
              </a:graphicData>
            </a:graphic>
          </wp:inline>
        </w:drawing>
      </w:r>
    </w:p>
    <w:p>
      <w:pPr>
        <w:spacing w:after="163" w:afterLines="50"/>
        <w:ind w:firstLine="482"/>
        <w:jc w:val="center"/>
        <w:rPr>
          <w:rFonts w:cs="Times New Roman"/>
          <w:u w:val="single"/>
        </w:rPr>
      </w:pPr>
      <w:r>
        <w:rPr>
          <w:rFonts w:cs="Times New Roman"/>
          <w:b/>
          <w:szCs w:val="21"/>
          <w:u w:val="single"/>
        </w:rPr>
        <w:t>图6.2-1  拟建项目生产废水处理工艺流程图</w:t>
      </w:r>
    </w:p>
    <w:p>
      <w:pPr>
        <w:pStyle w:val="34"/>
        <w:spacing w:before="163" w:beforeLines="50"/>
        <w:ind w:left="0" w:leftChars="0" w:firstLine="482" w:firstLineChars="200"/>
        <w:jc w:val="center"/>
        <w:rPr>
          <w:b/>
          <w:sz w:val="24"/>
          <w:szCs w:val="20"/>
          <w:u w:val="single"/>
        </w:rPr>
      </w:pPr>
      <w:r>
        <w:rPr>
          <w:b/>
          <w:sz w:val="24"/>
          <w:szCs w:val="20"/>
          <w:u w:val="single"/>
        </w:rPr>
        <w:t>表6.2-1  陶瓷生产工艺废水污染物分析结果</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0"/>
        <w:gridCol w:w="2076"/>
        <w:gridCol w:w="2831"/>
        <w:gridCol w:w="18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0" w:type="dxa"/>
            <w:vAlign w:val="center"/>
          </w:tcPr>
          <w:p>
            <w:pPr>
              <w:pStyle w:val="34"/>
              <w:ind w:left="0" w:leftChars="0"/>
              <w:jc w:val="center"/>
              <w:rPr>
                <w:b/>
                <w:kern w:val="0"/>
                <w:szCs w:val="21"/>
                <w:u w:val="single"/>
              </w:rPr>
            </w:pPr>
            <w:r>
              <w:rPr>
                <w:b/>
                <w:kern w:val="0"/>
                <w:szCs w:val="21"/>
                <w:u w:val="single"/>
              </w:rPr>
              <w:t>污染物名称</w:t>
            </w:r>
          </w:p>
        </w:tc>
        <w:tc>
          <w:tcPr>
            <w:tcW w:w="2076" w:type="dxa"/>
            <w:vAlign w:val="center"/>
          </w:tcPr>
          <w:p>
            <w:pPr>
              <w:pStyle w:val="34"/>
              <w:ind w:left="0" w:leftChars="0"/>
              <w:jc w:val="center"/>
              <w:rPr>
                <w:b/>
                <w:kern w:val="0"/>
                <w:szCs w:val="21"/>
                <w:u w:val="single"/>
              </w:rPr>
            </w:pPr>
            <w:r>
              <w:rPr>
                <w:b/>
                <w:kern w:val="0"/>
                <w:szCs w:val="21"/>
                <w:u w:val="single"/>
              </w:rPr>
              <w:t>单位</w:t>
            </w:r>
          </w:p>
        </w:tc>
        <w:tc>
          <w:tcPr>
            <w:tcW w:w="2831" w:type="dxa"/>
            <w:vAlign w:val="center"/>
          </w:tcPr>
          <w:p>
            <w:pPr>
              <w:pStyle w:val="34"/>
              <w:ind w:left="0" w:leftChars="0"/>
              <w:jc w:val="center"/>
              <w:rPr>
                <w:b/>
                <w:kern w:val="0"/>
                <w:szCs w:val="21"/>
                <w:u w:val="single"/>
              </w:rPr>
            </w:pPr>
            <w:r>
              <w:rPr>
                <w:b/>
                <w:kern w:val="0"/>
                <w:szCs w:val="21"/>
                <w:u w:val="single"/>
              </w:rPr>
              <w:t>处理前废水水质</w:t>
            </w:r>
          </w:p>
        </w:tc>
        <w:tc>
          <w:tcPr>
            <w:tcW w:w="1811" w:type="dxa"/>
            <w:vAlign w:val="center"/>
          </w:tcPr>
          <w:p>
            <w:pPr>
              <w:pStyle w:val="34"/>
              <w:ind w:left="0" w:leftChars="0"/>
              <w:jc w:val="center"/>
              <w:rPr>
                <w:b/>
                <w:kern w:val="0"/>
                <w:szCs w:val="21"/>
                <w:u w:val="single"/>
              </w:rPr>
            </w:pPr>
            <w:r>
              <w:rPr>
                <w:b/>
                <w:kern w:val="0"/>
                <w:szCs w:val="21"/>
                <w:u w:val="single"/>
              </w:rPr>
              <w:t>处理后废水水质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0" w:type="dxa"/>
            <w:vAlign w:val="center"/>
          </w:tcPr>
          <w:p>
            <w:pPr>
              <w:pStyle w:val="34"/>
              <w:ind w:left="0" w:leftChars="0"/>
              <w:jc w:val="center"/>
              <w:rPr>
                <w:kern w:val="0"/>
                <w:szCs w:val="21"/>
                <w:u w:val="single"/>
              </w:rPr>
            </w:pPr>
            <w:r>
              <w:rPr>
                <w:kern w:val="0"/>
                <w:szCs w:val="21"/>
                <w:u w:val="single"/>
              </w:rPr>
              <w:t>pH</w:t>
            </w:r>
          </w:p>
        </w:tc>
        <w:tc>
          <w:tcPr>
            <w:tcW w:w="2076" w:type="dxa"/>
            <w:vAlign w:val="center"/>
          </w:tcPr>
          <w:p>
            <w:pPr>
              <w:pStyle w:val="34"/>
              <w:ind w:left="0" w:leftChars="0"/>
              <w:jc w:val="center"/>
              <w:rPr>
                <w:kern w:val="0"/>
                <w:szCs w:val="21"/>
                <w:u w:val="single"/>
              </w:rPr>
            </w:pPr>
            <w:r>
              <w:rPr>
                <w:kern w:val="0"/>
                <w:szCs w:val="21"/>
                <w:u w:val="single"/>
              </w:rPr>
              <w:t>无纲量</w:t>
            </w:r>
          </w:p>
        </w:tc>
        <w:tc>
          <w:tcPr>
            <w:tcW w:w="2831" w:type="dxa"/>
            <w:vAlign w:val="center"/>
          </w:tcPr>
          <w:p>
            <w:pPr>
              <w:pStyle w:val="34"/>
              <w:ind w:left="0" w:leftChars="0"/>
              <w:jc w:val="center"/>
              <w:rPr>
                <w:kern w:val="0"/>
                <w:szCs w:val="21"/>
                <w:u w:val="single"/>
              </w:rPr>
            </w:pPr>
            <w:r>
              <w:rPr>
                <w:kern w:val="0"/>
                <w:szCs w:val="21"/>
                <w:u w:val="single"/>
              </w:rPr>
              <w:t>7.5</w:t>
            </w:r>
          </w:p>
        </w:tc>
        <w:tc>
          <w:tcPr>
            <w:tcW w:w="1811" w:type="dxa"/>
            <w:vAlign w:val="center"/>
          </w:tcPr>
          <w:p>
            <w:pPr>
              <w:pStyle w:val="34"/>
              <w:ind w:left="0" w:leftChars="0"/>
              <w:jc w:val="center"/>
              <w:rPr>
                <w:kern w:val="0"/>
                <w:szCs w:val="21"/>
                <w:u w:val="single"/>
              </w:rPr>
            </w:pPr>
            <w:r>
              <w:rPr>
                <w:kern w:val="0"/>
                <w:szCs w:val="21"/>
                <w:u w:val="single"/>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0" w:type="dxa"/>
            <w:vAlign w:val="center"/>
          </w:tcPr>
          <w:p>
            <w:pPr>
              <w:pStyle w:val="34"/>
              <w:ind w:left="0" w:leftChars="0"/>
              <w:jc w:val="center"/>
              <w:rPr>
                <w:kern w:val="0"/>
                <w:szCs w:val="21"/>
                <w:u w:val="single"/>
              </w:rPr>
            </w:pPr>
            <w:r>
              <w:rPr>
                <w:kern w:val="0"/>
                <w:szCs w:val="21"/>
                <w:u w:val="single"/>
              </w:rPr>
              <w:t>电导率</w:t>
            </w:r>
          </w:p>
        </w:tc>
        <w:tc>
          <w:tcPr>
            <w:tcW w:w="2076" w:type="dxa"/>
            <w:vAlign w:val="center"/>
          </w:tcPr>
          <w:p>
            <w:pPr>
              <w:pStyle w:val="34"/>
              <w:ind w:left="0" w:leftChars="0"/>
              <w:jc w:val="center"/>
              <w:rPr>
                <w:kern w:val="0"/>
                <w:szCs w:val="21"/>
                <w:u w:val="single"/>
              </w:rPr>
            </w:pPr>
            <w:r>
              <w:rPr>
                <w:kern w:val="0"/>
                <w:szCs w:val="21"/>
                <w:u w:val="single"/>
              </w:rPr>
              <w:t>μs/cm</w:t>
            </w:r>
          </w:p>
        </w:tc>
        <w:tc>
          <w:tcPr>
            <w:tcW w:w="2831" w:type="dxa"/>
            <w:vAlign w:val="center"/>
          </w:tcPr>
          <w:p>
            <w:pPr>
              <w:pStyle w:val="34"/>
              <w:ind w:left="0" w:leftChars="0"/>
              <w:jc w:val="center"/>
              <w:rPr>
                <w:kern w:val="0"/>
                <w:szCs w:val="21"/>
                <w:u w:val="single"/>
              </w:rPr>
            </w:pPr>
            <w:r>
              <w:rPr>
                <w:kern w:val="0"/>
                <w:szCs w:val="21"/>
                <w:u w:val="single"/>
              </w:rPr>
              <w:t>750</w:t>
            </w:r>
          </w:p>
        </w:tc>
        <w:tc>
          <w:tcPr>
            <w:tcW w:w="1811" w:type="dxa"/>
            <w:vAlign w:val="center"/>
          </w:tcPr>
          <w:p>
            <w:pPr>
              <w:pStyle w:val="34"/>
              <w:ind w:left="0" w:leftChars="0"/>
              <w:jc w:val="center"/>
              <w:rPr>
                <w:kern w:val="0"/>
                <w:szCs w:val="21"/>
                <w:u w:val="single"/>
              </w:rPr>
            </w:pPr>
            <w:r>
              <w:rPr>
                <w:kern w:val="0"/>
                <w:szCs w:val="21"/>
                <w:u w:val="single"/>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0" w:type="dxa"/>
            <w:vAlign w:val="center"/>
          </w:tcPr>
          <w:p>
            <w:pPr>
              <w:pStyle w:val="34"/>
              <w:ind w:left="0" w:leftChars="0"/>
              <w:jc w:val="center"/>
              <w:rPr>
                <w:kern w:val="0"/>
                <w:szCs w:val="21"/>
                <w:u w:val="single"/>
              </w:rPr>
            </w:pPr>
            <w:r>
              <w:rPr>
                <w:kern w:val="0"/>
                <w:szCs w:val="21"/>
                <w:u w:val="single"/>
              </w:rPr>
              <w:t>总硬度</w:t>
            </w:r>
          </w:p>
        </w:tc>
        <w:tc>
          <w:tcPr>
            <w:tcW w:w="2076" w:type="dxa"/>
            <w:vAlign w:val="center"/>
          </w:tcPr>
          <w:p>
            <w:pPr>
              <w:pStyle w:val="34"/>
              <w:ind w:left="0" w:leftChars="0"/>
              <w:jc w:val="center"/>
              <w:rPr>
                <w:kern w:val="0"/>
                <w:szCs w:val="21"/>
                <w:u w:val="single"/>
              </w:rPr>
            </w:pPr>
            <w:r>
              <w:rPr>
                <w:kern w:val="0"/>
                <w:szCs w:val="21"/>
                <w:u w:val="single"/>
              </w:rPr>
              <w:t>dH</w:t>
            </w:r>
          </w:p>
        </w:tc>
        <w:tc>
          <w:tcPr>
            <w:tcW w:w="2831" w:type="dxa"/>
            <w:vAlign w:val="center"/>
          </w:tcPr>
          <w:p>
            <w:pPr>
              <w:pStyle w:val="34"/>
              <w:ind w:left="0" w:leftChars="0"/>
              <w:jc w:val="center"/>
              <w:rPr>
                <w:kern w:val="0"/>
                <w:szCs w:val="21"/>
                <w:u w:val="single"/>
              </w:rPr>
            </w:pPr>
            <w:r>
              <w:rPr>
                <w:kern w:val="0"/>
                <w:szCs w:val="21"/>
                <w:u w:val="single"/>
              </w:rPr>
              <w:t>12.0</w:t>
            </w:r>
          </w:p>
        </w:tc>
        <w:tc>
          <w:tcPr>
            <w:tcW w:w="1811" w:type="dxa"/>
            <w:vAlign w:val="center"/>
          </w:tcPr>
          <w:p>
            <w:pPr>
              <w:pStyle w:val="34"/>
              <w:ind w:left="0" w:leftChars="0"/>
              <w:jc w:val="center"/>
              <w:rPr>
                <w:kern w:val="0"/>
                <w:szCs w:val="21"/>
                <w:u w:val="single"/>
              </w:rPr>
            </w:pPr>
            <w:r>
              <w:rPr>
                <w:kern w:val="0"/>
                <w:szCs w:val="21"/>
                <w:u w:val="single"/>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0" w:type="dxa"/>
            <w:vAlign w:val="center"/>
          </w:tcPr>
          <w:p>
            <w:pPr>
              <w:pStyle w:val="34"/>
              <w:ind w:left="0" w:leftChars="0"/>
              <w:jc w:val="center"/>
              <w:rPr>
                <w:kern w:val="0"/>
                <w:szCs w:val="21"/>
                <w:u w:val="single"/>
              </w:rPr>
            </w:pPr>
            <w:r>
              <w:rPr>
                <w:kern w:val="0"/>
                <w:szCs w:val="21"/>
                <w:u w:val="single"/>
              </w:rPr>
              <w:t>SS</w:t>
            </w:r>
          </w:p>
        </w:tc>
        <w:tc>
          <w:tcPr>
            <w:tcW w:w="2076" w:type="dxa"/>
            <w:vAlign w:val="center"/>
          </w:tcPr>
          <w:p>
            <w:pPr>
              <w:pStyle w:val="34"/>
              <w:ind w:left="0" w:leftChars="0"/>
              <w:jc w:val="center"/>
              <w:rPr>
                <w:kern w:val="0"/>
                <w:szCs w:val="21"/>
                <w:u w:val="single"/>
              </w:rPr>
            </w:pPr>
            <w:r>
              <w:rPr>
                <w:kern w:val="0"/>
                <w:szCs w:val="21"/>
                <w:u w:val="single"/>
              </w:rPr>
              <w:t>mg/L</w:t>
            </w:r>
          </w:p>
        </w:tc>
        <w:tc>
          <w:tcPr>
            <w:tcW w:w="2831" w:type="dxa"/>
            <w:vAlign w:val="center"/>
          </w:tcPr>
          <w:p>
            <w:pPr>
              <w:pStyle w:val="34"/>
              <w:ind w:left="0" w:leftChars="0"/>
              <w:jc w:val="center"/>
              <w:rPr>
                <w:kern w:val="0"/>
                <w:szCs w:val="21"/>
                <w:u w:val="single"/>
              </w:rPr>
            </w:pPr>
            <w:r>
              <w:rPr>
                <w:kern w:val="0"/>
                <w:szCs w:val="21"/>
                <w:u w:val="single"/>
              </w:rPr>
              <w:t>1200</w:t>
            </w:r>
          </w:p>
        </w:tc>
        <w:tc>
          <w:tcPr>
            <w:tcW w:w="1811" w:type="dxa"/>
            <w:vAlign w:val="center"/>
          </w:tcPr>
          <w:p>
            <w:pPr>
              <w:spacing w:line="240" w:lineRule="auto"/>
              <w:ind w:firstLine="0" w:firstLineChars="0"/>
              <w:jc w:val="center"/>
              <w:rPr>
                <w:rFonts w:cs="Times New Roman"/>
                <w:u w:val="single"/>
              </w:rPr>
            </w:pPr>
            <w:r>
              <w:rPr>
                <w:rFonts w:cs="Times New Roman"/>
                <w:kern w:val="0"/>
                <w:szCs w:val="21"/>
                <w:u w:val="singl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0" w:type="dxa"/>
            <w:vAlign w:val="center"/>
          </w:tcPr>
          <w:p>
            <w:pPr>
              <w:pStyle w:val="34"/>
              <w:ind w:left="0" w:leftChars="0"/>
              <w:jc w:val="center"/>
              <w:rPr>
                <w:kern w:val="0"/>
                <w:szCs w:val="21"/>
                <w:u w:val="single"/>
              </w:rPr>
            </w:pPr>
            <w:r>
              <w:rPr>
                <w:kern w:val="0"/>
                <w:szCs w:val="21"/>
                <w:u w:val="single"/>
              </w:rPr>
              <w:t>BOD5</w:t>
            </w:r>
          </w:p>
        </w:tc>
        <w:tc>
          <w:tcPr>
            <w:tcW w:w="2076" w:type="dxa"/>
            <w:vAlign w:val="center"/>
          </w:tcPr>
          <w:p>
            <w:pPr>
              <w:pStyle w:val="34"/>
              <w:ind w:left="0" w:leftChars="0"/>
              <w:jc w:val="center"/>
              <w:rPr>
                <w:kern w:val="0"/>
                <w:szCs w:val="21"/>
                <w:u w:val="single"/>
              </w:rPr>
            </w:pPr>
            <w:r>
              <w:rPr>
                <w:kern w:val="0"/>
                <w:szCs w:val="21"/>
                <w:u w:val="single"/>
              </w:rPr>
              <w:t>mg/L</w:t>
            </w:r>
          </w:p>
        </w:tc>
        <w:tc>
          <w:tcPr>
            <w:tcW w:w="2831" w:type="dxa"/>
            <w:vAlign w:val="center"/>
          </w:tcPr>
          <w:p>
            <w:pPr>
              <w:pStyle w:val="34"/>
              <w:ind w:left="0" w:leftChars="0"/>
              <w:jc w:val="center"/>
              <w:rPr>
                <w:kern w:val="0"/>
                <w:szCs w:val="21"/>
                <w:u w:val="single"/>
              </w:rPr>
            </w:pPr>
            <w:r>
              <w:rPr>
                <w:kern w:val="0"/>
                <w:szCs w:val="21"/>
                <w:u w:val="single"/>
              </w:rPr>
              <w:t>30</w:t>
            </w:r>
          </w:p>
        </w:tc>
        <w:tc>
          <w:tcPr>
            <w:tcW w:w="1811" w:type="dxa"/>
            <w:vAlign w:val="center"/>
          </w:tcPr>
          <w:p>
            <w:pPr>
              <w:spacing w:line="240" w:lineRule="auto"/>
              <w:ind w:firstLine="0" w:firstLineChars="0"/>
              <w:jc w:val="center"/>
              <w:rPr>
                <w:rFonts w:cs="Times New Roman"/>
                <w:u w:val="single"/>
              </w:rPr>
            </w:pPr>
            <w:r>
              <w:rPr>
                <w:rFonts w:cs="Times New Roman"/>
                <w:kern w:val="0"/>
                <w:szCs w:val="21"/>
                <w:u w:val="singl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0" w:type="dxa"/>
            <w:vAlign w:val="center"/>
          </w:tcPr>
          <w:p>
            <w:pPr>
              <w:pStyle w:val="34"/>
              <w:ind w:left="0" w:leftChars="0"/>
              <w:jc w:val="center"/>
              <w:rPr>
                <w:kern w:val="0"/>
                <w:szCs w:val="21"/>
                <w:u w:val="single"/>
              </w:rPr>
            </w:pPr>
            <w:r>
              <w:rPr>
                <w:kern w:val="0"/>
                <w:szCs w:val="21"/>
                <w:u w:val="single"/>
              </w:rPr>
              <w:t>COD</w:t>
            </w:r>
          </w:p>
        </w:tc>
        <w:tc>
          <w:tcPr>
            <w:tcW w:w="2076" w:type="dxa"/>
            <w:vAlign w:val="center"/>
          </w:tcPr>
          <w:p>
            <w:pPr>
              <w:pStyle w:val="34"/>
              <w:ind w:left="0" w:leftChars="0"/>
              <w:jc w:val="center"/>
              <w:rPr>
                <w:kern w:val="0"/>
                <w:szCs w:val="21"/>
                <w:u w:val="single"/>
              </w:rPr>
            </w:pPr>
            <w:r>
              <w:rPr>
                <w:kern w:val="0"/>
                <w:szCs w:val="21"/>
                <w:u w:val="single"/>
              </w:rPr>
              <w:t>mg/L</w:t>
            </w:r>
          </w:p>
        </w:tc>
        <w:tc>
          <w:tcPr>
            <w:tcW w:w="2831" w:type="dxa"/>
            <w:vAlign w:val="center"/>
          </w:tcPr>
          <w:p>
            <w:pPr>
              <w:pStyle w:val="34"/>
              <w:ind w:left="0" w:leftChars="0"/>
              <w:jc w:val="center"/>
              <w:rPr>
                <w:kern w:val="0"/>
                <w:szCs w:val="21"/>
                <w:u w:val="single"/>
              </w:rPr>
            </w:pPr>
            <w:r>
              <w:rPr>
                <w:kern w:val="0"/>
                <w:szCs w:val="21"/>
                <w:u w:val="single"/>
              </w:rPr>
              <w:t>60</w:t>
            </w:r>
          </w:p>
        </w:tc>
        <w:tc>
          <w:tcPr>
            <w:tcW w:w="1811" w:type="dxa"/>
            <w:vAlign w:val="center"/>
          </w:tcPr>
          <w:p>
            <w:pPr>
              <w:spacing w:line="240" w:lineRule="auto"/>
              <w:ind w:firstLine="0" w:firstLineChars="0"/>
              <w:jc w:val="center"/>
              <w:rPr>
                <w:rFonts w:cs="Times New Roman"/>
                <w:u w:val="single"/>
              </w:rPr>
            </w:pPr>
            <w:r>
              <w:rPr>
                <w:rFonts w:cs="Times New Roman"/>
                <w:kern w:val="0"/>
                <w:szCs w:val="21"/>
                <w:u w:val="singl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0" w:type="dxa"/>
            <w:vAlign w:val="center"/>
          </w:tcPr>
          <w:p>
            <w:pPr>
              <w:pStyle w:val="34"/>
              <w:ind w:left="0" w:leftChars="0"/>
              <w:jc w:val="center"/>
              <w:rPr>
                <w:kern w:val="0"/>
                <w:szCs w:val="21"/>
                <w:u w:val="single"/>
              </w:rPr>
            </w:pPr>
            <w:r>
              <w:rPr>
                <w:kern w:val="0"/>
                <w:szCs w:val="21"/>
                <w:u w:val="single"/>
              </w:rPr>
              <w:t>氨氮（以N计）</w:t>
            </w:r>
          </w:p>
        </w:tc>
        <w:tc>
          <w:tcPr>
            <w:tcW w:w="2076" w:type="dxa"/>
            <w:vAlign w:val="center"/>
          </w:tcPr>
          <w:p>
            <w:pPr>
              <w:pStyle w:val="34"/>
              <w:ind w:left="0" w:leftChars="0"/>
              <w:jc w:val="center"/>
              <w:rPr>
                <w:kern w:val="0"/>
                <w:szCs w:val="21"/>
                <w:u w:val="single"/>
              </w:rPr>
            </w:pPr>
            <w:r>
              <w:rPr>
                <w:kern w:val="0"/>
                <w:szCs w:val="21"/>
                <w:u w:val="single"/>
              </w:rPr>
              <w:t>mg/L</w:t>
            </w:r>
          </w:p>
        </w:tc>
        <w:tc>
          <w:tcPr>
            <w:tcW w:w="2831" w:type="dxa"/>
            <w:vAlign w:val="center"/>
          </w:tcPr>
          <w:p>
            <w:pPr>
              <w:pStyle w:val="34"/>
              <w:ind w:left="0" w:leftChars="0"/>
              <w:jc w:val="center"/>
              <w:rPr>
                <w:kern w:val="0"/>
                <w:szCs w:val="21"/>
                <w:u w:val="single"/>
              </w:rPr>
            </w:pPr>
            <w:r>
              <w:rPr>
                <w:kern w:val="0"/>
                <w:szCs w:val="21"/>
                <w:u w:val="single"/>
              </w:rPr>
              <w:t>25</w:t>
            </w:r>
          </w:p>
        </w:tc>
        <w:tc>
          <w:tcPr>
            <w:tcW w:w="1811" w:type="dxa"/>
            <w:vAlign w:val="center"/>
          </w:tcPr>
          <w:p>
            <w:pPr>
              <w:spacing w:line="240" w:lineRule="auto"/>
              <w:ind w:firstLine="0" w:firstLineChars="0"/>
              <w:jc w:val="center"/>
              <w:rPr>
                <w:rFonts w:cs="Times New Roman"/>
                <w:u w:val="single"/>
              </w:rPr>
            </w:pPr>
            <w:r>
              <w:rPr>
                <w:rFonts w:cs="Times New Roman"/>
                <w:kern w:val="0"/>
                <w:szCs w:val="21"/>
                <w:u w:val="singl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810" w:type="dxa"/>
            <w:vAlign w:val="center"/>
          </w:tcPr>
          <w:p>
            <w:pPr>
              <w:pStyle w:val="34"/>
              <w:ind w:left="0" w:leftChars="0"/>
              <w:jc w:val="center"/>
              <w:rPr>
                <w:kern w:val="0"/>
                <w:szCs w:val="21"/>
                <w:u w:val="single"/>
              </w:rPr>
            </w:pPr>
            <w:r>
              <w:rPr>
                <w:kern w:val="0"/>
                <w:szCs w:val="21"/>
                <w:u w:val="single"/>
              </w:rPr>
              <w:t>总磷</w:t>
            </w:r>
          </w:p>
        </w:tc>
        <w:tc>
          <w:tcPr>
            <w:tcW w:w="2076" w:type="dxa"/>
            <w:vAlign w:val="center"/>
          </w:tcPr>
          <w:p>
            <w:pPr>
              <w:pStyle w:val="34"/>
              <w:ind w:left="0" w:leftChars="0"/>
              <w:jc w:val="center"/>
              <w:rPr>
                <w:kern w:val="0"/>
                <w:szCs w:val="21"/>
                <w:u w:val="single"/>
              </w:rPr>
            </w:pPr>
            <w:r>
              <w:rPr>
                <w:kern w:val="0"/>
                <w:szCs w:val="21"/>
                <w:u w:val="single"/>
              </w:rPr>
              <w:t>mg/L</w:t>
            </w:r>
          </w:p>
        </w:tc>
        <w:tc>
          <w:tcPr>
            <w:tcW w:w="2831" w:type="dxa"/>
            <w:vAlign w:val="center"/>
          </w:tcPr>
          <w:p>
            <w:pPr>
              <w:pStyle w:val="34"/>
              <w:ind w:left="0" w:leftChars="0"/>
              <w:jc w:val="center"/>
              <w:rPr>
                <w:kern w:val="0"/>
                <w:szCs w:val="21"/>
                <w:u w:val="single"/>
              </w:rPr>
            </w:pPr>
            <w:r>
              <w:rPr>
                <w:kern w:val="0"/>
                <w:szCs w:val="21"/>
                <w:u w:val="single"/>
              </w:rPr>
              <w:t>80</w:t>
            </w:r>
          </w:p>
        </w:tc>
        <w:tc>
          <w:tcPr>
            <w:tcW w:w="1811" w:type="dxa"/>
            <w:vAlign w:val="center"/>
          </w:tcPr>
          <w:p>
            <w:pPr>
              <w:spacing w:line="240" w:lineRule="auto"/>
              <w:ind w:firstLine="0" w:firstLineChars="0"/>
              <w:jc w:val="center"/>
              <w:rPr>
                <w:rFonts w:cs="Times New Roman"/>
                <w:u w:val="single"/>
              </w:rPr>
            </w:pPr>
            <w:r>
              <w:rPr>
                <w:rFonts w:cs="Times New Roman"/>
                <w:kern w:val="0"/>
                <w:szCs w:val="21"/>
                <w:u w:val="singl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0" w:type="dxa"/>
            <w:vAlign w:val="center"/>
          </w:tcPr>
          <w:p>
            <w:pPr>
              <w:pStyle w:val="34"/>
              <w:ind w:left="0" w:leftChars="0"/>
              <w:jc w:val="center"/>
              <w:rPr>
                <w:kern w:val="0"/>
                <w:szCs w:val="21"/>
                <w:u w:val="single"/>
              </w:rPr>
            </w:pPr>
            <w:r>
              <w:rPr>
                <w:kern w:val="0"/>
                <w:szCs w:val="21"/>
                <w:u w:val="single"/>
              </w:rPr>
              <w:t>总铅</w:t>
            </w:r>
          </w:p>
        </w:tc>
        <w:tc>
          <w:tcPr>
            <w:tcW w:w="2076" w:type="dxa"/>
            <w:vAlign w:val="center"/>
          </w:tcPr>
          <w:p>
            <w:pPr>
              <w:pStyle w:val="34"/>
              <w:ind w:left="0" w:leftChars="0"/>
              <w:jc w:val="center"/>
              <w:rPr>
                <w:kern w:val="0"/>
                <w:szCs w:val="21"/>
                <w:u w:val="single"/>
              </w:rPr>
            </w:pPr>
            <w:r>
              <w:rPr>
                <w:kern w:val="0"/>
                <w:szCs w:val="21"/>
                <w:u w:val="single"/>
              </w:rPr>
              <w:t>mg/L</w:t>
            </w:r>
          </w:p>
        </w:tc>
        <w:tc>
          <w:tcPr>
            <w:tcW w:w="2831" w:type="dxa"/>
            <w:vAlign w:val="center"/>
          </w:tcPr>
          <w:p>
            <w:pPr>
              <w:pStyle w:val="34"/>
              <w:ind w:left="0" w:leftChars="0"/>
              <w:jc w:val="center"/>
              <w:rPr>
                <w:kern w:val="0"/>
                <w:szCs w:val="21"/>
                <w:u w:val="single"/>
              </w:rPr>
            </w:pPr>
            <w:r>
              <w:rPr>
                <w:kern w:val="0"/>
                <w:szCs w:val="21"/>
                <w:u w:val="single"/>
              </w:rPr>
              <w:t>0.8</w:t>
            </w:r>
          </w:p>
        </w:tc>
        <w:tc>
          <w:tcPr>
            <w:tcW w:w="1811" w:type="dxa"/>
            <w:vAlign w:val="center"/>
          </w:tcPr>
          <w:p>
            <w:pPr>
              <w:spacing w:line="240" w:lineRule="auto"/>
              <w:ind w:firstLine="0" w:firstLineChars="0"/>
              <w:jc w:val="center"/>
              <w:rPr>
                <w:rFonts w:cs="Times New Roman"/>
                <w:u w:val="single"/>
              </w:rPr>
            </w:pPr>
            <w:r>
              <w:rPr>
                <w:rFonts w:cs="Times New Roman"/>
                <w:kern w:val="0"/>
                <w:szCs w:val="21"/>
                <w:u w:val="singl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0" w:type="dxa"/>
            <w:vAlign w:val="center"/>
          </w:tcPr>
          <w:p>
            <w:pPr>
              <w:pStyle w:val="34"/>
              <w:ind w:left="0" w:leftChars="0"/>
              <w:jc w:val="center"/>
              <w:rPr>
                <w:kern w:val="0"/>
                <w:szCs w:val="21"/>
                <w:u w:val="single"/>
              </w:rPr>
            </w:pPr>
            <w:r>
              <w:rPr>
                <w:kern w:val="0"/>
                <w:szCs w:val="21"/>
                <w:u w:val="single"/>
              </w:rPr>
              <w:t>总镉</w:t>
            </w:r>
          </w:p>
        </w:tc>
        <w:tc>
          <w:tcPr>
            <w:tcW w:w="2076" w:type="dxa"/>
            <w:vAlign w:val="center"/>
          </w:tcPr>
          <w:p>
            <w:pPr>
              <w:pStyle w:val="34"/>
              <w:ind w:left="0" w:leftChars="0"/>
              <w:jc w:val="center"/>
              <w:rPr>
                <w:kern w:val="0"/>
                <w:szCs w:val="21"/>
                <w:u w:val="single"/>
              </w:rPr>
            </w:pPr>
            <w:r>
              <w:rPr>
                <w:kern w:val="0"/>
                <w:szCs w:val="21"/>
                <w:u w:val="single"/>
              </w:rPr>
              <w:t>mg/L</w:t>
            </w:r>
          </w:p>
        </w:tc>
        <w:tc>
          <w:tcPr>
            <w:tcW w:w="2831" w:type="dxa"/>
            <w:vAlign w:val="center"/>
          </w:tcPr>
          <w:p>
            <w:pPr>
              <w:pStyle w:val="34"/>
              <w:ind w:left="0" w:leftChars="0"/>
              <w:jc w:val="center"/>
              <w:rPr>
                <w:kern w:val="0"/>
                <w:szCs w:val="21"/>
                <w:u w:val="single"/>
              </w:rPr>
            </w:pPr>
            <w:r>
              <w:rPr>
                <w:kern w:val="0"/>
                <w:szCs w:val="21"/>
                <w:u w:val="single"/>
              </w:rPr>
              <w:t>0.5</w:t>
            </w:r>
          </w:p>
        </w:tc>
        <w:tc>
          <w:tcPr>
            <w:tcW w:w="1811" w:type="dxa"/>
            <w:vAlign w:val="center"/>
          </w:tcPr>
          <w:p>
            <w:pPr>
              <w:spacing w:line="240" w:lineRule="auto"/>
              <w:ind w:firstLine="0" w:firstLineChars="0"/>
              <w:jc w:val="center"/>
              <w:rPr>
                <w:rFonts w:cs="Times New Roman"/>
                <w:u w:val="single"/>
              </w:rPr>
            </w:pPr>
            <w:r>
              <w:rPr>
                <w:rFonts w:cs="Times New Roman"/>
                <w:kern w:val="0"/>
                <w:szCs w:val="21"/>
                <w:u w:val="single"/>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0" w:type="dxa"/>
            <w:vAlign w:val="center"/>
          </w:tcPr>
          <w:p>
            <w:pPr>
              <w:pStyle w:val="34"/>
              <w:ind w:left="0" w:leftChars="0"/>
              <w:jc w:val="center"/>
              <w:rPr>
                <w:kern w:val="0"/>
                <w:szCs w:val="21"/>
                <w:u w:val="single"/>
              </w:rPr>
            </w:pPr>
            <w:r>
              <w:rPr>
                <w:kern w:val="0"/>
                <w:szCs w:val="21"/>
                <w:u w:val="single"/>
              </w:rPr>
              <w:t>石油类</w:t>
            </w:r>
          </w:p>
        </w:tc>
        <w:tc>
          <w:tcPr>
            <w:tcW w:w="2076" w:type="dxa"/>
            <w:vAlign w:val="center"/>
          </w:tcPr>
          <w:p>
            <w:pPr>
              <w:pStyle w:val="34"/>
              <w:ind w:left="0" w:leftChars="0"/>
              <w:jc w:val="center"/>
              <w:rPr>
                <w:kern w:val="0"/>
                <w:szCs w:val="21"/>
                <w:u w:val="single"/>
              </w:rPr>
            </w:pPr>
            <w:r>
              <w:rPr>
                <w:kern w:val="0"/>
                <w:szCs w:val="21"/>
                <w:u w:val="single"/>
              </w:rPr>
              <w:t>mg/L</w:t>
            </w:r>
          </w:p>
        </w:tc>
        <w:tc>
          <w:tcPr>
            <w:tcW w:w="2831" w:type="dxa"/>
            <w:vAlign w:val="center"/>
          </w:tcPr>
          <w:p>
            <w:pPr>
              <w:pStyle w:val="34"/>
              <w:ind w:left="0" w:leftChars="0"/>
              <w:jc w:val="center"/>
              <w:rPr>
                <w:kern w:val="0"/>
                <w:szCs w:val="21"/>
                <w:u w:val="single"/>
              </w:rPr>
            </w:pPr>
            <w:r>
              <w:rPr>
                <w:kern w:val="0"/>
                <w:szCs w:val="21"/>
                <w:u w:val="single"/>
              </w:rPr>
              <w:t>15</w:t>
            </w:r>
          </w:p>
        </w:tc>
        <w:tc>
          <w:tcPr>
            <w:tcW w:w="1811" w:type="dxa"/>
            <w:vAlign w:val="center"/>
          </w:tcPr>
          <w:p>
            <w:pPr>
              <w:spacing w:line="240" w:lineRule="auto"/>
              <w:ind w:firstLine="0" w:firstLineChars="0"/>
              <w:jc w:val="center"/>
              <w:rPr>
                <w:rFonts w:cs="Times New Roman"/>
                <w:u w:val="single"/>
              </w:rPr>
            </w:pPr>
            <w:r>
              <w:rPr>
                <w:rFonts w:cs="Times New Roman"/>
                <w:kern w:val="0"/>
                <w:szCs w:val="21"/>
                <w:u w:val="single"/>
              </w:rPr>
              <w:t>＜3.0</w:t>
            </w:r>
          </w:p>
        </w:tc>
      </w:tr>
    </w:tbl>
    <w:p>
      <w:pPr>
        <w:autoSpaceDE w:val="0"/>
        <w:autoSpaceDN w:val="0"/>
        <w:adjustRightInd w:val="0"/>
        <w:ind w:firstLine="480"/>
        <w:rPr>
          <w:rFonts w:cs="Times New Roman"/>
          <w:u w:val="single"/>
        </w:rPr>
      </w:pPr>
      <w:r>
        <w:rPr>
          <w:rFonts w:cs="Times New Roman"/>
          <w:u w:val="single"/>
        </w:rPr>
        <w:t>从上表分析来看，采用此污水处理工艺处生产废水，生产废水中各污染指标能满足城市污水再生利用工业用水水质》（GB/T19923-2005）中的工艺与产品用水标准限值。因此，各生产环节产生的废水经二级絮凝沉淀处理后，可满足生产用水要求。</w:t>
      </w:r>
    </w:p>
    <w:p>
      <w:pPr>
        <w:autoSpaceDE w:val="0"/>
        <w:autoSpaceDN w:val="0"/>
        <w:adjustRightInd w:val="0"/>
        <w:ind w:firstLine="480"/>
        <w:rPr>
          <w:rFonts w:cs="Times New Roman"/>
          <w:u w:val="single"/>
        </w:rPr>
      </w:pPr>
      <w:r>
        <w:rPr>
          <w:rFonts w:cs="Times New Roman"/>
          <w:u w:val="single"/>
        </w:rPr>
        <w:t>（2）初期雨水</w:t>
      </w:r>
    </w:p>
    <w:p>
      <w:pPr>
        <w:autoSpaceDE w:val="0"/>
        <w:autoSpaceDN w:val="0"/>
        <w:adjustRightInd w:val="0"/>
        <w:ind w:firstLine="480"/>
        <w:rPr>
          <w:rFonts w:cs="Times New Roman"/>
          <w:u w:val="single"/>
        </w:rPr>
      </w:pPr>
      <w:r>
        <w:rPr>
          <w:rFonts w:cs="Times New Roman"/>
          <w:u w:val="single"/>
        </w:rPr>
        <w:t>初期雨水主要污染物为SS，因陶瓷生产工艺的特点，在沉淀后可满足原料配料用水要求。</w:t>
      </w:r>
    </w:p>
    <w:p>
      <w:pPr>
        <w:autoSpaceDE w:val="0"/>
        <w:autoSpaceDN w:val="0"/>
        <w:adjustRightInd w:val="0"/>
        <w:ind w:firstLine="480"/>
        <w:rPr>
          <w:rFonts w:cs="Times New Roman"/>
          <w:u w:val="single"/>
        </w:rPr>
      </w:pPr>
      <w:r>
        <w:rPr>
          <w:rFonts w:cs="Times New Roman"/>
          <w:u w:val="single"/>
        </w:rPr>
        <w:t>通过以上分析，本项目生产废水、初期雨水、生活污水经相应的处理方法处理后回用是可行的。</w:t>
      </w:r>
    </w:p>
    <w:p>
      <w:pPr>
        <w:pStyle w:val="4"/>
        <w:adjustRightInd w:val="0"/>
        <w:snapToGrid w:val="0"/>
        <w:jc w:val="left"/>
        <w:rPr>
          <w:rFonts w:cs="Times New Roman"/>
          <w:szCs w:val="24"/>
        </w:rPr>
      </w:pPr>
      <w:bookmarkStart w:id="200" w:name="_Toc86611333"/>
      <w:r>
        <w:rPr>
          <w:rFonts w:cs="Times New Roman"/>
          <w:szCs w:val="24"/>
        </w:rPr>
        <w:t>6.2.2 废气污染防治措施及可行性论证</w:t>
      </w:r>
      <w:bookmarkEnd w:id="200"/>
    </w:p>
    <w:p>
      <w:pPr>
        <w:pStyle w:val="69"/>
        <w:ind w:firstLine="0" w:firstLineChars="0"/>
        <w:outlineLvl w:val="3"/>
        <w:rPr>
          <w:b/>
          <w:bCs/>
        </w:rPr>
      </w:pPr>
      <w:r>
        <w:rPr>
          <w:b/>
          <w:bCs/>
        </w:rPr>
        <w:t>6.2.2.1 废气治理措施</w:t>
      </w:r>
    </w:p>
    <w:p>
      <w:pPr>
        <w:ind w:firstLine="480"/>
        <w:rPr>
          <w:rFonts w:cs="Times New Roman"/>
          <w:kern w:val="0"/>
        </w:rPr>
      </w:pPr>
      <w:r>
        <w:rPr>
          <w:rFonts w:cs="Times New Roman"/>
          <w:kern w:val="0"/>
        </w:rPr>
        <w:t>本项目营运期产生的废气污染物主要为：</w:t>
      </w:r>
      <w:r>
        <w:rPr>
          <w:rFonts w:hint="eastAsia" w:ascii="宋体" w:hAnsi="宋体" w:cs="宋体"/>
          <w:kern w:val="0"/>
        </w:rPr>
        <w:t>①</w:t>
      </w:r>
      <w:r>
        <w:rPr>
          <w:rFonts w:cs="Times New Roman"/>
          <w:kern w:val="0"/>
        </w:rPr>
        <w:t>喷雾干燥尾气；</w:t>
      </w:r>
      <w:r>
        <w:rPr>
          <w:rFonts w:hint="eastAsia" w:ascii="宋体" w:hAnsi="宋体" w:cs="宋体"/>
          <w:kern w:val="0"/>
        </w:rPr>
        <w:t>②</w:t>
      </w:r>
      <w:r>
        <w:rPr>
          <w:rFonts w:cs="Times New Roman"/>
          <w:kern w:val="0"/>
        </w:rPr>
        <w:t>窑炉尾气；</w:t>
      </w:r>
      <w:r>
        <w:rPr>
          <w:rFonts w:hint="eastAsia" w:ascii="宋体" w:hAnsi="宋体" w:cs="宋体"/>
          <w:kern w:val="0"/>
        </w:rPr>
        <w:t>③</w:t>
      </w:r>
      <w:r>
        <w:rPr>
          <w:rFonts w:cs="Times New Roman"/>
          <w:kern w:val="0"/>
        </w:rPr>
        <w:t>压制成型粉尘；</w:t>
      </w:r>
      <w:r>
        <w:rPr>
          <w:rFonts w:hint="eastAsia" w:ascii="宋体" w:hAnsi="宋体" w:cs="宋体"/>
          <w:kern w:val="0"/>
        </w:rPr>
        <w:t>④</w:t>
      </w:r>
      <w:r>
        <w:rPr>
          <w:rFonts w:cs="Times New Roman"/>
          <w:kern w:val="0"/>
        </w:rPr>
        <w:t>粉料仓粉尘；</w:t>
      </w:r>
      <w:r>
        <w:rPr>
          <w:rFonts w:hint="eastAsia" w:ascii="宋体" w:hAnsi="宋体" w:cs="宋体"/>
          <w:kern w:val="0"/>
        </w:rPr>
        <w:t>⑤</w:t>
      </w:r>
      <w:r>
        <w:rPr>
          <w:rFonts w:cs="Times New Roman"/>
          <w:kern w:val="0"/>
        </w:rPr>
        <w:t>干磨粉尘；</w:t>
      </w:r>
      <w:r>
        <w:rPr>
          <w:rFonts w:hint="eastAsia" w:ascii="宋体" w:hAnsi="宋体" w:cs="宋体"/>
          <w:kern w:val="0"/>
        </w:rPr>
        <w:t>⑥</w:t>
      </w:r>
      <w:r>
        <w:rPr>
          <w:rFonts w:cs="Times New Roman"/>
          <w:kern w:val="0"/>
        </w:rPr>
        <w:t>煤堆场粉尘；</w:t>
      </w:r>
      <w:r>
        <w:rPr>
          <w:rFonts w:hint="eastAsia" w:ascii="宋体" w:hAnsi="宋体" w:cs="宋体"/>
          <w:kern w:val="0"/>
        </w:rPr>
        <w:t>⑦</w:t>
      </w:r>
      <w:r>
        <w:rPr>
          <w:rFonts w:cs="Times New Roman"/>
          <w:kern w:val="0"/>
        </w:rPr>
        <w:t>无组织排放的粉尘；；。项目采取的措施详细情况见表6.2-2。</w:t>
      </w:r>
    </w:p>
    <w:p>
      <w:pPr>
        <w:pStyle w:val="34"/>
        <w:spacing w:before="163" w:beforeLines="50"/>
        <w:ind w:left="0" w:leftChars="0" w:firstLine="482" w:firstLineChars="200"/>
        <w:jc w:val="center"/>
        <w:rPr>
          <w:b/>
          <w:sz w:val="24"/>
          <w:szCs w:val="20"/>
        </w:rPr>
      </w:pPr>
      <w:r>
        <w:rPr>
          <w:b/>
          <w:sz w:val="24"/>
          <w:szCs w:val="20"/>
        </w:rPr>
        <w:t>表6.2-2  项目废气排放情况</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843"/>
        <w:gridCol w:w="1559"/>
        <w:gridCol w:w="992"/>
        <w:gridCol w:w="3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rPr>
                <w:b/>
              </w:rPr>
            </w:pPr>
            <w:r>
              <w:rPr>
                <w:b/>
              </w:rPr>
              <w:t>序号</w:t>
            </w:r>
          </w:p>
        </w:tc>
        <w:tc>
          <w:tcPr>
            <w:tcW w:w="1843" w:type="dxa"/>
            <w:vAlign w:val="center"/>
          </w:tcPr>
          <w:p>
            <w:pPr>
              <w:pStyle w:val="34"/>
              <w:ind w:left="0" w:leftChars="0"/>
              <w:jc w:val="center"/>
              <w:rPr>
                <w:b/>
              </w:rPr>
            </w:pPr>
            <w:r>
              <w:rPr>
                <w:b/>
              </w:rPr>
              <w:t>污染物</w:t>
            </w:r>
          </w:p>
        </w:tc>
        <w:tc>
          <w:tcPr>
            <w:tcW w:w="1559" w:type="dxa"/>
            <w:vAlign w:val="center"/>
          </w:tcPr>
          <w:p>
            <w:pPr>
              <w:pStyle w:val="34"/>
              <w:ind w:left="0" w:leftChars="0"/>
              <w:jc w:val="center"/>
              <w:rPr>
                <w:b/>
              </w:rPr>
            </w:pPr>
            <w:r>
              <w:rPr>
                <w:b/>
              </w:rPr>
              <w:t>产生位置</w:t>
            </w:r>
          </w:p>
        </w:tc>
        <w:tc>
          <w:tcPr>
            <w:tcW w:w="992" w:type="dxa"/>
            <w:vAlign w:val="center"/>
          </w:tcPr>
          <w:p>
            <w:pPr>
              <w:pStyle w:val="34"/>
              <w:ind w:left="0" w:leftChars="0"/>
              <w:jc w:val="center"/>
              <w:rPr>
                <w:b/>
              </w:rPr>
            </w:pPr>
            <w:r>
              <w:rPr>
                <w:b/>
              </w:rPr>
              <w:t>性质</w:t>
            </w:r>
          </w:p>
        </w:tc>
        <w:tc>
          <w:tcPr>
            <w:tcW w:w="3317" w:type="dxa"/>
            <w:vAlign w:val="center"/>
          </w:tcPr>
          <w:p>
            <w:pPr>
              <w:pStyle w:val="34"/>
              <w:ind w:left="0" w:leftChars="0"/>
              <w:jc w:val="center"/>
              <w:rPr>
                <w:b/>
              </w:rPr>
            </w:pPr>
            <w:r>
              <w:rPr>
                <w:b/>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1</w:t>
            </w:r>
          </w:p>
        </w:tc>
        <w:tc>
          <w:tcPr>
            <w:tcW w:w="1843" w:type="dxa"/>
            <w:vAlign w:val="center"/>
          </w:tcPr>
          <w:p>
            <w:pPr>
              <w:pStyle w:val="34"/>
              <w:ind w:left="0" w:leftChars="0"/>
              <w:jc w:val="center"/>
            </w:pPr>
            <w:r>
              <w:rPr>
                <w:bCs/>
                <w:szCs w:val="21"/>
              </w:rPr>
              <w:t>喷雾干燥塔烟气</w:t>
            </w:r>
          </w:p>
        </w:tc>
        <w:tc>
          <w:tcPr>
            <w:tcW w:w="1559" w:type="dxa"/>
            <w:vAlign w:val="center"/>
          </w:tcPr>
          <w:p>
            <w:pPr>
              <w:pStyle w:val="34"/>
              <w:ind w:left="0" w:leftChars="0"/>
              <w:jc w:val="center"/>
            </w:pPr>
            <w:r>
              <w:t>喷雾干燥工序+窑烧工序</w:t>
            </w:r>
          </w:p>
        </w:tc>
        <w:tc>
          <w:tcPr>
            <w:tcW w:w="992" w:type="dxa"/>
            <w:vAlign w:val="center"/>
          </w:tcPr>
          <w:p>
            <w:pPr>
              <w:pStyle w:val="34"/>
              <w:ind w:left="0" w:leftChars="0"/>
              <w:jc w:val="center"/>
            </w:pPr>
            <w:r>
              <w:t>SO</w:t>
            </w:r>
            <w:r>
              <w:rPr>
                <w:vertAlign w:val="subscript"/>
              </w:rPr>
              <w:t>2</w:t>
            </w:r>
          </w:p>
          <w:p>
            <w:pPr>
              <w:pStyle w:val="34"/>
              <w:ind w:left="0" w:leftChars="0"/>
              <w:jc w:val="center"/>
            </w:pPr>
            <w:r>
              <w:t>NO</w:t>
            </w:r>
            <w:r>
              <w:rPr>
                <w:vertAlign w:val="subscript"/>
              </w:rPr>
              <w:t>X</w:t>
            </w:r>
          </w:p>
          <w:p>
            <w:pPr>
              <w:pStyle w:val="34"/>
              <w:ind w:left="0" w:leftChars="0"/>
              <w:jc w:val="center"/>
            </w:pPr>
            <w:r>
              <w:t>粉尘</w:t>
            </w:r>
          </w:p>
          <w:p>
            <w:pPr>
              <w:pStyle w:val="34"/>
              <w:ind w:left="0" w:leftChars="0"/>
              <w:jc w:val="center"/>
            </w:pPr>
            <w:r>
              <w:t>氟化物</w:t>
            </w:r>
          </w:p>
        </w:tc>
        <w:tc>
          <w:tcPr>
            <w:tcW w:w="3317" w:type="dxa"/>
            <w:vAlign w:val="center"/>
          </w:tcPr>
          <w:p>
            <w:pPr>
              <w:pStyle w:val="34"/>
              <w:ind w:left="0" w:leftChars="0"/>
              <w:jc w:val="center"/>
            </w:pPr>
            <w:r>
              <w:t>热风炉SNCR脱硝</w:t>
            </w:r>
            <w:r>
              <w:rPr>
                <w:rFonts w:hint="eastAsia"/>
              </w:rPr>
              <w:t>+SCR脱硝</w:t>
            </w:r>
            <w:r>
              <w:t>+</w:t>
            </w:r>
            <w:r>
              <w:rPr>
                <w:rFonts w:hint="eastAsia"/>
              </w:rPr>
              <w:t>石灰石膏法脱硫</w:t>
            </w:r>
            <w:r>
              <w:t>+袋式除尘后，通过35m高排气筒高空排放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2</w:t>
            </w:r>
          </w:p>
        </w:tc>
        <w:tc>
          <w:tcPr>
            <w:tcW w:w="1843" w:type="dxa"/>
            <w:vAlign w:val="center"/>
          </w:tcPr>
          <w:p>
            <w:pPr>
              <w:pStyle w:val="34"/>
              <w:ind w:left="0" w:leftChars="0"/>
              <w:jc w:val="center"/>
            </w:pPr>
            <w:r>
              <w:t>窑炉烟气</w:t>
            </w:r>
          </w:p>
        </w:tc>
        <w:tc>
          <w:tcPr>
            <w:tcW w:w="1559" w:type="dxa"/>
            <w:vAlign w:val="center"/>
          </w:tcPr>
          <w:p>
            <w:pPr>
              <w:pStyle w:val="34"/>
              <w:ind w:left="0" w:leftChars="0"/>
              <w:jc w:val="center"/>
            </w:pPr>
            <w:r>
              <w:t>窑烧工序</w:t>
            </w:r>
          </w:p>
        </w:tc>
        <w:tc>
          <w:tcPr>
            <w:tcW w:w="992" w:type="dxa"/>
            <w:vAlign w:val="center"/>
          </w:tcPr>
          <w:p>
            <w:pPr>
              <w:pStyle w:val="34"/>
              <w:ind w:left="0" w:leftChars="0"/>
              <w:jc w:val="center"/>
            </w:pPr>
            <w:r>
              <w:t>SO</w:t>
            </w:r>
            <w:r>
              <w:rPr>
                <w:vertAlign w:val="subscript"/>
              </w:rPr>
              <w:t>2</w:t>
            </w:r>
          </w:p>
          <w:p>
            <w:pPr>
              <w:pStyle w:val="34"/>
              <w:ind w:left="0" w:leftChars="0"/>
              <w:jc w:val="center"/>
            </w:pPr>
            <w:r>
              <w:t>NO</w:t>
            </w:r>
            <w:r>
              <w:rPr>
                <w:vertAlign w:val="subscript"/>
              </w:rPr>
              <w:t>X</w:t>
            </w:r>
          </w:p>
          <w:p>
            <w:pPr>
              <w:pStyle w:val="34"/>
              <w:ind w:left="0" w:leftChars="0"/>
              <w:jc w:val="center"/>
            </w:pPr>
            <w:r>
              <w:t>粉尘</w:t>
            </w:r>
          </w:p>
          <w:p>
            <w:pPr>
              <w:pStyle w:val="34"/>
              <w:ind w:left="0" w:leftChars="0"/>
              <w:jc w:val="center"/>
            </w:pPr>
            <w:r>
              <w:t>氟化物</w:t>
            </w:r>
          </w:p>
        </w:tc>
        <w:tc>
          <w:tcPr>
            <w:tcW w:w="3317" w:type="dxa"/>
            <w:vAlign w:val="center"/>
          </w:tcPr>
          <w:p>
            <w:pPr>
              <w:pStyle w:val="34"/>
              <w:ind w:left="0" w:leftChars="0"/>
              <w:jc w:val="center"/>
            </w:pPr>
            <w:r>
              <w:t>窑炉尾气SNCR脱硝</w:t>
            </w:r>
            <w:r>
              <w:rPr>
                <w:rFonts w:hint="eastAsia"/>
              </w:rPr>
              <w:t>+SCR脱硝</w:t>
            </w:r>
            <w:r>
              <w:t>+石灰-石膏法脱硫+袋式除尘后，通过35m高排气筒高空排放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3</w:t>
            </w:r>
          </w:p>
        </w:tc>
        <w:tc>
          <w:tcPr>
            <w:tcW w:w="1843" w:type="dxa"/>
            <w:vAlign w:val="center"/>
          </w:tcPr>
          <w:p>
            <w:pPr>
              <w:pStyle w:val="34"/>
              <w:ind w:left="0" w:leftChars="0"/>
              <w:jc w:val="center"/>
            </w:pPr>
            <w:r>
              <w:t>粉料仓+压机粉尘</w:t>
            </w:r>
          </w:p>
        </w:tc>
        <w:tc>
          <w:tcPr>
            <w:tcW w:w="1559" w:type="dxa"/>
            <w:vAlign w:val="center"/>
          </w:tcPr>
          <w:p>
            <w:pPr>
              <w:pStyle w:val="34"/>
              <w:ind w:left="0" w:leftChars="0"/>
              <w:jc w:val="center"/>
            </w:pPr>
            <w:r>
              <w:t>运输、卸料+压机成型工序</w:t>
            </w:r>
          </w:p>
        </w:tc>
        <w:tc>
          <w:tcPr>
            <w:tcW w:w="992" w:type="dxa"/>
            <w:vAlign w:val="center"/>
          </w:tcPr>
          <w:p>
            <w:pPr>
              <w:pStyle w:val="34"/>
              <w:ind w:left="0" w:leftChars="0"/>
              <w:jc w:val="center"/>
            </w:pPr>
            <w:r>
              <w:t>颗粒物</w:t>
            </w:r>
          </w:p>
        </w:tc>
        <w:tc>
          <w:tcPr>
            <w:tcW w:w="3317" w:type="dxa"/>
            <w:vAlign w:val="center"/>
          </w:tcPr>
          <w:p>
            <w:pPr>
              <w:pStyle w:val="34"/>
              <w:ind w:left="0" w:leftChars="0"/>
              <w:jc w:val="center"/>
            </w:pPr>
            <w:r>
              <w:t>布袋除尘器除尘后通过15m高排气筒高空排放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4</w:t>
            </w:r>
          </w:p>
        </w:tc>
        <w:tc>
          <w:tcPr>
            <w:tcW w:w="1843" w:type="dxa"/>
            <w:vAlign w:val="center"/>
          </w:tcPr>
          <w:p>
            <w:pPr>
              <w:pStyle w:val="34"/>
              <w:ind w:left="0" w:leftChars="0"/>
              <w:jc w:val="center"/>
            </w:pPr>
            <w:r>
              <w:t>煤堆场粉尘</w:t>
            </w:r>
          </w:p>
        </w:tc>
        <w:tc>
          <w:tcPr>
            <w:tcW w:w="1559" w:type="dxa"/>
            <w:vAlign w:val="center"/>
          </w:tcPr>
          <w:p>
            <w:pPr>
              <w:pStyle w:val="34"/>
              <w:ind w:left="0" w:leftChars="0"/>
              <w:jc w:val="center"/>
            </w:pPr>
            <w:r>
              <w:t>煤加工工序</w:t>
            </w:r>
          </w:p>
        </w:tc>
        <w:tc>
          <w:tcPr>
            <w:tcW w:w="992" w:type="dxa"/>
            <w:vAlign w:val="center"/>
          </w:tcPr>
          <w:p>
            <w:pPr>
              <w:pStyle w:val="34"/>
              <w:ind w:left="0" w:leftChars="0"/>
              <w:jc w:val="center"/>
            </w:pPr>
            <w:r>
              <w:t>颗粒物</w:t>
            </w:r>
          </w:p>
        </w:tc>
        <w:tc>
          <w:tcPr>
            <w:tcW w:w="3317" w:type="dxa"/>
            <w:vAlign w:val="center"/>
          </w:tcPr>
          <w:p>
            <w:pPr>
              <w:pStyle w:val="34"/>
              <w:ind w:left="0" w:leftChars="0"/>
              <w:jc w:val="center"/>
            </w:pPr>
            <w:r>
              <w:t>布袋除尘器除尘后通过15m高排气筒高空排放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5</w:t>
            </w:r>
          </w:p>
        </w:tc>
        <w:tc>
          <w:tcPr>
            <w:tcW w:w="1843" w:type="dxa"/>
            <w:vAlign w:val="center"/>
          </w:tcPr>
          <w:p>
            <w:pPr>
              <w:pStyle w:val="34"/>
              <w:ind w:left="0" w:leftChars="0"/>
              <w:jc w:val="center"/>
            </w:pPr>
            <w:r>
              <w:t>挥发性有机物</w:t>
            </w:r>
          </w:p>
        </w:tc>
        <w:tc>
          <w:tcPr>
            <w:tcW w:w="1559" w:type="dxa"/>
            <w:vAlign w:val="center"/>
          </w:tcPr>
          <w:p>
            <w:pPr>
              <w:pStyle w:val="34"/>
              <w:ind w:left="0" w:leftChars="0"/>
              <w:jc w:val="center"/>
            </w:pPr>
            <w:r>
              <w:t>印刷</w:t>
            </w:r>
          </w:p>
        </w:tc>
        <w:tc>
          <w:tcPr>
            <w:tcW w:w="992" w:type="dxa"/>
            <w:vAlign w:val="center"/>
          </w:tcPr>
          <w:p>
            <w:pPr>
              <w:pStyle w:val="34"/>
              <w:ind w:left="0" w:leftChars="0"/>
              <w:jc w:val="center"/>
            </w:pPr>
            <w:r>
              <w:t>NMHC</w:t>
            </w:r>
          </w:p>
        </w:tc>
        <w:tc>
          <w:tcPr>
            <w:tcW w:w="3317" w:type="dxa"/>
            <w:vAlign w:val="center"/>
          </w:tcPr>
          <w:p>
            <w:pPr>
              <w:pStyle w:val="34"/>
              <w:ind w:left="0" w:leftChars="0"/>
              <w:jc w:val="center"/>
            </w:pPr>
            <w:r>
              <w:rPr>
                <w:rFonts w:hint="eastAsia"/>
              </w:rPr>
              <w:t>通入喷雾干燥塔燃烧后与喷雾干燥塔废气一并排放</w:t>
            </w:r>
          </w:p>
        </w:tc>
      </w:tr>
    </w:tbl>
    <w:p>
      <w:pPr>
        <w:pStyle w:val="69"/>
        <w:ind w:firstLine="0" w:firstLineChars="0"/>
        <w:outlineLvl w:val="3"/>
        <w:rPr>
          <w:b/>
          <w:bCs/>
        </w:rPr>
      </w:pPr>
      <w:r>
        <w:rPr>
          <w:b/>
          <w:bCs/>
        </w:rPr>
        <w:t>6.2.2.2 可行性分析</w:t>
      </w:r>
    </w:p>
    <w:p>
      <w:pPr>
        <w:ind w:firstLine="482"/>
        <w:rPr>
          <w:rFonts w:cs="Times New Roman"/>
          <w:b/>
          <w:kern w:val="0"/>
        </w:rPr>
      </w:pPr>
      <w:r>
        <w:rPr>
          <w:rFonts w:cs="Times New Roman"/>
          <w:b/>
          <w:kern w:val="0"/>
        </w:rPr>
        <w:t>1、喷雾干燥塔废气</w:t>
      </w:r>
    </w:p>
    <w:p>
      <w:pPr>
        <w:ind w:firstLine="480"/>
        <w:rPr>
          <w:rFonts w:cs="Times New Roman"/>
        </w:rPr>
      </w:pPr>
      <w:r>
        <w:rPr>
          <w:rFonts w:cs="Times New Roman"/>
        </w:rPr>
        <w:t>（1）治理方案</w:t>
      </w:r>
    </w:p>
    <w:p>
      <w:pPr>
        <w:ind w:firstLine="480"/>
        <w:rPr>
          <w:rFonts w:cs="Times New Roman"/>
          <w:kern w:val="0"/>
        </w:rPr>
      </w:pPr>
      <w:r>
        <w:rPr>
          <w:rFonts w:cs="Times New Roman"/>
          <w:kern w:val="0"/>
        </w:rPr>
        <w:t>喷雾干燥塔尾气污染物主要为烟尘、二氧化硫和氮氧化物，项目3~9号生产线喷雾干燥塔采用SNCR脱硝（效率50%）</w:t>
      </w:r>
      <w:r>
        <w:rPr>
          <w:rFonts w:hint="eastAsia" w:cs="Times New Roman"/>
          <w:kern w:val="0"/>
        </w:rPr>
        <w:t>+SCR脱硝（效率8</w:t>
      </w:r>
      <w:r>
        <w:rPr>
          <w:rFonts w:cs="Times New Roman"/>
          <w:kern w:val="0"/>
        </w:rPr>
        <w:t>0</w:t>
      </w:r>
      <w:r>
        <w:rPr>
          <w:rFonts w:hint="eastAsia" w:cs="Times New Roman"/>
          <w:kern w:val="0"/>
        </w:rPr>
        <w:t>%）</w:t>
      </w:r>
      <w:r>
        <w:rPr>
          <w:rFonts w:cs="Times New Roman"/>
          <w:kern w:val="0"/>
        </w:rPr>
        <w:t>，尾气经布袋除尘器（除尘效率99 %）+石灰石膏法脱硫器（脱硫效率85%）处理后由35m高排气筒高空排放。</w:t>
      </w:r>
    </w:p>
    <w:p>
      <w:pPr>
        <w:ind w:firstLine="480"/>
        <w:rPr>
          <w:rFonts w:cs="Times New Roman"/>
          <w:kern w:val="0"/>
        </w:rPr>
      </w:pPr>
      <w:r>
        <w:rPr>
          <w:rFonts w:cs="Times New Roman"/>
          <w:kern w:val="0"/>
        </w:rPr>
        <w:t>（2）去除效果及达标可行性分析</w:t>
      </w:r>
    </w:p>
    <w:p>
      <w:pPr>
        <w:ind w:firstLine="480"/>
        <w:rPr>
          <w:rFonts w:cs="Times New Roman"/>
          <w:kern w:val="0"/>
        </w:rPr>
      </w:pPr>
      <w:r>
        <w:rPr>
          <w:rFonts w:cs="Times New Roman"/>
          <w:kern w:val="0"/>
        </w:rPr>
        <w:t>喷雾干燥塔废气中主要污染物为烟（粉）尘、二氧化硫和氮氧化物，废气处理过程中主要是针对烟（粉）尘和二氧化硫。对于废气，处理过程中首先考虑对烟（粉）尘的去除，然后对烟气中的二氧化硫和氮氧化物的去除。</w:t>
      </w:r>
    </w:p>
    <w:p>
      <w:pPr>
        <w:ind w:firstLine="480"/>
        <w:rPr>
          <w:rFonts w:cs="Times New Roman"/>
          <w:kern w:val="0"/>
        </w:rPr>
      </w:pPr>
      <w:r>
        <w:rPr>
          <w:rFonts w:cs="Times New Roman"/>
          <w:kern w:val="0"/>
        </w:rPr>
        <w:t>A、烟（粉）尘：</w:t>
      </w:r>
    </w:p>
    <w:p>
      <w:pPr>
        <w:ind w:firstLine="480"/>
        <w:rPr>
          <w:rFonts w:cs="Times New Roman"/>
          <w:kern w:val="0"/>
        </w:rPr>
      </w:pPr>
      <w:r>
        <w:rPr>
          <w:rFonts w:cs="Times New Roman"/>
          <w:kern w:val="0"/>
        </w:rPr>
        <w:t>目前烟（粉）尘治理方法主要包括水喷淋、旋风除尘、重力沉降、布袋除尘以及静电除尘等。</w:t>
      </w:r>
    </w:p>
    <w:p>
      <w:pPr>
        <w:ind w:firstLine="480"/>
        <w:rPr>
          <w:rFonts w:cs="Times New Roman"/>
          <w:kern w:val="0"/>
        </w:rPr>
      </w:pPr>
      <w:r>
        <w:rPr>
          <w:rFonts w:hint="eastAsia" w:ascii="宋体" w:hAnsi="宋体" w:cs="宋体"/>
          <w:kern w:val="0"/>
        </w:rPr>
        <w:t>①</w:t>
      </w:r>
      <w:r>
        <w:rPr>
          <w:rFonts w:cs="Times New Roman"/>
          <w:kern w:val="0"/>
        </w:rPr>
        <w:t>水喷淋法：针对湿度较大的粉尘可采用水喷淋法处理，其代表设备主要是水膜除尘器，其工作原理是含尘气体由筒体下部顺切向引入，旋转上升，尘粒受离心力作用而被分离，抛向筒体内壁，被筒体内壁流动的水膜层所吸附，随水流到底部锥体，经排尘口卸出。水膜层的形成是由布置在筒体的上部几个喷嘴、将水顺切向喷至器壁。这样，在筒体内壁始终覆盖一层旋转向下流动的很薄水膜，达到提高除尘效果的目的。这种湿式除尘器结构简单，金属耗量小，耗水量小。其缺点是高度较大，布置困难，并且在实际运行中发现有带水现象。</w:t>
      </w:r>
    </w:p>
    <w:p>
      <w:pPr>
        <w:ind w:firstLine="480"/>
        <w:rPr>
          <w:rFonts w:cs="Times New Roman"/>
          <w:kern w:val="0"/>
        </w:rPr>
      </w:pPr>
      <w:r>
        <w:rPr>
          <w:rFonts w:hint="eastAsia" w:ascii="宋体" w:hAnsi="宋体" w:cs="宋体"/>
          <w:kern w:val="0"/>
        </w:rPr>
        <w:t>②</w:t>
      </w:r>
      <w:r>
        <w:rPr>
          <w:rFonts w:cs="Times New Roman"/>
          <w:kern w:val="0"/>
        </w:rPr>
        <w:t>旋风除尘法：旋风除尘的原理较为简单，它是利用旋转的含尘气流所产生的离心力，将颗粒污染物从气体中分离出来的过程。旋风除尘主要是针对颗粒较粗、湿度较大的粉尘采用的一种除尘方法，普通旋风除尘器除尘效率较低，约为80%左右。多管旋风除尘器除尘效率较高，可达90%。</w:t>
      </w:r>
    </w:p>
    <w:p>
      <w:pPr>
        <w:ind w:firstLine="480"/>
        <w:rPr>
          <w:rFonts w:cs="Times New Roman"/>
          <w:kern w:val="0"/>
        </w:rPr>
      </w:pPr>
      <w:r>
        <w:rPr>
          <w:rFonts w:hint="eastAsia" w:ascii="宋体" w:hAnsi="宋体" w:cs="宋体"/>
          <w:kern w:val="0"/>
        </w:rPr>
        <w:t>③</w:t>
      </w:r>
      <w:r>
        <w:rPr>
          <w:rFonts w:cs="Times New Roman"/>
          <w:kern w:val="0"/>
        </w:rPr>
        <w:t>重力沉降法：其代表设备是重力沉降室，重力沉降室是一种最简单的除尘方式，它是依靠重力的作用使尘粒从气流中分离出来。沉降室实际上是一个断面较大的空室，含尘气体由断面较少的风管进入沉降室后，气流速度大大降低，尘粒便在重力作用下沉降下来。对于密度一定的尘粒，粒径越大，在重力作用下沉降速度越大；粒径越小，沉降速度越小。</w:t>
      </w:r>
    </w:p>
    <w:p>
      <w:pPr>
        <w:ind w:firstLine="480"/>
        <w:rPr>
          <w:rFonts w:cs="Times New Roman"/>
          <w:kern w:val="0"/>
        </w:rPr>
      </w:pPr>
      <w:r>
        <w:rPr>
          <w:rFonts w:hint="eastAsia" w:ascii="宋体" w:hAnsi="宋体" w:cs="宋体"/>
          <w:kern w:val="0"/>
        </w:rPr>
        <w:t>④</w:t>
      </w:r>
      <w:r>
        <w:rPr>
          <w:rFonts w:cs="Times New Roman"/>
          <w:kern w:val="0"/>
        </w:rPr>
        <w:t>布袋除尘法：布袋除尘器是一种干式除尘装置，它是利用纤维编制物制作的袋式过滤元件来捕集含尘气体中固体颗粒物的除尘装置其作用原理是尘粒在绕过滤布纤维时因惯性力作用与纤维碰撞而被拦截。它适用于捕集细小、干燥非纤维性粉尘。滤袋采用纺织的滤布或非纺织的毡制成，利用纤维织物的过滤作用对含尘气体进行过滤，当含尘气体进入布袋除尘器，颗粒大、比重大的粉尘，由于重力的作用沉降下来，落入灰斗，含有较细小粉尘的气体在通过滤料时，粉尘被阻留，使气体得到净化。布袋除尘器能够捕捉颗粒细小的干燥粉尘，除尘效率较高，达到99%以上。</w:t>
      </w:r>
    </w:p>
    <w:p>
      <w:pPr>
        <w:ind w:firstLine="480"/>
        <w:rPr>
          <w:rFonts w:cs="Times New Roman"/>
          <w:kern w:val="0"/>
        </w:rPr>
      </w:pPr>
      <w:r>
        <w:rPr>
          <w:rFonts w:hint="eastAsia" w:ascii="宋体" w:hAnsi="宋体" w:cs="宋体"/>
          <w:kern w:val="0"/>
        </w:rPr>
        <w:t>⑤</w:t>
      </w:r>
      <w:r>
        <w:rPr>
          <w:rFonts w:cs="Times New Roman"/>
          <w:kern w:val="0"/>
        </w:rPr>
        <w:t>静电除尘法：静电除尘原理是含尘气体经过高压静电场时被电分离，尘粒与负离子结合带上负电后，趋向阳极表面放电而沉积。静电除尘是利用静电场使气体电离从而使尘粒带电吸附到电极上的收尘方法在强电场中空气分子被电离为正离子和电子，电子奔向正极过程中遇到尘粒，使尘粒带负电吸附到正极被收集。近年来通过技术创新，也有采用负极板集尘的方式。静电除尘法以往常用于以煤为燃料的工厂、电站，收集烟气中的煤灰和粉尘，冶金中用于收集锡、锌、铅、铝等的氧化物，现在也有可以用于家居的除尘灭菌产生。</w:t>
      </w:r>
    </w:p>
    <w:p>
      <w:pPr>
        <w:ind w:firstLine="480"/>
        <w:rPr>
          <w:rFonts w:cs="Times New Roman"/>
          <w:kern w:val="0"/>
        </w:rPr>
      </w:pPr>
      <w:r>
        <w:rPr>
          <w:rFonts w:cs="Times New Roman"/>
          <w:kern w:val="0"/>
        </w:rPr>
        <w:t>烟尘处理方案必须见表6.2-3。</w:t>
      </w:r>
    </w:p>
    <w:p>
      <w:pPr>
        <w:pStyle w:val="34"/>
        <w:spacing w:before="163" w:beforeLines="50"/>
        <w:ind w:left="0" w:leftChars="0" w:firstLine="482" w:firstLineChars="200"/>
        <w:jc w:val="center"/>
        <w:rPr>
          <w:b/>
          <w:sz w:val="24"/>
          <w:szCs w:val="20"/>
        </w:rPr>
      </w:pPr>
      <w:r>
        <w:rPr>
          <w:b/>
          <w:sz w:val="24"/>
          <w:szCs w:val="20"/>
        </w:rPr>
        <w:t>表6.2-3  粉尘处理方案比选一览表</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559"/>
        <w:gridCol w:w="1418"/>
        <w:gridCol w:w="1134"/>
        <w:gridCol w:w="1276"/>
        <w:gridCol w:w="2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rPr>
                <w:b/>
              </w:rPr>
            </w:pPr>
            <w:r>
              <w:rPr>
                <w:b/>
              </w:rPr>
              <w:t>粉尘处理方案</w:t>
            </w:r>
          </w:p>
        </w:tc>
        <w:tc>
          <w:tcPr>
            <w:tcW w:w="1559" w:type="dxa"/>
            <w:vAlign w:val="center"/>
          </w:tcPr>
          <w:p>
            <w:pPr>
              <w:pStyle w:val="34"/>
              <w:ind w:left="0" w:leftChars="0"/>
              <w:jc w:val="center"/>
              <w:rPr>
                <w:b/>
              </w:rPr>
            </w:pPr>
            <w:r>
              <w:rPr>
                <w:b/>
              </w:rPr>
              <w:t>水喷淋法</w:t>
            </w:r>
          </w:p>
        </w:tc>
        <w:tc>
          <w:tcPr>
            <w:tcW w:w="1418" w:type="dxa"/>
            <w:vAlign w:val="center"/>
          </w:tcPr>
          <w:p>
            <w:pPr>
              <w:pStyle w:val="34"/>
              <w:ind w:left="0" w:leftChars="0"/>
              <w:jc w:val="center"/>
              <w:rPr>
                <w:b/>
              </w:rPr>
            </w:pPr>
            <w:r>
              <w:rPr>
                <w:b/>
              </w:rPr>
              <w:t>旋风除尘法</w:t>
            </w:r>
          </w:p>
        </w:tc>
        <w:tc>
          <w:tcPr>
            <w:tcW w:w="1134" w:type="dxa"/>
            <w:vAlign w:val="center"/>
          </w:tcPr>
          <w:p>
            <w:pPr>
              <w:pStyle w:val="34"/>
              <w:ind w:left="0" w:leftChars="0"/>
              <w:jc w:val="center"/>
              <w:rPr>
                <w:b/>
              </w:rPr>
            </w:pPr>
            <w:r>
              <w:rPr>
                <w:b/>
              </w:rPr>
              <w:t>重力沉降法</w:t>
            </w:r>
          </w:p>
        </w:tc>
        <w:tc>
          <w:tcPr>
            <w:tcW w:w="1276" w:type="dxa"/>
            <w:vAlign w:val="center"/>
          </w:tcPr>
          <w:p>
            <w:pPr>
              <w:pStyle w:val="34"/>
              <w:ind w:left="0" w:leftChars="0"/>
              <w:jc w:val="center"/>
              <w:rPr>
                <w:b/>
              </w:rPr>
            </w:pPr>
            <w:r>
              <w:rPr>
                <w:b/>
              </w:rPr>
              <w:t>布袋除尘法</w:t>
            </w:r>
          </w:p>
        </w:tc>
        <w:tc>
          <w:tcPr>
            <w:tcW w:w="2324" w:type="dxa"/>
            <w:vAlign w:val="center"/>
          </w:tcPr>
          <w:p>
            <w:pPr>
              <w:pStyle w:val="34"/>
              <w:ind w:left="0" w:leftChars="0"/>
              <w:jc w:val="center"/>
              <w:rPr>
                <w:b/>
              </w:rPr>
            </w:pPr>
            <w:r>
              <w:rPr>
                <w:b/>
              </w:rPr>
              <w:t>静电除尘法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除尘原理</w:t>
            </w:r>
          </w:p>
        </w:tc>
        <w:tc>
          <w:tcPr>
            <w:tcW w:w="1559" w:type="dxa"/>
            <w:vAlign w:val="center"/>
          </w:tcPr>
          <w:p>
            <w:pPr>
              <w:pStyle w:val="34"/>
              <w:ind w:left="0" w:leftChars="0"/>
              <w:jc w:val="center"/>
            </w:pPr>
            <w:r>
              <w:t>水膜除尘器，含尘气体由筒体下部顺切向引入，旋转上升，尘粒受离心力作用而被分离，抛向筒体内壁，被筒体内壁流动的水膜层所吸附，随水流到底部锥体，经排尘口卸出</w:t>
            </w:r>
          </w:p>
        </w:tc>
        <w:tc>
          <w:tcPr>
            <w:tcW w:w="1418" w:type="dxa"/>
            <w:vAlign w:val="center"/>
          </w:tcPr>
          <w:p>
            <w:pPr>
              <w:pStyle w:val="34"/>
              <w:ind w:left="0" w:leftChars="0"/>
              <w:jc w:val="center"/>
            </w:pPr>
            <w:r>
              <w:t>旋风除尘是利用旋转的含尘气流所产生的离心力，将颗粒污染物从气体中分离出来的过程</w:t>
            </w:r>
          </w:p>
        </w:tc>
        <w:tc>
          <w:tcPr>
            <w:tcW w:w="1134" w:type="dxa"/>
            <w:vAlign w:val="center"/>
          </w:tcPr>
          <w:p>
            <w:pPr>
              <w:pStyle w:val="34"/>
              <w:ind w:left="0" w:leftChars="0"/>
              <w:jc w:val="center"/>
            </w:pPr>
            <w:r>
              <w:t>依靠重力的作用使尘粒从气流中分离出来</w:t>
            </w:r>
          </w:p>
        </w:tc>
        <w:tc>
          <w:tcPr>
            <w:tcW w:w="1276" w:type="dxa"/>
            <w:vAlign w:val="center"/>
          </w:tcPr>
          <w:p>
            <w:pPr>
              <w:pStyle w:val="34"/>
              <w:ind w:left="0" w:leftChars="0"/>
              <w:jc w:val="center"/>
            </w:pPr>
            <w:r>
              <w:t>利用纤维编制物制作的袋式过滤元件来捕集含尘气体中固体颗粒物的除尘装置其作用原理是尘粒在绕过滤布纤维时因惯性力作用与纤维碰撞而被拦截</w:t>
            </w:r>
          </w:p>
        </w:tc>
        <w:tc>
          <w:tcPr>
            <w:tcW w:w="2324" w:type="dxa"/>
            <w:vAlign w:val="center"/>
          </w:tcPr>
          <w:p>
            <w:pPr>
              <w:pStyle w:val="34"/>
              <w:ind w:left="0" w:leftChars="0"/>
              <w:jc w:val="center"/>
            </w:pPr>
            <w:r>
              <w:t>含尘气体经过高压静电场时被电分离，尘粒与负离子结合带上负电后，趋向阳极表面放电而沉积。静电除尘是利用静电场使气体电离从而使尘粒带电吸附到电极上的收尘方法在强电场中空气分子被电离为正离子和电子，电子奔向正极过程中遇到尘粒，使尘粒带负电吸附到正极被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除尘效率</w:t>
            </w:r>
          </w:p>
        </w:tc>
        <w:tc>
          <w:tcPr>
            <w:tcW w:w="1559" w:type="dxa"/>
            <w:vAlign w:val="center"/>
          </w:tcPr>
          <w:p>
            <w:pPr>
              <w:pStyle w:val="34"/>
              <w:ind w:left="0" w:leftChars="0"/>
              <w:jc w:val="center"/>
            </w:pPr>
            <w:r>
              <w:t>95%</w:t>
            </w:r>
          </w:p>
        </w:tc>
        <w:tc>
          <w:tcPr>
            <w:tcW w:w="1418" w:type="dxa"/>
            <w:vAlign w:val="center"/>
          </w:tcPr>
          <w:p>
            <w:pPr>
              <w:pStyle w:val="34"/>
              <w:ind w:left="0" w:leftChars="0"/>
              <w:jc w:val="center"/>
            </w:pPr>
            <w:r>
              <w:t>80~90%</w:t>
            </w:r>
          </w:p>
        </w:tc>
        <w:tc>
          <w:tcPr>
            <w:tcW w:w="1134" w:type="dxa"/>
            <w:vAlign w:val="center"/>
          </w:tcPr>
          <w:p>
            <w:pPr>
              <w:pStyle w:val="34"/>
              <w:ind w:left="0" w:leftChars="0"/>
              <w:jc w:val="center"/>
            </w:pPr>
            <w:r>
              <w:t>85%</w:t>
            </w:r>
          </w:p>
        </w:tc>
        <w:tc>
          <w:tcPr>
            <w:tcW w:w="1276" w:type="dxa"/>
            <w:vAlign w:val="center"/>
          </w:tcPr>
          <w:p>
            <w:pPr>
              <w:pStyle w:val="34"/>
              <w:ind w:left="0" w:leftChars="0"/>
              <w:jc w:val="center"/>
            </w:pPr>
            <w:r>
              <w:t>98~99%</w:t>
            </w:r>
          </w:p>
        </w:tc>
        <w:tc>
          <w:tcPr>
            <w:tcW w:w="2324" w:type="dxa"/>
            <w:vAlign w:val="center"/>
          </w:tcPr>
          <w:p>
            <w:pPr>
              <w:pStyle w:val="34"/>
              <w:ind w:left="0" w:leftChars="0"/>
              <w:jc w:val="cente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适用类型</w:t>
            </w:r>
          </w:p>
        </w:tc>
        <w:tc>
          <w:tcPr>
            <w:tcW w:w="1559" w:type="dxa"/>
            <w:vAlign w:val="center"/>
          </w:tcPr>
          <w:p>
            <w:pPr>
              <w:pStyle w:val="34"/>
              <w:ind w:left="0" w:leftChars="0"/>
              <w:jc w:val="center"/>
            </w:pPr>
            <w:r>
              <w:t>湿度较大粉尘</w:t>
            </w:r>
          </w:p>
        </w:tc>
        <w:tc>
          <w:tcPr>
            <w:tcW w:w="1418" w:type="dxa"/>
            <w:vAlign w:val="center"/>
          </w:tcPr>
          <w:p>
            <w:pPr>
              <w:pStyle w:val="34"/>
              <w:ind w:left="0" w:leftChars="0"/>
              <w:jc w:val="center"/>
            </w:pPr>
            <w:r>
              <w:t>颗粒较粗、湿度较大的粉尘</w:t>
            </w:r>
          </w:p>
        </w:tc>
        <w:tc>
          <w:tcPr>
            <w:tcW w:w="1134" w:type="dxa"/>
            <w:vAlign w:val="center"/>
          </w:tcPr>
          <w:p>
            <w:pPr>
              <w:pStyle w:val="34"/>
              <w:ind w:left="0" w:leftChars="0"/>
              <w:jc w:val="center"/>
            </w:pPr>
            <w:r>
              <w:t>适用重力较大的粉尘</w:t>
            </w:r>
          </w:p>
        </w:tc>
        <w:tc>
          <w:tcPr>
            <w:tcW w:w="1276" w:type="dxa"/>
            <w:vAlign w:val="center"/>
          </w:tcPr>
          <w:p>
            <w:pPr>
              <w:pStyle w:val="34"/>
              <w:ind w:left="0" w:leftChars="0"/>
              <w:jc w:val="center"/>
            </w:pPr>
            <w:r>
              <w:t>适用于捕集细小、干燥非纤维性粉尘</w:t>
            </w:r>
          </w:p>
        </w:tc>
        <w:tc>
          <w:tcPr>
            <w:tcW w:w="2324" w:type="dxa"/>
            <w:vAlign w:val="center"/>
          </w:tcPr>
          <w:p>
            <w:pPr>
              <w:pStyle w:val="34"/>
              <w:ind w:left="0" w:leftChars="0"/>
              <w:jc w:val="center"/>
            </w:pPr>
            <w:r>
              <w:t>常用于以煤等燃料的工厂、电站，收集烟气中的煤灰和粉尘，冶金中用于收集锡、锌、铅、铝等的氧化物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运行费用</w:t>
            </w:r>
          </w:p>
        </w:tc>
        <w:tc>
          <w:tcPr>
            <w:tcW w:w="1559" w:type="dxa"/>
            <w:vAlign w:val="center"/>
          </w:tcPr>
          <w:p>
            <w:pPr>
              <w:pStyle w:val="34"/>
              <w:ind w:left="0" w:leftChars="0"/>
              <w:jc w:val="center"/>
            </w:pPr>
            <w:r>
              <w:t>一般，主要是泵带动水循环用电费用</w:t>
            </w:r>
          </w:p>
        </w:tc>
        <w:tc>
          <w:tcPr>
            <w:tcW w:w="1418" w:type="dxa"/>
            <w:vAlign w:val="center"/>
          </w:tcPr>
          <w:p>
            <w:pPr>
              <w:pStyle w:val="34"/>
              <w:ind w:left="0" w:leftChars="0"/>
              <w:jc w:val="center"/>
            </w:pPr>
            <w:r>
              <w:t>一般，主要是风机用电费用</w:t>
            </w:r>
          </w:p>
        </w:tc>
        <w:tc>
          <w:tcPr>
            <w:tcW w:w="1134" w:type="dxa"/>
            <w:vAlign w:val="center"/>
          </w:tcPr>
          <w:p>
            <w:pPr>
              <w:pStyle w:val="34"/>
              <w:ind w:left="0" w:leftChars="0"/>
              <w:jc w:val="center"/>
            </w:pPr>
            <w:r>
              <w:t>一般，主要是风机用电费用</w:t>
            </w:r>
          </w:p>
        </w:tc>
        <w:tc>
          <w:tcPr>
            <w:tcW w:w="1276" w:type="dxa"/>
            <w:vAlign w:val="center"/>
          </w:tcPr>
          <w:p>
            <w:pPr>
              <w:pStyle w:val="34"/>
              <w:ind w:left="0" w:leftChars="0"/>
              <w:jc w:val="center"/>
            </w:pPr>
            <w:r>
              <w:t>一般，主要是风机用电费用</w:t>
            </w:r>
          </w:p>
        </w:tc>
        <w:tc>
          <w:tcPr>
            <w:tcW w:w="2324" w:type="dxa"/>
            <w:vAlign w:val="center"/>
          </w:tcPr>
          <w:p>
            <w:pPr>
              <w:pStyle w:val="34"/>
              <w:ind w:left="0" w:leftChars="0"/>
              <w:jc w:val="center"/>
            </w:pPr>
            <w:r>
              <w:t>较高</w:t>
            </w:r>
          </w:p>
        </w:tc>
      </w:tr>
    </w:tbl>
    <w:p>
      <w:pPr>
        <w:autoSpaceDE w:val="0"/>
        <w:autoSpaceDN w:val="0"/>
        <w:adjustRightInd w:val="0"/>
        <w:ind w:firstLine="480"/>
        <w:rPr>
          <w:rFonts w:cs="Times New Roman"/>
          <w:kern w:val="0"/>
          <w:lang w:val="zh-CN"/>
        </w:rPr>
      </w:pPr>
      <w:r>
        <w:rPr>
          <w:rFonts w:cs="Times New Roman"/>
          <w:kern w:val="0"/>
          <w:lang w:val="zh-CN"/>
        </w:rPr>
        <w:t>B、二氧化硫：</w:t>
      </w:r>
    </w:p>
    <w:p>
      <w:pPr>
        <w:autoSpaceDE w:val="0"/>
        <w:autoSpaceDN w:val="0"/>
        <w:adjustRightInd w:val="0"/>
        <w:ind w:firstLine="480"/>
        <w:rPr>
          <w:rFonts w:cs="Times New Roman"/>
          <w:kern w:val="0"/>
          <w:lang w:val="zh-CN"/>
        </w:rPr>
      </w:pPr>
      <w:r>
        <w:rPr>
          <w:rFonts w:cs="Times New Roman"/>
          <w:kern w:val="0"/>
          <w:lang w:val="zh-CN"/>
        </w:rPr>
        <w:t>废气脱硫的措施主要有石灰石/石灰法、氨法、钠碱法、氧化镁法和钠钙双碱法，以上脱硫方法原理基本一致，均是利用溶（浆）液中的碱性介质作为脱硫剂吸收废气中的二氧化硫，由于介质不同，溶（浆）液性质不同等原因，导致各种脱硫方法对二氧化硫的脱除效率和适用范围不同，具体如下：</w:t>
      </w:r>
    </w:p>
    <w:p>
      <w:pPr>
        <w:autoSpaceDE w:val="0"/>
        <w:autoSpaceDN w:val="0"/>
        <w:adjustRightInd w:val="0"/>
        <w:ind w:firstLine="480"/>
        <w:rPr>
          <w:rFonts w:cs="Times New Roman"/>
          <w:kern w:val="0"/>
          <w:lang w:val="zh-CN"/>
        </w:rPr>
      </w:pPr>
      <w:r>
        <w:rPr>
          <w:rFonts w:hint="eastAsia" w:ascii="宋体" w:hAnsi="宋体" w:cs="宋体"/>
          <w:kern w:val="0"/>
          <w:lang w:val="zh-CN"/>
        </w:rPr>
        <w:t>①</w:t>
      </w:r>
      <w:r>
        <w:rPr>
          <w:rFonts w:cs="Times New Roman"/>
          <w:kern w:val="0"/>
          <w:lang w:val="zh-CN"/>
        </w:rPr>
        <w:t>石灰石膏法：采用石灰石/石灰粉，将其制成石灰石/石灰浆液，在脱硫吸收塔内通过喷淋，将石灰石/石灰浆液雾化使其与烟气混合接触，从而达到脱硫的目的。该工艺需配备石灰石/石灰粉碎系统与石灰石/石灰化浆系统。石灰较石灰石的活性高，可以减少用量，降低运行费用。但无论使用石灰石还是石灰，液气比都较高（约为15~22），通过高液气比来保证足够的脱硫效率，因此运行费用较高。</w:t>
      </w:r>
    </w:p>
    <w:p>
      <w:pPr>
        <w:autoSpaceDE w:val="0"/>
        <w:autoSpaceDN w:val="0"/>
        <w:adjustRightInd w:val="0"/>
        <w:ind w:firstLine="480"/>
        <w:rPr>
          <w:rFonts w:cs="Times New Roman"/>
          <w:kern w:val="0"/>
          <w:lang w:val="zh-CN"/>
        </w:rPr>
      </w:pPr>
      <w:r>
        <w:rPr>
          <w:rFonts w:cs="Times New Roman"/>
          <w:kern w:val="0"/>
          <w:lang w:val="zh-CN"/>
        </w:rPr>
        <w:t>石灰石/石灰法主要存在的问题是塔内容易结垢，副产物亚硫酸钙或硫酸钙容易引起气液接触器（喷头或塔板）、管道等的结垢堵塞。适用于大型电厂锅炉烟气脱硫。</w:t>
      </w:r>
    </w:p>
    <w:p>
      <w:pPr>
        <w:autoSpaceDE w:val="0"/>
        <w:autoSpaceDN w:val="0"/>
        <w:adjustRightInd w:val="0"/>
        <w:ind w:firstLine="480"/>
        <w:rPr>
          <w:rFonts w:cs="Times New Roman"/>
          <w:kern w:val="0"/>
          <w:lang w:val="zh-CN"/>
        </w:rPr>
      </w:pPr>
      <w:r>
        <w:rPr>
          <w:rFonts w:hint="eastAsia" w:ascii="宋体" w:hAnsi="宋体" w:cs="宋体"/>
          <w:kern w:val="0"/>
          <w:lang w:val="zh-CN"/>
        </w:rPr>
        <w:t>②</w:t>
      </w:r>
      <w:r>
        <w:rPr>
          <w:rFonts w:cs="Times New Roman"/>
          <w:kern w:val="0"/>
          <w:lang w:val="zh-CN"/>
        </w:rPr>
        <w:t>氨法：氨法采用氨水作为二氧化硫的吸收剂，SO</w:t>
      </w:r>
      <w:r>
        <w:rPr>
          <w:rFonts w:cs="Times New Roman"/>
          <w:kern w:val="0"/>
          <w:vertAlign w:val="subscript"/>
          <w:lang w:val="zh-CN"/>
        </w:rPr>
        <w:t>2</w:t>
      </w:r>
      <w:r>
        <w:rPr>
          <w:rFonts w:cs="Times New Roman"/>
          <w:kern w:val="0"/>
          <w:lang w:val="zh-CN"/>
        </w:rPr>
        <w:t>与NH</w:t>
      </w:r>
      <w:r>
        <w:rPr>
          <w:rFonts w:cs="Times New Roman"/>
          <w:kern w:val="0"/>
          <w:vertAlign w:val="subscript"/>
          <w:lang w:val="zh-CN"/>
        </w:rPr>
        <w:t>3</w:t>
      </w:r>
      <w:r>
        <w:rPr>
          <w:rFonts w:cs="Times New Roman"/>
          <w:kern w:val="0"/>
          <w:lang w:val="zh-CN"/>
        </w:rPr>
        <w:t>反应可产生亚硫酸氨、亚硫酸氢氨与部分因氧化而产生的硫酸氨。由于吸收液处理方法的不同，氨法可分为氨-酸法、氨-亚硫酸氨法和氨-硫酸氨法。氨法主要优点是脱硫率高（与钠碱法相同），副产物可作为农业肥料。</w:t>
      </w:r>
    </w:p>
    <w:p>
      <w:pPr>
        <w:autoSpaceDE w:val="0"/>
        <w:autoSpaceDN w:val="0"/>
        <w:adjustRightInd w:val="0"/>
        <w:ind w:firstLine="480"/>
        <w:rPr>
          <w:rFonts w:cs="Times New Roman"/>
          <w:kern w:val="0"/>
          <w:lang w:val="zh-CN"/>
        </w:rPr>
      </w:pPr>
      <w:r>
        <w:rPr>
          <w:rFonts w:cs="Times New Roman"/>
          <w:kern w:val="0"/>
          <w:lang w:val="zh-CN"/>
        </w:rPr>
        <w:t>由于氨的易挥发性，造成吸收剂消耗量增加，脱硫剂利用率不高；另外氨水的来源地和行业的限制大，氨水的费用也高。脱硫对氨水的浓度有一定的要求，若氨水浓度太低，影响脱硫效率，水循环系统无疑将增大，使运行费用增加；浓度增大，导致蒸发量增大，产生氨气的恶臭，对工作环境产生影响，而且氨易挥发与净化后烟气中的SO</w:t>
      </w:r>
      <w:r>
        <w:rPr>
          <w:rFonts w:cs="Times New Roman"/>
          <w:kern w:val="0"/>
          <w:vertAlign w:val="subscript"/>
          <w:lang w:val="zh-CN"/>
        </w:rPr>
        <w:t>2</w:t>
      </w:r>
      <w:r>
        <w:rPr>
          <w:rFonts w:cs="Times New Roman"/>
          <w:kern w:val="0"/>
          <w:lang w:val="zh-CN"/>
        </w:rPr>
        <w:t>反应，形成气溶胶，使得烟气无法达标排放。</w:t>
      </w:r>
    </w:p>
    <w:p>
      <w:pPr>
        <w:autoSpaceDE w:val="0"/>
        <w:autoSpaceDN w:val="0"/>
        <w:adjustRightInd w:val="0"/>
        <w:ind w:firstLine="480"/>
        <w:rPr>
          <w:rFonts w:cs="Times New Roman"/>
          <w:kern w:val="0"/>
          <w:lang w:val="zh-CN"/>
        </w:rPr>
      </w:pPr>
      <w:r>
        <w:rPr>
          <w:rFonts w:cs="Times New Roman"/>
          <w:kern w:val="0"/>
          <w:lang w:val="zh-CN"/>
        </w:rPr>
        <w:t>氨法副产物回收的过程较为困难，投资费用较高，需配备制酸系统或结晶回收装置（需配备中和器、结晶器、脱水机、干燥机等），系统复杂，设备繁多，管理维护要求高。副产物硫铵市场准入困难。适用中小锅炉烟气脱硫和易得到氨水的化工企业锅炉烟气脱硫。</w:t>
      </w:r>
    </w:p>
    <w:p>
      <w:pPr>
        <w:autoSpaceDE w:val="0"/>
        <w:autoSpaceDN w:val="0"/>
        <w:adjustRightInd w:val="0"/>
        <w:ind w:firstLine="480"/>
        <w:rPr>
          <w:rFonts w:cs="Times New Roman"/>
          <w:kern w:val="0"/>
          <w:lang w:val="zh-CN"/>
        </w:rPr>
      </w:pPr>
      <w:r>
        <w:rPr>
          <w:rFonts w:hint="eastAsia" w:ascii="宋体" w:hAnsi="宋体" w:cs="宋体"/>
          <w:kern w:val="0"/>
          <w:lang w:val="zh-CN"/>
        </w:rPr>
        <w:t>③</w:t>
      </w:r>
      <w:r>
        <w:rPr>
          <w:rFonts w:cs="Times New Roman"/>
          <w:kern w:val="0"/>
          <w:lang w:val="zh-CN"/>
        </w:rPr>
        <w:t>钠碱法：钠碱法是采用碳酸钠或氢氧化钠等碱性物质吸收烟气中的二氧化硫的方法，它具有吸收剂不挥发、溶解度大、活性高、脱硫系统不堵塞等优点，并可得到副产物Na₂SO</w:t>
      </w:r>
      <w:r>
        <w:rPr>
          <w:rFonts w:cs="Times New Roman"/>
          <w:kern w:val="0"/>
          <w:vertAlign w:val="subscript"/>
          <w:lang w:val="zh-CN"/>
        </w:rPr>
        <w:t>3</w:t>
      </w:r>
      <w:r>
        <w:rPr>
          <w:rFonts w:cs="Times New Roman"/>
          <w:kern w:val="0"/>
          <w:lang w:val="zh-CN"/>
        </w:rPr>
        <w:t>，或转化为高浓度二氧化硫气体利用，适合于所排烟气中二氧化硫浓度比较高的废气吸收处理。但副产物的回收困难、工艺投资较高、钠碱的价格高造成运行费用高等是其主要缺点。</w:t>
      </w:r>
    </w:p>
    <w:p>
      <w:pPr>
        <w:autoSpaceDE w:val="0"/>
        <w:autoSpaceDN w:val="0"/>
        <w:adjustRightInd w:val="0"/>
        <w:ind w:firstLine="480"/>
        <w:rPr>
          <w:rFonts w:cs="Times New Roman"/>
          <w:kern w:val="0"/>
          <w:lang w:val="zh-CN"/>
        </w:rPr>
      </w:pPr>
      <w:r>
        <w:rPr>
          <w:rFonts w:hint="eastAsia" w:ascii="宋体" w:hAnsi="宋体" w:cs="宋体"/>
          <w:kern w:val="0"/>
          <w:lang w:val="zh-CN"/>
        </w:rPr>
        <w:t>④</w:t>
      </w:r>
      <w:r>
        <w:rPr>
          <w:rFonts w:cs="Times New Roman"/>
          <w:kern w:val="0"/>
          <w:lang w:val="zh-CN"/>
        </w:rPr>
        <w:t>氧化镁法：氧化镁法是将氧化镁制成浆液，作为脱硫吸收剂吸收SO2，生成产物为硫酸镁或亚硫酸镁，副产物抛弃或干燥煅烧后，再生成氧化镁。该工艺的优点是脱硫效率在90%以上，较石灰石/石灰法的结垢问题轻，硫酸镁、亚硫酸镁的溶解度相对硫酸钙、亚硫酸钙大。缺点是氧化镁的价格高，脱硫费用相对较高。氧化镁回收过程工艺较复杂，但若直接采用抛弃法，镁盐会导致二次污染。</w:t>
      </w:r>
    </w:p>
    <w:p>
      <w:pPr>
        <w:autoSpaceDE w:val="0"/>
        <w:autoSpaceDN w:val="0"/>
        <w:adjustRightInd w:val="0"/>
        <w:ind w:firstLine="480"/>
        <w:rPr>
          <w:rFonts w:cs="Times New Roman"/>
          <w:kern w:val="0"/>
          <w:lang w:val="zh-CN"/>
        </w:rPr>
      </w:pPr>
      <w:r>
        <w:rPr>
          <w:rFonts w:hint="eastAsia" w:ascii="宋体" w:hAnsi="宋体" w:cs="宋体"/>
          <w:kern w:val="0"/>
          <w:lang w:val="zh-CN"/>
        </w:rPr>
        <w:t>⑤</w:t>
      </w:r>
      <w:r>
        <w:rPr>
          <w:rFonts w:cs="Times New Roman"/>
          <w:kern w:val="0"/>
          <w:lang w:val="zh-CN"/>
        </w:rPr>
        <w:t>钠钙双碱法：钠钙双碱法是结合石灰石/石灰法和钠碱法两者的优点，以钠碱为脱硫剂，石灰为再生剂，通过在循环水系统中投加石灰，生成亚硫酸钙和钠碱，亚硫酸钙沉淀，钠碱随脱硫循环水循环利用。该种工艺既解决了石灰石/石灰法易结垢的问题，同时兼有钠碱法脱硫效率高的优点。并且主要消耗的为廉价的石灰石/石灰，运行费用也低。脱硫副产物亚硫酸钙、硫酸钙不会造成二次污染。</w:t>
      </w:r>
    </w:p>
    <w:p>
      <w:pPr>
        <w:autoSpaceDE w:val="0"/>
        <w:autoSpaceDN w:val="0"/>
        <w:adjustRightInd w:val="0"/>
        <w:ind w:firstLine="480"/>
        <w:rPr>
          <w:rFonts w:cs="Times New Roman"/>
          <w:kern w:val="0"/>
          <w:lang w:val="zh-CN"/>
        </w:rPr>
      </w:pPr>
      <w:r>
        <w:rPr>
          <w:rFonts w:cs="Times New Roman"/>
          <w:kern w:val="0"/>
          <w:lang w:val="zh-CN"/>
        </w:rPr>
        <w:t>脱硫液循环利用，不产生水污染的问题。混入硫酸钙、亚硫酸钙的煤粉渣，是较好的制备水泥的原料和路基填充料。适用于各种中小锅炉的烟气脱硫。</w:t>
      </w:r>
    </w:p>
    <w:p>
      <w:pPr>
        <w:autoSpaceDE w:val="0"/>
        <w:autoSpaceDN w:val="0"/>
        <w:adjustRightInd w:val="0"/>
        <w:ind w:firstLine="480"/>
        <w:rPr>
          <w:rFonts w:cs="Times New Roman"/>
          <w:kern w:val="0"/>
          <w:lang w:val="zh-CN"/>
        </w:rPr>
      </w:pPr>
      <w:r>
        <w:rPr>
          <w:rFonts w:cs="Times New Roman"/>
          <w:kern w:val="0"/>
          <w:lang w:val="zh-CN"/>
        </w:rPr>
        <w:t>废气脱硫方案比选见表6.2-4。</w:t>
      </w:r>
    </w:p>
    <w:p>
      <w:pPr>
        <w:pStyle w:val="34"/>
        <w:spacing w:before="163" w:beforeLines="50"/>
        <w:ind w:left="0" w:leftChars="0" w:firstLine="482" w:firstLineChars="200"/>
        <w:jc w:val="center"/>
        <w:rPr>
          <w:b/>
          <w:sz w:val="24"/>
          <w:szCs w:val="20"/>
        </w:rPr>
      </w:pPr>
      <w:r>
        <w:rPr>
          <w:b/>
          <w:sz w:val="24"/>
          <w:szCs w:val="20"/>
        </w:rPr>
        <w:t>表6.2-4  废气脱硫方案比选一览表</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559"/>
        <w:gridCol w:w="1418"/>
        <w:gridCol w:w="1134"/>
        <w:gridCol w:w="1276"/>
        <w:gridCol w:w="2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rPr>
                <w:b/>
              </w:rPr>
            </w:pPr>
            <w:r>
              <w:rPr>
                <w:b/>
              </w:rPr>
              <w:t>粉尘处理方案</w:t>
            </w:r>
          </w:p>
        </w:tc>
        <w:tc>
          <w:tcPr>
            <w:tcW w:w="1559" w:type="dxa"/>
            <w:vAlign w:val="center"/>
          </w:tcPr>
          <w:p>
            <w:pPr>
              <w:pStyle w:val="34"/>
              <w:ind w:left="0" w:leftChars="0"/>
              <w:jc w:val="center"/>
              <w:rPr>
                <w:b/>
              </w:rPr>
            </w:pPr>
            <w:r>
              <w:rPr>
                <w:b/>
              </w:rPr>
              <w:t>石灰石膏法</w:t>
            </w:r>
          </w:p>
        </w:tc>
        <w:tc>
          <w:tcPr>
            <w:tcW w:w="1418" w:type="dxa"/>
            <w:vAlign w:val="center"/>
          </w:tcPr>
          <w:p>
            <w:pPr>
              <w:pStyle w:val="34"/>
              <w:ind w:left="0" w:leftChars="0"/>
              <w:jc w:val="center"/>
              <w:rPr>
                <w:b/>
              </w:rPr>
            </w:pPr>
            <w:r>
              <w:rPr>
                <w:b/>
              </w:rPr>
              <w:t>氨法</w:t>
            </w:r>
          </w:p>
        </w:tc>
        <w:tc>
          <w:tcPr>
            <w:tcW w:w="1134" w:type="dxa"/>
            <w:vAlign w:val="center"/>
          </w:tcPr>
          <w:p>
            <w:pPr>
              <w:pStyle w:val="34"/>
              <w:ind w:left="0" w:leftChars="0"/>
              <w:jc w:val="center"/>
              <w:rPr>
                <w:b/>
              </w:rPr>
            </w:pPr>
            <w:r>
              <w:rPr>
                <w:b/>
              </w:rPr>
              <w:t>钠碱法</w:t>
            </w:r>
          </w:p>
        </w:tc>
        <w:tc>
          <w:tcPr>
            <w:tcW w:w="1276" w:type="dxa"/>
            <w:vAlign w:val="center"/>
          </w:tcPr>
          <w:p>
            <w:pPr>
              <w:pStyle w:val="34"/>
              <w:ind w:left="0" w:leftChars="0"/>
              <w:jc w:val="center"/>
              <w:rPr>
                <w:b/>
              </w:rPr>
            </w:pPr>
            <w:r>
              <w:rPr>
                <w:b/>
              </w:rPr>
              <w:t>氧化镁法</w:t>
            </w:r>
          </w:p>
        </w:tc>
        <w:tc>
          <w:tcPr>
            <w:tcW w:w="2324" w:type="dxa"/>
            <w:vAlign w:val="center"/>
          </w:tcPr>
          <w:p>
            <w:pPr>
              <w:pStyle w:val="34"/>
              <w:ind w:left="0" w:leftChars="0"/>
              <w:jc w:val="center"/>
              <w:rPr>
                <w:b/>
              </w:rPr>
            </w:pPr>
            <w:r>
              <w:rPr>
                <w:b/>
              </w:rPr>
              <w:t>钠钙双碱法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脱硫原理</w:t>
            </w:r>
          </w:p>
        </w:tc>
        <w:tc>
          <w:tcPr>
            <w:tcW w:w="1559" w:type="dxa"/>
            <w:vAlign w:val="center"/>
          </w:tcPr>
          <w:p>
            <w:pPr>
              <w:pStyle w:val="34"/>
              <w:ind w:left="0" w:leftChars="0"/>
              <w:jc w:val="center"/>
            </w:pPr>
            <w:r>
              <w:t>将其制成石灰石/石灰浆液，在脱硫吸收塔内通过喷淋，将石灰石/石灰浆液雾化使其与烟气混合接触，从而达到脱硫的目的</w:t>
            </w:r>
          </w:p>
        </w:tc>
        <w:tc>
          <w:tcPr>
            <w:tcW w:w="1418" w:type="dxa"/>
            <w:vAlign w:val="center"/>
          </w:tcPr>
          <w:p>
            <w:pPr>
              <w:pStyle w:val="34"/>
              <w:ind w:left="0" w:leftChars="0"/>
              <w:jc w:val="center"/>
            </w:pPr>
            <w:r>
              <w:t>氨法采用氨水作为二氧化硫的吸收剂，SO2与NH3反应可产生亚硫酸氨、亚硫酸氢氨与部分因氧化而产生的硫酸氨</w:t>
            </w:r>
          </w:p>
        </w:tc>
        <w:tc>
          <w:tcPr>
            <w:tcW w:w="1134" w:type="dxa"/>
            <w:vAlign w:val="center"/>
          </w:tcPr>
          <w:p>
            <w:pPr>
              <w:pStyle w:val="34"/>
              <w:ind w:left="0" w:leftChars="0"/>
              <w:jc w:val="center"/>
            </w:pPr>
            <w:r>
              <w:t>钠碱法是采用碳酸钠或氢氧化钠等碱性物质吸收烟气中的二氧化硫的方法</w:t>
            </w:r>
          </w:p>
        </w:tc>
        <w:tc>
          <w:tcPr>
            <w:tcW w:w="1276" w:type="dxa"/>
            <w:vAlign w:val="center"/>
          </w:tcPr>
          <w:p>
            <w:pPr>
              <w:pStyle w:val="34"/>
              <w:ind w:left="0" w:leftChars="0"/>
              <w:jc w:val="center"/>
            </w:pPr>
            <w:r>
              <w:t>氧化镁法是将氧化镁制成浆液，作为脱硫吸收剂吸收SO2，生成产物为硫酸镁或亚硫酸镁，副产物抛弃或干燥煅烧后，再生成氧化镁</w:t>
            </w:r>
          </w:p>
        </w:tc>
        <w:tc>
          <w:tcPr>
            <w:tcW w:w="2324" w:type="dxa"/>
            <w:vAlign w:val="center"/>
          </w:tcPr>
          <w:p>
            <w:pPr>
              <w:pStyle w:val="34"/>
              <w:ind w:left="0" w:leftChars="0"/>
              <w:jc w:val="center"/>
            </w:pPr>
            <w:r>
              <w:t>结合石灰石/石灰法和钠碱法两者的优点，以钠碱为脱硫剂，石灰为再生剂，通过在循环水系统中投加石灰，生成亚硫酸钙和钠碱，亚硫酸钙沉淀，钠碱随脱硫循环水循环利用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脱硫效率</w:t>
            </w:r>
          </w:p>
        </w:tc>
        <w:tc>
          <w:tcPr>
            <w:tcW w:w="1559" w:type="dxa"/>
            <w:vAlign w:val="center"/>
          </w:tcPr>
          <w:p>
            <w:pPr>
              <w:pStyle w:val="34"/>
              <w:ind w:left="0" w:leftChars="0"/>
              <w:jc w:val="center"/>
            </w:pPr>
            <w:r>
              <w:t>85%</w:t>
            </w:r>
          </w:p>
        </w:tc>
        <w:tc>
          <w:tcPr>
            <w:tcW w:w="1418" w:type="dxa"/>
            <w:vAlign w:val="center"/>
          </w:tcPr>
          <w:p>
            <w:pPr>
              <w:pStyle w:val="34"/>
              <w:ind w:left="0" w:leftChars="0"/>
              <w:jc w:val="center"/>
            </w:pPr>
            <w:r>
              <w:t>60%</w:t>
            </w:r>
          </w:p>
        </w:tc>
        <w:tc>
          <w:tcPr>
            <w:tcW w:w="1134" w:type="dxa"/>
            <w:vAlign w:val="center"/>
          </w:tcPr>
          <w:p>
            <w:pPr>
              <w:pStyle w:val="34"/>
              <w:ind w:left="0" w:leftChars="0"/>
              <w:jc w:val="center"/>
            </w:pPr>
            <w:r>
              <w:t>60%</w:t>
            </w:r>
          </w:p>
        </w:tc>
        <w:tc>
          <w:tcPr>
            <w:tcW w:w="1276" w:type="dxa"/>
            <w:vAlign w:val="center"/>
          </w:tcPr>
          <w:p>
            <w:pPr>
              <w:pStyle w:val="34"/>
              <w:ind w:left="0" w:leftChars="0"/>
              <w:jc w:val="center"/>
            </w:pPr>
            <w:r>
              <w:t>90%</w:t>
            </w:r>
          </w:p>
        </w:tc>
        <w:tc>
          <w:tcPr>
            <w:tcW w:w="2324" w:type="dxa"/>
            <w:vAlign w:val="center"/>
          </w:tcPr>
          <w:p>
            <w:pPr>
              <w:pStyle w:val="34"/>
              <w:ind w:left="0" w:leftChars="0"/>
              <w:jc w:val="center"/>
            </w:pPr>
            <w: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优缺点</w:t>
            </w:r>
          </w:p>
        </w:tc>
        <w:tc>
          <w:tcPr>
            <w:tcW w:w="1559" w:type="dxa"/>
            <w:vAlign w:val="center"/>
          </w:tcPr>
          <w:p>
            <w:pPr>
              <w:pStyle w:val="34"/>
              <w:ind w:left="0" w:leftChars="0"/>
              <w:jc w:val="center"/>
            </w:pPr>
            <w:r>
              <w:t>原料来源广，但塔内容易结垢，副产物亚硫酸钙或硫酸钙容易引起气液接触器（喷头或塔板）、管道等的结垢堵塞</w:t>
            </w:r>
          </w:p>
        </w:tc>
        <w:tc>
          <w:tcPr>
            <w:tcW w:w="1418" w:type="dxa"/>
            <w:vAlign w:val="center"/>
          </w:tcPr>
          <w:p>
            <w:pPr>
              <w:pStyle w:val="34"/>
              <w:ind w:left="0" w:leftChars="0"/>
              <w:jc w:val="center"/>
            </w:pPr>
            <w:r>
              <w:t xml:space="preserve">优点是脱硫率高（与钠碱法相同），副产物可作为农业肥料；但是由于氨的易挥发性，造成吸收剂消耗量增加，脱硫剂利用率不高；副产物回收过程较为困难 </w:t>
            </w:r>
          </w:p>
        </w:tc>
        <w:tc>
          <w:tcPr>
            <w:tcW w:w="1134" w:type="dxa"/>
            <w:vAlign w:val="center"/>
          </w:tcPr>
          <w:p>
            <w:pPr>
              <w:pStyle w:val="34"/>
              <w:ind w:left="0" w:leftChars="0"/>
              <w:jc w:val="center"/>
            </w:pPr>
            <w:r>
              <w:t>具有吸收剂不挥发、溶解度大、活性高、脱硫系统不堵塞等优点；但副产物的回收困难、工艺投资较高、钠碱的价格高造成运行费用高</w:t>
            </w:r>
          </w:p>
        </w:tc>
        <w:tc>
          <w:tcPr>
            <w:tcW w:w="1276" w:type="dxa"/>
            <w:vAlign w:val="center"/>
          </w:tcPr>
          <w:p>
            <w:pPr>
              <w:pStyle w:val="34"/>
              <w:ind w:left="0" w:leftChars="0"/>
              <w:jc w:val="center"/>
            </w:pPr>
            <w:r>
              <w:t>优点是脱硫效率在90%以上，较石灰石/石灰法的结垢问题轻，硫酸镁、亚硫酸镁的溶解度相对硫酸钙、亚硫酸钙大。缺点是氧化镁的价格高，脱硫费用相对较高。氧化镁回收过程工艺较复杂，但若直接采用抛弃法，镁盐会导致二次污染</w:t>
            </w:r>
          </w:p>
        </w:tc>
        <w:tc>
          <w:tcPr>
            <w:tcW w:w="2324" w:type="dxa"/>
            <w:vAlign w:val="center"/>
          </w:tcPr>
          <w:p>
            <w:pPr>
              <w:pStyle w:val="34"/>
              <w:ind w:left="0" w:leftChars="0"/>
              <w:jc w:val="center"/>
            </w:pPr>
            <w:r>
              <w:t>既解决了石灰石/石灰法易结垢的问题，同时兼有钠碱法脱硫效率高的优点。并且主要消耗的为廉价的石灰石/石灰，运行费用也低。脱硫副产物亚硫酸钙、硫酸钙不会造成二次污染；脱硫液循环利用，不产生水污染的问题。混入硫酸钙、亚硫酸钙的煤粉渣，是较好的制备水泥的原料和路基填充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pStyle w:val="34"/>
              <w:ind w:left="0" w:leftChars="0"/>
              <w:jc w:val="center"/>
            </w:pPr>
            <w:r>
              <w:t>运行费用</w:t>
            </w:r>
          </w:p>
        </w:tc>
        <w:tc>
          <w:tcPr>
            <w:tcW w:w="1559" w:type="dxa"/>
            <w:vAlign w:val="center"/>
          </w:tcPr>
          <w:p>
            <w:pPr>
              <w:pStyle w:val="34"/>
              <w:ind w:left="0" w:leftChars="0"/>
              <w:jc w:val="center"/>
            </w:pPr>
            <w:r>
              <w:t>适用于大型电厂锅炉烟气脱硫</w:t>
            </w:r>
          </w:p>
        </w:tc>
        <w:tc>
          <w:tcPr>
            <w:tcW w:w="1418" w:type="dxa"/>
            <w:vAlign w:val="center"/>
          </w:tcPr>
          <w:p>
            <w:pPr>
              <w:pStyle w:val="34"/>
              <w:ind w:left="0" w:leftChars="0"/>
              <w:jc w:val="center"/>
            </w:pPr>
            <w:r>
              <w:t>适用于各种中小锅炉的烟气脱硫和易得到氨水的化工企业锅炉烟气脱硫</w:t>
            </w:r>
          </w:p>
        </w:tc>
        <w:tc>
          <w:tcPr>
            <w:tcW w:w="1134" w:type="dxa"/>
            <w:vAlign w:val="center"/>
          </w:tcPr>
          <w:p>
            <w:pPr>
              <w:pStyle w:val="34"/>
              <w:ind w:left="0" w:leftChars="0"/>
              <w:jc w:val="center"/>
            </w:pPr>
            <w:r>
              <w:t>适用于所排烟气中硫浓度较高的废气吸收处理</w:t>
            </w:r>
          </w:p>
        </w:tc>
        <w:tc>
          <w:tcPr>
            <w:tcW w:w="1276" w:type="dxa"/>
            <w:vAlign w:val="center"/>
          </w:tcPr>
          <w:p>
            <w:pPr>
              <w:pStyle w:val="34"/>
              <w:ind w:left="0" w:leftChars="0"/>
              <w:jc w:val="center"/>
            </w:pPr>
            <w:r>
              <w:t>适用于大型电厂锅炉烟气脱硫</w:t>
            </w:r>
          </w:p>
        </w:tc>
        <w:tc>
          <w:tcPr>
            <w:tcW w:w="2324" w:type="dxa"/>
            <w:vAlign w:val="center"/>
          </w:tcPr>
          <w:p>
            <w:pPr>
              <w:pStyle w:val="34"/>
              <w:ind w:left="0" w:leftChars="0"/>
              <w:jc w:val="center"/>
            </w:pPr>
            <w:r>
              <w:t>适用于各种中小锅炉的烟气脱硫</w:t>
            </w:r>
          </w:p>
        </w:tc>
      </w:tr>
    </w:tbl>
    <w:p>
      <w:pPr>
        <w:autoSpaceDE w:val="0"/>
        <w:autoSpaceDN w:val="0"/>
        <w:adjustRightInd w:val="0"/>
        <w:ind w:firstLine="480"/>
        <w:rPr>
          <w:rFonts w:cs="Times New Roman"/>
          <w:kern w:val="0"/>
        </w:rPr>
      </w:pPr>
      <w:r>
        <w:rPr>
          <w:rFonts w:cs="Times New Roman"/>
          <w:kern w:val="0"/>
        </w:rPr>
        <w:t>C</w:t>
      </w:r>
      <w:r>
        <w:rPr>
          <w:rFonts w:cs="Times New Roman"/>
          <w:kern w:val="0"/>
          <w:lang w:val="zh-CN"/>
        </w:rPr>
        <w:t>、氮氧化物</w:t>
      </w:r>
    </w:p>
    <w:p>
      <w:pPr>
        <w:autoSpaceDE w:val="0"/>
        <w:autoSpaceDN w:val="0"/>
        <w:adjustRightInd w:val="0"/>
        <w:ind w:firstLine="480"/>
        <w:rPr>
          <w:rFonts w:cs="Times New Roman"/>
          <w:kern w:val="0"/>
        </w:rPr>
      </w:pPr>
      <w:r>
        <w:rPr>
          <w:rFonts w:cs="Times New Roman"/>
          <w:kern w:val="0"/>
          <w:lang w:val="zh-CN"/>
        </w:rPr>
        <w:t>采用</w:t>
      </w:r>
      <w:r>
        <w:rPr>
          <w:rFonts w:cs="Times New Roman"/>
          <w:kern w:val="0"/>
        </w:rPr>
        <w:t>SCNR脱硝，减少NO</w:t>
      </w:r>
      <w:r>
        <w:rPr>
          <w:rFonts w:cs="Times New Roman"/>
          <w:kern w:val="0"/>
          <w:vertAlign w:val="subscript"/>
        </w:rPr>
        <w:t>X</w:t>
      </w:r>
      <w:r>
        <w:rPr>
          <w:rFonts w:cs="Times New Roman"/>
          <w:kern w:val="0"/>
        </w:rPr>
        <w:t>排放。</w:t>
      </w:r>
    </w:p>
    <w:p>
      <w:pPr>
        <w:pStyle w:val="43"/>
        <w:snapToGrid w:val="0"/>
        <w:spacing w:after="0" w:line="360" w:lineRule="auto"/>
        <w:ind w:firstLine="480" w:firstLineChars="200"/>
        <w:rPr>
          <w:rFonts w:ascii="Times New Roman" w:hAnsi="Times New Roman"/>
          <w:sz w:val="24"/>
        </w:rPr>
      </w:pPr>
      <w:r>
        <w:rPr>
          <w:rFonts w:ascii="Times New Roman" w:hAnsi="Times New Roman"/>
          <w:sz w:val="24"/>
        </w:rPr>
        <w:t>SNCR的原理：采用尿素[CO（NH</w:t>
      </w:r>
      <w:r>
        <w:rPr>
          <w:rFonts w:ascii="Times New Roman" w:hAnsi="Times New Roman"/>
          <w:sz w:val="24"/>
          <w:vertAlign w:val="subscript"/>
        </w:rPr>
        <w:t>2</w:t>
      </w:r>
      <w:r>
        <w:rPr>
          <w:rFonts w:ascii="Times New Roman" w:hAnsi="Times New Roman"/>
          <w:sz w:val="24"/>
        </w:rPr>
        <w:t>）2]等作为还原剂，雾化后注入热风炉。在一定的温度范围内（850~1100℃），尿素中氨基还原剂可以在无催化剂的作用下选择性的把烟气中的NOx还原为N</w:t>
      </w:r>
      <w:r>
        <w:rPr>
          <w:rFonts w:ascii="Times New Roman" w:hAnsi="Times New Roman"/>
          <w:sz w:val="24"/>
          <w:vertAlign w:val="subscript"/>
        </w:rPr>
        <w:t>2</w:t>
      </w:r>
      <w:r>
        <w:rPr>
          <w:rFonts w:ascii="Times New Roman" w:hAnsi="Times New Roman"/>
          <w:sz w:val="24"/>
        </w:rPr>
        <w:t>和H</w:t>
      </w:r>
      <w:r>
        <w:rPr>
          <w:rFonts w:ascii="Times New Roman" w:hAnsi="Times New Roman"/>
          <w:sz w:val="24"/>
          <w:vertAlign w:val="subscript"/>
        </w:rPr>
        <w:t>2</w:t>
      </w:r>
      <w:r>
        <w:rPr>
          <w:rFonts w:ascii="Times New Roman" w:hAnsi="Times New Roman"/>
          <w:sz w:val="24"/>
        </w:rPr>
        <w:t>O，故是一种选择性化学过程。</w:t>
      </w:r>
    </w:p>
    <w:p>
      <w:pPr>
        <w:pStyle w:val="43"/>
        <w:snapToGrid w:val="0"/>
        <w:spacing w:after="0" w:line="360" w:lineRule="auto"/>
        <w:ind w:firstLine="480" w:firstLineChars="200"/>
        <w:rPr>
          <w:rFonts w:ascii="Times New Roman" w:hAnsi="Times New Roman"/>
          <w:sz w:val="24"/>
        </w:rPr>
      </w:pPr>
      <w:r>
        <w:rPr>
          <w:rFonts w:ascii="Times New Roman" w:hAnsi="Times New Roman"/>
          <w:sz w:val="24"/>
        </w:rPr>
        <w:t>主反应方程式表达式：</w:t>
      </w:r>
    </w:p>
    <w:p>
      <w:pPr>
        <w:pStyle w:val="43"/>
        <w:snapToGrid w:val="0"/>
        <w:spacing w:after="0" w:line="360" w:lineRule="auto"/>
        <w:ind w:firstLine="480" w:firstLineChars="200"/>
        <w:rPr>
          <w:rFonts w:ascii="Times New Roman" w:hAnsi="Times New Roman"/>
          <w:sz w:val="24"/>
        </w:rPr>
      </w:pPr>
      <w:r>
        <w:rPr>
          <w:rFonts w:ascii="Times New Roman" w:hAnsi="Times New Roman"/>
          <w:sz w:val="24"/>
        </w:rPr>
        <w:t>4NO+2CO（NH</w:t>
      </w:r>
      <w:r>
        <w:rPr>
          <w:rFonts w:ascii="Times New Roman" w:hAnsi="Times New Roman"/>
          <w:sz w:val="24"/>
          <w:vertAlign w:val="subscript"/>
        </w:rPr>
        <w:t>2</w:t>
      </w:r>
      <w:r>
        <w:rPr>
          <w:rFonts w:ascii="Times New Roman" w:hAnsi="Times New Roman"/>
          <w:sz w:val="24"/>
        </w:rPr>
        <w:t>）</w:t>
      </w:r>
      <w:r>
        <w:rPr>
          <w:rFonts w:ascii="Times New Roman" w:hAnsi="Times New Roman"/>
          <w:sz w:val="24"/>
          <w:vertAlign w:val="subscript"/>
        </w:rPr>
        <w:t>2</w:t>
      </w:r>
      <w:r>
        <w:rPr>
          <w:rFonts w:ascii="Times New Roman" w:hAnsi="Times New Roman"/>
          <w:sz w:val="24"/>
        </w:rPr>
        <w:t>+O</w:t>
      </w:r>
      <w:r>
        <w:rPr>
          <w:rFonts w:ascii="Times New Roman" w:hAnsi="Times New Roman"/>
          <w:sz w:val="24"/>
          <w:vertAlign w:val="subscript"/>
        </w:rPr>
        <w:t>2</w:t>
      </w:r>
      <w:r>
        <w:rPr>
          <w:rFonts w:ascii="Times New Roman" w:hAnsi="Times New Roman"/>
          <w:sz w:val="24"/>
        </w:rPr>
        <w:t>→4N</w:t>
      </w:r>
      <w:r>
        <w:rPr>
          <w:rFonts w:ascii="Times New Roman" w:hAnsi="Times New Roman"/>
          <w:sz w:val="24"/>
          <w:vertAlign w:val="subscript"/>
        </w:rPr>
        <w:t>2</w:t>
      </w:r>
      <w:r>
        <w:rPr>
          <w:rFonts w:ascii="Times New Roman" w:hAnsi="Times New Roman"/>
          <w:sz w:val="24"/>
        </w:rPr>
        <w:t>+2CO</w:t>
      </w:r>
      <w:r>
        <w:rPr>
          <w:rFonts w:ascii="Times New Roman" w:hAnsi="Times New Roman"/>
          <w:sz w:val="24"/>
          <w:vertAlign w:val="subscript"/>
        </w:rPr>
        <w:t>2</w:t>
      </w:r>
      <w:r>
        <w:rPr>
          <w:rFonts w:ascii="Times New Roman" w:hAnsi="Times New Roman"/>
          <w:sz w:val="24"/>
        </w:rPr>
        <w:t xml:space="preserve"> + 4H</w:t>
      </w:r>
      <w:r>
        <w:rPr>
          <w:rFonts w:ascii="Times New Roman" w:hAnsi="Times New Roman"/>
          <w:sz w:val="24"/>
          <w:vertAlign w:val="subscript"/>
        </w:rPr>
        <w:t>2</w:t>
      </w:r>
      <w:r>
        <w:rPr>
          <w:rFonts w:ascii="Times New Roman" w:hAnsi="Times New Roman"/>
          <w:sz w:val="24"/>
        </w:rPr>
        <w:t>O</w:t>
      </w:r>
    </w:p>
    <w:p>
      <w:pPr>
        <w:pStyle w:val="43"/>
        <w:snapToGrid w:val="0"/>
        <w:spacing w:after="0" w:line="360" w:lineRule="auto"/>
        <w:ind w:firstLine="480" w:firstLineChars="200"/>
        <w:rPr>
          <w:rFonts w:ascii="Times New Roman" w:hAnsi="Times New Roman"/>
          <w:sz w:val="24"/>
        </w:rPr>
      </w:pPr>
      <w:r>
        <w:rPr>
          <w:rFonts w:ascii="Times New Roman" w:hAnsi="Times New Roman"/>
          <w:sz w:val="24"/>
        </w:rPr>
        <w:t>8NO</w:t>
      </w:r>
      <w:r>
        <w:rPr>
          <w:rFonts w:ascii="Times New Roman" w:hAnsi="Times New Roman"/>
          <w:sz w:val="24"/>
          <w:vertAlign w:val="subscript"/>
        </w:rPr>
        <w:t>2</w:t>
      </w:r>
      <w:r>
        <w:rPr>
          <w:rFonts w:ascii="Times New Roman" w:hAnsi="Times New Roman"/>
          <w:sz w:val="24"/>
        </w:rPr>
        <w:t>+6CO（NH</w:t>
      </w:r>
      <w:r>
        <w:rPr>
          <w:rFonts w:ascii="Times New Roman" w:hAnsi="Times New Roman"/>
          <w:sz w:val="24"/>
          <w:vertAlign w:val="subscript"/>
        </w:rPr>
        <w:t>2</w:t>
      </w:r>
      <w:r>
        <w:rPr>
          <w:rFonts w:ascii="Times New Roman" w:hAnsi="Times New Roman"/>
          <w:sz w:val="24"/>
        </w:rPr>
        <w:t>）</w:t>
      </w:r>
      <w:r>
        <w:rPr>
          <w:rFonts w:ascii="Times New Roman" w:hAnsi="Times New Roman"/>
          <w:sz w:val="24"/>
          <w:vertAlign w:val="subscript"/>
        </w:rPr>
        <w:t>2</w:t>
      </w:r>
      <w:r>
        <w:rPr>
          <w:rFonts w:ascii="Times New Roman" w:hAnsi="Times New Roman"/>
          <w:sz w:val="24"/>
        </w:rPr>
        <w:t>+O</w:t>
      </w:r>
      <w:r>
        <w:rPr>
          <w:rFonts w:ascii="Times New Roman" w:hAnsi="Times New Roman"/>
          <w:sz w:val="24"/>
          <w:vertAlign w:val="subscript"/>
        </w:rPr>
        <w:t>2</w:t>
      </w:r>
      <w:r>
        <w:rPr>
          <w:rFonts w:ascii="Times New Roman" w:hAnsi="Times New Roman"/>
          <w:sz w:val="24"/>
        </w:rPr>
        <w:t>→10N</w:t>
      </w:r>
      <w:r>
        <w:rPr>
          <w:rFonts w:ascii="Times New Roman" w:hAnsi="Times New Roman"/>
          <w:sz w:val="24"/>
          <w:vertAlign w:val="subscript"/>
        </w:rPr>
        <w:t>2</w:t>
      </w:r>
      <w:r>
        <w:rPr>
          <w:rFonts w:ascii="Times New Roman" w:hAnsi="Times New Roman"/>
          <w:sz w:val="24"/>
        </w:rPr>
        <w:t>+6CO</w:t>
      </w:r>
      <w:r>
        <w:rPr>
          <w:rFonts w:ascii="Times New Roman" w:hAnsi="Times New Roman"/>
          <w:sz w:val="24"/>
          <w:vertAlign w:val="subscript"/>
        </w:rPr>
        <w:t>2</w:t>
      </w:r>
      <w:r>
        <w:rPr>
          <w:rFonts w:ascii="Times New Roman" w:hAnsi="Times New Roman"/>
          <w:sz w:val="24"/>
        </w:rPr>
        <w:t xml:space="preserve"> + 12H</w:t>
      </w:r>
      <w:r>
        <w:rPr>
          <w:rFonts w:ascii="Times New Roman" w:hAnsi="Times New Roman"/>
          <w:sz w:val="24"/>
          <w:vertAlign w:val="subscript"/>
        </w:rPr>
        <w:t>2</w:t>
      </w:r>
      <w:r>
        <w:rPr>
          <w:rFonts w:ascii="Times New Roman" w:hAnsi="Times New Roman"/>
          <w:sz w:val="24"/>
        </w:rPr>
        <w:t>O</w:t>
      </w:r>
    </w:p>
    <w:p>
      <w:pPr>
        <w:pStyle w:val="43"/>
        <w:snapToGrid w:val="0"/>
        <w:spacing w:after="0" w:line="360" w:lineRule="auto"/>
        <w:ind w:firstLine="480" w:firstLineChars="200"/>
        <w:rPr>
          <w:rFonts w:ascii="Times New Roman" w:hAnsi="Times New Roman"/>
          <w:sz w:val="24"/>
        </w:rPr>
      </w:pPr>
      <w:r>
        <w:rPr>
          <w:rFonts w:ascii="Times New Roman" w:hAnsi="Times New Roman"/>
          <w:sz w:val="24"/>
        </w:rPr>
        <w:t>由于整个反应过程中未使用催化剂，因此称之为选择性非催化还原脱硝技术，脱硝效率通常大于50%。</w:t>
      </w:r>
    </w:p>
    <w:p>
      <w:pPr>
        <w:ind w:firstLine="480"/>
        <w:rPr>
          <w:rFonts w:cs="Times New Roman"/>
          <w:kern w:val="0"/>
        </w:rPr>
      </w:pPr>
      <w:r>
        <w:rPr>
          <w:rFonts w:cs="Times New Roman"/>
          <w:kern w:val="0"/>
          <w:lang w:val="zh-CN"/>
        </w:rPr>
        <w:t>SNCR主要由尿素储存系统、尿素溶解系统、尿素溶液输送系统、尿素溶液喷射系统组成。</w:t>
      </w:r>
    </w:p>
    <w:p>
      <w:pPr>
        <w:pStyle w:val="43"/>
        <w:snapToGrid w:val="0"/>
        <w:spacing w:after="0" w:line="360" w:lineRule="auto"/>
        <w:ind w:firstLine="480" w:firstLineChars="200"/>
        <w:rPr>
          <w:rFonts w:ascii="Times New Roman" w:hAnsi="Times New Roman"/>
          <w:sz w:val="24"/>
        </w:rPr>
      </w:pPr>
      <w:r>
        <w:rPr>
          <w:rFonts w:ascii="Times New Roman" w:hAnsi="Times New Roman"/>
          <w:sz w:val="24"/>
        </w:rPr>
        <w:t>（1）尿素储存系统尿素如果储存不当，容易吸湿结块。因此，尿素储存要求干燥、通风良好、温度在20度以下，尿素为袋装式的，在储存库地面用木方或木制托盘垫起20cm左右，以利于通风散湿，垛与垛之间留有过道，以利于检查和通风。</w:t>
      </w:r>
    </w:p>
    <w:p>
      <w:pPr>
        <w:pStyle w:val="43"/>
        <w:snapToGrid w:val="0"/>
        <w:spacing w:after="0" w:line="360" w:lineRule="auto"/>
        <w:ind w:firstLine="480" w:firstLineChars="200"/>
        <w:rPr>
          <w:rFonts w:ascii="Times New Roman" w:hAnsi="Times New Roman"/>
          <w:sz w:val="24"/>
        </w:rPr>
      </w:pPr>
      <w:r>
        <w:rPr>
          <w:rFonts w:ascii="Times New Roman" w:hAnsi="Times New Roman"/>
          <w:sz w:val="24"/>
        </w:rPr>
        <w:t>（2）尿素溶解系统尿素溶解罐采用钢结构，溶解水为自来水，配置浓度为10%的尿素溶液。</w:t>
      </w:r>
    </w:p>
    <w:p>
      <w:pPr>
        <w:pStyle w:val="43"/>
        <w:snapToGrid w:val="0"/>
        <w:spacing w:after="0" w:line="360" w:lineRule="auto"/>
        <w:ind w:firstLine="480" w:firstLineChars="200"/>
        <w:rPr>
          <w:rFonts w:ascii="Times New Roman" w:hAnsi="Times New Roman"/>
          <w:sz w:val="24"/>
        </w:rPr>
      </w:pPr>
      <w:r>
        <w:rPr>
          <w:rFonts w:ascii="Times New Roman" w:hAnsi="Times New Roman"/>
          <w:sz w:val="24"/>
        </w:rPr>
        <w:t>（3）尿素溶液输送系统尿素溶液输送采用离心泵，一用一备。</w:t>
      </w:r>
    </w:p>
    <w:p>
      <w:pPr>
        <w:pStyle w:val="43"/>
        <w:snapToGrid w:val="0"/>
        <w:spacing w:after="0" w:line="360" w:lineRule="auto"/>
        <w:ind w:firstLine="480" w:firstLineChars="200"/>
        <w:rPr>
          <w:rFonts w:ascii="Times New Roman" w:hAnsi="Times New Roman"/>
          <w:sz w:val="24"/>
        </w:rPr>
      </w:pPr>
      <w:r>
        <w:rPr>
          <w:rFonts w:ascii="Times New Roman" w:hAnsi="Times New Roman"/>
          <w:sz w:val="24"/>
        </w:rPr>
        <w:t>（4）尿素溶液喷射系统尿素溶液喷嘴布置在温度890-955℃区域内，喷射器有墙式和枪式两种类型。</w:t>
      </w:r>
    </w:p>
    <w:p>
      <w:pPr>
        <w:ind w:firstLine="480"/>
        <w:rPr>
          <w:rFonts w:cs="Times New Roman"/>
          <w:kern w:val="0"/>
        </w:rPr>
      </w:pPr>
      <w:r>
        <w:rPr>
          <w:rFonts w:cs="Times New Roman"/>
          <w:kern w:val="0"/>
        </w:rPr>
        <w:t>经尾气处理装置处理后，喷雾干燥尾气</w:t>
      </w:r>
      <w:r>
        <w:rPr>
          <w:rFonts w:cs="Times New Roman"/>
        </w:rPr>
        <w:t>各污染物浓度均符合《陶瓷工业污染物排放标准》（GB 25464-2010）中新建企业排放浓度限值要求。</w:t>
      </w:r>
    </w:p>
    <w:p>
      <w:pPr>
        <w:ind w:firstLine="482"/>
        <w:rPr>
          <w:rFonts w:cs="Times New Roman"/>
          <w:b/>
          <w:kern w:val="0"/>
        </w:rPr>
      </w:pPr>
      <w:r>
        <w:rPr>
          <w:rFonts w:cs="Times New Roman"/>
          <w:b/>
          <w:kern w:val="0"/>
        </w:rPr>
        <w:t>2、窑炉烟气</w:t>
      </w:r>
    </w:p>
    <w:p>
      <w:pPr>
        <w:ind w:firstLine="480"/>
        <w:rPr>
          <w:rFonts w:cs="Times New Roman"/>
          <w:kern w:val="0"/>
        </w:rPr>
      </w:pPr>
      <w:r>
        <w:rPr>
          <w:rFonts w:cs="Times New Roman"/>
          <w:kern w:val="0"/>
        </w:rPr>
        <w:t>（1）治理方案</w:t>
      </w:r>
    </w:p>
    <w:p>
      <w:pPr>
        <w:ind w:firstLine="480"/>
        <w:rPr>
          <w:rFonts w:cs="Times New Roman"/>
          <w:kern w:val="0"/>
        </w:rPr>
      </w:pPr>
      <w:r>
        <w:rPr>
          <w:rFonts w:cs="Times New Roman"/>
          <w:kern w:val="0"/>
        </w:rPr>
        <w:t>窑炉烟气污染物主要为烟尘、二氧化硫、氮氧化物和氟化物，项目3~9号生产线窑炉采用SNCR脱硝（效率50%）</w:t>
      </w:r>
      <w:r>
        <w:rPr>
          <w:rFonts w:hint="eastAsia" w:cs="Times New Roman"/>
          <w:kern w:val="0"/>
        </w:rPr>
        <w:t>+SCR脱硝（效率8</w:t>
      </w:r>
      <w:r>
        <w:rPr>
          <w:rFonts w:cs="Times New Roman"/>
          <w:kern w:val="0"/>
        </w:rPr>
        <w:t>0</w:t>
      </w:r>
      <w:r>
        <w:rPr>
          <w:rFonts w:hint="eastAsia" w:cs="Times New Roman"/>
          <w:kern w:val="0"/>
        </w:rPr>
        <w:t>%）</w:t>
      </w:r>
      <w:r>
        <w:rPr>
          <w:rFonts w:cs="Times New Roman"/>
          <w:kern w:val="0"/>
        </w:rPr>
        <w:t>，尾气经石灰石膏法脱硫器（脱硫效率90%，除尘效率85%，氟化物去除率97%）处理后由25m高排气筒高空排放。</w:t>
      </w:r>
    </w:p>
    <w:p>
      <w:pPr>
        <w:ind w:firstLine="480"/>
        <w:rPr>
          <w:rFonts w:cs="Times New Roman"/>
          <w:kern w:val="0"/>
        </w:rPr>
      </w:pPr>
      <w:r>
        <w:rPr>
          <w:rFonts w:cs="Times New Roman"/>
          <w:kern w:val="0"/>
        </w:rPr>
        <w:t>（2）去除效果及达标可行性分析</w:t>
      </w:r>
    </w:p>
    <w:p>
      <w:pPr>
        <w:ind w:firstLine="480"/>
        <w:rPr>
          <w:rFonts w:cs="Times New Roman"/>
          <w:kern w:val="0"/>
        </w:rPr>
      </w:pPr>
      <w:r>
        <w:rPr>
          <w:rFonts w:cs="Times New Roman"/>
          <w:kern w:val="0"/>
          <w:lang w:val="zh-CN"/>
        </w:rPr>
        <w:t>项目窑炉废气主要为</w:t>
      </w:r>
      <w:r>
        <w:rPr>
          <w:rFonts w:hint="eastAsia" w:cs="Times New Roman"/>
          <w:u w:val="single"/>
        </w:rPr>
        <w:t>天然气</w:t>
      </w:r>
      <w:r>
        <w:rPr>
          <w:rFonts w:cs="Times New Roman"/>
          <w:kern w:val="0"/>
          <w:lang w:val="zh-CN"/>
        </w:rPr>
        <w:t>燃烧废气，</w:t>
      </w:r>
      <w:r>
        <w:rPr>
          <w:rFonts w:hint="eastAsia" w:cs="Times New Roman"/>
          <w:u w:val="single"/>
        </w:rPr>
        <w:t>天然气</w:t>
      </w:r>
      <w:r>
        <w:rPr>
          <w:rFonts w:cs="Times New Roman"/>
          <w:kern w:val="0"/>
          <w:lang w:val="zh-CN"/>
        </w:rPr>
        <w:t>燃烧废气中主要污染物为烟尘、二氧化硫、氮氧化物，项目窑炉废气也是需要进行脱硫脱硝，窑炉废气产生量较小，废气中烟尘产生量不大，浓度不高，主要污染物二氧化硫和氮氧化物浓度较高，鉴于此，窑炉尾气采用石灰石膏法脱硫除尘设施处理窑炉废气。</w:t>
      </w:r>
    </w:p>
    <w:p>
      <w:pPr>
        <w:ind w:firstLine="480"/>
        <w:rPr>
          <w:rFonts w:cs="Times New Roman"/>
          <w:kern w:val="0"/>
        </w:rPr>
      </w:pPr>
      <w:r>
        <w:rPr>
          <w:rFonts w:cs="Times New Roman"/>
          <w:kern w:val="0"/>
          <w:lang w:val="zh-CN"/>
        </w:rPr>
        <w:t>石灰-石膏法脱硫工艺：石灰石膏法脱硫工艺以CaO作为脱硫剂的一种脱硫系统。在吸收塔内，吸收溶液与烟气接触混合，烟气中的二氧化硫融于溶液中同Ca</w:t>
      </w:r>
      <w:r>
        <w:rPr>
          <w:rFonts w:cs="Times New Roman"/>
          <w:kern w:val="0"/>
          <w:vertAlign w:val="superscript"/>
          <w:lang w:val="zh-CN"/>
        </w:rPr>
        <w:t>2+</w:t>
      </w:r>
      <w:r>
        <w:rPr>
          <w:rFonts w:cs="Times New Roman"/>
          <w:kern w:val="0"/>
          <w:lang w:val="zh-CN"/>
        </w:rPr>
        <w:t>进行化学反应从而被脱除，后续通过自然氧化和强制氧化，反应最终产物为石膏。脱硫塔的氧化特性对该工艺较适合，强化了氧化性能，但在设计中需关注设备的防堵塞。石灰-石膏法脱硫反应原理如下：</w:t>
      </w:r>
    </w:p>
    <w:p>
      <w:pPr>
        <w:ind w:firstLine="480"/>
        <w:rPr>
          <w:rFonts w:cs="Times New Roman"/>
          <w:kern w:val="0"/>
        </w:rPr>
      </w:pPr>
      <w:r>
        <w:rPr>
          <w:rFonts w:cs="Times New Roman"/>
          <w:kern w:val="0"/>
          <w:lang w:val="zh-CN"/>
        </w:rPr>
        <w:t>烟气中的SO</w:t>
      </w:r>
      <w:r>
        <w:rPr>
          <w:rFonts w:cs="Times New Roman"/>
          <w:kern w:val="0"/>
          <w:vertAlign w:val="subscript"/>
          <w:lang w:val="zh-CN"/>
        </w:rPr>
        <w:t>2</w:t>
      </w:r>
      <w:r>
        <w:rPr>
          <w:rFonts w:cs="Times New Roman"/>
          <w:kern w:val="0"/>
          <w:lang w:val="zh-CN"/>
        </w:rPr>
        <w:t>和SO</w:t>
      </w:r>
      <w:r>
        <w:rPr>
          <w:rFonts w:cs="Times New Roman"/>
          <w:kern w:val="0"/>
          <w:vertAlign w:val="subscript"/>
          <w:lang w:val="zh-CN"/>
        </w:rPr>
        <w:t>3</w:t>
      </w:r>
      <w:r>
        <w:rPr>
          <w:rFonts w:cs="Times New Roman"/>
          <w:kern w:val="0"/>
          <w:lang w:val="zh-CN"/>
        </w:rPr>
        <w:t>与浆液液滴中的水发生如下反应：</w:t>
      </w:r>
    </w:p>
    <w:p>
      <w:pPr>
        <w:ind w:firstLine="480"/>
        <w:rPr>
          <w:rFonts w:cs="Times New Roman"/>
          <w:kern w:val="0"/>
        </w:rPr>
      </w:pPr>
      <w:r>
        <w:rPr>
          <w:rFonts w:cs="Times New Roman"/>
          <w:kern w:val="0"/>
        </w:rPr>
        <w:t>SO</w:t>
      </w:r>
      <w:r>
        <w:rPr>
          <w:rFonts w:cs="Times New Roman"/>
          <w:kern w:val="0"/>
          <w:vertAlign w:val="subscript"/>
        </w:rPr>
        <w:t>2</w:t>
      </w:r>
      <w:r>
        <w:rPr>
          <w:rFonts w:cs="Times New Roman"/>
          <w:kern w:val="0"/>
        </w:rPr>
        <w:t>+H</w:t>
      </w:r>
      <w:r>
        <w:rPr>
          <w:rFonts w:cs="Times New Roman"/>
          <w:kern w:val="0"/>
          <w:vertAlign w:val="subscript"/>
        </w:rPr>
        <w:t>2</w:t>
      </w:r>
      <w:r>
        <w:rPr>
          <w:rFonts w:cs="Times New Roman"/>
          <w:kern w:val="0"/>
        </w:rPr>
        <w:t>O→HSO</w:t>
      </w:r>
      <w:r>
        <w:rPr>
          <w:rFonts w:cs="Times New Roman"/>
          <w:kern w:val="0"/>
          <w:vertAlign w:val="subscript"/>
        </w:rPr>
        <w:t>3</w:t>
      </w:r>
      <w:r>
        <w:rPr>
          <w:rFonts w:cs="Times New Roman"/>
          <w:kern w:val="0"/>
          <w:vertAlign w:val="superscript"/>
        </w:rPr>
        <w:t>-</w:t>
      </w:r>
      <w:r>
        <w:rPr>
          <w:rFonts w:cs="Times New Roman"/>
          <w:kern w:val="0"/>
        </w:rPr>
        <w:t>+H</w:t>
      </w:r>
      <w:r>
        <w:rPr>
          <w:rFonts w:cs="Times New Roman"/>
          <w:kern w:val="0"/>
          <w:vertAlign w:val="superscript"/>
        </w:rPr>
        <w:t>+</w:t>
      </w:r>
    </w:p>
    <w:p>
      <w:pPr>
        <w:ind w:firstLine="480"/>
        <w:rPr>
          <w:rFonts w:cs="Times New Roman"/>
          <w:kern w:val="0"/>
        </w:rPr>
      </w:pPr>
      <w:r>
        <w:rPr>
          <w:rFonts w:cs="Times New Roman"/>
          <w:kern w:val="0"/>
        </w:rPr>
        <w:t>SO</w:t>
      </w:r>
      <w:r>
        <w:rPr>
          <w:rFonts w:cs="Times New Roman"/>
          <w:kern w:val="0"/>
          <w:vertAlign w:val="subscript"/>
        </w:rPr>
        <w:t>3</w:t>
      </w:r>
      <w:r>
        <w:rPr>
          <w:rFonts w:cs="Times New Roman"/>
          <w:kern w:val="0"/>
        </w:rPr>
        <w:t>+ H</w:t>
      </w:r>
      <w:r>
        <w:rPr>
          <w:rFonts w:cs="Times New Roman"/>
          <w:kern w:val="0"/>
          <w:vertAlign w:val="subscript"/>
        </w:rPr>
        <w:t>2</w:t>
      </w:r>
      <w:r>
        <w:rPr>
          <w:rFonts w:cs="Times New Roman"/>
          <w:kern w:val="0"/>
        </w:rPr>
        <w:t>O→H</w:t>
      </w:r>
      <w:r>
        <w:rPr>
          <w:rFonts w:cs="Times New Roman"/>
          <w:kern w:val="0"/>
          <w:vertAlign w:val="subscript"/>
        </w:rPr>
        <w:t>2</w:t>
      </w:r>
      <w:r>
        <w:rPr>
          <w:rFonts w:cs="Times New Roman"/>
          <w:kern w:val="0"/>
        </w:rPr>
        <w:t xml:space="preserve">SO4 </w:t>
      </w:r>
    </w:p>
    <w:p>
      <w:pPr>
        <w:ind w:firstLine="480"/>
        <w:rPr>
          <w:rFonts w:cs="Times New Roman"/>
          <w:kern w:val="0"/>
        </w:rPr>
      </w:pPr>
      <w:r>
        <w:rPr>
          <w:rFonts w:cs="Times New Roman"/>
          <w:kern w:val="0"/>
        </w:rPr>
        <w:t>SO</w:t>
      </w:r>
      <w:r>
        <w:rPr>
          <w:rFonts w:cs="Times New Roman"/>
          <w:kern w:val="0"/>
          <w:vertAlign w:val="subscript"/>
        </w:rPr>
        <w:t>3</w:t>
      </w:r>
      <w:r>
        <w:rPr>
          <w:rFonts w:cs="Times New Roman"/>
          <w:kern w:val="0"/>
          <w:lang w:val="zh-CN"/>
        </w:rPr>
        <w:t>与水生成的</w:t>
      </w:r>
      <w:r>
        <w:rPr>
          <w:rFonts w:cs="Times New Roman"/>
          <w:kern w:val="0"/>
        </w:rPr>
        <w:t>H</w:t>
      </w:r>
      <w:r>
        <w:rPr>
          <w:rFonts w:cs="Times New Roman"/>
          <w:kern w:val="0"/>
          <w:vertAlign w:val="subscript"/>
        </w:rPr>
        <w:t>2</w:t>
      </w:r>
      <w:r>
        <w:rPr>
          <w:rFonts w:cs="Times New Roman"/>
          <w:kern w:val="0"/>
        </w:rPr>
        <w:t>SO4</w:t>
      </w:r>
      <w:r>
        <w:rPr>
          <w:rFonts w:cs="Times New Roman"/>
          <w:kern w:val="0"/>
          <w:lang w:val="zh-CN"/>
        </w:rPr>
        <w:t>可以在短时间内与石灰浆液发生反应。</w:t>
      </w:r>
    </w:p>
    <w:p>
      <w:pPr>
        <w:ind w:firstLine="480"/>
        <w:rPr>
          <w:rFonts w:cs="Times New Roman"/>
          <w:kern w:val="0"/>
        </w:rPr>
      </w:pPr>
      <w:r>
        <w:rPr>
          <w:rFonts w:cs="Times New Roman"/>
          <w:kern w:val="0"/>
          <w:lang w:val="zh-CN"/>
        </w:rPr>
        <w:t>浆液水中的石灰首先发生溶解：</w:t>
      </w:r>
    </w:p>
    <w:p>
      <w:pPr>
        <w:ind w:firstLine="480"/>
        <w:rPr>
          <w:rFonts w:cs="Times New Roman"/>
          <w:kern w:val="0"/>
        </w:rPr>
      </w:pPr>
      <w:r>
        <w:rPr>
          <w:rFonts w:cs="Times New Roman"/>
          <w:kern w:val="0"/>
        </w:rPr>
        <w:t>CaO+ H</w:t>
      </w:r>
      <w:r>
        <w:rPr>
          <w:rFonts w:cs="Times New Roman"/>
          <w:kern w:val="0"/>
          <w:vertAlign w:val="subscript"/>
        </w:rPr>
        <w:t>2</w:t>
      </w:r>
      <w:r>
        <w:rPr>
          <w:rFonts w:cs="Times New Roman"/>
          <w:kern w:val="0"/>
        </w:rPr>
        <w:t>O→Ca</w:t>
      </w:r>
      <w:r>
        <w:rPr>
          <w:rFonts w:cs="Times New Roman"/>
          <w:kern w:val="0"/>
          <w:vertAlign w:val="superscript"/>
        </w:rPr>
        <w:t>2+</w:t>
      </w:r>
      <w:r>
        <w:rPr>
          <w:rFonts w:cs="Times New Roman"/>
          <w:kern w:val="0"/>
        </w:rPr>
        <w:t>+OH</w:t>
      </w:r>
      <w:r>
        <w:rPr>
          <w:rFonts w:cs="Times New Roman"/>
          <w:kern w:val="0"/>
          <w:vertAlign w:val="superscript"/>
        </w:rPr>
        <w:t>-</w:t>
      </w:r>
    </w:p>
    <w:p>
      <w:pPr>
        <w:ind w:firstLine="480"/>
        <w:rPr>
          <w:rFonts w:cs="Times New Roman"/>
          <w:kern w:val="0"/>
        </w:rPr>
      </w:pPr>
      <w:r>
        <w:rPr>
          <w:rFonts w:cs="Times New Roman"/>
          <w:kern w:val="0"/>
        </w:rPr>
        <w:t>SO</w:t>
      </w:r>
      <w:r>
        <w:rPr>
          <w:rFonts w:cs="Times New Roman"/>
          <w:kern w:val="0"/>
          <w:vertAlign w:val="subscript"/>
        </w:rPr>
        <w:t>2</w:t>
      </w:r>
      <w:r>
        <w:rPr>
          <w:rFonts w:cs="Times New Roman"/>
          <w:kern w:val="0"/>
          <w:lang w:val="zh-CN"/>
        </w:rPr>
        <w:t>、</w:t>
      </w:r>
      <w:r>
        <w:rPr>
          <w:rFonts w:cs="Times New Roman"/>
          <w:kern w:val="0"/>
        </w:rPr>
        <w:t>SO</w:t>
      </w:r>
      <w:r>
        <w:rPr>
          <w:rFonts w:cs="Times New Roman"/>
          <w:kern w:val="0"/>
          <w:vertAlign w:val="subscript"/>
        </w:rPr>
        <w:t>3</w:t>
      </w:r>
      <w:r>
        <w:rPr>
          <w:rFonts w:cs="Times New Roman"/>
          <w:kern w:val="0"/>
          <w:lang w:val="zh-CN"/>
        </w:rPr>
        <w:t>与石灰浆液发生以下离子反应</w:t>
      </w:r>
      <w:r>
        <w:rPr>
          <w:rFonts w:cs="Times New Roman"/>
          <w:kern w:val="0"/>
        </w:rPr>
        <w:t>：</w:t>
      </w:r>
    </w:p>
    <w:p>
      <w:pPr>
        <w:ind w:firstLine="480"/>
        <w:rPr>
          <w:rFonts w:cs="Times New Roman"/>
          <w:kern w:val="0"/>
        </w:rPr>
      </w:pPr>
      <w:r>
        <w:rPr>
          <w:rFonts w:cs="Times New Roman"/>
          <w:kern w:val="0"/>
        </w:rPr>
        <w:t>Ca</w:t>
      </w:r>
      <w:r>
        <w:rPr>
          <w:rFonts w:cs="Times New Roman"/>
          <w:kern w:val="0"/>
          <w:vertAlign w:val="superscript"/>
        </w:rPr>
        <w:t>2+</w:t>
      </w:r>
      <w:r>
        <w:rPr>
          <w:rFonts w:cs="Times New Roman"/>
          <w:kern w:val="0"/>
        </w:rPr>
        <w:t>+OH</w:t>
      </w:r>
      <w:r>
        <w:rPr>
          <w:rFonts w:cs="Times New Roman"/>
          <w:kern w:val="0"/>
          <w:vertAlign w:val="superscript"/>
        </w:rPr>
        <w:t>-</w:t>
      </w:r>
      <w:r>
        <w:rPr>
          <w:rFonts w:cs="Times New Roman"/>
          <w:kern w:val="0"/>
        </w:rPr>
        <w:t>+HSO</w:t>
      </w:r>
      <w:r>
        <w:rPr>
          <w:rFonts w:cs="Times New Roman"/>
          <w:kern w:val="0"/>
          <w:vertAlign w:val="superscript"/>
        </w:rPr>
        <w:t>3-</w:t>
      </w:r>
      <w:r>
        <w:rPr>
          <w:rFonts w:cs="Times New Roman"/>
          <w:kern w:val="0"/>
        </w:rPr>
        <w:t>+2H</w:t>
      </w:r>
      <w:r>
        <w:rPr>
          <w:rFonts w:cs="Times New Roman"/>
          <w:kern w:val="0"/>
          <w:vertAlign w:val="superscript"/>
        </w:rPr>
        <w:t>+</w:t>
      </w:r>
      <w:r>
        <w:rPr>
          <w:rFonts w:cs="Times New Roman"/>
          <w:kern w:val="0"/>
        </w:rPr>
        <w:t>→Ca</w:t>
      </w:r>
      <w:r>
        <w:rPr>
          <w:rFonts w:cs="Times New Roman"/>
          <w:kern w:val="0"/>
          <w:vertAlign w:val="superscript"/>
        </w:rPr>
        <w:t>2+</w:t>
      </w:r>
      <w:r>
        <w:rPr>
          <w:rFonts w:cs="Times New Roman"/>
          <w:kern w:val="0"/>
        </w:rPr>
        <w:t>+HSO</w:t>
      </w:r>
      <w:r>
        <w:rPr>
          <w:rFonts w:cs="Times New Roman"/>
          <w:kern w:val="0"/>
          <w:vertAlign w:val="subscript"/>
        </w:rPr>
        <w:t>3</w:t>
      </w:r>
      <w:r>
        <w:rPr>
          <w:rFonts w:cs="Times New Roman"/>
          <w:kern w:val="0"/>
          <w:vertAlign w:val="superscript"/>
        </w:rPr>
        <w:t>-</w:t>
      </w:r>
      <w:r>
        <w:rPr>
          <w:rFonts w:cs="Times New Roman"/>
          <w:kern w:val="0"/>
        </w:rPr>
        <w:t>+2H</w:t>
      </w:r>
      <w:r>
        <w:rPr>
          <w:rFonts w:cs="Times New Roman"/>
          <w:kern w:val="0"/>
          <w:vertAlign w:val="subscript"/>
        </w:rPr>
        <w:t>2</w:t>
      </w:r>
      <w:r>
        <w:rPr>
          <w:rFonts w:cs="Times New Roman"/>
          <w:kern w:val="0"/>
        </w:rPr>
        <w:t xml:space="preserve">O </w:t>
      </w:r>
    </w:p>
    <w:p>
      <w:pPr>
        <w:ind w:firstLine="480"/>
        <w:rPr>
          <w:rFonts w:cs="Times New Roman"/>
          <w:kern w:val="0"/>
        </w:rPr>
      </w:pPr>
      <w:r>
        <w:rPr>
          <w:rFonts w:cs="Times New Roman"/>
          <w:kern w:val="0"/>
        </w:rPr>
        <w:t>Ca</w:t>
      </w:r>
      <w:r>
        <w:rPr>
          <w:rFonts w:cs="Times New Roman"/>
          <w:kern w:val="0"/>
          <w:vertAlign w:val="superscript"/>
        </w:rPr>
        <w:t>2+</w:t>
      </w:r>
      <w:r>
        <w:rPr>
          <w:rFonts w:cs="Times New Roman"/>
          <w:kern w:val="0"/>
        </w:rPr>
        <w:t>+OH</w:t>
      </w:r>
      <w:r>
        <w:rPr>
          <w:rFonts w:cs="Times New Roman"/>
          <w:kern w:val="0"/>
          <w:vertAlign w:val="superscript"/>
        </w:rPr>
        <w:t>-</w:t>
      </w:r>
      <w:r>
        <w:rPr>
          <w:rFonts w:cs="Times New Roman"/>
          <w:kern w:val="0"/>
        </w:rPr>
        <w:t>+SO</w:t>
      </w:r>
      <w:r>
        <w:rPr>
          <w:rFonts w:cs="Times New Roman"/>
          <w:kern w:val="0"/>
          <w:vertAlign w:val="subscript"/>
        </w:rPr>
        <w:t>4</w:t>
      </w:r>
      <w:r>
        <w:rPr>
          <w:rFonts w:cs="Times New Roman"/>
          <w:kern w:val="0"/>
          <w:vertAlign w:val="superscript"/>
        </w:rPr>
        <w:t>2-</w:t>
      </w:r>
      <w:r>
        <w:rPr>
          <w:rFonts w:cs="Times New Roman"/>
          <w:kern w:val="0"/>
        </w:rPr>
        <w:t>+2H</w:t>
      </w:r>
      <w:r>
        <w:rPr>
          <w:rFonts w:cs="Times New Roman"/>
          <w:kern w:val="0"/>
          <w:vertAlign w:val="superscript"/>
        </w:rPr>
        <w:t>+</w:t>
      </w:r>
      <w:r>
        <w:rPr>
          <w:rFonts w:cs="Times New Roman"/>
          <w:kern w:val="0"/>
        </w:rPr>
        <w:t>→Ca</w:t>
      </w:r>
      <w:r>
        <w:rPr>
          <w:rFonts w:cs="Times New Roman"/>
          <w:kern w:val="0"/>
          <w:vertAlign w:val="superscript"/>
        </w:rPr>
        <w:t>2+</w:t>
      </w:r>
      <w:r>
        <w:rPr>
          <w:rFonts w:cs="Times New Roman"/>
          <w:kern w:val="0"/>
        </w:rPr>
        <w:t>+SO</w:t>
      </w:r>
      <w:r>
        <w:rPr>
          <w:rFonts w:cs="Times New Roman"/>
          <w:kern w:val="0"/>
          <w:vertAlign w:val="subscript"/>
        </w:rPr>
        <w:t>4</w:t>
      </w:r>
      <w:r>
        <w:rPr>
          <w:rFonts w:cs="Times New Roman"/>
          <w:kern w:val="0"/>
          <w:vertAlign w:val="superscript"/>
        </w:rPr>
        <w:t>2-</w:t>
      </w:r>
      <w:r>
        <w:rPr>
          <w:rFonts w:cs="Times New Roman"/>
          <w:kern w:val="0"/>
        </w:rPr>
        <w:t>+2H</w:t>
      </w:r>
      <w:r>
        <w:rPr>
          <w:rFonts w:cs="Times New Roman"/>
          <w:kern w:val="0"/>
          <w:vertAlign w:val="subscript"/>
        </w:rPr>
        <w:t>2</w:t>
      </w:r>
      <w:r>
        <w:rPr>
          <w:rFonts w:cs="Times New Roman"/>
          <w:kern w:val="0"/>
        </w:rPr>
        <w:t>O</w:t>
      </w:r>
    </w:p>
    <w:p>
      <w:pPr>
        <w:ind w:firstLine="480"/>
        <w:rPr>
          <w:rFonts w:cs="Times New Roman"/>
          <w:kern w:val="0"/>
        </w:rPr>
      </w:pPr>
      <w:r>
        <w:rPr>
          <w:rFonts w:cs="Times New Roman"/>
          <w:kern w:val="0"/>
        </w:rPr>
        <w:t>通入脱硫塔浆液池内的O</w:t>
      </w:r>
      <w:r>
        <w:rPr>
          <w:rFonts w:cs="Times New Roman"/>
          <w:kern w:val="0"/>
          <w:vertAlign w:val="subscript"/>
        </w:rPr>
        <w:t>2</w:t>
      </w:r>
      <w:r>
        <w:rPr>
          <w:rFonts w:cs="Times New Roman"/>
          <w:kern w:val="0"/>
        </w:rPr>
        <w:t>将亚硫酸钙氧化成硫酸钙，形成石膏：</w:t>
      </w:r>
    </w:p>
    <w:p>
      <w:pPr>
        <w:ind w:firstLine="480"/>
        <w:rPr>
          <w:rFonts w:cs="Times New Roman"/>
          <w:kern w:val="0"/>
        </w:rPr>
      </w:pPr>
      <w:r>
        <w:rPr>
          <w:rFonts w:cs="Times New Roman"/>
          <w:kern w:val="0"/>
        </w:rPr>
        <w:t>HSO</w:t>
      </w:r>
      <w:r>
        <w:rPr>
          <w:rFonts w:cs="Times New Roman"/>
          <w:kern w:val="0"/>
          <w:vertAlign w:val="subscript"/>
        </w:rPr>
        <w:t>3</w:t>
      </w:r>
      <w:r>
        <w:rPr>
          <w:rFonts w:cs="Times New Roman"/>
          <w:kern w:val="0"/>
          <w:vertAlign w:val="superscript"/>
        </w:rPr>
        <w:t>-</w:t>
      </w:r>
      <w:r>
        <w:rPr>
          <w:rFonts w:cs="Times New Roman"/>
          <w:kern w:val="0"/>
        </w:rPr>
        <w:t>+O</w:t>
      </w:r>
      <w:r>
        <w:rPr>
          <w:rFonts w:cs="Times New Roman"/>
          <w:kern w:val="0"/>
          <w:vertAlign w:val="subscript"/>
        </w:rPr>
        <w:t>2</w:t>
      </w:r>
      <w:r>
        <w:rPr>
          <w:rFonts w:cs="Times New Roman"/>
          <w:kern w:val="0"/>
        </w:rPr>
        <w:t>→2 SO</w:t>
      </w:r>
      <w:r>
        <w:rPr>
          <w:rFonts w:cs="Times New Roman"/>
          <w:kern w:val="0"/>
          <w:vertAlign w:val="subscript"/>
        </w:rPr>
        <w:t>4</w:t>
      </w:r>
      <w:r>
        <w:rPr>
          <w:rFonts w:cs="Times New Roman"/>
          <w:kern w:val="0"/>
          <w:vertAlign w:val="superscript"/>
        </w:rPr>
        <w:t>2-</w:t>
      </w:r>
      <w:r>
        <w:rPr>
          <w:rFonts w:cs="Times New Roman"/>
          <w:kern w:val="0"/>
        </w:rPr>
        <w:t>+2H</w:t>
      </w:r>
      <w:r>
        <w:rPr>
          <w:rFonts w:cs="Times New Roman"/>
          <w:kern w:val="0"/>
          <w:vertAlign w:val="superscript"/>
        </w:rPr>
        <w:t>+</w:t>
      </w:r>
      <w:r>
        <w:rPr>
          <w:rFonts w:cs="Times New Roman"/>
          <w:kern w:val="0"/>
        </w:rPr>
        <w:t xml:space="preserve"> </w:t>
      </w:r>
    </w:p>
    <w:p>
      <w:pPr>
        <w:ind w:firstLine="480"/>
        <w:rPr>
          <w:rFonts w:cs="Times New Roman"/>
          <w:b/>
          <w:kern w:val="0"/>
        </w:rPr>
      </w:pPr>
      <w:r>
        <w:rPr>
          <w:rFonts w:cs="Times New Roman"/>
          <w:kern w:val="0"/>
        </w:rPr>
        <w:t>Ca</w:t>
      </w:r>
      <w:r>
        <w:rPr>
          <w:rFonts w:cs="Times New Roman"/>
          <w:kern w:val="0"/>
          <w:vertAlign w:val="superscript"/>
        </w:rPr>
        <w:t>2+</w:t>
      </w:r>
      <w:r>
        <w:rPr>
          <w:rFonts w:cs="Times New Roman"/>
          <w:kern w:val="0"/>
        </w:rPr>
        <w:t>+ SO</w:t>
      </w:r>
      <w:r>
        <w:rPr>
          <w:rFonts w:cs="Times New Roman"/>
          <w:kern w:val="0"/>
          <w:vertAlign w:val="subscript"/>
        </w:rPr>
        <w:t>4</w:t>
      </w:r>
      <w:r>
        <w:rPr>
          <w:rFonts w:cs="Times New Roman"/>
          <w:kern w:val="0"/>
          <w:vertAlign w:val="superscript"/>
        </w:rPr>
        <w:t>2-</w:t>
      </w:r>
      <w:r>
        <w:rPr>
          <w:rFonts w:cs="Times New Roman"/>
          <w:kern w:val="0"/>
        </w:rPr>
        <w:t>+2 H</w:t>
      </w:r>
      <w:r>
        <w:rPr>
          <w:rFonts w:cs="Times New Roman"/>
          <w:kern w:val="0"/>
          <w:vertAlign w:val="subscript"/>
        </w:rPr>
        <w:t>2</w:t>
      </w:r>
      <w:r>
        <w:rPr>
          <w:rFonts w:cs="Times New Roman"/>
          <w:kern w:val="0"/>
        </w:rPr>
        <w:t>O→CaSO</w:t>
      </w:r>
      <w:r>
        <w:rPr>
          <w:rFonts w:cs="Times New Roman"/>
          <w:kern w:val="0"/>
          <w:vertAlign w:val="subscript"/>
        </w:rPr>
        <w:t>4</w:t>
      </w:r>
      <w:r>
        <w:rPr>
          <w:rFonts w:cs="Times New Roman"/>
          <w:kern w:val="0"/>
        </w:rPr>
        <w:t>•2H</w:t>
      </w:r>
      <w:r>
        <w:rPr>
          <w:rFonts w:cs="Times New Roman"/>
          <w:kern w:val="0"/>
          <w:vertAlign w:val="subscript"/>
        </w:rPr>
        <w:t>2</w:t>
      </w:r>
      <w:r>
        <w:rPr>
          <w:rFonts w:cs="Times New Roman"/>
          <w:kern w:val="0"/>
        </w:rPr>
        <w:t>O</w:t>
      </w:r>
      <w:r>
        <w:rPr>
          <w:rFonts w:cs="Times New Roman"/>
          <w:b/>
          <w:kern w:val="0"/>
        </w:rPr>
        <w:t xml:space="preserve"> </w:t>
      </w:r>
    </w:p>
    <w:p>
      <w:pPr>
        <w:ind w:firstLine="480"/>
        <w:rPr>
          <w:rFonts w:cs="Times New Roman"/>
          <w:kern w:val="0"/>
        </w:rPr>
      </w:pPr>
      <w:r>
        <w:rPr>
          <w:rFonts w:cs="Times New Roman"/>
          <w:kern w:val="0"/>
        </w:rPr>
        <w:t>该脱硫工艺主要包括以下几大系统：预处理系统、吸收剂制备系统、脱硫塔系统、脱水系统、工艺水系统、电气及控制系统。</w:t>
      </w:r>
    </w:p>
    <w:p>
      <w:pPr>
        <w:ind w:firstLine="480"/>
        <w:rPr>
          <w:rFonts w:cs="Times New Roman"/>
          <w:kern w:val="0"/>
        </w:rPr>
      </w:pPr>
      <w:r>
        <w:rPr>
          <w:rFonts w:cs="Times New Roman"/>
          <w:kern w:val="0"/>
        </w:rPr>
        <w:t>1）预处理系统预处理系统由方烟道、膨胀节、预处理模块等组成。</w:t>
      </w:r>
    </w:p>
    <w:p>
      <w:pPr>
        <w:ind w:firstLine="480"/>
        <w:rPr>
          <w:rFonts w:cs="Times New Roman"/>
          <w:kern w:val="0"/>
        </w:rPr>
      </w:pPr>
      <w:r>
        <w:rPr>
          <w:rFonts w:cs="Times New Roman"/>
          <w:kern w:val="0"/>
        </w:rPr>
        <w:t>本脱硫系统中预处理系统主要在脱硫塔入口烟气部分参数存在一定波动时进行应急处理，方形混合烟道采用碳钢内衬高温防腐玻璃鳞片，同时安装好检修人孔门，保证窑炉烟气一定波动范围内脱硫系统的正常工作。</w:t>
      </w:r>
    </w:p>
    <w:p>
      <w:pPr>
        <w:ind w:firstLine="480"/>
        <w:rPr>
          <w:rFonts w:cs="Times New Roman"/>
          <w:kern w:val="0"/>
        </w:rPr>
      </w:pPr>
      <w:r>
        <w:rPr>
          <w:rFonts w:cs="Times New Roman"/>
          <w:kern w:val="0"/>
        </w:rPr>
        <w:t>2）吸收剂制备系统</w:t>
      </w:r>
    </w:p>
    <w:p>
      <w:pPr>
        <w:ind w:firstLine="480"/>
        <w:rPr>
          <w:rFonts w:cs="Times New Roman"/>
          <w:kern w:val="0"/>
        </w:rPr>
      </w:pPr>
      <w:r>
        <w:rPr>
          <w:rFonts w:cs="Times New Roman"/>
          <w:kern w:val="0"/>
        </w:rPr>
        <w:t>吸收剂制备系统由石灰浆液池、搅拌器及自动排放阀组成。</w:t>
      </w:r>
    </w:p>
    <w:p>
      <w:pPr>
        <w:ind w:firstLine="480"/>
        <w:rPr>
          <w:rFonts w:cs="Times New Roman"/>
          <w:kern w:val="0"/>
        </w:rPr>
      </w:pPr>
      <w:r>
        <w:rPr>
          <w:rFonts w:cs="Times New Roman"/>
          <w:kern w:val="0"/>
        </w:rPr>
        <w:t>本系统脱硫剂考虑采用石灰或是石灰石，客户按照要求（市售纯度90%以上，粒度100%，250目下消石灰粉）提供脱硫剂，以可保证系统稳定可靠运行。人工定期将石灰粉投入到石灰浆液池中，并加入一定比例的水，经搅拌后制备的石灰浆液，一次制备浆液供给8小时的用量。</w:t>
      </w:r>
    </w:p>
    <w:p>
      <w:pPr>
        <w:ind w:firstLine="480"/>
        <w:rPr>
          <w:rFonts w:cs="Times New Roman"/>
          <w:kern w:val="0"/>
        </w:rPr>
      </w:pPr>
      <w:r>
        <w:rPr>
          <w:rFonts w:cs="Times New Roman"/>
          <w:kern w:val="0"/>
        </w:rPr>
        <w:t>制备好的石灰浆液通过浆液排放阀门自动补给至循环浆液池。石灰浆液补充量根据系统pH及烟气数据进行自动调节，确保系统稳定运行。</w:t>
      </w:r>
    </w:p>
    <w:p>
      <w:pPr>
        <w:ind w:firstLine="480"/>
        <w:rPr>
          <w:rFonts w:cs="Times New Roman"/>
          <w:kern w:val="0"/>
        </w:rPr>
      </w:pPr>
      <w:r>
        <w:rPr>
          <w:rFonts w:cs="Times New Roman"/>
          <w:kern w:val="0"/>
        </w:rPr>
        <w:t>3）脱硫塔系统</w:t>
      </w:r>
    </w:p>
    <w:p>
      <w:pPr>
        <w:ind w:firstLine="480"/>
        <w:rPr>
          <w:rFonts w:cs="Times New Roman"/>
          <w:kern w:val="0"/>
        </w:rPr>
      </w:pPr>
      <w:r>
        <w:rPr>
          <w:rFonts w:cs="Times New Roman"/>
          <w:kern w:val="0"/>
        </w:rPr>
        <w:t>脱硫塔系统由烟气均化装置、烟气集聚装置、循环喷淋、脱水除雾系统、冲洗水等组成。</w:t>
      </w:r>
    </w:p>
    <w:p>
      <w:pPr>
        <w:ind w:firstLine="480"/>
        <w:rPr>
          <w:rFonts w:cs="Times New Roman"/>
          <w:kern w:val="0"/>
        </w:rPr>
      </w:pPr>
      <w:r>
        <w:rPr>
          <w:rFonts w:cs="Times New Roman"/>
          <w:kern w:val="0"/>
        </w:rPr>
        <w:t>循环喷淋系统配置3台循环泵对应喷淋层，烟气入口部位设置烟气均化装置（用于缓和因喷雾塔间歇使用而造成的烟气量波动造成的影响），另外在每层喷淋层下部增设烟气集聚装置，对烟气进行有效引流，浆液覆盖率&gt;200%，可以形成良好的雾化区域，增加传质表面积，延长液滴在塔内的停留时间（液滴在塔内的停留时间与液滴直径、喷嘴出口速度和烟气流动方向有关），从而达到最佳的脱硫效率。</w:t>
      </w:r>
    </w:p>
    <w:p>
      <w:pPr>
        <w:ind w:firstLine="480"/>
        <w:rPr>
          <w:rFonts w:cs="Times New Roman"/>
          <w:kern w:val="0"/>
        </w:rPr>
      </w:pPr>
      <w:r>
        <w:rPr>
          <w:rFonts w:cs="Times New Roman"/>
          <w:kern w:val="0"/>
        </w:rPr>
        <w:t>脱硫后的烟气通过循环喷淋层上方设置的三层平板式除雾器，分离净烟气中夹带的液滴，使净烟气的雾滴含量不超过75mg/Nm</w:t>
      </w:r>
      <w:r>
        <w:rPr>
          <w:rFonts w:cs="Times New Roman"/>
          <w:kern w:val="0"/>
          <w:vertAlign w:val="superscript"/>
        </w:rPr>
        <w:t>3</w:t>
      </w:r>
      <w:r>
        <w:rPr>
          <w:rFonts w:cs="Times New Roman"/>
          <w:kern w:val="0"/>
        </w:rPr>
        <w:t>。</w:t>
      </w:r>
    </w:p>
    <w:p>
      <w:pPr>
        <w:ind w:firstLine="480"/>
        <w:rPr>
          <w:rFonts w:cs="Times New Roman"/>
          <w:kern w:val="0"/>
        </w:rPr>
      </w:pPr>
      <w:r>
        <w:rPr>
          <w:rFonts w:cs="Times New Roman"/>
          <w:kern w:val="0"/>
        </w:rPr>
        <w:t>4）脱水系统脱水系统由压滤泵、板框压滤机、平台等组成。</w:t>
      </w:r>
    </w:p>
    <w:p>
      <w:pPr>
        <w:ind w:firstLine="480"/>
        <w:rPr>
          <w:rFonts w:cs="Times New Roman"/>
          <w:kern w:val="0"/>
        </w:rPr>
      </w:pPr>
      <w:r>
        <w:rPr>
          <w:rFonts w:cs="Times New Roman"/>
          <w:kern w:val="0"/>
        </w:rPr>
        <w:t>经脱硫塔底部留出未充分反应的浆液进入循环浆液池，经过循环使用后，浆液的主要成分是亚硫酸盐。通过循环浆液泵多次循环喷淋与烟气充分接触后自然氧化，将亚硫酸盐氧化为硫酸盐（石膏），再通过压滤泵送至板框压滤机，经脱水处理后得到石膏滤饼，存放于石膏堆放场。</w:t>
      </w:r>
    </w:p>
    <w:p>
      <w:pPr>
        <w:ind w:firstLine="480"/>
        <w:rPr>
          <w:rFonts w:cs="Times New Roman"/>
          <w:kern w:val="0"/>
        </w:rPr>
      </w:pPr>
      <w:r>
        <w:rPr>
          <w:rFonts w:cs="Times New Roman"/>
          <w:kern w:val="0"/>
        </w:rPr>
        <w:t>压滤后的溢流滤液返回脱硫塔循环池，部分排放至厂区现有污水处理系统。</w:t>
      </w:r>
    </w:p>
    <w:p>
      <w:pPr>
        <w:ind w:firstLine="480"/>
        <w:rPr>
          <w:rFonts w:cs="Times New Roman"/>
          <w:kern w:val="0"/>
        </w:rPr>
      </w:pPr>
      <w:r>
        <w:rPr>
          <w:rFonts w:cs="Times New Roman"/>
          <w:kern w:val="0"/>
        </w:rPr>
        <w:t>5）工艺水系统</w:t>
      </w:r>
    </w:p>
    <w:p>
      <w:pPr>
        <w:ind w:firstLine="480"/>
        <w:rPr>
          <w:rFonts w:cs="Times New Roman"/>
          <w:kern w:val="0"/>
        </w:rPr>
      </w:pPr>
      <w:r>
        <w:rPr>
          <w:rFonts w:cs="Times New Roman"/>
          <w:kern w:val="0"/>
        </w:rPr>
        <w:t>工艺水系统由工艺水池、冲洗泵、电动阀门及工艺水管道组成。</w:t>
      </w:r>
    </w:p>
    <w:p>
      <w:pPr>
        <w:ind w:firstLine="480"/>
        <w:rPr>
          <w:rFonts w:cs="Times New Roman"/>
          <w:kern w:val="0"/>
        </w:rPr>
      </w:pPr>
      <w:r>
        <w:rPr>
          <w:rFonts w:cs="Times New Roman"/>
          <w:kern w:val="0"/>
        </w:rPr>
        <w:t>脱硫塔塔内的水蒸发和石膏带水会造成脱硫系统水流失，为了维持整套脱硫系统的水平衡，必须对脱硫系统进行补水。同时制备浆液系统、停机自动冲洗等都需要使用工艺水。其中除除雾器冲洗水外，全部使用厂区管网来水。</w:t>
      </w:r>
    </w:p>
    <w:p>
      <w:pPr>
        <w:ind w:firstLine="480"/>
        <w:rPr>
          <w:rFonts w:cs="Times New Roman"/>
          <w:kern w:val="0"/>
        </w:rPr>
      </w:pPr>
      <w:r>
        <w:rPr>
          <w:rFonts w:cs="Times New Roman"/>
          <w:kern w:val="0"/>
        </w:rPr>
        <w:t>工艺水系统设置1座工艺水池，1台工艺水泵，工艺水泵采用间歇式工作模式。</w:t>
      </w:r>
    </w:p>
    <w:p>
      <w:pPr>
        <w:ind w:firstLine="480"/>
        <w:rPr>
          <w:rFonts w:cs="Times New Roman"/>
          <w:kern w:val="0"/>
        </w:rPr>
      </w:pPr>
      <w:r>
        <w:rPr>
          <w:rFonts w:cs="Times New Roman"/>
          <w:kern w:val="0"/>
        </w:rPr>
        <w:t>工艺水水质要求：[Cl</w:t>
      </w:r>
      <w:r>
        <w:rPr>
          <w:rFonts w:cs="Times New Roman"/>
          <w:kern w:val="0"/>
          <w:vertAlign w:val="superscript"/>
        </w:rPr>
        <w:t>-</w:t>
      </w:r>
      <w:r>
        <w:rPr>
          <w:rFonts w:cs="Times New Roman"/>
          <w:kern w:val="0"/>
        </w:rPr>
        <w:t>]≤100mg/L，压力不小于0.3MPa。工艺水管路采用碳钢材质。</w:t>
      </w:r>
    </w:p>
    <w:p>
      <w:pPr>
        <w:ind w:firstLine="480"/>
        <w:rPr>
          <w:rFonts w:cs="Times New Roman"/>
          <w:kern w:val="0"/>
        </w:rPr>
      </w:pPr>
      <w:r>
        <w:rPr>
          <w:rFonts w:cs="Times New Roman"/>
          <w:kern w:val="0"/>
        </w:rPr>
        <w:t>6）电气控制系统</w:t>
      </w:r>
    </w:p>
    <w:p>
      <w:pPr>
        <w:ind w:firstLine="480"/>
        <w:rPr>
          <w:rFonts w:cs="Times New Roman"/>
          <w:kern w:val="0"/>
        </w:rPr>
      </w:pPr>
      <w:r>
        <w:rPr>
          <w:rFonts w:cs="Times New Roman"/>
          <w:kern w:val="0"/>
        </w:rPr>
        <w:t>电气系统应采用标准的低压供配电控制柜设计，50Kw以上电机采用变频方式，其余可直接启动。电气设备满足工艺要求和人身设备安全，操作方便，可靠性高，便于维护，采用集中（可选）与机旁相结合的控制方式。</w:t>
      </w:r>
    </w:p>
    <w:p>
      <w:pPr>
        <w:ind w:firstLine="480"/>
        <w:rPr>
          <w:rFonts w:cs="Times New Roman"/>
          <w:kern w:val="0"/>
        </w:rPr>
      </w:pPr>
      <w:r>
        <w:rPr>
          <w:rFonts w:cs="Times New Roman"/>
          <w:kern w:val="0"/>
        </w:rPr>
        <w:t>经尾气处理装置处理后，窑炉烟气</w:t>
      </w:r>
      <w:r>
        <w:rPr>
          <w:rFonts w:cs="Times New Roman"/>
        </w:rPr>
        <w:t>各污染物浓度均符合《陶瓷工业污染物排放标准》（GB 25464-2010）中新建企业排放浓度限值要求。</w:t>
      </w:r>
    </w:p>
    <w:p>
      <w:pPr>
        <w:ind w:firstLine="482"/>
        <w:rPr>
          <w:rFonts w:cs="Times New Roman"/>
          <w:b/>
          <w:kern w:val="0"/>
        </w:rPr>
      </w:pPr>
      <w:r>
        <w:rPr>
          <w:rFonts w:cs="Times New Roman"/>
          <w:b/>
          <w:kern w:val="0"/>
        </w:rPr>
        <w:t>3、有组织粉尘</w:t>
      </w:r>
    </w:p>
    <w:p>
      <w:pPr>
        <w:ind w:firstLine="480"/>
        <w:rPr>
          <w:rFonts w:cs="Times New Roman"/>
          <w:kern w:val="0"/>
        </w:rPr>
      </w:pPr>
      <w:r>
        <w:rPr>
          <w:rFonts w:cs="Times New Roman"/>
          <w:kern w:val="0"/>
        </w:rPr>
        <w:t>项目在粉料仓、压砖工段、煤堆场均设置有布袋收尘系统收集粉尘。</w:t>
      </w:r>
    </w:p>
    <w:p>
      <w:pPr>
        <w:ind w:firstLine="480"/>
        <w:rPr>
          <w:rFonts w:cs="Times New Roman"/>
          <w:kern w:val="0"/>
        </w:rPr>
      </w:pPr>
      <w:r>
        <w:rPr>
          <w:rFonts w:cs="Times New Roman"/>
          <w:kern w:val="0"/>
        </w:rPr>
        <w:t>根据《陶瓷制品制造业污染防治可行技术指南》，袋式除尘技术适用于陶瓷原料制备、干压成型、修坯和后加工等常温颗粒物以及喷雾干燥塔烟气颗粒物捕集，陶瓷制品制造企业喷雾干燥塔烟气颗粒物治理用袋式除尘器有以下特点：运行温度通常小于250℃，且一般高于烟气酸露点15℃以上；当采用化纤滤料时，过滤风速一般为0.8~1.0m/min，除尘器的系统阻力通常小于1500Pa，出口颗粒物浓度通常小于30mg/m</w:t>
      </w:r>
      <w:r>
        <w:rPr>
          <w:rFonts w:cs="Times New Roman"/>
          <w:kern w:val="0"/>
          <w:vertAlign w:val="superscript"/>
        </w:rPr>
        <w:t>3</w:t>
      </w:r>
      <w:r>
        <w:rPr>
          <w:rFonts w:cs="Times New Roman"/>
          <w:kern w:val="0"/>
        </w:rPr>
        <w:t>。根据查阅相关资料，布袋除尘器除尘效果良好，一般可稳定达到99%~99.99%的除尘效率。产尘点设置布袋收尘系统，可有效将无组织排放粉尘进行收集后转化为有组织排放，可有效减少粉尘的排放和对周边环境的污染，能够满足《陶瓷工业污染物排放标准》（GB25464-2010）的相关要求。喷雾干燥塔废气温度高于100℃，当运行温度高于烟气露点温度时，布袋除尘系统不会出现糊袋情况。</w:t>
      </w:r>
    </w:p>
    <w:p>
      <w:pPr>
        <w:ind w:firstLine="480"/>
        <w:rPr>
          <w:rFonts w:cs="Times New Roman"/>
          <w:kern w:val="0"/>
        </w:rPr>
      </w:pPr>
      <w:r>
        <w:rPr>
          <w:rFonts w:cs="Times New Roman"/>
          <w:kern w:val="0"/>
        </w:rPr>
        <w:t>因此项目采取袋式除尘器除尘设施合理可行。项目设置的排气筒高度经计算分析，高度设置合理。</w:t>
      </w:r>
    </w:p>
    <w:p>
      <w:pPr>
        <w:ind w:firstLine="482"/>
        <w:rPr>
          <w:rFonts w:cs="Times New Roman"/>
          <w:b/>
          <w:kern w:val="0"/>
        </w:rPr>
      </w:pPr>
      <w:r>
        <w:rPr>
          <w:rFonts w:cs="Times New Roman"/>
          <w:b/>
          <w:kern w:val="0"/>
        </w:rPr>
        <w:t>4、无组织粉尘</w:t>
      </w:r>
    </w:p>
    <w:p>
      <w:pPr>
        <w:ind w:firstLine="480"/>
        <w:rPr>
          <w:rFonts w:cs="Times New Roman"/>
          <w:kern w:val="0"/>
        </w:rPr>
      </w:pPr>
      <w:r>
        <w:rPr>
          <w:rFonts w:cs="Times New Roman"/>
          <w:kern w:val="0"/>
        </w:rPr>
        <w:t>项目在原料堆存、装卸、配料、输送皮带等环节采用雾化喷淋降尘及洒水降尘措施及时降低粉尘排放量。根据《堆场扬尘计算和防风效率的几个问题》，当物料含水率7%+半封闭料仓时，堆场扬尘在装卸条件下除尘率可以到90.1%，本项目物料含水率约10%，通过采取喷雾洒水降尘措施可以降到7%以下，且项目堆场为四面封闭（留进出口），粉尘减少约90%粉尘排放量是可行的，该措施运用广泛，具有可操作性和可行性。</w:t>
      </w:r>
    </w:p>
    <w:p>
      <w:pPr>
        <w:ind w:firstLine="482"/>
        <w:outlineLvl w:val="3"/>
        <w:rPr>
          <w:rFonts w:cs="Times New Roman"/>
          <w:b/>
          <w:bCs/>
          <w:kern w:val="0"/>
          <w:szCs w:val="20"/>
        </w:rPr>
      </w:pPr>
      <w:r>
        <w:rPr>
          <w:rFonts w:cs="Times New Roman"/>
          <w:b/>
          <w:bCs/>
          <w:kern w:val="0"/>
          <w:szCs w:val="20"/>
        </w:rPr>
        <w:t>6.2.2.3重污染天气废气防治措施</w:t>
      </w:r>
    </w:p>
    <w:p>
      <w:pPr>
        <w:ind w:firstLine="480"/>
        <w:rPr>
          <w:rFonts w:cs="Times New Roman"/>
          <w:kern w:val="0"/>
        </w:rPr>
      </w:pPr>
      <w:r>
        <w:rPr>
          <w:rFonts w:cs="Times New Roman"/>
          <w:kern w:val="0"/>
        </w:rPr>
        <w:t>根据《重污染天气重点行业行业应急减排措施制定技术指南》“通过燃料种类、污染治理技术、无组织管控、监测监控水平、排放限值、运输方式等差异化指标将陶瓷行业企业分为A、B、C三级，实行分级管控。”本企业属于B级。因此，本项目在重污染天气橙色及以上预警期间，焙烧工序停产50%（含）以上，以生产线计，禁止运输；黄色及以上预警期间，禁止运输；红色预警期间，禁止运输。</w:t>
      </w:r>
    </w:p>
    <w:p>
      <w:pPr>
        <w:ind w:firstLine="482"/>
        <w:outlineLvl w:val="3"/>
        <w:rPr>
          <w:rFonts w:cs="Times New Roman"/>
          <w:b/>
          <w:bCs/>
          <w:kern w:val="0"/>
          <w:szCs w:val="20"/>
        </w:rPr>
      </w:pPr>
      <w:r>
        <w:rPr>
          <w:rFonts w:cs="Times New Roman"/>
          <w:b/>
          <w:bCs/>
          <w:kern w:val="0"/>
          <w:szCs w:val="20"/>
        </w:rPr>
        <w:t>6.2.2.4排气筒高度及出口内径合理性分析</w:t>
      </w:r>
    </w:p>
    <w:p>
      <w:pPr>
        <w:autoSpaceDE w:val="0"/>
        <w:autoSpaceDN w:val="0"/>
        <w:adjustRightInd w:val="0"/>
        <w:ind w:firstLine="480"/>
        <w:rPr>
          <w:rFonts w:cs="Times New Roman"/>
          <w:kern w:val="0"/>
        </w:rPr>
      </w:pPr>
      <w:r>
        <w:rPr>
          <w:rFonts w:cs="Times New Roman"/>
          <w:kern w:val="0"/>
        </w:rPr>
        <w:t>本次评价针对本工程废气排气筒高度和内径合理性进行分析。主要依据如下：</w:t>
      </w:r>
    </w:p>
    <w:p>
      <w:pPr>
        <w:autoSpaceDE w:val="0"/>
        <w:autoSpaceDN w:val="0"/>
        <w:adjustRightInd w:val="0"/>
        <w:ind w:firstLine="480"/>
        <w:rPr>
          <w:rFonts w:cs="Times New Roman"/>
          <w:kern w:val="0"/>
        </w:rPr>
      </w:pPr>
      <w:r>
        <w:rPr>
          <w:rFonts w:hint="eastAsia" w:ascii="宋体" w:hAnsi="宋体" w:cs="宋体"/>
          <w:kern w:val="0"/>
        </w:rPr>
        <w:t>①</w:t>
      </w:r>
      <w:r>
        <w:rPr>
          <w:rFonts w:cs="Times New Roman"/>
          <w:kern w:val="0"/>
        </w:rPr>
        <w:t>根据《制定地方大气污染物排放标准的技术方法》（GB/T13201-91）的要求，排气筒出口处烟气速度Vs 不得小于按下列公式计算的风速Vc的1.5 倍。</w:t>
      </w:r>
    </w:p>
    <w:p>
      <w:pPr>
        <w:ind w:firstLine="480"/>
        <w:jc w:val="center"/>
        <w:rPr>
          <w:rFonts w:cs="Times New Roman"/>
          <w:kern w:val="0"/>
        </w:rPr>
      </w:pPr>
      <w:r>
        <w:rPr>
          <w:rFonts w:cs="Times New Roman"/>
          <w:kern w:val="0"/>
        </w:rPr>
        <w:drawing>
          <wp:inline distT="0" distB="0" distL="0" distR="0">
            <wp:extent cx="2286000" cy="495300"/>
            <wp:effectExtent l="0" t="0" r="0" b="0"/>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a:picLocks noChangeAspect="1" noChangeArrowheads="1"/>
                    </pic:cNvPicPr>
                  </pic:nvPicPr>
                  <pic:blipFill>
                    <a:blip r:embed="rId108"/>
                    <a:srcRect/>
                    <a:stretch>
                      <a:fillRect/>
                    </a:stretch>
                  </pic:blipFill>
                  <pic:spPr>
                    <a:xfrm>
                      <a:off x="0" y="0"/>
                      <a:ext cx="2286000" cy="495300"/>
                    </a:xfrm>
                    <a:prstGeom prst="rect">
                      <a:avLst/>
                    </a:prstGeom>
                    <a:noFill/>
                    <a:ln w="9525">
                      <a:noFill/>
                      <a:miter lim="800000"/>
                      <a:headEnd/>
                      <a:tailEnd/>
                    </a:ln>
                  </pic:spPr>
                </pic:pic>
              </a:graphicData>
            </a:graphic>
          </wp:inline>
        </w:drawing>
      </w:r>
    </w:p>
    <w:p>
      <w:pPr>
        <w:ind w:firstLine="480"/>
        <w:jc w:val="center"/>
        <w:rPr>
          <w:rFonts w:cs="Times New Roman"/>
          <w:kern w:val="0"/>
        </w:rPr>
      </w:pPr>
      <w:r>
        <w:rPr>
          <w:rFonts w:cs="Times New Roman"/>
          <w:kern w:val="0"/>
        </w:rPr>
        <w:drawing>
          <wp:inline distT="0" distB="0" distL="0" distR="0">
            <wp:extent cx="1657350" cy="304800"/>
            <wp:effectExtent l="0" t="0" r="0" b="0"/>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noChangeArrowheads="1"/>
                    </pic:cNvPicPr>
                  </pic:nvPicPr>
                  <pic:blipFill>
                    <a:blip r:embed="rId109"/>
                    <a:srcRect/>
                    <a:stretch>
                      <a:fillRect/>
                    </a:stretch>
                  </pic:blipFill>
                  <pic:spPr>
                    <a:xfrm>
                      <a:off x="0" y="0"/>
                      <a:ext cx="1657350" cy="304800"/>
                    </a:xfrm>
                    <a:prstGeom prst="rect">
                      <a:avLst/>
                    </a:prstGeom>
                    <a:noFill/>
                    <a:ln w="9525">
                      <a:noFill/>
                      <a:miter lim="800000"/>
                      <a:headEnd/>
                      <a:tailEnd/>
                    </a:ln>
                  </pic:spPr>
                </pic:pic>
              </a:graphicData>
            </a:graphic>
          </wp:inline>
        </w:drawing>
      </w:r>
    </w:p>
    <w:p>
      <w:pPr>
        <w:ind w:firstLine="480"/>
        <w:rPr>
          <w:rFonts w:cs="Times New Roman"/>
          <w:kern w:val="0"/>
        </w:rPr>
      </w:pPr>
      <w:r>
        <w:rPr>
          <w:rFonts w:cs="Times New Roman"/>
          <w:kern w:val="0"/>
        </w:rPr>
        <w:t>式中：Va ：排气筒出口高度处环境多年平均风速，m/s。以排气筒所在市（县）邻近气象台（站）最近20年平均风速（本项目取2.3m/s），按幂指数关系换算到烟囱出口高度的平均风速。</w:t>
      </w:r>
    </w:p>
    <w:p>
      <w:pPr>
        <w:ind w:firstLine="480"/>
        <w:rPr>
          <w:rFonts w:cs="Times New Roman"/>
          <w:kern w:val="0"/>
        </w:rPr>
      </w:pPr>
      <w:r>
        <w:rPr>
          <w:rFonts w:cs="Times New Roman"/>
          <w:kern w:val="0"/>
        </w:rPr>
        <w:t>K：韦伯斜率；</w:t>
      </w:r>
    </w:p>
    <w:p>
      <w:pPr>
        <w:ind w:firstLine="480"/>
        <w:rPr>
          <w:rFonts w:cs="Times New Roman"/>
          <w:kern w:val="0"/>
        </w:rPr>
      </w:pPr>
      <w:r>
        <w:rPr>
          <w:rFonts w:cs="Times New Roman"/>
          <w:kern w:val="0"/>
        </w:rPr>
        <w:drawing>
          <wp:inline distT="0" distB="0" distL="0" distR="0">
            <wp:extent cx="2019300" cy="368300"/>
            <wp:effectExtent l="0" t="0" r="0" b="12700"/>
            <wp:docPr id="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pic:cNvPicPr>
                      <a:picLocks noChangeAspect="1" noChangeArrowheads="1"/>
                    </pic:cNvPicPr>
                  </pic:nvPicPr>
                  <pic:blipFill>
                    <a:blip r:embed="rId110"/>
                    <a:srcRect/>
                    <a:stretch>
                      <a:fillRect/>
                    </a:stretch>
                  </pic:blipFill>
                  <pic:spPr>
                    <a:xfrm>
                      <a:off x="0" y="0"/>
                      <a:ext cx="2019300" cy="368669"/>
                    </a:xfrm>
                    <a:prstGeom prst="rect">
                      <a:avLst/>
                    </a:prstGeom>
                    <a:noFill/>
                    <a:ln w="9525">
                      <a:noFill/>
                      <a:miter lim="800000"/>
                      <a:headEnd/>
                      <a:tailEnd/>
                    </a:ln>
                  </pic:spPr>
                </pic:pic>
              </a:graphicData>
            </a:graphic>
          </wp:inline>
        </w:drawing>
      </w:r>
    </w:p>
    <w:p>
      <w:pPr>
        <w:ind w:firstLine="480"/>
        <w:rPr>
          <w:rFonts w:cs="Times New Roman"/>
          <w:kern w:val="0"/>
        </w:rPr>
      </w:pPr>
      <w:r>
        <w:rPr>
          <w:rFonts w:hint="eastAsia" w:ascii="宋体" w:hAnsi="宋体" w:cs="宋体"/>
          <w:kern w:val="0"/>
        </w:rPr>
        <w:t>②</w:t>
      </w:r>
      <w:r>
        <w:rPr>
          <w:rFonts w:cs="Times New Roman"/>
          <w:kern w:val="0"/>
        </w:rPr>
        <w:t>排气筒高度可以满足相应标准的要求。</w:t>
      </w:r>
    </w:p>
    <w:p>
      <w:pPr>
        <w:ind w:firstLine="480"/>
        <w:rPr>
          <w:rFonts w:cs="Times New Roman"/>
          <w:kern w:val="0"/>
        </w:rPr>
      </w:pPr>
      <w:r>
        <w:rPr>
          <w:rFonts w:cs="Times New Roman"/>
          <w:kern w:val="0"/>
        </w:rPr>
        <w:t>结合以上原则，工程各排气筒合理性分析结果见表6.3-1。</w:t>
      </w:r>
    </w:p>
    <w:p>
      <w:pPr>
        <w:adjustRightInd w:val="0"/>
        <w:snapToGrid w:val="0"/>
        <w:spacing w:before="163" w:beforeLines="50"/>
        <w:ind w:firstLine="482"/>
        <w:jc w:val="center"/>
        <w:rPr>
          <w:rFonts w:cs="Times New Roman"/>
          <w:b/>
          <w:kern w:val="0"/>
          <w:szCs w:val="21"/>
        </w:rPr>
      </w:pPr>
      <w:r>
        <w:rPr>
          <w:rFonts w:cs="Times New Roman"/>
          <w:b/>
          <w:kern w:val="0"/>
          <w:szCs w:val="21"/>
        </w:rPr>
        <w:t>表6.3-1  工程排气筒参数汇总及合理性分析一览表</w:t>
      </w: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84"/>
        <w:gridCol w:w="1353"/>
        <w:gridCol w:w="1316"/>
        <w:gridCol w:w="1183"/>
        <w:gridCol w:w="2299"/>
        <w:gridCol w:w="995"/>
        <w:gridCol w:w="5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
                <w:sz w:val="21"/>
                <w:szCs w:val="21"/>
              </w:rPr>
            </w:pPr>
            <w:r>
              <w:rPr>
                <w:b/>
                <w:sz w:val="21"/>
                <w:szCs w:val="21"/>
              </w:rPr>
              <w:t>排气筒</w:t>
            </w:r>
          </w:p>
        </w:tc>
        <w:tc>
          <w:tcPr>
            <w:tcW w:w="0" w:type="auto"/>
            <w:vAlign w:val="center"/>
          </w:tcPr>
          <w:p>
            <w:pPr>
              <w:spacing w:line="240" w:lineRule="auto"/>
              <w:ind w:firstLine="0" w:firstLineChars="0"/>
              <w:jc w:val="center"/>
              <w:rPr>
                <w:b/>
                <w:sz w:val="21"/>
                <w:szCs w:val="21"/>
              </w:rPr>
            </w:pPr>
            <w:r>
              <w:rPr>
                <w:b/>
                <w:sz w:val="21"/>
                <w:szCs w:val="21"/>
              </w:rPr>
              <w:t>烟气量（m</w:t>
            </w:r>
            <w:r>
              <w:rPr>
                <w:b/>
                <w:sz w:val="21"/>
                <w:szCs w:val="21"/>
                <w:vertAlign w:val="superscript"/>
              </w:rPr>
              <w:t>3</w:t>
            </w:r>
            <w:r>
              <w:rPr>
                <w:b/>
                <w:sz w:val="21"/>
                <w:szCs w:val="21"/>
              </w:rPr>
              <w:t>/h）</w:t>
            </w:r>
          </w:p>
        </w:tc>
        <w:tc>
          <w:tcPr>
            <w:tcW w:w="0" w:type="auto"/>
            <w:vAlign w:val="center"/>
          </w:tcPr>
          <w:p>
            <w:pPr>
              <w:spacing w:line="240" w:lineRule="auto"/>
              <w:ind w:firstLine="0" w:firstLineChars="0"/>
              <w:jc w:val="center"/>
              <w:rPr>
                <w:b/>
                <w:sz w:val="21"/>
                <w:szCs w:val="21"/>
              </w:rPr>
            </w:pPr>
            <w:r>
              <w:rPr>
                <w:b/>
                <w:sz w:val="21"/>
                <w:szCs w:val="21"/>
              </w:rPr>
              <w:t>排气筒高度（m）</w:t>
            </w:r>
          </w:p>
        </w:tc>
        <w:tc>
          <w:tcPr>
            <w:tcW w:w="0" w:type="auto"/>
            <w:vAlign w:val="center"/>
          </w:tcPr>
          <w:p>
            <w:pPr>
              <w:spacing w:line="240" w:lineRule="auto"/>
              <w:ind w:firstLine="0" w:firstLineChars="0"/>
              <w:jc w:val="center"/>
              <w:rPr>
                <w:b/>
                <w:sz w:val="21"/>
                <w:szCs w:val="21"/>
              </w:rPr>
            </w:pPr>
            <w:r>
              <w:rPr>
                <w:b/>
                <w:sz w:val="21"/>
                <w:szCs w:val="21"/>
              </w:rPr>
              <w:t>出口内径（m）</w:t>
            </w:r>
          </w:p>
        </w:tc>
        <w:tc>
          <w:tcPr>
            <w:tcW w:w="0" w:type="auto"/>
            <w:vAlign w:val="center"/>
          </w:tcPr>
          <w:p>
            <w:pPr>
              <w:spacing w:line="240" w:lineRule="auto"/>
              <w:ind w:firstLine="0" w:firstLineChars="0"/>
              <w:jc w:val="center"/>
              <w:rPr>
                <w:b/>
                <w:sz w:val="21"/>
                <w:szCs w:val="21"/>
              </w:rPr>
            </w:pPr>
            <w:r>
              <w:rPr>
                <w:b/>
                <w:sz w:val="21"/>
                <w:szCs w:val="21"/>
              </w:rPr>
              <w:t>排气筒出口处烟气流量Vs（m/s）</w:t>
            </w:r>
          </w:p>
        </w:tc>
        <w:tc>
          <w:tcPr>
            <w:tcW w:w="0" w:type="auto"/>
            <w:vAlign w:val="center"/>
          </w:tcPr>
          <w:p>
            <w:pPr>
              <w:spacing w:line="240" w:lineRule="auto"/>
              <w:ind w:firstLine="0" w:firstLineChars="0"/>
              <w:jc w:val="center"/>
              <w:rPr>
                <w:b/>
                <w:sz w:val="21"/>
                <w:szCs w:val="21"/>
              </w:rPr>
            </w:pPr>
            <w:r>
              <w:rPr>
                <w:b/>
                <w:sz w:val="21"/>
                <w:szCs w:val="21"/>
              </w:rPr>
              <w:t>计算的1.5Vc</w:t>
            </w:r>
          </w:p>
        </w:tc>
        <w:tc>
          <w:tcPr>
            <w:tcW w:w="0" w:type="auto"/>
            <w:vAlign w:val="center"/>
          </w:tcPr>
          <w:p>
            <w:pPr>
              <w:spacing w:line="240" w:lineRule="auto"/>
              <w:ind w:firstLine="0" w:firstLineChars="0"/>
              <w:jc w:val="center"/>
              <w:rPr>
                <w:b/>
                <w:sz w:val="21"/>
                <w:szCs w:val="21"/>
              </w:rPr>
            </w:pPr>
            <w:r>
              <w:rPr>
                <w:b/>
                <w:sz w:val="21"/>
                <w:szCs w:val="21"/>
              </w:rPr>
              <w:t>合理性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DA001</w:t>
            </w:r>
          </w:p>
        </w:tc>
        <w:tc>
          <w:tcPr>
            <w:tcW w:w="0" w:type="auto"/>
            <w:vAlign w:val="center"/>
          </w:tcPr>
          <w:p>
            <w:pPr>
              <w:spacing w:line="240" w:lineRule="auto"/>
              <w:ind w:firstLine="0" w:firstLineChars="0"/>
              <w:jc w:val="center"/>
              <w:rPr>
                <w:bCs/>
                <w:sz w:val="21"/>
                <w:szCs w:val="21"/>
              </w:rPr>
            </w:pPr>
            <w:r>
              <w:rPr>
                <w:bCs/>
                <w:sz w:val="21"/>
                <w:szCs w:val="21"/>
              </w:rPr>
              <w:t>25000</w:t>
            </w:r>
          </w:p>
        </w:tc>
        <w:tc>
          <w:tcPr>
            <w:tcW w:w="0" w:type="auto"/>
            <w:vAlign w:val="center"/>
          </w:tcPr>
          <w:p>
            <w:pPr>
              <w:spacing w:line="240" w:lineRule="auto"/>
              <w:ind w:firstLine="0" w:firstLineChars="0"/>
              <w:jc w:val="center"/>
              <w:rPr>
                <w:bCs/>
                <w:sz w:val="21"/>
                <w:szCs w:val="21"/>
              </w:rPr>
            </w:pPr>
            <w:r>
              <w:rPr>
                <w:bCs/>
                <w:sz w:val="21"/>
                <w:szCs w:val="21"/>
              </w:rPr>
              <w:t>15</w:t>
            </w:r>
          </w:p>
        </w:tc>
        <w:tc>
          <w:tcPr>
            <w:tcW w:w="0" w:type="auto"/>
            <w:vAlign w:val="center"/>
          </w:tcPr>
          <w:p>
            <w:pPr>
              <w:spacing w:line="240" w:lineRule="auto"/>
              <w:ind w:firstLine="0" w:firstLineChars="0"/>
              <w:jc w:val="center"/>
              <w:rPr>
                <w:bCs/>
                <w:sz w:val="21"/>
                <w:szCs w:val="21"/>
              </w:rPr>
            </w:pPr>
            <w:r>
              <w:rPr>
                <w:bCs/>
                <w:sz w:val="21"/>
                <w:szCs w:val="21"/>
              </w:rPr>
              <w:t>0.5</w:t>
            </w:r>
          </w:p>
        </w:tc>
        <w:tc>
          <w:tcPr>
            <w:tcW w:w="0" w:type="auto"/>
            <w:vAlign w:val="center"/>
          </w:tcPr>
          <w:p>
            <w:pPr>
              <w:spacing w:line="240" w:lineRule="auto"/>
              <w:ind w:firstLine="0" w:firstLineChars="0"/>
              <w:jc w:val="center"/>
              <w:rPr>
                <w:bCs/>
                <w:sz w:val="21"/>
                <w:szCs w:val="21"/>
              </w:rPr>
            </w:pPr>
            <w:r>
              <w:rPr>
                <w:sz w:val="21"/>
              </w:rPr>
              <w:t>8.8</w:t>
            </w:r>
          </w:p>
        </w:tc>
        <w:tc>
          <w:tcPr>
            <w:tcW w:w="0" w:type="auto"/>
            <w:vAlign w:val="center"/>
          </w:tcPr>
          <w:p>
            <w:pPr>
              <w:spacing w:line="240" w:lineRule="auto"/>
              <w:ind w:firstLine="0" w:firstLineChars="0"/>
              <w:jc w:val="center"/>
              <w:rPr>
                <w:bCs/>
                <w:sz w:val="21"/>
                <w:szCs w:val="21"/>
              </w:rPr>
            </w:pPr>
            <w:r>
              <w:rPr>
                <w:bCs/>
                <w:sz w:val="21"/>
                <w:szCs w:val="21"/>
              </w:rPr>
              <w:t>9.23</w:t>
            </w:r>
          </w:p>
        </w:tc>
        <w:tc>
          <w:tcPr>
            <w:tcW w:w="0" w:type="auto"/>
            <w:vAlign w:val="center"/>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DA002</w:t>
            </w:r>
          </w:p>
        </w:tc>
        <w:tc>
          <w:tcPr>
            <w:tcW w:w="0" w:type="auto"/>
            <w:vAlign w:val="center"/>
          </w:tcPr>
          <w:p>
            <w:pPr>
              <w:spacing w:line="240" w:lineRule="auto"/>
              <w:ind w:firstLine="0" w:firstLineChars="0"/>
              <w:jc w:val="center"/>
              <w:rPr>
                <w:bCs/>
                <w:sz w:val="21"/>
                <w:szCs w:val="21"/>
              </w:rPr>
            </w:pPr>
            <w:r>
              <w:rPr>
                <w:sz w:val="21"/>
                <w:szCs w:val="21"/>
              </w:rPr>
              <w:t>503565.44</w:t>
            </w:r>
          </w:p>
        </w:tc>
        <w:tc>
          <w:tcPr>
            <w:tcW w:w="0" w:type="auto"/>
            <w:vAlign w:val="center"/>
          </w:tcPr>
          <w:p>
            <w:pPr>
              <w:spacing w:line="240" w:lineRule="auto"/>
              <w:ind w:firstLine="0" w:firstLineChars="0"/>
              <w:jc w:val="center"/>
              <w:rPr>
                <w:bCs/>
                <w:sz w:val="21"/>
                <w:szCs w:val="21"/>
              </w:rPr>
            </w:pPr>
            <w:r>
              <w:rPr>
                <w:bCs/>
                <w:sz w:val="21"/>
                <w:szCs w:val="21"/>
              </w:rPr>
              <w:t>35</w:t>
            </w:r>
          </w:p>
        </w:tc>
        <w:tc>
          <w:tcPr>
            <w:tcW w:w="0" w:type="auto"/>
            <w:vAlign w:val="center"/>
          </w:tcPr>
          <w:p>
            <w:pPr>
              <w:spacing w:line="240" w:lineRule="auto"/>
              <w:ind w:firstLine="0" w:firstLineChars="0"/>
              <w:jc w:val="center"/>
              <w:rPr>
                <w:bCs/>
                <w:sz w:val="21"/>
                <w:szCs w:val="21"/>
              </w:rPr>
            </w:pPr>
            <w:r>
              <w:rPr>
                <w:bCs/>
                <w:sz w:val="21"/>
                <w:szCs w:val="21"/>
              </w:rPr>
              <w:t>2</w:t>
            </w:r>
          </w:p>
        </w:tc>
        <w:tc>
          <w:tcPr>
            <w:tcW w:w="0" w:type="auto"/>
            <w:vAlign w:val="center"/>
          </w:tcPr>
          <w:p>
            <w:pPr>
              <w:spacing w:line="240" w:lineRule="auto"/>
              <w:ind w:firstLine="0" w:firstLineChars="0"/>
              <w:jc w:val="center"/>
              <w:rPr>
                <w:bCs/>
                <w:sz w:val="21"/>
                <w:szCs w:val="21"/>
              </w:rPr>
            </w:pPr>
            <w:r>
              <w:rPr>
                <w:sz w:val="21"/>
              </w:rPr>
              <w:t>11.1</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DA003</w:t>
            </w:r>
          </w:p>
        </w:tc>
        <w:tc>
          <w:tcPr>
            <w:tcW w:w="0" w:type="auto"/>
            <w:vAlign w:val="center"/>
          </w:tcPr>
          <w:p>
            <w:pPr>
              <w:spacing w:line="240" w:lineRule="auto"/>
              <w:ind w:firstLine="0" w:firstLineChars="0"/>
              <w:jc w:val="center"/>
              <w:rPr>
                <w:bCs/>
                <w:sz w:val="21"/>
                <w:szCs w:val="21"/>
              </w:rPr>
            </w:pPr>
            <w:r>
              <w:rPr>
                <w:sz w:val="21"/>
                <w:szCs w:val="21"/>
              </w:rPr>
              <w:t>503565.44</w:t>
            </w:r>
          </w:p>
        </w:tc>
        <w:tc>
          <w:tcPr>
            <w:tcW w:w="0" w:type="auto"/>
            <w:vAlign w:val="center"/>
          </w:tcPr>
          <w:p>
            <w:pPr>
              <w:spacing w:line="240" w:lineRule="auto"/>
              <w:ind w:firstLine="0" w:firstLineChars="0"/>
              <w:jc w:val="center"/>
              <w:rPr>
                <w:bCs/>
                <w:sz w:val="21"/>
                <w:szCs w:val="21"/>
              </w:rPr>
            </w:pPr>
            <w:r>
              <w:rPr>
                <w:bCs/>
                <w:sz w:val="21"/>
                <w:szCs w:val="21"/>
              </w:rPr>
              <w:t>35</w:t>
            </w:r>
          </w:p>
        </w:tc>
        <w:tc>
          <w:tcPr>
            <w:tcW w:w="0" w:type="auto"/>
            <w:vAlign w:val="center"/>
          </w:tcPr>
          <w:p>
            <w:pPr>
              <w:spacing w:line="240" w:lineRule="auto"/>
              <w:ind w:firstLine="0" w:firstLineChars="0"/>
              <w:jc w:val="center"/>
              <w:rPr>
                <w:bCs/>
                <w:sz w:val="21"/>
                <w:szCs w:val="21"/>
              </w:rPr>
            </w:pPr>
            <w:r>
              <w:rPr>
                <w:bCs/>
                <w:sz w:val="21"/>
                <w:szCs w:val="21"/>
              </w:rPr>
              <w:t>2</w:t>
            </w:r>
          </w:p>
        </w:tc>
        <w:tc>
          <w:tcPr>
            <w:tcW w:w="0" w:type="auto"/>
            <w:vAlign w:val="center"/>
          </w:tcPr>
          <w:p>
            <w:pPr>
              <w:spacing w:line="240" w:lineRule="auto"/>
              <w:ind w:firstLine="0" w:firstLineChars="0"/>
              <w:jc w:val="center"/>
              <w:rPr>
                <w:bCs/>
                <w:sz w:val="21"/>
                <w:szCs w:val="21"/>
              </w:rPr>
            </w:pPr>
            <w:r>
              <w:rPr>
                <w:sz w:val="21"/>
              </w:rPr>
              <w:t>11.1</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DA004</w:t>
            </w:r>
          </w:p>
        </w:tc>
        <w:tc>
          <w:tcPr>
            <w:tcW w:w="0" w:type="auto"/>
            <w:vAlign w:val="center"/>
          </w:tcPr>
          <w:p>
            <w:pPr>
              <w:spacing w:line="240" w:lineRule="auto"/>
              <w:ind w:firstLine="0" w:firstLineChars="0"/>
              <w:jc w:val="center"/>
              <w:rPr>
                <w:bCs/>
                <w:sz w:val="21"/>
                <w:szCs w:val="21"/>
              </w:rPr>
            </w:pPr>
            <w:r>
              <w:rPr>
                <w:sz w:val="21"/>
                <w:szCs w:val="21"/>
              </w:rPr>
              <w:t>503565.44</w:t>
            </w:r>
          </w:p>
        </w:tc>
        <w:tc>
          <w:tcPr>
            <w:tcW w:w="0" w:type="auto"/>
            <w:vAlign w:val="center"/>
          </w:tcPr>
          <w:p>
            <w:pPr>
              <w:spacing w:line="240" w:lineRule="auto"/>
              <w:ind w:firstLine="0" w:firstLineChars="0"/>
              <w:jc w:val="center"/>
              <w:rPr>
                <w:bCs/>
                <w:sz w:val="21"/>
                <w:szCs w:val="21"/>
              </w:rPr>
            </w:pPr>
            <w:r>
              <w:rPr>
                <w:bCs/>
                <w:sz w:val="21"/>
                <w:szCs w:val="21"/>
              </w:rPr>
              <w:t>35</w:t>
            </w:r>
          </w:p>
        </w:tc>
        <w:tc>
          <w:tcPr>
            <w:tcW w:w="0" w:type="auto"/>
            <w:vAlign w:val="center"/>
          </w:tcPr>
          <w:p>
            <w:pPr>
              <w:spacing w:line="240" w:lineRule="auto"/>
              <w:ind w:firstLine="0" w:firstLineChars="0"/>
              <w:jc w:val="center"/>
              <w:rPr>
                <w:bCs/>
                <w:sz w:val="21"/>
                <w:szCs w:val="21"/>
              </w:rPr>
            </w:pPr>
            <w:r>
              <w:rPr>
                <w:bCs/>
                <w:sz w:val="21"/>
                <w:szCs w:val="21"/>
              </w:rPr>
              <w:t>2</w:t>
            </w:r>
          </w:p>
        </w:tc>
        <w:tc>
          <w:tcPr>
            <w:tcW w:w="0" w:type="auto"/>
            <w:vAlign w:val="center"/>
          </w:tcPr>
          <w:p>
            <w:pPr>
              <w:spacing w:line="240" w:lineRule="auto"/>
              <w:ind w:firstLine="0" w:firstLineChars="0"/>
              <w:jc w:val="center"/>
              <w:rPr>
                <w:bCs/>
                <w:sz w:val="21"/>
                <w:szCs w:val="21"/>
              </w:rPr>
            </w:pPr>
            <w:r>
              <w:rPr>
                <w:sz w:val="21"/>
              </w:rPr>
              <w:t>11.1</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DA005</w:t>
            </w:r>
          </w:p>
        </w:tc>
        <w:tc>
          <w:tcPr>
            <w:tcW w:w="0" w:type="auto"/>
            <w:vAlign w:val="center"/>
          </w:tcPr>
          <w:p>
            <w:pPr>
              <w:spacing w:line="240" w:lineRule="auto"/>
              <w:ind w:firstLine="0" w:firstLineChars="0"/>
              <w:jc w:val="center"/>
              <w:rPr>
                <w:bCs/>
                <w:sz w:val="21"/>
                <w:szCs w:val="21"/>
              </w:rPr>
            </w:pPr>
            <w:r>
              <w:rPr>
                <w:sz w:val="21"/>
                <w:szCs w:val="21"/>
              </w:rPr>
              <w:t>100000</w:t>
            </w:r>
          </w:p>
        </w:tc>
        <w:tc>
          <w:tcPr>
            <w:tcW w:w="0" w:type="auto"/>
            <w:vAlign w:val="center"/>
          </w:tcPr>
          <w:p>
            <w:pPr>
              <w:spacing w:line="240" w:lineRule="auto"/>
              <w:ind w:firstLine="0" w:firstLineChars="0"/>
              <w:jc w:val="center"/>
              <w:rPr>
                <w:bCs/>
                <w:sz w:val="21"/>
                <w:szCs w:val="21"/>
              </w:rPr>
            </w:pPr>
            <w:r>
              <w:rPr>
                <w:bCs/>
                <w:sz w:val="21"/>
                <w:szCs w:val="21"/>
              </w:rPr>
              <w:t>15</w:t>
            </w:r>
          </w:p>
        </w:tc>
        <w:tc>
          <w:tcPr>
            <w:tcW w:w="0" w:type="auto"/>
            <w:vAlign w:val="center"/>
          </w:tcPr>
          <w:p>
            <w:pPr>
              <w:spacing w:line="240" w:lineRule="auto"/>
              <w:ind w:firstLine="0" w:firstLineChars="0"/>
              <w:jc w:val="center"/>
              <w:rPr>
                <w:bCs/>
                <w:sz w:val="21"/>
                <w:szCs w:val="21"/>
              </w:rPr>
            </w:pPr>
            <w:r>
              <w:rPr>
                <w:bCs/>
                <w:sz w:val="21"/>
                <w:szCs w:val="21"/>
              </w:rPr>
              <w:t>1.5</w:t>
            </w:r>
          </w:p>
        </w:tc>
        <w:tc>
          <w:tcPr>
            <w:tcW w:w="0" w:type="auto"/>
            <w:vAlign w:val="center"/>
          </w:tcPr>
          <w:p>
            <w:pPr>
              <w:spacing w:line="240" w:lineRule="auto"/>
              <w:ind w:firstLine="0" w:firstLineChars="0"/>
              <w:jc w:val="center"/>
              <w:rPr>
                <w:bCs/>
                <w:sz w:val="21"/>
                <w:szCs w:val="21"/>
              </w:rPr>
            </w:pPr>
            <w:r>
              <w:rPr>
                <w:sz w:val="21"/>
              </w:rPr>
              <w:t>12.3</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DA006</w:t>
            </w:r>
          </w:p>
        </w:tc>
        <w:tc>
          <w:tcPr>
            <w:tcW w:w="0" w:type="auto"/>
            <w:vAlign w:val="center"/>
          </w:tcPr>
          <w:p>
            <w:pPr>
              <w:spacing w:line="240" w:lineRule="auto"/>
              <w:ind w:firstLine="0" w:firstLineChars="0"/>
              <w:jc w:val="center"/>
              <w:rPr>
                <w:bCs/>
                <w:sz w:val="21"/>
                <w:szCs w:val="21"/>
              </w:rPr>
            </w:pPr>
            <w:r>
              <w:rPr>
                <w:sz w:val="21"/>
                <w:szCs w:val="21"/>
              </w:rPr>
              <w:t>100000</w:t>
            </w:r>
          </w:p>
        </w:tc>
        <w:tc>
          <w:tcPr>
            <w:tcW w:w="0" w:type="auto"/>
          </w:tcPr>
          <w:p>
            <w:pPr>
              <w:spacing w:line="240" w:lineRule="auto"/>
              <w:ind w:firstLine="0" w:firstLineChars="0"/>
              <w:jc w:val="center"/>
              <w:rPr>
                <w:bCs/>
                <w:sz w:val="21"/>
                <w:szCs w:val="21"/>
              </w:rPr>
            </w:pPr>
            <w:r>
              <w:rPr>
                <w:bCs/>
                <w:sz w:val="21"/>
                <w:szCs w:val="21"/>
              </w:rPr>
              <w:t>15</w:t>
            </w:r>
          </w:p>
        </w:tc>
        <w:tc>
          <w:tcPr>
            <w:tcW w:w="0" w:type="auto"/>
            <w:vAlign w:val="center"/>
          </w:tcPr>
          <w:p>
            <w:pPr>
              <w:spacing w:line="240" w:lineRule="auto"/>
              <w:ind w:firstLine="0" w:firstLineChars="0"/>
              <w:jc w:val="center"/>
              <w:rPr>
                <w:bCs/>
                <w:sz w:val="21"/>
                <w:szCs w:val="21"/>
              </w:rPr>
            </w:pPr>
            <w:r>
              <w:rPr>
                <w:bCs/>
                <w:sz w:val="21"/>
                <w:szCs w:val="21"/>
              </w:rPr>
              <w:t>1.5</w:t>
            </w:r>
          </w:p>
        </w:tc>
        <w:tc>
          <w:tcPr>
            <w:tcW w:w="0" w:type="auto"/>
          </w:tcPr>
          <w:p>
            <w:pPr>
              <w:spacing w:line="240" w:lineRule="auto"/>
              <w:ind w:firstLine="0" w:firstLineChars="0"/>
              <w:jc w:val="center"/>
              <w:rPr>
                <w:bCs/>
                <w:sz w:val="21"/>
                <w:szCs w:val="21"/>
              </w:rPr>
            </w:pPr>
            <w:r>
              <w:rPr>
                <w:sz w:val="21"/>
              </w:rPr>
              <w:t>12.3</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DA007</w:t>
            </w:r>
          </w:p>
        </w:tc>
        <w:tc>
          <w:tcPr>
            <w:tcW w:w="0" w:type="auto"/>
            <w:vAlign w:val="center"/>
          </w:tcPr>
          <w:p>
            <w:pPr>
              <w:spacing w:line="240" w:lineRule="auto"/>
              <w:ind w:firstLine="0" w:firstLineChars="0"/>
              <w:jc w:val="center"/>
              <w:rPr>
                <w:bCs/>
                <w:sz w:val="21"/>
                <w:szCs w:val="21"/>
              </w:rPr>
            </w:pPr>
            <w:r>
              <w:rPr>
                <w:sz w:val="21"/>
                <w:szCs w:val="21"/>
              </w:rPr>
              <w:t>100000</w:t>
            </w:r>
          </w:p>
        </w:tc>
        <w:tc>
          <w:tcPr>
            <w:tcW w:w="0" w:type="auto"/>
          </w:tcPr>
          <w:p>
            <w:pPr>
              <w:spacing w:line="240" w:lineRule="auto"/>
              <w:ind w:firstLine="0" w:firstLineChars="0"/>
              <w:jc w:val="center"/>
              <w:rPr>
                <w:bCs/>
                <w:sz w:val="21"/>
                <w:szCs w:val="21"/>
              </w:rPr>
            </w:pPr>
            <w:r>
              <w:rPr>
                <w:bCs/>
                <w:sz w:val="21"/>
                <w:szCs w:val="21"/>
              </w:rPr>
              <w:t>15</w:t>
            </w:r>
          </w:p>
        </w:tc>
        <w:tc>
          <w:tcPr>
            <w:tcW w:w="0" w:type="auto"/>
            <w:vAlign w:val="center"/>
          </w:tcPr>
          <w:p>
            <w:pPr>
              <w:spacing w:line="240" w:lineRule="auto"/>
              <w:ind w:firstLine="0" w:firstLineChars="0"/>
              <w:jc w:val="center"/>
              <w:rPr>
                <w:bCs/>
                <w:sz w:val="21"/>
                <w:szCs w:val="21"/>
              </w:rPr>
            </w:pPr>
            <w:r>
              <w:rPr>
                <w:bCs/>
                <w:sz w:val="21"/>
                <w:szCs w:val="21"/>
              </w:rPr>
              <w:t>1.5</w:t>
            </w:r>
          </w:p>
        </w:tc>
        <w:tc>
          <w:tcPr>
            <w:tcW w:w="0" w:type="auto"/>
          </w:tcPr>
          <w:p>
            <w:pPr>
              <w:spacing w:line="240" w:lineRule="auto"/>
              <w:ind w:firstLine="0" w:firstLineChars="0"/>
              <w:jc w:val="center"/>
              <w:rPr>
                <w:bCs/>
                <w:sz w:val="21"/>
                <w:szCs w:val="21"/>
              </w:rPr>
            </w:pPr>
            <w:r>
              <w:rPr>
                <w:sz w:val="21"/>
              </w:rPr>
              <w:t>12.3</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DA008</w:t>
            </w:r>
          </w:p>
        </w:tc>
        <w:tc>
          <w:tcPr>
            <w:tcW w:w="0" w:type="auto"/>
            <w:vAlign w:val="center"/>
          </w:tcPr>
          <w:p>
            <w:pPr>
              <w:spacing w:line="240" w:lineRule="auto"/>
              <w:ind w:firstLine="0" w:firstLineChars="0"/>
              <w:jc w:val="center"/>
              <w:rPr>
                <w:bCs/>
                <w:sz w:val="21"/>
                <w:szCs w:val="21"/>
              </w:rPr>
            </w:pPr>
            <w:r>
              <w:rPr>
                <w:sz w:val="21"/>
                <w:szCs w:val="21"/>
              </w:rPr>
              <w:t>100000</w:t>
            </w:r>
          </w:p>
        </w:tc>
        <w:tc>
          <w:tcPr>
            <w:tcW w:w="0" w:type="auto"/>
          </w:tcPr>
          <w:p>
            <w:pPr>
              <w:spacing w:line="240" w:lineRule="auto"/>
              <w:ind w:firstLine="0" w:firstLineChars="0"/>
              <w:jc w:val="center"/>
              <w:rPr>
                <w:bCs/>
                <w:sz w:val="21"/>
                <w:szCs w:val="21"/>
              </w:rPr>
            </w:pPr>
            <w:r>
              <w:rPr>
                <w:bCs/>
                <w:sz w:val="21"/>
                <w:szCs w:val="21"/>
              </w:rPr>
              <w:t>15</w:t>
            </w:r>
          </w:p>
        </w:tc>
        <w:tc>
          <w:tcPr>
            <w:tcW w:w="0" w:type="auto"/>
            <w:vAlign w:val="center"/>
          </w:tcPr>
          <w:p>
            <w:pPr>
              <w:spacing w:line="240" w:lineRule="auto"/>
              <w:ind w:firstLine="0" w:firstLineChars="0"/>
              <w:jc w:val="center"/>
              <w:rPr>
                <w:bCs/>
                <w:sz w:val="21"/>
                <w:szCs w:val="21"/>
              </w:rPr>
            </w:pPr>
            <w:r>
              <w:rPr>
                <w:bCs/>
                <w:sz w:val="21"/>
                <w:szCs w:val="21"/>
              </w:rPr>
              <w:t>1.5</w:t>
            </w:r>
          </w:p>
        </w:tc>
        <w:tc>
          <w:tcPr>
            <w:tcW w:w="0" w:type="auto"/>
          </w:tcPr>
          <w:p>
            <w:pPr>
              <w:spacing w:line="240" w:lineRule="auto"/>
              <w:ind w:firstLine="0" w:firstLineChars="0"/>
              <w:jc w:val="center"/>
              <w:rPr>
                <w:bCs/>
                <w:sz w:val="21"/>
                <w:szCs w:val="21"/>
              </w:rPr>
            </w:pPr>
            <w:r>
              <w:rPr>
                <w:sz w:val="21"/>
              </w:rPr>
              <w:t>12.3</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DA009</w:t>
            </w:r>
          </w:p>
        </w:tc>
        <w:tc>
          <w:tcPr>
            <w:tcW w:w="0" w:type="auto"/>
            <w:vAlign w:val="center"/>
          </w:tcPr>
          <w:p>
            <w:pPr>
              <w:spacing w:line="240" w:lineRule="auto"/>
              <w:ind w:firstLine="0" w:firstLineChars="0"/>
              <w:jc w:val="center"/>
              <w:rPr>
                <w:bCs/>
                <w:sz w:val="21"/>
                <w:szCs w:val="21"/>
              </w:rPr>
            </w:pPr>
            <w:r>
              <w:rPr>
                <w:sz w:val="21"/>
                <w:szCs w:val="21"/>
              </w:rPr>
              <w:t>100000</w:t>
            </w:r>
          </w:p>
        </w:tc>
        <w:tc>
          <w:tcPr>
            <w:tcW w:w="0" w:type="auto"/>
          </w:tcPr>
          <w:p>
            <w:pPr>
              <w:spacing w:line="240" w:lineRule="auto"/>
              <w:ind w:firstLine="0" w:firstLineChars="0"/>
              <w:jc w:val="center"/>
              <w:rPr>
                <w:bCs/>
                <w:sz w:val="21"/>
                <w:szCs w:val="21"/>
              </w:rPr>
            </w:pPr>
            <w:r>
              <w:rPr>
                <w:bCs/>
                <w:sz w:val="21"/>
                <w:szCs w:val="21"/>
              </w:rPr>
              <w:t>15</w:t>
            </w:r>
          </w:p>
        </w:tc>
        <w:tc>
          <w:tcPr>
            <w:tcW w:w="0" w:type="auto"/>
            <w:vAlign w:val="center"/>
          </w:tcPr>
          <w:p>
            <w:pPr>
              <w:spacing w:line="240" w:lineRule="auto"/>
              <w:ind w:firstLine="0" w:firstLineChars="0"/>
              <w:jc w:val="center"/>
              <w:rPr>
                <w:bCs/>
                <w:sz w:val="21"/>
                <w:szCs w:val="21"/>
              </w:rPr>
            </w:pPr>
            <w:r>
              <w:rPr>
                <w:bCs/>
                <w:sz w:val="21"/>
                <w:szCs w:val="21"/>
              </w:rPr>
              <w:t>1.5</w:t>
            </w:r>
          </w:p>
        </w:tc>
        <w:tc>
          <w:tcPr>
            <w:tcW w:w="0" w:type="auto"/>
          </w:tcPr>
          <w:p>
            <w:pPr>
              <w:spacing w:line="240" w:lineRule="auto"/>
              <w:ind w:firstLine="0" w:firstLineChars="0"/>
              <w:jc w:val="center"/>
              <w:rPr>
                <w:bCs/>
                <w:sz w:val="21"/>
                <w:szCs w:val="21"/>
              </w:rPr>
            </w:pPr>
            <w:r>
              <w:rPr>
                <w:sz w:val="21"/>
              </w:rPr>
              <w:t>12.3</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DA010</w:t>
            </w:r>
          </w:p>
        </w:tc>
        <w:tc>
          <w:tcPr>
            <w:tcW w:w="0" w:type="auto"/>
            <w:vAlign w:val="center"/>
          </w:tcPr>
          <w:p>
            <w:pPr>
              <w:spacing w:line="240" w:lineRule="auto"/>
              <w:ind w:firstLine="0" w:firstLineChars="0"/>
              <w:jc w:val="center"/>
              <w:rPr>
                <w:bCs/>
                <w:sz w:val="21"/>
                <w:szCs w:val="21"/>
              </w:rPr>
            </w:pPr>
            <w:r>
              <w:rPr>
                <w:sz w:val="21"/>
                <w:szCs w:val="21"/>
              </w:rPr>
              <w:t>100000</w:t>
            </w:r>
          </w:p>
        </w:tc>
        <w:tc>
          <w:tcPr>
            <w:tcW w:w="0" w:type="auto"/>
          </w:tcPr>
          <w:p>
            <w:pPr>
              <w:spacing w:line="240" w:lineRule="auto"/>
              <w:ind w:firstLine="0" w:firstLineChars="0"/>
              <w:jc w:val="center"/>
              <w:rPr>
                <w:bCs/>
                <w:sz w:val="21"/>
                <w:szCs w:val="21"/>
              </w:rPr>
            </w:pPr>
            <w:r>
              <w:rPr>
                <w:bCs/>
                <w:sz w:val="21"/>
                <w:szCs w:val="21"/>
              </w:rPr>
              <w:t>15</w:t>
            </w:r>
          </w:p>
        </w:tc>
        <w:tc>
          <w:tcPr>
            <w:tcW w:w="0" w:type="auto"/>
            <w:vAlign w:val="center"/>
          </w:tcPr>
          <w:p>
            <w:pPr>
              <w:spacing w:line="240" w:lineRule="auto"/>
              <w:ind w:firstLine="0" w:firstLineChars="0"/>
              <w:jc w:val="center"/>
              <w:rPr>
                <w:bCs/>
                <w:sz w:val="21"/>
                <w:szCs w:val="21"/>
              </w:rPr>
            </w:pPr>
            <w:r>
              <w:rPr>
                <w:bCs/>
                <w:sz w:val="21"/>
                <w:szCs w:val="21"/>
              </w:rPr>
              <w:t>1.5</w:t>
            </w:r>
          </w:p>
        </w:tc>
        <w:tc>
          <w:tcPr>
            <w:tcW w:w="0" w:type="auto"/>
          </w:tcPr>
          <w:p>
            <w:pPr>
              <w:spacing w:line="240" w:lineRule="auto"/>
              <w:ind w:firstLine="0" w:firstLineChars="0"/>
              <w:jc w:val="center"/>
              <w:rPr>
                <w:bCs/>
                <w:sz w:val="21"/>
                <w:szCs w:val="21"/>
              </w:rPr>
            </w:pPr>
            <w:r>
              <w:rPr>
                <w:sz w:val="21"/>
              </w:rPr>
              <w:t>12.3</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DA011</w:t>
            </w:r>
          </w:p>
        </w:tc>
        <w:tc>
          <w:tcPr>
            <w:tcW w:w="0" w:type="auto"/>
            <w:vAlign w:val="center"/>
          </w:tcPr>
          <w:p>
            <w:pPr>
              <w:spacing w:line="240" w:lineRule="auto"/>
              <w:ind w:firstLine="0" w:firstLineChars="0"/>
              <w:jc w:val="center"/>
              <w:rPr>
                <w:bCs/>
                <w:sz w:val="21"/>
                <w:szCs w:val="21"/>
              </w:rPr>
            </w:pPr>
            <w:r>
              <w:rPr>
                <w:sz w:val="21"/>
                <w:szCs w:val="16"/>
              </w:rPr>
              <w:t>410251.38</w:t>
            </w:r>
          </w:p>
        </w:tc>
        <w:tc>
          <w:tcPr>
            <w:tcW w:w="0" w:type="auto"/>
            <w:vAlign w:val="center"/>
          </w:tcPr>
          <w:p>
            <w:pPr>
              <w:spacing w:line="240" w:lineRule="auto"/>
              <w:ind w:firstLine="0" w:firstLineChars="0"/>
              <w:jc w:val="center"/>
              <w:rPr>
                <w:bCs/>
                <w:sz w:val="21"/>
                <w:szCs w:val="21"/>
              </w:rPr>
            </w:pPr>
            <w:r>
              <w:rPr>
                <w:bCs/>
                <w:sz w:val="21"/>
                <w:szCs w:val="21"/>
              </w:rPr>
              <w:t>35</w:t>
            </w:r>
          </w:p>
        </w:tc>
        <w:tc>
          <w:tcPr>
            <w:tcW w:w="0" w:type="auto"/>
            <w:vAlign w:val="center"/>
          </w:tcPr>
          <w:p>
            <w:pPr>
              <w:spacing w:line="240" w:lineRule="auto"/>
              <w:ind w:firstLine="0" w:firstLineChars="0"/>
              <w:jc w:val="center"/>
              <w:rPr>
                <w:bCs/>
                <w:sz w:val="21"/>
                <w:szCs w:val="21"/>
              </w:rPr>
            </w:pPr>
            <w:r>
              <w:rPr>
                <w:bCs/>
                <w:sz w:val="21"/>
                <w:szCs w:val="21"/>
              </w:rPr>
              <w:t>2.5</w:t>
            </w:r>
          </w:p>
        </w:tc>
        <w:tc>
          <w:tcPr>
            <w:tcW w:w="0" w:type="auto"/>
            <w:vAlign w:val="center"/>
          </w:tcPr>
          <w:p>
            <w:pPr>
              <w:spacing w:line="240" w:lineRule="auto"/>
              <w:ind w:firstLine="0" w:firstLineChars="0"/>
              <w:jc w:val="center"/>
              <w:rPr>
                <w:bCs/>
                <w:sz w:val="21"/>
                <w:szCs w:val="21"/>
              </w:rPr>
            </w:pPr>
            <w:r>
              <w:rPr>
                <w:sz w:val="21"/>
              </w:rPr>
              <w:t>18.2</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DA012</w:t>
            </w:r>
          </w:p>
        </w:tc>
        <w:tc>
          <w:tcPr>
            <w:tcW w:w="0" w:type="auto"/>
            <w:vAlign w:val="center"/>
          </w:tcPr>
          <w:p>
            <w:pPr>
              <w:spacing w:line="240" w:lineRule="auto"/>
              <w:ind w:firstLine="0" w:firstLineChars="0"/>
              <w:jc w:val="center"/>
              <w:rPr>
                <w:bCs/>
                <w:sz w:val="21"/>
                <w:szCs w:val="21"/>
              </w:rPr>
            </w:pPr>
            <w:r>
              <w:rPr>
                <w:sz w:val="21"/>
                <w:szCs w:val="16"/>
              </w:rPr>
              <w:t>1034058.25</w:t>
            </w:r>
          </w:p>
        </w:tc>
        <w:tc>
          <w:tcPr>
            <w:tcW w:w="0" w:type="auto"/>
            <w:vAlign w:val="center"/>
          </w:tcPr>
          <w:p>
            <w:pPr>
              <w:spacing w:line="240" w:lineRule="auto"/>
              <w:ind w:firstLine="0" w:firstLineChars="0"/>
              <w:jc w:val="center"/>
              <w:rPr>
                <w:bCs/>
                <w:sz w:val="21"/>
                <w:szCs w:val="21"/>
              </w:rPr>
            </w:pPr>
            <w:r>
              <w:rPr>
                <w:bCs/>
                <w:sz w:val="21"/>
                <w:szCs w:val="21"/>
              </w:rPr>
              <w:t>35</w:t>
            </w:r>
          </w:p>
        </w:tc>
        <w:tc>
          <w:tcPr>
            <w:tcW w:w="0" w:type="auto"/>
            <w:vAlign w:val="center"/>
          </w:tcPr>
          <w:p>
            <w:pPr>
              <w:spacing w:line="240" w:lineRule="auto"/>
              <w:ind w:firstLine="0" w:firstLineChars="0"/>
              <w:jc w:val="center"/>
              <w:rPr>
                <w:bCs/>
                <w:sz w:val="21"/>
                <w:szCs w:val="21"/>
              </w:rPr>
            </w:pPr>
            <w:r>
              <w:rPr>
                <w:bCs/>
                <w:sz w:val="21"/>
                <w:szCs w:val="21"/>
              </w:rPr>
              <w:t>4.0</w:t>
            </w:r>
          </w:p>
        </w:tc>
        <w:tc>
          <w:tcPr>
            <w:tcW w:w="0" w:type="auto"/>
            <w:vAlign w:val="center"/>
          </w:tcPr>
          <w:p>
            <w:pPr>
              <w:spacing w:line="240" w:lineRule="auto"/>
              <w:ind w:firstLine="0" w:firstLineChars="0"/>
              <w:jc w:val="center"/>
              <w:rPr>
                <w:bCs/>
                <w:sz w:val="21"/>
                <w:szCs w:val="21"/>
              </w:rPr>
            </w:pPr>
            <w:r>
              <w:rPr>
                <w:sz w:val="21"/>
              </w:rPr>
              <w:t>18.0</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DA013</w:t>
            </w:r>
          </w:p>
        </w:tc>
        <w:tc>
          <w:tcPr>
            <w:tcW w:w="0" w:type="auto"/>
            <w:vAlign w:val="center"/>
          </w:tcPr>
          <w:p>
            <w:pPr>
              <w:spacing w:line="240" w:lineRule="auto"/>
              <w:ind w:firstLine="0" w:firstLineChars="0"/>
              <w:jc w:val="center"/>
              <w:rPr>
                <w:bCs/>
                <w:sz w:val="21"/>
                <w:szCs w:val="21"/>
              </w:rPr>
            </w:pPr>
            <w:r>
              <w:rPr>
                <w:sz w:val="21"/>
                <w:szCs w:val="16"/>
              </w:rPr>
              <w:t>522649.00</w:t>
            </w:r>
          </w:p>
        </w:tc>
        <w:tc>
          <w:tcPr>
            <w:tcW w:w="0" w:type="auto"/>
            <w:vAlign w:val="center"/>
          </w:tcPr>
          <w:p>
            <w:pPr>
              <w:spacing w:line="240" w:lineRule="auto"/>
              <w:ind w:firstLine="0" w:firstLineChars="0"/>
              <w:jc w:val="center"/>
              <w:rPr>
                <w:bCs/>
                <w:sz w:val="21"/>
                <w:szCs w:val="21"/>
              </w:rPr>
            </w:pPr>
            <w:r>
              <w:rPr>
                <w:bCs/>
                <w:sz w:val="21"/>
                <w:szCs w:val="21"/>
              </w:rPr>
              <w:t>35</w:t>
            </w:r>
          </w:p>
        </w:tc>
        <w:tc>
          <w:tcPr>
            <w:tcW w:w="0" w:type="auto"/>
            <w:vAlign w:val="center"/>
          </w:tcPr>
          <w:p>
            <w:pPr>
              <w:spacing w:line="240" w:lineRule="auto"/>
              <w:ind w:firstLine="0" w:firstLineChars="0"/>
              <w:jc w:val="center"/>
              <w:rPr>
                <w:bCs/>
                <w:sz w:val="21"/>
                <w:szCs w:val="21"/>
              </w:rPr>
            </w:pPr>
            <w:r>
              <w:rPr>
                <w:bCs/>
                <w:sz w:val="21"/>
                <w:szCs w:val="21"/>
              </w:rPr>
              <w:t>3.0</w:t>
            </w:r>
          </w:p>
        </w:tc>
        <w:tc>
          <w:tcPr>
            <w:tcW w:w="0" w:type="auto"/>
            <w:vAlign w:val="center"/>
          </w:tcPr>
          <w:p>
            <w:pPr>
              <w:spacing w:line="240" w:lineRule="auto"/>
              <w:ind w:firstLine="0" w:firstLineChars="0"/>
              <w:jc w:val="center"/>
              <w:rPr>
                <w:bCs/>
                <w:sz w:val="21"/>
                <w:szCs w:val="21"/>
              </w:rPr>
            </w:pPr>
            <w:r>
              <w:rPr>
                <w:sz w:val="21"/>
              </w:rPr>
              <w:t>16.1</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trPr>
        <w:tc>
          <w:tcPr>
            <w:tcW w:w="0" w:type="auto"/>
            <w:vAlign w:val="center"/>
          </w:tcPr>
          <w:p>
            <w:pPr>
              <w:spacing w:line="240" w:lineRule="auto"/>
              <w:ind w:firstLine="0" w:firstLineChars="0"/>
              <w:jc w:val="center"/>
              <w:rPr>
                <w:bCs/>
                <w:sz w:val="21"/>
                <w:szCs w:val="21"/>
              </w:rPr>
            </w:pPr>
            <w:r>
              <w:rPr>
                <w:bCs/>
                <w:sz w:val="21"/>
                <w:szCs w:val="21"/>
              </w:rPr>
              <w:t>DA014</w:t>
            </w:r>
          </w:p>
        </w:tc>
        <w:tc>
          <w:tcPr>
            <w:tcW w:w="0" w:type="auto"/>
            <w:vAlign w:val="center"/>
          </w:tcPr>
          <w:p>
            <w:pPr>
              <w:spacing w:line="240" w:lineRule="auto"/>
              <w:ind w:firstLine="0" w:firstLineChars="0"/>
              <w:jc w:val="center"/>
              <w:rPr>
                <w:bCs/>
                <w:sz w:val="21"/>
                <w:szCs w:val="21"/>
              </w:rPr>
            </w:pPr>
            <w:r>
              <w:rPr>
                <w:sz w:val="21"/>
                <w:szCs w:val="21"/>
              </w:rPr>
              <w:t>10000</w:t>
            </w:r>
          </w:p>
        </w:tc>
        <w:tc>
          <w:tcPr>
            <w:tcW w:w="0" w:type="auto"/>
            <w:vAlign w:val="center"/>
          </w:tcPr>
          <w:p>
            <w:pPr>
              <w:spacing w:line="240" w:lineRule="auto"/>
              <w:ind w:firstLine="0" w:firstLineChars="0"/>
              <w:jc w:val="center"/>
              <w:rPr>
                <w:bCs/>
                <w:sz w:val="21"/>
                <w:szCs w:val="21"/>
              </w:rPr>
            </w:pPr>
            <w:r>
              <w:rPr>
                <w:bCs/>
                <w:sz w:val="21"/>
                <w:szCs w:val="21"/>
              </w:rPr>
              <w:t>15</w:t>
            </w:r>
          </w:p>
        </w:tc>
        <w:tc>
          <w:tcPr>
            <w:tcW w:w="0" w:type="auto"/>
            <w:vAlign w:val="center"/>
          </w:tcPr>
          <w:p>
            <w:pPr>
              <w:spacing w:line="240" w:lineRule="auto"/>
              <w:ind w:firstLine="0" w:firstLineChars="0"/>
              <w:jc w:val="center"/>
              <w:rPr>
                <w:bCs/>
                <w:sz w:val="21"/>
                <w:szCs w:val="21"/>
              </w:rPr>
            </w:pPr>
            <w:r>
              <w:rPr>
                <w:bCs/>
                <w:sz w:val="21"/>
                <w:szCs w:val="21"/>
              </w:rPr>
              <w:t>0.5</w:t>
            </w:r>
          </w:p>
        </w:tc>
        <w:tc>
          <w:tcPr>
            <w:tcW w:w="0" w:type="auto"/>
            <w:vAlign w:val="center"/>
          </w:tcPr>
          <w:p>
            <w:pPr>
              <w:spacing w:line="240" w:lineRule="auto"/>
              <w:ind w:firstLine="0" w:firstLineChars="0"/>
              <w:jc w:val="center"/>
              <w:rPr>
                <w:bCs/>
                <w:sz w:val="21"/>
                <w:szCs w:val="21"/>
              </w:rPr>
            </w:pPr>
            <w:r>
              <w:rPr>
                <w:sz w:val="21"/>
              </w:rPr>
              <w:t>11.1</w:t>
            </w:r>
          </w:p>
        </w:tc>
        <w:tc>
          <w:tcPr>
            <w:tcW w:w="0" w:type="auto"/>
          </w:tcPr>
          <w:p>
            <w:pPr>
              <w:spacing w:line="240" w:lineRule="auto"/>
              <w:ind w:firstLine="0" w:firstLineChars="0"/>
              <w:jc w:val="center"/>
              <w:rPr>
                <w:bCs/>
                <w:sz w:val="21"/>
                <w:szCs w:val="21"/>
              </w:rPr>
            </w:pPr>
            <w:r>
              <w:rPr>
                <w:bCs/>
                <w:sz w:val="21"/>
                <w:szCs w:val="21"/>
              </w:rPr>
              <w:t>9.23</w:t>
            </w:r>
          </w:p>
        </w:tc>
        <w:tc>
          <w:tcPr>
            <w:tcW w:w="0" w:type="auto"/>
          </w:tcPr>
          <w:p>
            <w:pPr>
              <w:spacing w:line="240" w:lineRule="auto"/>
              <w:ind w:firstLine="0" w:firstLineChars="0"/>
              <w:jc w:val="center"/>
              <w:rPr>
                <w:bCs/>
                <w:sz w:val="21"/>
                <w:szCs w:val="21"/>
              </w:rPr>
            </w:pPr>
            <w:r>
              <w:rPr>
                <w:bCs/>
                <w:sz w:val="21"/>
                <w:szCs w:val="21"/>
              </w:rPr>
              <w:t>合理</w:t>
            </w:r>
          </w:p>
        </w:tc>
      </w:tr>
    </w:tbl>
    <w:p>
      <w:pPr>
        <w:ind w:firstLine="480"/>
        <w:rPr>
          <w:rFonts w:cs="Times New Roman"/>
          <w:kern w:val="0"/>
        </w:rPr>
      </w:pPr>
      <w:r>
        <w:rPr>
          <w:rFonts w:cs="Times New Roman"/>
          <w:bCs/>
          <w:kern w:val="0"/>
        </w:rPr>
        <w:t>由表可知，本项目排气筒的出口流速能满足标准要求，排气筒高度可以满足</w:t>
      </w:r>
      <w:r>
        <w:rPr>
          <w:rFonts w:cs="Times New Roman"/>
        </w:rPr>
        <w:t>《陶瓷工业污染物排放标准》（GB25464-2010）及《大气污染物综合排放标准》（GB16297-1996）中</w:t>
      </w:r>
      <w:r>
        <w:rPr>
          <w:rFonts w:cs="Times New Roman"/>
          <w:kern w:val="0"/>
        </w:rPr>
        <w:t>相应规定的要求。</w:t>
      </w:r>
    </w:p>
    <w:p>
      <w:pPr>
        <w:pStyle w:val="4"/>
        <w:adjustRightInd w:val="0"/>
        <w:snapToGrid w:val="0"/>
        <w:jc w:val="left"/>
        <w:rPr>
          <w:rFonts w:cs="Times New Roman"/>
          <w:szCs w:val="24"/>
        </w:rPr>
      </w:pPr>
      <w:bookmarkStart w:id="201" w:name="_Toc86611334"/>
      <w:r>
        <w:rPr>
          <w:rFonts w:cs="Times New Roman"/>
          <w:szCs w:val="24"/>
        </w:rPr>
        <w:t>6.2.3 噪声污染防治措施及可行性论证</w:t>
      </w:r>
      <w:bookmarkEnd w:id="201"/>
    </w:p>
    <w:p>
      <w:pPr>
        <w:pStyle w:val="69"/>
        <w:ind w:firstLine="0" w:firstLineChars="0"/>
        <w:outlineLvl w:val="3"/>
        <w:rPr>
          <w:b/>
          <w:bCs/>
        </w:rPr>
      </w:pPr>
      <w:r>
        <w:rPr>
          <w:b/>
          <w:bCs/>
        </w:rPr>
        <w:t>6.2.3.1 噪声污染防治措施</w:t>
      </w:r>
    </w:p>
    <w:p>
      <w:pPr>
        <w:ind w:firstLine="480"/>
        <w:rPr>
          <w:rFonts w:cs="Times New Roman"/>
        </w:rPr>
      </w:pPr>
      <w:r>
        <w:rPr>
          <w:rFonts w:cs="Times New Roman"/>
        </w:rPr>
        <w:t>1、选用技术性能好、运转平稳、噪声较低的设备。</w:t>
      </w:r>
    </w:p>
    <w:p>
      <w:pPr>
        <w:ind w:firstLine="480"/>
        <w:rPr>
          <w:rFonts w:cs="Times New Roman"/>
        </w:rPr>
      </w:pPr>
      <w:r>
        <w:rPr>
          <w:rFonts w:cs="Times New Roman"/>
        </w:rPr>
        <w:t>2、在空压机、引风机、鼓风机进、出口加装消声器并设置独立密闭空间以控制噪声；球磨机、搅拌机及各类泵等高噪声设备采用封闭式厂房隔声及设减振垫。</w:t>
      </w:r>
    </w:p>
    <w:p>
      <w:pPr>
        <w:ind w:firstLine="480"/>
        <w:rPr>
          <w:rFonts w:cs="Times New Roman"/>
        </w:rPr>
      </w:pPr>
      <w:r>
        <w:rPr>
          <w:rFonts w:cs="Times New Roman"/>
        </w:rPr>
        <w:t>3、厂界内四周及厂区空地种植降噪能力强的植物，营造绿化带，阻隔声波的传播，减轻噪声对周围环境的影响。</w:t>
      </w:r>
    </w:p>
    <w:p>
      <w:pPr>
        <w:ind w:firstLine="480"/>
        <w:rPr>
          <w:rFonts w:cs="Times New Roman"/>
        </w:rPr>
      </w:pPr>
      <w:r>
        <w:rPr>
          <w:rFonts w:cs="Times New Roman"/>
        </w:rPr>
        <w:t>4、专人定期维护机械设备，确保其正常运转。</w:t>
      </w:r>
    </w:p>
    <w:p>
      <w:pPr>
        <w:pStyle w:val="69"/>
        <w:ind w:firstLine="0" w:firstLineChars="0"/>
        <w:outlineLvl w:val="3"/>
        <w:rPr>
          <w:b/>
          <w:bCs/>
        </w:rPr>
      </w:pPr>
      <w:r>
        <w:rPr>
          <w:b/>
          <w:bCs/>
        </w:rPr>
        <w:t>6.2.3.2 可行性分析</w:t>
      </w:r>
    </w:p>
    <w:p>
      <w:pPr>
        <w:ind w:firstLine="480"/>
        <w:rPr>
          <w:rFonts w:cs="Times New Roman"/>
          <w:kern w:val="0"/>
        </w:rPr>
      </w:pPr>
      <w:r>
        <w:rPr>
          <w:rFonts w:cs="Times New Roman"/>
          <w:kern w:val="0"/>
        </w:rPr>
        <w:t>项目主要噪声源为各产噪设备，设备首先选用运行良好、低噪声设备，并针对设备产噪特点，分别设置减振、消声装置、隔声屏障，可有效减少噪声级。噪声源经采取隔声、减震等措施后，环境噪声强度大为降低。通过预测项目建成后，项目生产设备声源值在厂界昼、夜预贡献值满足《工业企业厂界环境噪声排放标准》（GB12348-2008）3 类区标准。虽然距离本项目厂界关心点的最近距离为50m，但经过采取上述措施后，项目的建设不会对厂界及外环境造成明显影响，可做到噪声不扰民。</w:t>
      </w:r>
    </w:p>
    <w:p>
      <w:pPr>
        <w:pStyle w:val="4"/>
        <w:adjustRightInd w:val="0"/>
        <w:snapToGrid w:val="0"/>
        <w:jc w:val="left"/>
        <w:rPr>
          <w:rFonts w:cs="Times New Roman"/>
          <w:szCs w:val="24"/>
        </w:rPr>
      </w:pPr>
      <w:bookmarkStart w:id="202" w:name="_Toc86611335"/>
      <w:r>
        <w:rPr>
          <w:rFonts w:cs="Times New Roman"/>
          <w:szCs w:val="24"/>
        </w:rPr>
        <w:t>6.2.4 固废污染防治措施及可行性论证</w:t>
      </w:r>
      <w:bookmarkEnd w:id="202"/>
    </w:p>
    <w:p>
      <w:pPr>
        <w:pStyle w:val="69"/>
        <w:ind w:firstLine="0" w:firstLineChars="0"/>
        <w:outlineLvl w:val="3"/>
        <w:rPr>
          <w:b/>
          <w:bCs/>
        </w:rPr>
      </w:pPr>
      <w:r>
        <w:rPr>
          <w:b/>
          <w:bCs/>
        </w:rPr>
        <w:t>6.2.4.1 固废处置方式</w:t>
      </w:r>
    </w:p>
    <w:p>
      <w:pPr>
        <w:ind w:firstLine="480"/>
        <w:rPr>
          <w:rFonts w:cs="Times New Roman"/>
        </w:rPr>
      </w:pPr>
      <w:r>
        <w:rPr>
          <w:rFonts w:cs="Times New Roman"/>
        </w:rPr>
        <w:t>本项目产生的固体废物主要为陶瓷生产中的筛分粗料、废坯、废瓷，生产废水沉淀池和生活污水处理设施产生的污泥，除尘器收集的粉尘以及炉渣、石灰石膏法脱硫产生的脱硫石膏、废油墨盒、废辊道棒、废机油、废岩棉，另外还有职工生活垃圾等。项目固体废弃物产生及处置情况见表3.3-17。</w:t>
      </w:r>
    </w:p>
    <w:p>
      <w:pPr>
        <w:pStyle w:val="69"/>
        <w:ind w:firstLine="0" w:firstLineChars="0"/>
        <w:outlineLvl w:val="3"/>
        <w:rPr>
          <w:b/>
          <w:bCs/>
        </w:rPr>
      </w:pPr>
      <w:r>
        <w:rPr>
          <w:b/>
          <w:bCs/>
        </w:rPr>
        <w:t>6.2.4.2 可行性分析</w:t>
      </w:r>
    </w:p>
    <w:p>
      <w:pPr>
        <w:ind w:firstLine="480"/>
        <w:rPr>
          <w:rFonts w:cs="Times New Roman"/>
        </w:rPr>
      </w:pPr>
      <w:r>
        <w:rPr>
          <w:rFonts w:cs="Times New Roman"/>
        </w:rPr>
        <w:t>由于建筑陶瓷对原料要求不高，项目产生的废坯、废瓷、布袋除尘器收集尘、废水沉淀池污泥等均返回原料制备工段利用，不会影响系统正常生产；废机油采用专用容器临时收集后，暂存于危废暂存间，危废暂存间按危险废物贮存的配套设施设计及有关规定进行管理，），委托有相应资质单位代为处置，不外排；废陶瓷辊棒经破碎后回用于生产；</w:t>
      </w:r>
      <w:r>
        <w:rPr>
          <w:rFonts w:cs="Times New Roman"/>
          <w:kern w:val="0"/>
        </w:rPr>
        <w:t>废油墨盒由厂家回收</w:t>
      </w:r>
      <w:r>
        <w:rPr>
          <w:rFonts w:cs="Times New Roman"/>
        </w:rPr>
        <w:t>。炉渣、脱硫石膏等属于一般固废，具有综合利用价值，定期外售可减少随意排放带来的环境污染。</w:t>
      </w:r>
    </w:p>
    <w:p>
      <w:pPr>
        <w:ind w:firstLine="480"/>
        <w:rPr>
          <w:rFonts w:cs="Times New Roman"/>
        </w:rPr>
      </w:pPr>
      <w:r>
        <w:rPr>
          <w:rFonts w:cs="Times New Roman"/>
        </w:rPr>
        <w:t>根据我国对固体废物处置的“三化”原则：即减量化，资源化和无害化，本项目对固体废物的处置按照“三化”原则进行。项目产生的各项固体废物均能够妥善处置，处置率100%，处置方式简单可靠。</w:t>
      </w:r>
    </w:p>
    <w:p>
      <w:pPr>
        <w:pStyle w:val="4"/>
        <w:adjustRightInd w:val="0"/>
        <w:snapToGrid w:val="0"/>
        <w:jc w:val="left"/>
        <w:rPr>
          <w:rFonts w:cs="Times New Roman"/>
          <w:szCs w:val="24"/>
        </w:rPr>
      </w:pPr>
      <w:bookmarkStart w:id="203" w:name="_Toc86611336"/>
      <w:r>
        <w:rPr>
          <w:rFonts w:cs="Times New Roman"/>
          <w:szCs w:val="24"/>
        </w:rPr>
        <w:t>6.2.5 环境风险防范措施</w:t>
      </w:r>
      <w:bookmarkEnd w:id="203"/>
    </w:p>
    <w:p>
      <w:pPr>
        <w:autoSpaceDE w:val="0"/>
        <w:autoSpaceDN w:val="0"/>
        <w:adjustRightInd w:val="0"/>
        <w:ind w:firstLine="480"/>
        <w:rPr>
          <w:rFonts w:cs="Times New Roman"/>
          <w:kern w:val="0"/>
        </w:rPr>
      </w:pPr>
      <w:r>
        <w:rPr>
          <w:rFonts w:cs="Times New Roman"/>
          <w:kern w:val="0"/>
        </w:rPr>
        <w:t>项目环境风险防治措施具体见6.6 章节。</w:t>
      </w:r>
    </w:p>
    <w:p>
      <w:pPr>
        <w:autoSpaceDE w:val="0"/>
        <w:autoSpaceDN w:val="0"/>
        <w:adjustRightInd w:val="0"/>
        <w:ind w:firstLine="480"/>
        <w:rPr>
          <w:rFonts w:cs="Times New Roman"/>
          <w:kern w:val="0"/>
        </w:rPr>
      </w:pPr>
      <w:r>
        <w:rPr>
          <w:rFonts w:cs="Times New Roman"/>
          <w:kern w:val="0"/>
        </w:rPr>
        <w:t>建设单位应该尽快编制本工程的《突发环境风险应急预案》并报当地环保部门备案。</w:t>
      </w:r>
    </w:p>
    <w:p>
      <w:pPr>
        <w:pStyle w:val="3"/>
        <w:rPr>
          <w:rFonts w:cs="Times New Roman"/>
        </w:rPr>
      </w:pPr>
      <w:bookmarkStart w:id="204" w:name="_Toc399"/>
      <w:bookmarkStart w:id="205" w:name="_Toc86611337"/>
      <w:r>
        <w:rPr>
          <w:rFonts w:cs="Times New Roman"/>
        </w:rPr>
        <w:t>6.3 项目“三同时”环保投资</w:t>
      </w:r>
      <w:bookmarkEnd w:id="204"/>
      <w:bookmarkEnd w:id="205"/>
    </w:p>
    <w:p>
      <w:pPr>
        <w:ind w:firstLine="480"/>
        <w:rPr>
          <w:rFonts w:cs="Times New Roman"/>
          <w:u w:val="single"/>
        </w:rPr>
      </w:pPr>
      <w:r>
        <w:rPr>
          <w:rFonts w:cs="Times New Roman"/>
          <w:u w:val="single"/>
        </w:rPr>
        <w:t>《建设项目环境保护设计规定》第六十三条指出：“凡属于污染治理和保护环境所需的装置、设备、监测手段和工程设施等均属于环境保护设施”、“凡有环境保护设施的建设项目均应列出环境保护设施的投资概算”。据此规定，该工程环境保护设施主要有：水污染防治措施、大气污染防治措施、噪声污染防治措施、固体废物处理处置设施、绿化等。</w:t>
      </w:r>
    </w:p>
    <w:p>
      <w:pPr>
        <w:ind w:firstLine="480"/>
        <w:rPr>
          <w:rFonts w:cs="Times New Roman"/>
          <w:u w:val="single"/>
        </w:rPr>
      </w:pPr>
      <w:r>
        <w:rPr>
          <w:rFonts w:cs="Times New Roman"/>
          <w:u w:val="single"/>
        </w:rPr>
        <w:t>项目总投资203022.30万元，总共环保投资6300万元，占总投资的3.10%。具体环境保护投资估算见表6.3-1。</w:t>
      </w:r>
    </w:p>
    <w:p>
      <w:pPr>
        <w:ind w:firstLine="480"/>
        <w:rPr>
          <w:rFonts w:cs="Times New Roman"/>
          <w:u w:val="single"/>
        </w:rPr>
      </w:pPr>
    </w:p>
    <w:p>
      <w:pPr>
        <w:pStyle w:val="14"/>
        <w:spacing w:before="163" w:beforeLines="50"/>
        <w:ind w:firstLine="420"/>
        <w:rPr>
          <w:color w:val="auto"/>
          <w:szCs w:val="24"/>
          <w:u w:val="single"/>
        </w:rPr>
      </w:pPr>
      <w:r>
        <w:rPr>
          <w:color w:val="auto"/>
          <w:szCs w:val="24"/>
          <w:u w:val="single"/>
        </w:rPr>
        <w:t>表6.3-1  项目工程环保投资一览表  单位：万元</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1844"/>
        <w:gridCol w:w="4339"/>
        <w:gridCol w:w="13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02" w:type="dxa"/>
            <w:gridSpan w:val="2"/>
            <w:vAlign w:val="center"/>
          </w:tcPr>
          <w:p>
            <w:pPr>
              <w:widowControl/>
              <w:spacing w:line="240" w:lineRule="auto"/>
              <w:ind w:firstLine="0" w:firstLineChars="0"/>
              <w:jc w:val="center"/>
              <w:rPr>
                <w:rFonts w:cs="Times New Roman"/>
                <w:b/>
                <w:kern w:val="0"/>
                <w:sz w:val="21"/>
                <w:szCs w:val="21"/>
                <w:u w:val="single"/>
              </w:rPr>
            </w:pPr>
            <w:r>
              <w:rPr>
                <w:rFonts w:cs="Times New Roman"/>
                <w:b/>
                <w:kern w:val="0"/>
                <w:sz w:val="21"/>
                <w:szCs w:val="21"/>
                <w:u w:val="single"/>
              </w:rPr>
              <w:t>类别</w:t>
            </w:r>
          </w:p>
        </w:tc>
        <w:tc>
          <w:tcPr>
            <w:tcW w:w="4339" w:type="dxa"/>
            <w:vAlign w:val="center"/>
          </w:tcPr>
          <w:p>
            <w:pPr>
              <w:widowControl/>
              <w:spacing w:line="240" w:lineRule="auto"/>
              <w:ind w:firstLine="0" w:firstLineChars="0"/>
              <w:jc w:val="center"/>
              <w:rPr>
                <w:rFonts w:cs="Times New Roman"/>
                <w:b/>
                <w:kern w:val="0"/>
                <w:sz w:val="21"/>
                <w:szCs w:val="21"/>
                <w:u w:val="single"/>
              </w:rPr>
            </w:pPr>
            <w:r>
              <w:rPr>
                <w:rFonts w:cs="Times New Roman"/>
                <w:b/>
                <w:kern w:val="0"/>
                <w:sz w:val="21"/>
                <w:szCs w:val="21"/>
                <w:u w:val="single"/>
              </w:rPr>
              <w:t>防治措施</w:t>
            </w:r>
          </w:p>
        </w:tc>
        <w:tc>
          <w:tcPr>
            <w:tcW w:w="1387" w:type="dxa"/>
            <w:vAlign w:val="center"/>
          </w:tcPr>
          <w:p>
            <w:pPr>
              <w:widowControl/>
              <w:spacing w:line="240" w:lineRule="auto"/>
              <w:ind w:firstLine="0" w:firstLineChars="0"/>
              <w:jc w:val="center"/>
              <w:rPr>
                <w:rFonts w:cs="Times New Roman"/>
                <w:b/>
                <w:kern w:val="0"/>
                <w:sz w:val="21"/>
                <w:szCs w:val="21"/>
                <w:u w:val="single"/>
              </w:rPr>
            </w:pPr>
            <w:r>
              <w:rPr>
                <w:rFonts w:cs="Times New Roman"/>
                <w:b/>
                <w:kern w:val="0"/>
                <w:sz w:val="21"/>
                <w:szCs w:val="21"/>
                <w:u w:val="single"/>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1</w:t>
            </w:r>
          </w:p>
        </w:tc>
        <w:tc>
          <w:tcPr>
            <w:tcW w:w="1844"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施工扬尘</w:t>
            </w: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洒水车或洒水管道</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2</w:t>
            </w:r>
          </w:p>
        </w:tc>
        <w:tc>
          <w:tcPr>
            <w:tcW w:w="1844"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建筑垃圾</w:t>
            </w: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收集、清理及外委处置</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3</w:t>
            </w:r>
          </w:p>
        </w:tc>
        <w:tc>
          <w:tcPr>
            <w:tcW w:w="1844"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施工废水</w:t>
            </w: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废气临时沉淀池及临时截排水沟、环保旱厕</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restart"/>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4</w:t>
            </w:r>
          </w:p>
        </w:tc>
        <w:tc>
          <w:tcPr>
            <w:tcW w:w="1844" w:type="dxa"/>
            <w:vMerge w:val="restart"/>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废水污染防治</w:t>
            </w: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3个3522m</w:t>
            </w:r>
            <w:r>
              <w:rPr>
                <w:rFonts w:cs="Times New Roman"/>
                <w:kern w:val="0"/>
                <w:sz w:val="21"/>
                <w:szCs w:val="21"/>
                <w:u w:val="single"/>
                <w:vertAlign w:val="superscript"/>
              </w:rPr>
              <w:t>3</w:t>
            </w:r>
            <w:r>
              <w:rPr>
                <w:rFonts w:cs="Times New Roman"/>
                <w:kern w:val="0"/>
                <w:sz w:val="21"/>
                <w:szCs w:val="21"/>
                <w:u w:val="single"/>
              </w:rPr>
              <w:t xml:space="preserve"> 、1个1388m</w:t>
            </w:r>
            <w:r>
              <w:rPr>
                <w:rFonts w:cs="Times New Roman"/>
                <w:kern w:val="0"/>
                <w:sz w:val="21"/>
                <w:szCs w:val="21"/>
                <w:u w:val="single"/>
                <w:vertAlign w:val="superscript"/>
              </w:rPr>
              <w:t>3</w:t>
            </w:r>
            <w:r>
              <w:rPr>
                <w:rFonts w:cs="Times New Roman"/>
                <w:kern w:val="0"/>
                <w:sz w:val="21"/>
                <w:szCs w:val="21"/>
                <w:u w:val="single"/>
              </w:rPr>
              <w:t>、1个2448m</w:t>
            </w:r>
            <w:r>
              <w:rPr>
                <w:rFonts w:cs="Times New Roman"/>
                <w:kern w:val="0"/>
                <w:sz w:val="21"/>
                <w:szCs w:val="21"/>
                <w:u w:val="single"/>
                <w:vertAlign w:val="superscript"/>
              </w:rPr>
              <w:t>3</w:t>
            </w:r>
            <w:r>
              <w:rPr>
                <w:rFonts w:cs="Times New Roman"/>
                <w:kern w:val="0"/>
                <w:sz w:val="21"/>
                <w:szCs w:val="21"/>
                <w:u w:val="single"/>
              </w:rPr>
              <w:t>二级絮凝沉淀池</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continue"/>
            <w:vAlign w:val="center"/>
          </w:tcPr>
          <w:p>
            <w:pPr>
              <w:widowControl/>
              <w:spacing w:line="240" w:lineRule="auto"/>
              <w:ind w:firstLine="0" w:firstLineChars="0"/>
              <w:jc w:val="center"/>
              <w:rPr>
                <w:rFonts w:cs="Times New Roman"/>
                <w:kern w:val="0"/>
                <w:sz w:val="21"/>
                <w:szCs w:val="21"/>
                <w:u w:val="single"/>
              </w:rPr>
            </w:pPr>
          </w:p>
        </w:tc>
        <w:tc>
          <w:tcPr>
            <w:tcW w:w="1844" w:type="dxa"/>
            <w:vMerge w:val="continue"/>
            <w:vAlign w:val="center"/>
          </w:tcPr>
          <w:p>
            <w:pPr>
              <w:widowControl/>
              <w:spacing w:line="240" w:lineRule="auto"/>
              <w:ind w:firstLine="0" w:firstLineChars="0"/>
              <w:jc w:val="center"/>
              <w:rPr>
                <w:rFonts w:cs="Times New Roman"/>
                <w:kern w:val="0"/>
                <w:sz w:val="21"/>
                <w:szCs w:val="21"/>
                <w:u w:val="single"/>
              </w:rPr>
            </w:pP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6个</w:t>
            </w:r>
            <w:r>
              <w:rPr>
                <w:rFonts w:cs="Times New Roman"/>
                <w:bCs/>
                <w:sz w:val="21"/>
                <w:szCs w:val="21"/>
                <w:u w:val="single"/>
              </w:rPr>
              <w:t>600m</w:t>
            </w:r>
            <w:r>
              <w:rPr>
                <w:rFonts w:cs="Times New Roman"/>
                <w:bCs/>
                <w:sz w:val="21"/>
                <w:szCs w:val="21"/>
                <w:u w:val="single"/>
                <w:vertAlign w:val="superscript"/>
              </w:rPr>
              <w:t>3</w:t>
            </w:r>
            <w:r>
              <w:rPr>
                <w:rFonts w:cs="Times New Roman"/>
                <w:bCs/>
                <w:sz w:val="21"/>
                <w:szCs w:val="21"/>
                <w:u w:val="single"/>
              </w:rPr>
              <w:t>的脱硫废水池</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continue"/>
            <w:vAlign w:val="center"/>
          </w:tcPr>
          <w:p>
            <w:pPr>
              <w:widowControl/>
              <w:spacing w:line="240" w:lineRule="auto"/>
              <w:ind w:firstLine="0" w:firstLineChars="0"/>
              <w:jc w:val="center"/>
              <w:rPr>
                <w:rFonts w:cs="Times New Roman"/>
                <w:kern w:val="0"/>
                <w:sz w:val="21"/>
                <w:szCs w:val="21"/>
                <w:u w:val="single"/>
              </w:rPr>
            </w:pPr>
          </w:p>
        </w:tc>
        <w:tc>
          <w:tcPr>
            <w:tcW w:w="1844" w:type="dxa"/>
            <w:vMerge w:val="continue"/>
            <w:vAlign w:val="center"/>
          </w:tcPr>
          <w:p>
            <w:pPr>
              <w:widowControl/>
              <w:spacing w:line="240" w:lineRule="auto"/>
              <w:ind w:firstLine="0" w:firstLineChars="0"/>
              <w:jc w:val="center"/>
              <w:rPr>
                <w:rFonts w:cs="Times New Roman"/>
                <w:kern w:val="0"/>
                <w:sz w:val="21"/>
                <w:szCs w:val="21"/>
                <w:u w:val="single"/>
              </w:rPr>
            </w:pP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bCs/>
                <w:sz w:val="21"/>
                <w:szCs w:val="21"/>
                <w:u w:val="single"/>
              </w:rPr>
              <w:t>2个448m</w:t>
            </w:r>
            <w:r>
              <w:rPr>
                <w:rFonts w:cs="Times New Roman"/>
                <w:bCs/>
                <w:sz w:val="21"/>
                <w:szCs w:val="21"/>
                <w:u w:val="single"/>
                <w:vertAlign w:val="superscript"/>
              </w:rPr>
              <w:t>3</w:t>
            </w:r>
            <w:r>
              <w:rPr>
                <w:rFonts w:cs="Times New Roman"/>
                <w:bCs/>
                <w:sz w:val="21"/>
                <w:szCs w:val="21"/>
                <w:u w:val="single"/>
              </w:rPr>
              <w:t>的设备间接冷却循环水池</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continue"/>
            <w:vAlign w:val="center"/>
          </w:tcPr>
          <w:p>
            <w:pPr>
              <w:widowControl/>
              <w:spacing w:line="240" w:lineRule="auto"/>
              <w:ind w:firstLine="0" w:firstLineChars="0"/>
              <w:jc w:val="center"/>
              <w:rPr>
                <w:rFonts w:cs="Times New Roman"/>
                <w:kern w:val="0"/>
                <w:sz w:val="21"/>
                <w:szCs w:val="21"/>
                <w:u w:val="single"/>
              </w:rPr>
            </w:pPr>
          </w:p>
        </w:tc>
        <w:tc>
          <w:tcPr>
            <w:tcW w:w="1844" w:type="dxa"/>
            <w:vMerge w:val="continue"/>
            <w:vAlign w:val="center"/>
          </w:tcPr>
          <w:p>
            <w:pPr>
              <w:widowControl/>
              <w:spacing w:line="240" w:lineRule="auto"/>
              <w:ind w:firstLine="0" w:firstLineChars="0"/>
              <w:jc w:val="center"/>
              <w:rPr>
                <w:rFonts w:cs="Times New Roman"/>
                <w:kern w:val="0"/>
                <w:sz w:val="21"/>
                <w:szCs w:val="21"/>
                <w:u w:val="single"/>
              </w:rPr>
            </w:pPr>
          </w:p>
        </w:tc>
        <w:tc>
          <w:tcPr>
            <w:tcW w:w="4339" w:type="dxa"/>
            <w:vAlign w:val="center"/>
          </w:tcPr>
          <w:p>
            <w:pPr>
              <w:autoSpaceDE w:val="0"/>
              <w:autoSpaceDN w:val="0"/>
              <w:adjustRightInd w:val="0"/>
              <w:spacing w:line="240" w:lineRule="auto"/>
              <w:ind w:firstLine="0" w:firstLineChars="0"/>
              <w:jc w:val="center"/>
              <w:rPr>
                <w:rFonts w:cs="Times New Roman"/>
                <w:kern w:val="0"/>
                <w:sz w:val="21"/>
                <w:szCs w:val="21"/>
                <w:u w:val="single"/>
              </w:rPr>
            </w:pPr>
            <w:r>
              <w:rPr>
                <w:rFonts w:cs="Times New Roman"/>
                <w:kern w:val="0"/>
                <w:sz w:val="21"/>
                <w:szCs w:val="21"/>
                <w:u w:val="single"/>
              </w:rPr>
              <w:t>雨污分流系统</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continue"/>
            <w:vAlign w:val="center"/>
          </w:tcPr>
          <w:p>
            <w:pPr>
              <w:widowControl/>
              <w:spacing w:line="240" w:lineRule="auto"/>
              <w:ind w:firstLine="0" w:firstLineChars="0"/>
              <w:jc w:val="center"/>
              <w:rPr>
                <w:rFonts w:cs="Times New Roman"/>
                <w:kern w:val="0"/>
                <w:sz w:val="21"/>
                <w:szCs w:val="21"/>
                <w:u w:val="single"/>
              </w:rPr>
            </w:pPr>
          </w:p>
        </w:tc>
        <w:tc>
          <w:tcPr>
            <w:tcW w:w="1844" w:type="dxa"/>
            <w:vMerge w:val="continue"/>
            <w:vAlign w:val="center"/>
          </w:tcPr>
          <w:p>
            <w:pPr>
              <w:spacing w:line="240" w:lineRule="auto"/>
              <w:ind w:firstLine="0" w:firstLineChars="0"/>
              <w:jc w:val="center"/>
              <w:rPr>
                <w:rFonts w:cs="Times New Roman"/>
                <w:sz w:val="21"/>
                <w:szCs w:val="21"/>
                <w:u w:val="single"/>
              </w:rPr>
            </w:pPr>
          </w:p>
        </w:tc>
        <w:tc>
          <w:tcPr>
            <w:tcW w:w="4339"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设置地下水流向西南厂界地下水监测井</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restart"/>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5</w:t>
            </w:r>
          </w:p>
        </w:tc>
        <w:tc>
          <w:tcPr>
            <w:tcW w:w="1844" w:type="dxa"/>
            <w:vMerge w:val="restart"/>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大气污染控制</w:t>
            </w: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原料堆场半封闭、采用喷淋洒水措施</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continue"/>
            <w:vAlign w:val="center"/>
          </w:tcPr>
          <w:p>
            <w:pPr>
              <w:widowControl/>
              <w:spacing w:line="240" w:lineRule="auto"/>
              <w:ind w:firstLine="0" w:firstLineChars="0"/>
              <w:jc w:val="center"/>
              <w:rPr>
                <w:rFonts w:cs="Times New Roman"/>
                <w:kern w:val="0"/>
                <w:sz w:val="21"/>
                <w:szCs w:val="21"/>
                <w:u w:val="single"/>
              </w:rPr>
            </w:pPr>
          </w:p>
        </w:tc>
        <w:tc>
          <w:tcPr>
            <w:tcW w:w="1844" w:type="dxa"/>
            <w:vMerge w:val="continue"/>
            <w:vAlign w:val="center"/>
          </w:tcPr>
          <w:p>
            <w:pPr>
              <w:widowControl/>
              <w:spacing w:line="240" w:lineRule="auto"/>
              <w:ind w:firstLine="0" w:firstLineChars="0"/>
              <w:jc w:val="center"/>
              <w:rPr>
                <w:rFonts w:cs="Times New Roman"/>
                <w:kern w:val="0"/>
                <w:sz w:val="21"/>
                <w:szCs w:val="21"/>
                <w:u w:val="single"/>
              </w:rPr>
            </w:pP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4套炉窑SNCR脱硝</w:t>
            </w:r>
            <w:r>
              <w:rPr>
                <w:rFonts w:hint="eastAsia" w:cs="Times New Roman"/>
                <w:kern w:val="0"/>
                <w:sz w:val="21"/>
                <w:szCs w:val="21"/>
                <w:u w:val="single"/>
              </w:rPr>
              <w:t>+SCR脱硝</w:t>
            </w:r>
            <w:r>
              <w:rPr>
                <w:rFonts w:cs="Times New Roman"/>
                <w:kern w:val="0"/>
                <w:sz w:val="21"/>
                <w:szCs w:val="21"/>
                <w:u w:val="single"/>
              </w:rPr>
              <w:t>+</w:t>
            </w:r>
            <w:r>
              <w:rPr>
                <w:rFonts w:hint="eastAsia" w:cs="Times New Roman"/>
                <w:kern w:val="0"/>
                <w:sz w:val="21"/>
                <w:szCs w:val="21"/>
                <w:u w:val="single"/>
              </w:rPr>
              <w:t>石灰石膏法脱硫</w:t>
            </w:r>
            <w:r>
              <w:rPr>
                <w:rFonts w:cs="Times New Roman"/>
                <w:kern w:val="0"/>
                <w:sz w:val="21"/>
                <w:szCs w:val="21"/>
                <w:u w:val="single"/>
              </w:rPr>
              <w:t>+袋式除尘后，通过35m高排气筒高空排放</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continue"/>
            <w:vAlign w:val="center"/>
          </w:tcPr>
          <w:p>
            <w:pPr>
              <w:widowControl/>
              <w:spacing w:line="240" w:lineRule="auto"/>
              <w:ind w:firstLine="0" w:firstLineChars="0"/>
              <w:jc w:val="center"/>
              <w:rPr>
                <w:rFonts w:cs="Times New Roman"/>
                <w:kern w:val="0"/>
                <w:sz w:val="21"/>
                <w:szCs w:val="21"/>
                <w:u w:val="single"/>
              </w:rPr>
            </w:pPr>
          </w:p>
        </w:tc>
        <w:tc>
          <w:tcPr>
            <w:tcW w:w="1844" w:type="dxa"/>
            <w:vMerge w:val="continue"/>
            <w:vAlign w:val="center"/>
          </w:tcPr>
          <w:p>
            <w:pPr>
              <w:widowControl/>
              <w:spacing w:line="240" w:lineRule="auto"/>
              <w:ind w:firstLine="0" w:firstLineChars="0"/>
              <w:jc w:val="center"/>
              <w:rPr>
                <w:rFonts w:cs="Times New Roman"/>
                <w:kern w:val="0"/>
                <w:sz w:val="21"/>
                <w:szCs w:val="21"/>
                <w:u w:val="single"/>
              </w:rPr>
            </w:pP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sz w:val="21"/>
                <w:szCs w:val="21"/>
                <w:u w:val="single"/>
              </w:rPr>
              <w:t>4套热风炉SNCR脱硝</w:t>
            </w:r>
            <w:r>
              <w:rPr>
                <w:rFonts w:hint="eastAsia" w:cs="Times New Roman"/>
                <w:sz w:val="21"/>
                <w:szCs w:val="21"/>
                <w:u w:val="single"/>
              </w:rPr>
              <w:t>+SCR脱硝</w:t>
            </w:r>
            <w:r>
              <w:rPr>
                <w:rFonts w:cs="Times New Roman"/>
                <w:sz w:val="21"/>
                <w:szCs w:val="21"/>
                <w:u w:val="single"/>
              </w:rPr>
              <w:t>+石灰-石膏法脱硫+袋式除尘后，通过35m高排气筒高空排放</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continue"/>
            <w:vAlign w:val="center"/>
          </w:tcPr>
          <w:p>
            <w:pPr>
              <w:widowControl/>
              <w:spacing w:line="240" w:lineRule="auto"/>
              <w:ind w:firstLine="0" w:firstLineChars="0"/>
              <w:jc w:val="center"/>
              <w:rPr>
                <w:rFonts w:cs="Times New Roman"/>
                <w:kern w:val="0"/>
                <w:sz w:val="21"/>
                <w:szCs w:val="21"/>
                <w:u w:val="single"/>
              </w:rPr>
            </w:pPr>
          </w:p>
        </w:tc>
        <w:tc>
          <w:tcPr>
            <w:tcW w:w="1844" w:type="dxa"/>
            <w:vMerge w:val="continue"/>
            <w:vAlign w:val="center"/>
          </w:tcPr>
          <w:p>
            <w:pPr>
              <w:widowControl/>
              <w:spacing w:line="240" w:lineRule="auto"/>
              <w:ind w:firstLine="0" w:firstLineChars="0"/>
              <w:jc w:val="center"/>
              <w:rPr>
                <w:rFonts w:cs="Times New Roman"/>
                <w:kern w:val="0"/>
                <w:sz w:val="21"/>
                <w:szCs w:val="21"/>
                <w:u w:val="single"/>
              </w:rPr>
            </w:pP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7套布袋除尘+7个15m高排气筒</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continue"/>
            <w:vAlign w:val="center"/>
          </w:tcPr>
          <w:p>
            <w:pPr>
              <w:widowControl/>
              <w:spacing w:line="240" w:lineRule="auto"/>
              <w:ind w:firstLine="0" w:firstLineChars="0"/>
              <w:jc w:val="center"/>
              <w:rPr>
                <w:rFonts w:cs="Times New Roman"/>
                <w:kern w:val="0"/>
                <w:sz w:val="21"/>
                <w:szCs w:val="21"/>
                <w:u w:val="single"/>
              </w:rPr>
            </w:pPr>
          </w:p>
        </w:tc>
        <w:tc>
          <w:tcPr>
            <w:tcW w:w="1844" w:type="dxa"/>
            <w:vMerge w:val="continue"/>
            <w:vAlign w:val="center"/>
          </w:tcPr>
          <w:p>
            <w:pPr>
              <w:widowControl/>
              <w:spacing w:line="240" w:lineRule="auto"/>
              <w:ind w:firstLine="0" w:firstLineChars="0"/>
              <w:jc w:val="center"/>
              <w:rPr>
                <w:rFonts w:cs="Times New Roman"/>
                <w:kern w:val="0"/>
                <w:sz w:val="21"/>
                <w:szCs w:val="21"/>
                <w:u w:val="single"/>
              </w:rPr>
            </w:pPr>
          </w:p>
        </w:tc>
        <w:tc>
          <w:tcPr>
            <w:tcW w:w="4339" w:type="dxa"/>
            <w:vAlign w:val="center"/>
          </w:tcPr>
          <w:p>
            <w:pPr>
              <w:widowControl/>
              <w:spacing w:line="240" w:lineRule="auto"/>
              <w:ind w:firstLine="0" w:firstLineChars="0"/>
              <w:jc w:val="center"/>
              <w:rPr>
                <w:rFonts w:cs="Times New Roman"/>
                <w:kern w:val="0"/>
                <w:sz w:val="21"/>
                <w:szCs w:val="21"/>
                <w:u w:val="single"/>
              </w:rPr>
            </w:pPr>
            <w:r>
              <w:rPr>
                <w:rFonts w:hint="eastAsia" w:cs="Times New Roman"/>
                <w:kern w:val="0"/>
                <w:sz w:val="21"/>
                <w:szCs w:val="21"/>
                <w:u w:val="single"/>
              </w:rPr>
              <w:t>8套在线监测设备（SO</w:t>
            </w:r>
            <w:r>
              <w:rPr>
                <w:rFonts w:cs="Times New Roman"/>
                <w:kern w:val="0"/>
                <w:sz w:val="21"/>
                <w:szCs w:val="21"/>
                <w:u w:val="single"/>
                <w:vertAlign w:val="subscript"/>
              </w:rPr>
              <w:t>2</w:t>
            </w:r>
            <w:r>
              <w:rPr>
                <w:rFonts w:hint="eastAsia" w:cs="Times New Roman"/>
                <w:kern w:val="0"/>
                <w:sz w:val="21"/>
                <w:szCs w:val="21"/>
                <w:u w:val="single"/>
              </w:rPr>
              <w:t>、NO</w:t>
            </w:r>
            <w:r>
              <w:rPr>
                <w:rFonts w:hint="eastAsia" w:cs="Times New Roman"/>
                <w:kern w:val="0"/>
                <w:sz w:val="21"/>
                <w:szCs w:val="21"/>
                <w:u w:val="single"/>
                <w:vertAlign w:val="subscript"/>
              </w:rPr>
              <w:t>x</w:t>
            </w:r>
            <w:r>
              <w:rPr>
                <w:rFonts w:hint="eastAsia" w:cs="Times New Roman"/>
                <w:kern w:val="0"/>
                <w:sz w:val="21"/>
                <w:szCs w:val="21"/>
                <w:u w:val="single"/>
              </w:rPr>
              <w:t>）</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6</w:t>
            </w:r>
          </w:p>
        </w:tc>
        <w:tc>
          <w:tcPr>
            <w:tcW w:w="1844"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噪声控制</w:t>
            </w: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设备基础减振、建筑隔声、绿化</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restart"/>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7</w:t>
            </w:r>
          </w:p>
        </w:tc>
        <w:tc>
          <w:tcPr>
            <w:tcW w:w="1844"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固废</w:t>
            </w: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煤渣堆棚</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160.0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continue"/>
            <w:vAlign w:val="center"/>
          </w:tcPr>
          <w:p>
            <w:pPr>
              <w:widowControl/>
              <w:spacing w:line="240" w:lineRule="auto"/>
              <w:ind w:firstLine="0" w:firstLineChars="0"/>
              <w:jc w:val="center"/>
              <w:rPr>
                <w:rFonts w:cs="Times New Roman"/>
                <w:kern w:val="0"/>
                <w:sz w:val="21"/>
                <w:szCs w:val="21"/>
                <w:u w:val="single"/>
              </w:rPr>
            </w:pPr>
          </w:p>
        </w:tc>
        <w:tc>
          <w:tcPr>
            <w:tcW w:w="1844"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危废</w:t>
            </w: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4个160m</w:t>
            </w:r>
            <w:r>
              <w:rPr>
                <w:rFonts w:cs="Times New Roman"/>
                <w:kern w:val="0"/>
                <w:sz w:val="21"/>
                <w:szCs w:val="21"/>
                <w:u w:val="single"/>
                <w:vertAlign w:val="superscript"/>
              </w:rPr>
              <w:t>3</w:t>
            </w:r>
            <w:r>
              <w:rPr>
                <w:rFonts w:cs="Times New Roman"/>
                <w:kern w:val="0"/>
                <w:sz w:val="21"/>
                <w:szCs w:val="21"/>
                <w:u w:val="single"/>
              </w:rPr>
              <w:t>危废暂存间</w:t>
            </w:r>
            <w:r>
              <w:rPr>
                <w:rFonts w:cs="Times New Roman"/>
                <w:bCs/>
                <w:sz w:val="21"/>
                <w:szCs w:val="21"/>
                <w:u w:val="single"/>
              </w:rPr>
              <w:t>，防渗处理</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Merge w:val="continue"/>
            <w:vAlign w:val="center"/>
          </w:tcPr>
          <w:p>
            <w:pPr>
              <w:widowControl/>
              <w:spacing w:line="240" w:lineRule="auto"/>
              <w:ind w:firstLine="0" w:firstLineChars="0"/>
              <w:jc w:val="center"/>
              <w:rPr>
                <w:rFonts w:cs="Times New Roman"/>
                <w:kern w:val="0"/>
                <w:sz w:val="21"/>
                <w:szCs w:val="21"/>
                <w:u w:val="single"/>
              </w:rPr>
            </w:pPr>
          </w:p>
        </w:tc>
        <w:tc>
          <w:tcPr>
            <w:tcW w:w="1844"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生活垃圾</w:t>
            </w: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生活垃圾收集桶</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8</w:t>
            </w:r>
          </w:p>
        </w:tc>
        <w:tc>
          <w:tcPr>
            <w:tcW w:w="1844"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环境监测</w:t>
            </w:r>
          </w:p>
        </w:tc>
        <w:tc>
          <w:tcPr>
            <w:tcW w:w="4339"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项目废气有组织、无组织排放监测、厂界噪</w:t>
            </w:r>
          </w:p>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声等</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41" w:type="dxa"/>
            <w:gridSpan w:val="3"/>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合计</w:t>
            </w:r>
          </w:p>
        </w:tc>
        <w:tc>
          <w:tcPr>
            <w:tcW w:w="1387" w:type="dxa"/>
            <w:vAlign w:val="center"/>
          </w:tcPr>
          <w:p>
            <w:pPr>
              <w:widowControl/>
              <w:spacing w:line="240" w:lineRule="auto"/>
              <w:ind w:firstLine="0" w:firstLineChars="0"/>
              <w:jc w:val="center"/>
              <w:rPr>
                <w:rFonts w:cs="Times New Roman"/>
                <w:kern w:val="0"/>
                <w:sz w:val="21"/>
                <w:szCs w:val="21"/>
                <w:u w:val="single"/>
              </w:rPr>
            </w:pPr>
            <w:r>
              <w:rPr>
                <w:rFonts w:cs="Times New Roman"/>
                <w:kern w:val="0"/>
                <w:sz w:val="21"/>
                <w:szCs w:val="21"/>
                <w:u w:val="single"/>
              </w:rPr>
              <w:t>6300</w:t>
            </w:r>
          </w:p>
        </w:tc>
      </w:tr>
    </w:tbl>
    <w:p>
      <w:pPr>
        <w:ind w:firstLine="480"/>
        <w:rPr>
          <w:rFonts w:cs="Times New Roman"/>
          <w:u w:val="single"/>
        </w:rPr>
        <w:sectPr>
          <w:pgSz w:w="11906" w:h="16838"/>
          <w:pgMar w:top="1440" w:right="1800" w:bottom="1440" w:left="1800" w:header="851" w:footer="992" w:gutter="0"/>
          <w:cols w:space="425" w:num="1"/>
          <w:docGrid w:type="lines" w:linePitch="326" w:charSpace="0"/>
        </w:sectPr>
      </w:pPr>
    </w:p>
    <w:p>
      <w:pPr>
        <w:pStyle w:val="2"/>
        <w:rPr>
          <w:rFonts w:cs="Times New Roman"/>
        </w:rPr>
      </w:pPr>
      <w:bookmarkStart w:id="206" w:name="_Toc86611338"/>
      <w:r>
        <w:rPr>
          <w:rFonts w:cs="Times New Roman"/>
        </w:rPr>
        <w:t>7环境影响经济损益分析</w:t>
      </w:r>
      <w:bookmarkEnd w:id="206"/>
    </w:p>
    <w:p>
      <w:pPr>
        <w:pStyle w:val="3"/>
        <w:rPr>
          <w:rFonts w:cs="Times New Roman"/>
        </w:rPr>
      </w:pPr>
      <w:bookmarkStart w:id="207" w:name="_Toc86611339"/>
      <w:bookmarkStart w:id="208" w:name="_Toc15094"/>
      <w:r>
        <w:rPr>
          <w:rFonts w:cs="Times New Roman"/>
        </w:rPr>
        <w:t>7.1 环境经济效益分析方法</w:t>
      </w:r>
      <w:bookmarkEnd w:id="207"/>
      <w:bookmarkEnd w:id="208"/>
    </w:p>
    <w:p>
      <w:pPr>
        <w:autoSpaceDE w:val="0"/>
        <w:autoSpaceDN w:val="0"/>
        <w:adjustRightInd w:val="0"/>
        <w:ind w:firstLine="480"/>
        <w:rPr>
          <w:rFonts w:cs="Times New Roman"/>
        </w:rPr>
      </w:pPr>
      <w:r>
        <w:rPr>
          <w:rFonts w:cs="Times New Roman"/>
        </w:rPr>
        <w:t>环境影响经济损益分析主要是衡量项目的环保投资所能收到的环境效益和经济效益，建设项目应力争达到社会效益、环境效益、经济效益的统一，这样才能符合可持续发展的要求，实现经济的持续发展和环境质量的不断改善。本项目在生产过程中会产生大气、废水、噪声等污染源，是一个轻型污染型工程，它的建设在一定程度上给周围环境质量带来一些负面影响，因此有必要进行经济效益、社会效益、环境效益的综合分析，使本建设项目的建设论证更加充分可靠，工程的设计和实施更加完善，以实现社会的良性发展、经济的持续增长和环境质量的保持与改善。</w:t>
      </w:r>
    </w:p>
    <w:p>
      <w:pPr>
        <w:autoSpaceDE w:val="0"/>
        <w:autoSpaceDN w:val="0"/>
        <w:adjustRightInd w:val="0"/>
        <w:ind w:firstLine="480"/>
        <w:rPr>
          <w:rFonts w:cs="Times New Roman"/>
        </w:rPr>
      </w:pPr>
      <w:r>
        <w:rPr>
          <w:rFonts w:cs="Times New Roman"/>
        </w:rPr>
        <w:t>本章通过对该项目的社会、经济、环境效益以及环境损失的分析，对该项目的环境经济损益状况作简要分析。</w:t>
      </w:r>
    </w:p>
    <w:p>
      <w:pPr>
        <w:pStyle w:val="3"/>
        <w:rPr>
          <w:rFonts w:cs="Times New Roman"/>
        </w:rPr>
      </w:pPr>
      <w:bookmarkStart w:id="209" w:name="_Toc2911"/>
      <w:bookmarkStart w:id="210" w:name="_Toc86611340"/>
      <w:r>
        <w:rPr>
          <w:rFonts w:cs="Times New Roman"/>
        </w:rPr>
        <w:t>7.2 项目社会效益分析</w:t>
      </w:r>
      <w:bookmarkEnd w:id="209"/>
      <w:bookmarkEnd w:id="210"/>
    </w:p>
    <w:p>
      <w:pPr>
        <w:ind w:firstLine="480"/>
        <w:rPr>
          <w:rFonts w:cs="Times New Roman"/>
          <w:kern w:val="0"/>
        </w:rPr>
      </w:pPr>
      <w:r>
        <w:rPr>
          <w:rFonts w:cs="Times New Roman"/>
          <w:kern w:val="0"/>
        </w:rPr>
        <w:t>该工程充分利用当地的原料、人才和区域优势，充分利用国内同行的先进经验，同时使生产能力有所提高，有助于提高当地居民的生活水平和质量。同时，本项目的建设可带动地方第三产业和其它相关产业的发展，繁荣地方经济、增进贸易，改善交通，加快地方的建设步伐。</w:t>
      </w:r>
    </w:p>
    <w:p>
      <w:pPr>
        <w:ind w:firstLine="480"/>
        <w:rPr>
          <w:rFonts w:cs="Times New Roman"/>
          <w:kern w:val="0"/>
        </w:rPr>
      </w:pPr>
      <w:r>
        <w:rPr>
          <w:rFonts w:cs="Times New Roman"/>
          <w:kern w:val="0"/>
        </w:rPr>
        <w:t>而且，项目的建设在获得直接经济效益的同时，从周围人群身上获得了较大的间接社会效益，并使企业职工和周边人群的身心健康、区内环境得到了很好地保护，对于维持企业的正常生产和可持续发展起到了积极作用。</w:t>
      </w:r>
    </w:p>
    <w:p>
      <w:pPr>
        <w:ind w:firstLine="480"/>
        <w:rPr>
          <w:rFonts w:cs="Times New Roman"/>
          <w:kern w:val="0"/>
        </w:rPr>
      </w:pPr>
      <w:r>
        <w:rPr>
          <w:rFonts w:cs="Times New Roman"/>
          <w:kern w:val="0"/>
        </w:rPr>
        <w:t>本项目的建设不仅具有很大的社会效益，还具有十分明显的经济效益，而且通过各项产物的综合利用，还产生了良好的经济效益和环境效益，在生产过程中能比较好的做到社会效益、经济效益和环境效益的“三统一”。</w:t>
      </w:r>
    </w:p>
    <w:p>
      <w:pPr>
        <w:pStyle w:val="3"/>
        <w:rPr>
          <w:rFonts w:cs="Times New Roman"/>
        </w:rPr>
      </w:pPr>
      <w:bookmarkStart w:id="211" w:name="_Toc27080"/>
      <w:bookmarkStart w:id="212" w:name="_Toc86611341"/>
      <w:r>
        <w:rPr>
          <w:rFonts w:cs="Times New Roman"/>
        </w:rPr>
        <w:t>7.3 项目经济效益分析</w:t>
      </w:r>
      <w:bookmarkEnd w:id="211"/>
      <w:bookmarkEnd w:id="212"/>
    </w:p>
    <w:p>
      <w:pPr>
        <w:ind w:firstLine="480"/>
        <w:rPr>
          <w:rFonts w:cs="Times New Roman"/>
          <w:kern w:val="0"/>
        </w:rPr>
      </w:pPr>
      <w:r>
        <w:rPr>
          <w:rFonts w:cs="Times New Roman"/>
          <w:kern w:val="0"/>
        </w:rPr>
        <w:t>项目总投资20亿元，项目建成达到稳定生产后，年产</w:t>
      </w:r>
      <w:r>
        <w:rPr>
          <w:rFonts w:cs="Times New Roman"/>
        </w:rPr>
        <w:t>仿古/抛釉砖8613万m</w:t>
      </w:r>
      <w:r>
        <w:rPr>
          <w:rFonts w:cs="Times New Roman"/>
          <w:vertAlign w:val="superscript"/>
        </w:rPr>
        <w:t>2</w:t>
      </w:r>
      <w:r>
        <w:rPr>
          <w:rFonts w:cs="Times New Roman"/>
        </w:rPr>
        <w:t>，通体抛釉砖4026万m</w:t>
      </w:r>
      <w:r>
        <w:rPr>
          <w:rFonts w:cs="Times New Roman"/>
          <w:vertAlign w:val="superscript"/>
        </w:rPr>
        <w:t>2</w:t>
      </w:r>
      <w:r>
        <w:rPr>
          <w:rFonts w:cs="Times New Roman"/>
        </w:rPr>
        <w:t>，微晶大板165万m</w:t>
      </w:r>
      <w:r>
        <w:rPr>
          <w:rFonts w:cs="Times New Roman"/>
          <w:vertAlign w:val="superscript"/>
        </w:rPr>
        <w:t>2</w:t>
      </w:r>
      <w:r>
        <w:rPr>
          <w:rFonts w:cs="Times New Roman"/>
        </w:rPr>
        <w:t>，卫生洁具120万件</w:t>
      </w:r>
      <w:r>
        <w:rPr>
          <w:rFonts w:cs="Times New Roman"/>
          <w:kern w:val="0"/>
        </w:rPr>
        <w:t>，全年收入可达300000万元以上，项目有一定的经济效益。从项目投资主要财务指标情况分析，本项目突出了资源的综合利用，对建设节约型社会有重要促进作用；收益情况较好，投资回收期较长，在建设、运营等阶段还需要各级政府配套相关政策，进一步加强对企业的扶持力度。可见，本项目具有较好的经济效益。</w:t>
      </w:r>
    </w:p>
    <w:p>
      <w:pPr>
        <w:pStyle w:val="3"/>
        <w:rPr>
          <w:rFonts w:cs="Times New Roman"/>
        </w:rPr>
      </w:pPr>
      <w:bookmarkStart w:id="213" w:name="_Toc17230"/>
      <w:bookmarkStart w:id="214" w:name="_Toc86611342"/>
      <w:r>
        <w:rPr>
          <w:rFonts w:cs="Times New Roman"/>
        </w:rPr>
        <w:t>7.4 项目环境效益分析</w:t>
      </w:r>
      <w:bookmarkEnd w:id="213"/>
      <w:bookmarkEnd w:id="214"/>
    </w:p>
    <w:p>
      <w:pPr>
        <w:ind w:firstLine="480"/>
        <w:rPr>
          <w:rFonts w:cs="Times New Roman"/>
          <w:kern w:val="0"/>
        </w:rPr>
      </w:pPr>
      <w:r>
        <w:rPr>
          <w:rFonts w:cs="Times New Roman"/>
          <w:kern w:val="0"/>
        </w:rPr>
        <w:t>本项目建成投产后的社会效益和经济效益良好，其制约因素主要是环境保护问题。因此，为将环境影响减至最小程度，必须实施环境保护措施，投入必要的环保建设费用和运行费用，方能达到保护周边环境的要求。</w:t>
      </w:r>
    </w:p>
    <w:p>
      <w:pPr>
        <w:pStyle w:val="4"/>
        <w:adjustRightInd w:val="0"/>
        <w:snapToGrid w:val="0"/>
        <w:jc w:val="left"/>
        <w:rPr>
          <w:rFonts w:cs="Times New Roman"/>
          <w:szCs w:val="24"/>
        </w:rPr>
      </w:pPr>
      <w:bookmarkStart w:id="215" w:name="_Toc86611343"/>
      <w:r>
        <w:rPr>
          <w:rFonts w:cs="Times New Roman"/>
          <w:szCs w:val="24"/>
        </w:rPr>
        <w:t>7.4.1 项目工程环境收益估算</w:t>
      </w:r>
      <w:bookmarkEnd w:id="215"/>
    </w:p>
    <w:p>
      <w:pPr>
        <w:ind w:firstLine="480"/>
        <w:rPr>
          <w:rFonts w:cs="Times New Roman"/>
          <w:kern w:val="0"/>
        </w:rPr>
      </w:pPr>
      <w:r>
        <w:rPr>
          <w:rFonts w:cs="Times New Roman"/>
          <w:kern w:val="0"/>
        </w:rPr>
        <w:t>环保投资的效益包括直接效益和间接效益。直接效益是指环保设施直接提供的资源产品效益；间接效益是指环保措施实施后的环境社会效益，体现对水资源的保护、人群健康的保护及生态环境的改善和减少事故性赔偿损失等方面。本项目环保设施的环境效益主要表现在以下几方面：</w:t>
      </w:r>
    </w:p>
    <w:p>
      <w:pPr>
        <w:ind w:firstLine="480"/>
        <w:rPr>
          <w:rFonts w:cs="Times New Roman"/>
          <w:kern w:val="0"/>
        </w:rPr>
      </w:pPr>
      <w:r>
        <w:rPr>
          <w:rFonts w:cs="Times New Roman"/>
          <w:kern w:val="0"/>
        </w:rPr>
        <w:t>（1）直接经济效益</w:t>
      </w:r>
    </w:p>
    <w:p>
      <w:pPr>
        <w:ind w:firstLine="480"/>
        <w:rPr>
          <w:rFonts w:cs="Times New Roman"/>
          <w:kern w:val="0"/>
        </w:rPr>
      </w:pPr>
      <w:r>
        <w:rPr>
          <w:rFonts w:cs="Times New Roman"/>
          <w:kern w:val="0"/>
        </w:rPr>
        <w:t>项目直接经济效益主要为回用水和回收的粉尘所得的效益，项目环保工程主要收益见表7.4-1。</w:t>
      </w:r>
    </w:p>
    <w:p>
      <w:pPr>
        <w:spacing w:before="163" w:beforeLines="50"/>
        <w:ind w:firstLine="482"/>
        <w:jc w:val="center"/>
        <w:rPr>
          <w:rFonts w:cs="Times New Roman"/>
          <w:b/>
          <w:kern w:val="0"/>
        </w:rPr>
      </w:pPr>
      <w:r>
        <w:rPr>
          <w:rFonts w:cs="Times New Roman"/>
          <w:b/>
          <w:kern w:val="0"/>
        </w:rPr>
        <w:t>表7.4-1  工程环保收益一览表</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126"/>
        <w:gridCol w:w="2268"/>
        <w:gridCol w:w="3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firstLine="0" w:firstLineChars="0"/>
              <w:jc w:val="center"/>
              <w:rPr>
                <w:rFonts w:cs="Times New Roman"/>
                <w:b/>
                <w:kern w:val="0"/>
                <w:sz w:val="21"/>
                <w:szCs w:val="20"/>
              </w:rPr>
            </w:pPr>
            <w:r>
              <w:rPr>
                <w:rFonts w:cs="Times New Roman"/>
                <w:b/>
                <w:kern w:val="0"/>
                <w:sz w:val="21"/>
                <w:szCs w:val="20"/>
              </w:rPr>
              <w:t>序号</w:t>
            </w:r>
          </w:p>
        </w:tc>
        <w:tc>
          <w:tcPr>
            <w:tcW w:w="2126" w:type="dxa"/>
            <w:vAlign w:val="center"/>
          </w:tcPr>
          <w:p>
            <w:pPr>
              <w:spacing w:line="240" w:lineRule="auto"/>
              <w:ind w:firstLine="0" w:firstLineChars="0"/>
              <w:jc w:val="center"/>
              <w:rPr>
                <w:rFonts w:cs="Times New Roman"/>
                <w:b/>
                <w:kern w:val="0"/>
                <w:sz w:val="21"/>
                <w:szCs w:val="20"/>
              </w:rPr>
            </w:pPr>
            <w:r>
              <w:rPr>
                <w:rFonts w:cs="Times New Roman"/>
                <w:b/>
                <w:kern w:val="0"/>
                <w:sz w:val="21"/>
                <w:szCs w:val="20"/>
              </w:rPr>
              <w:t>项目</w:t>
            </w:r>
          </w:p>
        </w:tc>
        <w:tc>
          <w:tcPr>
            <w:tcW w:w="2268" w:type="dxa"/>
            <w:vAlign w:val="center"/>
          </w:tcPr>
          <w:p>
            <w:pPr>
              <w:spacing w:line="240" w:lineRule="auto"/>
              <w:ind w:firstLine="0" w:firstLineChars="0"/>
              <w:jc w:val="center"/>
              <w:rPr>
                <w:rFonts w:cs="Times New Roman"/>
                <w:b/>
                <w:kern w:val="0"/>
                <w:sz w:val="21"/>
                <w:szCs w:val="20"/>
              </w:rPr>
            </w:pPr>
            <w:r>
              <w:rPr>
                <w:rFonts w:cs="Times New Roman"/>
                <w:b/>
                <w:kern w:val="0"/>
                <w:sz w:val="21"/>
                <w:szCs w:val="20"/>
              </w:rPr>
              <w:t>环保收益（万元/年）</w:t>
            </w:r>
          </w:p>
        </w:tc>
        <w:tc>
          <w:tcPr>
            <w:tcW w:w="3317" w:type="dxa"/>
            <w:vAlign w:val="center"/>
          </w:tcPr>
          <w:p>
            <w:pPr>
              <w:spacing w:line="240" w:lineRule="auto"/>
              <w:ind w:firstLine="0" w:firstLineChars="0"/>
              <w:jc w:val="center"/>
              <w:rPr>
                <w:rFonts w:cs="Times New Roman"/>
                <w:b/>
                <w:kern w:val="0"/>
                <w:sz w:val="21"/>
                <w:szCs w:val="20"/>
              </w:rPr>
            </w:pPr>
            <w:r>
              <w:rPr>
                <w:rFonts w:cs="Times New Roman"/>
                <w:b/>
                <w:kern w:val="0"/>
                <w:sz w:val="21"/>
                <w:szCs w:val="2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firstLine="0" w:firstLineChars="0"/>
              <w:jc w:val="center"/>
              <w:rPr>
                <w:rFonts w:cs="Times New Roman"/>
                <w:kern w:val="0"/>
                <w:sz w:val="21"/>
                <w:szCs w:val="20"/>
              </w:rPr>
            </w:pPr>
            <w:r>
              <w:rPr>
                <w:rFonts w:cs="Times New Roman"/>
                <w:kern w:val="0"/>
                <w:sz w:val="21"/>
                <w:szCs w:val="20"/>
              </w:rPr>
              <w:t>1</w:t>
            </w:r>
          </w:p>
        </w:tc>
        <w:tc>
          <w:tcPr>
            <w:tcW w:w="2126" w:type="dxa"/>
            <w:vAlign w:val="center"/>
          </w:tcPr>
          <w:p>
            <w:pPr>
              <w:spacing w:line="240" w:lineRule="auto"/>
              <w:ind w:firstLine="0" w:firstLineChars="0"/>
              <w:jc w:val="center"/>
              <w:rPr>
                <w:rFonts w:cs="Times New Roman"/>
                <w:kern w:val="0"/>
                <w:sz w:val="21"/>
                <w:szCs w:val="20"/>
              </w:rPr>
            </w:pPr>
            <w:r>
              <w:rPr>
                <w:rFonts w:cs="Times New Roman"/>
                <w:kern w:val="0"/>
                <w:sz w:val="21"/>
                <w:szCs w:val="20"/>
              </w:rPr>
              <w:t>回用水</w:t>
            </w:r>
          </w:p>
        </w:tc>
        <w:tc>
          <w:tcPr>
            <w:tcW w:w="2268" w:type="dxa"/>
            <w:vAlign w:val="center"/>
          </w:tcPr>
          <w:p>
            <w:pPr>
              <w:spacing w:line="240" w:lineRule="auto"/>
              <w:ind w:firstLine="0" w:firstLineChars="0"/>
              <w:jc w:val="center"/>
              <w:rPr>
                <w:rFonts w:cs="Times New Roman"/>
                <w:kern w:val="0"/>
                <w:sz w:val="21"/>
                <w:szCs w:val="20"/>
              </w:rPr>
            </w:pPr>
            <w:r>
              <w:rPr>
                <w:rFonts w:cs="Times New Roman"/>
                <w:kern w:val="0"/>
                <w:sz w:val="21"/>
                <w:szCs w:val="20"/>
              </w:rPr>
              <w:t>943.04</w:t>
            </w:r>
          </w:p>
        </w:tc>
        <w:tc>
          <w:tcPr>
            <w:tcW w:w="3317" w:type="dxa"/>
            <w:vAlign w:val="center"/>
          </w:tcPr>
          <w:p>
            <w:pPr>
              <w:spacing w:line="240" w:lineRule="auto"/>
              <w:ind w:firstLine="0" w:firstLineChars="0"/>
              <w:jc w:val="center"/>
              <w:rPr>
                <w:rFonts w:cs="Times New Roman"/>
                <w:kern w:val="0"/>
                <w:sz w:val="21"/>
                <w:szCs w:val="20"/>
              </w:rPr>
            </w:pPr>
            <w:r>
              <w:rPr>
                <w:rFonts w:cs="Times New Roman"/>
                <w:kern w:val="0"/>
                <w:sz w:val="21"/>
                <w:szCs w:val="20"/>
              </w:rPr>
              <w:t>2694393m</w:t>
            </w:r>
            <w:r>
              <w:rPr>
                <w:rFonts w:cs="Times New Roman"/>
                <w:kern w:val="0"/>
                <w:sz w:val="21"/>
                <w:szCs w:val="20"/>
                <w:vertAlign w:val="superscript"/>
              </w:rPr>
              <w:t>3</w:t>
            </w:r>
            <w:r>
              <w:rPr>
                <w:rFonts w:cs="Times New Roman"/>
                <w:kern w:val="0"/>
                <w:sz w:val="21"/>
                <w:szCs w:val="20"/>
              </w:rPr>
              <w:t>/a，3.5元/t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dxa"/>
            <w:vAlign w:val="center"/>
          </w:tcPr>
          <w:p>
            <w:pPr>
              <w:spacing w:line="240" w:lineRule="auto"/>
              <w:ind w:firstLine="0" w:firstLineChars="0"/>
              <w:jc w:val="center"/>
              <w:rPr>
                <w:rFonts w:cs="Times New Roman"/>
                <w:kern w:val="0"/>
                <w:sz w:val="21"/>
                <w:szCs w:val="20"/>
              </w:rPr>
            </w:pPr>
            <w:r>
              <w:rPr>
                <w:rFonts w:cs="Times New Roman"/>
                <w:kern w:val="0"/>
                <w:sz w:val="21"/>
                <w:szCs w:val="20"/>
              </w:rPr>
              <w:t>2</w:t>
            </w:r>
          </w:p>
        </w:tc>
        <w:tc>
          <w:tcPr>
            <w:tcW w:w="2126" w:type="dxa"/>
            <w:vAlign w:val="center"/>
          </w:tcPr>
          <w:p>
            <w:pPr>
              <w:spacing w:line="240" w:lineRule="auto"/>
              <w:ind w:firstLine="0" w:firstLineChars="0"/>
              <w:jc w:val="center"/>
              <w:rPr>
                <w:rFonts w:cs="Times New Roman"/>
                <w:kern w:val="0"/>
                <w:sz w:val="21"/>
                <w:szCs w:val="20"/>
              </w:rPr>
            </w:pPr>
            <w:r>
              <w:rPr>
                <w:rFonts w:cs="Times New Roman"/>
                <w:kern w:val="0"/>
                <w:sz w:val="21"/>
                <w:szCs w:val="20"/>
              </w:rPr>
              <w:t>回收的粉尘</w:t>
            </w:r>
          </w:p>
        </w:tc>
        <w:tc>
          <w:tcPr>
            <w:tcW w:w="2268" w:type="dxa"/>
            <w:vAlign w:val="center"/>
          </w:tcPr>
          <w:p>
            <w:pPr>
              <w:spacing w:line="240" w:lineRule="auto"/>
              <w:ind w:firstLine="0" w:firstLineChars="0"/>
              <w:jc w:val="center"/>
              <w:rPr>
                <w:rFonts w:cs="Times New Roman"/>
                <w:kern w:val="0"/>
                <w:sz w:val="21"/>
                <w:szCs w:val="20"/>
              </w:rPr>
            </w:pPr>
            <w:r>
              <w:rPr>
                <w:rFonts w:cs="Times New Roman"/>
                <w:kern w:val="0"/>
                <w:sz w:val="21"/>
                <w:szCs w:val="20"/>
              </w:rPr>
              <w:t>1025.65</w:t>
            </w:r>
          </w:p>
        </w:tc>
        <w:tc>
          <w:tcPr>
            <w:tcW w:w="3317" w:type="dxa"/>
            <w:vAlign w:val="center"/>
          </w:tcPr>
          <w:p>
            <w:pPr>
              <w:spacing w:line="240" w:lineRule="auto"/>
              <w:ind w:firstLine="0" w:firstLineChars="0"/>
              <w:jc w:val="center"/>
              <w:rPr>
                <w:rFonts w:cs="Times New Roman"/>
                <w:kern w:val="0"/>
                <w:sz w:val="21"/>
                <w:szCs w:val="20"/>
              </w:rPr>
            </w:pPr>
            <w:r>
              <w:rPr>
                <w:rFonts w:cs="Times New Roman"/>
                <w:sz w:val="21"/>
                <w:szCs w:val="20"/>
              </w:rPr>
              <w:t>20512.95t/a，500元/t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43" w:type="dxa"/>
            <w:gridSpan w:val="2"/>
            <w:vAlign w:val="center"/>
          </w:tcPr>
          <w:p>
            <w:pPr>
              <w:spacing w:line="240" w:lineRule="auto"/>
              <w:ind w:firstLine="0" w:firstLineChars="0"/>
              <w:jc w:val="center"/>
              <w:rPr>
                <w:rFonts w:cs="Times New Roman"/>
                <w:kern w:val="0"/>
                <w:sz w:val="21"/>
                <w:szCs w:val="20"/>
              </w:rPr>
            </w:pPr>
            <w:r>
              <w:rPr>
                <w:rFonts w:cs="Times New Roman"/>
                <w:kern w:val="0"/>
                <w:sz w:val="21"/>
                <w:szCs w:val="20"/>
              </w:rPr>
              <w:t>合计</w:t>
            </w:r>
          </w:p>
        </w:tc>
        <w:tc>
          <w:tcPr>
            <w:tcW w:w="2268" w:type="dxa"/>
            <w:vAlign w:val="center"/>
          </w:tcPr>
          <w:p>
            <w:pPr>
              <w:spacing w:line="240" w:lineRule="auto"/>
              <w:ind w:firstLine="0" w:firstLineChars="0"/>
              <w:jc w:val="center"/>
              <w:rPr>
                <w:rFonts w:cs="Times New Roman"/>
                <w:kern w:val="0"/>
                <w:sz w:val="21"/>
                <w:szCs w:val="20"/>
              </w:rPr>
            </w:pPr>
            <w:r>
              <w:rPr>
                <w:rFonts w:cs="Times New Roman"/>
                <w:kern w:val="0"/>
                <w:sz w:val="21"/>
                <w:szCs w:val="20"/>
              </w:rPr>
              <w:t>1968.69</w:t>
            </w:r>
          </w:p>
        </w:tc>
        <w:tc>
          <w:tcPr>
            <w:tcW w:w="3317" w:type="dxa"/>
            <w:vAlign w:val="center"/>
          </w:tcPr>
          <w:p>
            <w:pPr>
              <w:spacing w:line="240" w:lineRule="auto"/>
              <w:ind w:firstLine="0" w:firstLineChars="0"/>
              <w:jc w:val="center"/>
              <w:rPr>
                <w:rFonts w:cs="Times New Roman"/>
                <w:kern w:val="0"/>
                <w:sz w:val="21"/>
                <w:szCs w:val="20"/>
              </w:rPr>
            </w:pPr>
          </w:p>
        </w:tc>
      </w:tr>
    </w:tbl>
    <w:p>
      <w:pPr>
        <w:ind w:firstLine="480"/>
        <w:rPr>
          <w:rFonts w:cs="Times New Roman"/>
          <w:kern w:val="0"/>
        </w:rPr>
      </w:pPr>
      <w:r>
        <w:rPr>
          <w:rFonts w:cs="Times New Roman"/>
          <w:kern w:val="0"/>
        </w:rPr>
        <w:t>（2）间接经济效益</w:t>
      </w:r>
    </w:p>
    <w:p>
      <w:pPr>
        <w:ind w:firstLine="480"/>
        <w:rPr>
          <w:rFonts w:cs="Times New Roman"/>
          <w:kern w:val="0"/>
        </w:rPr>
      </w:pPr>
      <w:r>
        <w:rPr>
          <w:rFonts w:hint="eastAsia" w:ascii="宋体" w:hAnsi="宋体" w:cs="宋体"/>
          <w:kern w:val="0"/>
        </w:rPr>
        <w:t>①</w:t>
      </w:r>
      <w:r>
        <w:rPr>
          <w:rFonts w:cs="Times New Roman"/>
          <w:kern w:val="0"/>
        </w:rPr>
        <w:t>“三废”处理后达标排放可免交超标排污费和罚款约2000万元/年。</w:t>
      </w:r>
    </w:p>
    <w:p>
      <w:pPr>
        <w:ind w:firstLine="480"/>
        <w:rPr>
          <w:rFonts w:cs="Times New Roman"/>
          <w:kern w:val="0"/>
        </w:rPr>
      </w:pPr>
      <w:r>
        <w:rPr>
          <w:rFonts w:hint="eastAsia" w:ascii="宋体" w:hAnsi="宋体" w:cs="宋体"/>
          <w:kern w:val="0"/>
        </w:rPr>
        <w:t>②</w:t>
      </w:r>
      <w:r>
        <w:rPr>
          <w:rFonts w:cs="Times New Roman"/>
          <w:kern w:val="0"/>
        </w:rPr>
        <w:t>环保措施的实施减轻了废水、废气、噪声对周围环境污染造成的损失500万元/年。</w:t>
      </w:r>
    </w:p>
    <w:p>
      <w:pPr>
        <w:ind w:firstLine="480"/>
        <w:rPr>
          <w:rFonts w:cs="Times New Roman"/>
          <w:kern w:val="0"/>
        </w:rPr>
      </w:pPr>
      <w:r>
        <w:rPr>
          <w:rFonts w:hint="eastAsia" w:ascii="宋体" w:hAnsi="宋体" w:cs="宋体"/>
          <w:kern w:val="0"/>
        </w:rPr>
        <w:t>③</w:t>
      </w:r>
      <w:r>
        <w:rPr>
          <w:rFonts w:cs="Times New Roman"/>
          <w:kern w:val="0"/>
        </w:rPr>
        <w:t>环保措施的实施减轻了噪声、废气污染引发的职业病，从而避免了工人的医疗保健费用而获得的收益20万元/年。</w:t>
      </w:r>
    </w:p>
    <w:p>
      <w:pPr>
        <w:ind w:firstLine="480"/>
        <w:rPr>
          <w:rFonts w:cs="Times New Roman"/>
          <w:kern w:val="0"/>
        </w:rPr>
      </w:pPr>
      <w:r>
        <w:rPr>
          <w:rFonts w:hint="eastAsia" w:ascii="宋体" w:hAnsi="宋体" w:cs="宋体"/>
          <w:kern w:val="0"/>
        </w:rPr>
        <w:t>④</w:t>
      </w:r>
      <w:r>
        <w:rPr>
          <w:rFonts w:cs="Times New Roman"/>
          <w:kern w:val="0"/>
        </w:rPr>
        <w:t>项目对产生的固体废物综合回收利用或有效处置，不仅消除了对环境的污染，而且可以变废为宝，具有明显的环境效益和经济效益。</w:t>
      </w:r>
    </w:p>
    <w:p>
      <w:pPr>
        <w:ind w:firstLine="480"/>
        <w:rPr>
          <w:rFonts w:cs="Times New Roman"/>
          <w:kern w:val="0"/>
        </w:rPr>
      </w:pPr>
      <w:r>
        <w:rPr>
          <w:rFonts w:cs="Times New Roman"/>
          <w:kern w:val="0"/>
        </w:rPr>
        <w:t>间接经济效益总计为2520万元/年。</w:t>
      </w:r>
    </w:p>
    <w:p>
      <w:pPr>
        <w:ind w:firstLine="480"/>
        <w:rPr>
          <w:rFonts w:cs="Times New Roman"/>
          <w:kern w:val="0"/>
        </w:rPr>
      </w:pPr>
      <w:r>
        <w:rPr>
          <w:rFonts w:cs="Times New Roman"/>
          <w:kern w:val="0"/>
        </w:rPr>
        <w:t>（3）整体净效益</w:t>
      </w:r>
    </w:p>
    <w:p>
      <w:pPr>
        <w:ind w:firstLine="480"/>
        <w:rPr>
          <w:rFonts w:cs="Times New Roman"/>
          <w:kern w:val="0"/>
        </w:rPr>
      </w:pPr>
      <w:r>
        <w:rPr>
          <w:rFonts w:cs="Times New Roman"/>
          <w:kern w:val="0"/>
        </w:rPr>
        <w:t>整体净效益=直接经济效益+间接经济效益运转成本=4386.215万元/年。</w:t>
      </w:r>
    </w:p>
    <w:p>
      <w:pPr>
        <w:ind w:firstLine="480"/>
        <w:rPr>
          <w:rFonts w:cs="Times New Roman"/>
          <w:kern w:val="0"/>
        </w:rPr>
      </w:pPr>
      <w:r>
        <w:rPr>
          <w:rFonts w:cs="Times New Roman"/>
          <w:kern w:val="0"/>
        </w:rPr>
        <w:t>上述计算结果表明：企业采取环保措施获得了较大的直接经济效益。但环保设施获得的经济效益是不平衡的，直接经济效益主要集中在资源回用，而废水、废气、降噪、绿化等环保措施的效益主要集中在间接效益上，在这种环保设施投资收益状况下，各级环保行政管理部门仍应加强企业的环境保护监督管理工作，尤其应加强企业无直接经济效益的环保设施的监督，促使各项环保设施的正常运行，实现区域环境的可持续发展。</w:t>
      </w:r>
    </w:p>
    <w:p>
      <w:pPr>
        <w:pStyle w:val="4"/>
        <w:adjustRightInd w:val="0"/>
        <w:snapToGrid w:val="0"/>
        <w:jc w:val="left"/>
        <w:rPr>
          <w:rFonts w:cs="Times New Roman"/>
          <w:szCs w:val="24"/>
        </w:rPr>
      </w:pPr>
      <w:bookmarkStart w:id="216" w:name="_Toc86611344"/>
      <w:r>
        <w:rPr>
          <w:rFonts w:cs="Times New Roman"/>
          <w:szCs w:val="24"/>
        </w:rPr>
        <w:t>7.4.2 环境影响经济损益指标分析</w:t>
      </w:r>
      <w:bookmarkEnd w:id="216"/>
    </w:p>
    <w:p>
      <w:pPr>
        <w:ind w:firstLine="480"/>
        <w:rPr>
          <w:rFonts w:cs="Times New Roman"/>
          <w:kern w:val="0"/>
        </w:rPr>
      </w:pPr>
      <w:bookmarkStart w:id="217" w:name="_Toc470618335"/>
      <w:bookmarkStart w:id="218" w:name="_Toc466538565"/>
      <w:bookmarkStart w:id="219" w:name="_Toc27620"/>
      <w:r>
        <w:rPr>
          <w:rFonts w:cs="Times New Roman"/>
          <w:kern w:val="0"/>
        </w:rPr>
        <w:t>本评价主要从环境保护投资比例系数、产值环境系数、环境经济损益系数三项指标进行环境经济损益分析。</w:t>
      </w:r>
    </w:p>
    <w:p>
      <w:pPr>
        <w:ind w:firstLine="482"/>
        <w:rPr>
          <w:rFonts w:cs="Times New Roman"/>
          <w:b/>
          <w:kern w:val="0"/>
        </w:rPr>
      </w:pPr>
      <w:r>
        <w:rPr>
          <w:rFonts w:cs="Times New Roman"/>
          <w:b/>
          <w:kern w:val="0"/>
        </w:rPr>
        <w:t>1、环保投资比例系数</w:t>
      </w:r>
    </w:p>
    <w:p>
      <w:pPr>
        <w:ind w:firstLine="480"/>
        <w:rPr>
          <w:rFonts w:cs="Times New Roman"/>
          <w:kern w:val="0"/>
        </w:rPr>
      </w:pPr>
      <w:r>
        <w:rPr>
          <w:rFonts w:cs="Times New Roman"/>
          <w:kern w:val="0"/>
        </w:rPr>
        <w:t>环保投资比例系数是指环保建设投资与企业建设总投资的比值，它体现了企业对环保工作的重视程度：环保投资比例系数=环保建设投资/企业建设总投资。</w:t>
      </w:r>
    </w:p>
    <w:p>
      <w:pPr>
        <w:ind w:firstLine="480"/>
        <w:rPr>
          <w:rFonts w:cs="Times New Roman"/>
          <w:kern w:val="0"/>
        </w:rPr>
      </w:pPr>
      <w:r>
        <w:rPr>
          <w:rFonts w:cs="Times New Roman"/>
          <w:kern w:val="0"/>
        </w:rPr>
        <w:t>项目环保建设投资为3990万元，总投资为80000万元，占总投资4.99%。本项目采取废气、废水、固废和噪声防治措施后，减少了污染物总排量，各种污染物达标排放，减轻了对周围环境的影响。因此总的来说，该项目的环保投资系数是合适的，可以保证工程实现更好的环境效益。</w:t>
      </w:r>
    </w:p>
    <w:p>
      <w:pPr>
        <w:ind w:firstLine="482"/>
        <w:rPr>
          <w:rFonts w:cs="Times New Roman"/>
          <w:b/>
          <w:kern w:val="0"/>
        </w:rPr>
      </w:pPr>
      <w:r>
        <w:rPr>
          <w:rFonts w:cs="Times New Roman"/>
          <w:b/>
          <w:kern w:val="0"/>
        </w:rPr>
        <w:t>2、产值环境系数</w:t>
      </w:r>
    </w:p>
    <w:p>
      <w:pPr>
        <w:ind w:firstLine="480"/>
        <w:rPr>
          <w:rFonts w:cs="Times New Roman"/>
          <w:kern w:val="0"/>
        </w:rPr>
      </w:pPr>
      <w:r>
        <w:rPr>
          <w:rFonts w:cs="Times New Roman"/>
          <w:kern w:val="0"/>
        </w:rPr>
        <w:t>产值环境系数是指年环保运行费用与工业总产值的比值，年环保费用是环保设施及综合综合利用装置的运行费用、折旧费、日产管理费等。产值环境系数=年环保费用/年工业总产值。</w:t>
      </w:r>
    </w:p>
    <w:p>
      <w:pPr>
        <w:ind w:firstLine="480"/>
        <w:rPr>
          <w:rFonts w:cs="Times New Roman"/>
          <w:kern w:val="0"/>
        </w:rPr>
      </w:pPr>
      <w:r>
        <w:rPr>
          <w:rFonts w:cs="Times New Roman"/>
          <w:kern w:val="0"/>
        </w:rPr>
        <w:t>项目年环保费用为3990万元/a，年工业总产值300000万元/a，则产值环境系数为1.80%，其产值环境系数比较理想，可以保证工程实现更好的环境效益。</w:t>
      </w:r>
    </w:p>
    <w:p>
      <w:pPr>
        <w:ind w:firstLine="482"/>
        <w:rPr>
          <w:rFonts w:cs="Times New Roman"/>
          <w:b/>
          <w:kern w:val="0"/>
        </w:rPr>
      </w:pPr>
      <w:r>
        <w:rPr>
          <w:rFonts w:cs="Times New Roman"/>
          <w:b/>
          <w:kern w:val="0"/>
        </w:rPr>
        <w:t>3、环境经济效益系数</w:t>
      </w:r>
    </w:p>
    <w:p>
      <w:pPr>
        <w:ind w:firstLine="480"/>
        <w:rPr>
          <w:rFonts w:cs="Times New Roman"/>
          <w:kern w:val="0"/>
        </w:rPr>
      </w:pPr>
      <w:r>
        <w:rPr>
          <w:rFonts w:cs="Times New Roman"/>
          <w:kern w:val="0"/>
        </w:rPr>
        <w:t>环境经济效益系数是指因有效的环境保护措施而挽回的经济价值与环境保护费用之比，环境经济效益系数=年环保收益/年环保费用。</w:t>
      </w:r>
    </w:p>
    <w:p>
      <w:pPr>
        <w:ind w:firstLine="480"/>
        <w:rPr>
          <w:rFonts w:cs="Times New Roman"/>
          <w:kern w:val="0"/>
        </w:rPr>
      </w:pPr>
      <w:r>
        <w:rPr>
          <w:rFonts w:cs="Times New Roman"/>
          <w:kern w:val="0"/>
        </w:rPr>
        <w:t>工程每年环境经济效益为4386.215万元，年环保费用为3990万元。收益大于费用支出，说明该工程具有良好的环保收益。</w:t>
      </w:r>
    </w:p>
    <w:bookmarkEnd w:id="217"/>
    <w:bookmarkEnd w:id="218"/>
    <w:bookmarkEnd w:id="219"/>
    <w:p>
      <w:pPr>
        <w:pStyle w:val="3"/>
        <w:rPr>
          <w:rFonts w:cs="Times New Roman"/>
        </w:rPr>
      </w:pPr>
      <w:bookmarkStart w:id="220" w:name="_Toc86611345"/>
      <w:bookmarkStart w:id="221" w:name="_Toc28011"/>
      <w:r>
        <w:rPr>
          <w:rFonts w:cs="Times New Roman"/>
        </w:rPr>
        <w:t>7.5 综合评价</w:t>
      </w:r>
      <w:bookmarkEnd w:id="220"/>
      <w:bookmarkEnd w:id="221"/>
    </w:p>
    <w:p>
      <w:pPr>
        <w:ind w:firstLine="480"/>
        <w:rPr>
          <w:rFonts w:cs="Times New Roman"/>
          <w:szCs w:val="21"/>
        </w:rPr>
      </w:pPr>
      <w:r>
        <w:rPr>
          <w:rFonts w:cs="Times New Roman"/>
          <w:szCs w:val="21"/>
        </w:rPr>
        <w:t>环保工程的运行减少了大气污染物，杜绝水污染物排放地表水体。拟建项目的环境影响经济效益可用因环保工程运转而挽回的经济损失来表示。</w:t>
      </w:r>
    </w:p>
    <w:p>
      <w:pPr>
        <w:ind w:firstLine="480"/>
        <w:rPr>
          <w:rFonts w:cs="Times New Roman"/>
          <w:szCs w:val="21"/>
        </w:rPr>
      </w:pPr>
      <w:r>
        <w:rPr>
          <w:rFonts w:cs="Times New Roman"/>
          <w:szCs w:val="21"/>
        </w:rPr>
        <w:t>（1）环保投资的投入，使废气中的污染物达标排放，废水经过处理达标后全部回用，不外排，满足项目所在地水体功能和环境空气质量的要求。场界噪声达标不影响周围居民的正常工作和生活。</w:t>
      </w:r>
    </w:p>
    <w:p>
      <w:pPr>
        <w:ind w:firstLine="480"/>
        <w:rPr>
          <w:rFonts w:cs="Times New Roman"/>
          <w:szCs w:val="21"/>
        </w:rPr>
      </w:pPr>
      <w:r>
        <w:rPr>
          <w:rFonts w:cs="Times New Roman"/>
          <w:szCs w:val="21"/>
        </w:rPr>
        <w:t>（2）该项目通过采取治理措施，可以消减废水中污染物的含量，有较好的经济效益和社会效益。</w:t>
      </w:r>
    </w:p>
    <w:p>
      <w:pPr>
        <w:ind w:firstLine="480"/>
        <w:rPr>
          <w:rFonts w:cs="Times New Roman"/>
          <w:kern w:val="0"/>
        </w:rPr>
      </w:pPr>
      <w:r>
        <w:rPr>
          <w:rFonts w:cs="Times New Roman"/>
          <w:szCs w:val="21"/>
        </w:rPr>
        <w:t>（3）环境保护措施与主体工程实行“三同时”，一方面企业可以取得一定的间接经济效益；另一方面对保护场区周围环境起到良好作用，可以避免与周围居民的发生矛盾，为场区正常生产和可持续发展创造了条件，因此，环保投入是合理的</w:t>
      </w:r>
      <w:r>
        <w:rPr>
          <w:rFonts w:cs="Times New Roman"/>
          <w:kern w:val="0"/>
        </w:rPr>
        <w:t>。</w:t>
      </w:r>
    </w:p>
    <w:p>
      <w:pPr>
        <w:ind w:firstLine="480"/>
        <w:rPr>
          <w:rFonts w:cs="Times New Roman"/>
        </w:rPr>
        <w:sectPr>
          <w:pgSz w:w="11906" w:h="16838"/>
          <w:pgMar w:top="1440" w:right="1800" w:bottom="1440" w:left="1800" w:header="851" w:footer="992" w:gutter="0"/>
          <w:cols w:space="425" w:num="1"/>
          <w:docGrid w:type="lines" w:linePitch="326" w:charSpace="0"/>
        </w:sectPr>
      </w:pPr>
    </w:p>
    <w:p>
      <w:pPr>
        <w:pStyle w:val="2"/>
        <w:rPr>
          <w:rFonts w:cs="Times New Roman"/>
        </w:rPr>
      </w:pPr>
      <w:bookmarkStart w:id="222" w:name="_Toc86611346"/>
      <w:r>
        <w:rPr>
          <w:rFonts w:cs="Times New Roman"/>
        </w:rPr>
        <w:t>8环境管理与监测计划</w:t>
      </w:r>
      <w:bookmarkEnd w:id="222"/>
    </w:p>
    <w:p>
      <w:pPr>
        <w:pStyle w:val="3"/>
        <w:rPr>
          <w:rFonts w:cs="Times New Roman"/>
        </w:rPr>
      </w:pPr>
      <w:bookmarkStart w:id="223" w:name="_Toc21714"/>
      <w:bookmarkStart w:id="224" w:name="_Toc86611347"/>
      <w:r>
        <w:rPr>
          <w:rFonts w:cs="Times New Roman"/>
        </w:rPr>
        <w:t>8.1 目的</w:t>
      </w:r>
      <w:bookmarkEnd w:id="223"/>
      <w:bookmarkEnd w:id="224"/>
    </w:p>
    <w:p>
      <w:pPr>
        <w:ind w:firstLine="480"/>
        <w:rPr>
          <w:rFonts w:cs="Times New Roman"/>
          <w:kern w:val="0"/>
        </w:rPr>
      </w:pPr>
      <w:r>
        <w:rPr>
          <w:rFonts w:cs="Times New Roman"/>
          <w:kern w:val="0"/>
        </w:rPr>
        <w:t>环境管理是项目建设管理工作的重要组成部分，其主要目的是通过开展环境管理工作，促进项目建设单位和管理单位积极、主动地预防和控制各类环境问题的产生与扩散，促进项目建设生态环境的良性循环。制定出详尽的环境管理监控计划并加以贯彻实施，可以避免因管理不善而可能产生的各种环境污染和环境风险。为此，在项目施工建设及投入运营期间，应贯彻落实国家、地方政府制定的有关法规，正确处理好项目建设、发展与环境保护的协调关系，从而真正使项目的建设达到可持续发展的战略目标。拟建项目在施工期和运营期将对周围环境产生一定的影响，因此建设单位应在加强环境管理的同时，定期进行环境监测，以便及时了解项目排放的污染物对环境造成的影响情况，并及时采取相应措施，消除不利因素，减轻环境污染，使各项环保措施落到实处，以达到预定的目标。</w:t>
      </w:r>
    </w:p>
    <w:p>
      <w:pPr>
        <w:pStyle w:val="3"/>
        <w:rPr>
          <w:rFonts w:cs="Times New Roman"/>
        </w:rPr>
      </w:pPr>
      <w:bookmarkStart w:id="225" w:name="_Toc22188"/>
      <w:bookmarkStart w:id="226" w:name="_Toc86611348"/>
      <w:r>
        <w:rPr>
          <w:rFonts w:cs="Times New Roman"/>
        </w:rPr>
        <w:t>8.2 环境管理</w:t>
      </w:r>
      <w:bookmarkEnd w:id="225"/>
      <w:bookmarkEnd w:id="226"/>
    </w:p>
    <w:p>
      <w:pPr>
        <w:pStyle w:val="4"/>
        <w:adjustRightInd w:val="0"/>
        <w:snapToGrid w:val="0"/>
        <w:jc w:val="left"/>
        <w:rPr>
          <w:rFonts w:cs="Times New Roman"/>
          <w:szCs w:val="24"/>
        </w:rPr>
      </w:pPr>
      <w:bookmarkStart w:id="227" w:name="_Toc86611349"/>
      <w:r>
        <w:rPr>
          <w:rFonts w:cs="Times New Roman"/>
          <w:szCs w:val="24"/>
        </w:rPr>
        <w:t>8.2.1 环境管理</w:t>
      </w:r>
      <w:bookmarkEnd w:id="227"/>
    </w:p>
    <w:p>
      <w:pPr>
        <w:ind w:firstLine="480"/>
        <w:rPr>
          <w:rFonts w:cs="Times New Roman"/>
          <w:kern w:val="0"/>
        </w:rPr>
      </w:pPr>
      <w:r>
        <w:rPr>
          <w:rFonts w:cs="Times New Roman"/>
          <w:kern w:val="0"/>
        </w:rPr>
        <w:t>环境管理是环境保护的重要组成部分。环境管理的基本任务是以保护环境为目标，清洁生产为手段，发展生产与提高经济效益为目的。通过严格的环境管理可以有效地预防和控制生态破坏和环境污染，保护人们的生产和生活能健康、有序地进行，保障社会经济可持续发展。</w:t>
      </w:r>
    </w:p>
    <w:p>
      <w:pPr>
        <w:pStyle w:val="4"/>
        <w:adjustRightInd w:val="0"/>
        <w:snapToGrid w:val="0"/>
        <w:jc w:val="left"/>
        <w:rPr>
          <w:rFonts w:cs="Times New Roman"/>
          <w:szCs w:val="24"/>
        </w:rPr>
      </w:pPr>
      <w:bookmarkStart w:id="228" w:name="_Toc86611350"/>
      <w:r>
        <w:rPr>
          <w:rFonts w:cs="Times New Roman"/>
          <w:szCs w:val="24"/>
        </w:rPr>
        <w:t>8.2.2 环境管理目标</w:t>
      </w:r>
      <w:bookmarkEnd w:id="228"/>
    </w:p>
    <w:p>
      <w:pPr>
        <w:ind w:firstLine="480"/>
        <w:rPr>
          <w:rFonts w:cs="Times New Roman"/>
          <w:kern w:val="0"/>
        </w:rPr>
      </w:pPr>
      <w:r>
        <w:rPr>
          <w:rFonts w:cs="Times New Roman"/>
          <w:kern w:val="0"/>
        </w:rPr>
        <w:t>（1）项目在营运期，全面推行清洁生产技术，对全体员工进行清洁生产培训，在企业内部全面施行清洁生产，所有的生产行为都必须符合清洁生产的要求。</w:t>
      </w:r>
    </w:p>
    <w:p>
      <w:pPr>
        <w:ind w:firstLine="480"/>
        <w:rPr>
          <w:rFonts w:cs="Times New Roman"/>
          <w:kern w:val="0"/>
        </w:rPr>
      </w:pPr>
      <w:r>
        <w:rPr>
          <w:rFonts w:cs="Times New Roman"/>
          <w:kern w:val="0"/>
        </w:rPr>
        <w:t>（2）严格控制污染源和污染物的排放，对项目的污染物进行全面处理和全面达标控制。</w:t>
      </w:r>
    </w:p>
    <w:p>
      <w:pPr>
        <w:ind w:firstLine="480"/>
        <w:rPr>
          <w:rFonts w:cs="Times New Roman"/>
          <w:kern w:val="0"/>
        </w:rPr>
      </w:pPr>
      <w:r>
        <w:rPr>
          <w:rFonts w:cs="Times New Roman"/>
          <w:kern w:val="0"/>
        </w:rPr>
        <w:t>（3）坚持生态保护与污染防治相结合，生态建设与生态保护并举，大力推进区域生态建设的步伐。</w:t>
      </w:r>
    </w:p>
    <w:p>
      <w:pPr>
        <w:ind w:firstLine="480"/>
        <w:rPr>
          <w:rFonts w:cs="Times New Roman"/>
          <w:kern w:val="0"/>
        </w:rPr>
      </w:pPr>
      <w:r>
        <w:rPr>
          <w:rFonts w:cs="Times New Roman"/>
          <w:kern w:val="0"/>
        </w:rPr>
        <w:t>（4）加强环境管理能力建设，提高企业环境管理水平。</w:t>
      </w:r>
    </w:p>
    <w:p>
      <w:pPr>
        <w:pStyle w:val="4"/>
        <w:adjustRightInd w:val="0"/>
        <w:snapToGrid w:val="0"/>
        <w:jc w:val="left"/>
        <w:rPr>
          <w:rFonts w:cs="Times New Roman"/>
          <w:szCs w:val="24"/>
        </w:rPr>
      </w:pPr>
      <w:bookmarkStart w:id="229" w:name="_Toc86611351"/>
      <w:r>
        <w:rPr>
          <w:rFonts w:cs="Times New Roman"/>
          <w:szCs w:val="24"/>
        </w:rPr>
        <w:t>8.2.3 环境管理机构的设置</w:t>
      </w:r>
      <w:bookmarkEnd w:id="229"/>
    </w:p>
    <w:p>
      <w:pPr>
        <w:ind w:firstLine="480"/>
        <w:rPr>
          <w:rFonts w:cs="Times New Roman"/>
          <w:kern w:val="0"/>
        </w:rPr>
      </w:pPr>
      <w:r>
        <w:rPr>
          <w:rFonts w:cs="Times New Roman"/>
          <w:kern w:val="0"/>
        </w:rPr>
        <w:t>为了做好生产全过程的环境保护工作，减轻本项目外排污染物对环境的影响程度，建设单位应高度重视环境保护工作。建议设立内部环境保护管理机构，专人负责。环境保护工作，实行定岗定员，岗位责任制，负责各生产环节的环境保护管理，保证环保设施的正常运行。工程投入运行后，应设立安环部门，专管项目的环境保护事宜。安环部门负责环境管理和环境监控两大职能，受当地环保主管部门的指导和监督，该机构可定员2人。</w:t>
      </w:r>
    </w:p>
    <w:p>
      <w:pPr>
        <w:pStyle w:val="4"/>
        <w:adjustRightInd w:val="0"/>
        <w:snapToGrid w:val="0"/>
        <w:jc w:val="left"/>
        <w:rPr>
          <w:rFonts w:cs="Times New Roman"/>
          <w:szCs w:val="24"/>
        </w:rPr>
      </w:pPr>
      <w:bookmarkStart w:id="230" w:name="_Toc86611352"/>
      <w:r>
        <w:rPr>
          <w:rFonts w:cs="Times New Roman"/>
          <w:szCs w:val="24"/>
        </w:rPr>
        <w:t>8.2.4 环境管理机构的职责</w:t>
      </w:r>
      <w:bookmarkEnd w:id="230"/>
    </w:p>
    <w:p>
      <w:pPr>
        <w:widowControl/>
        <w:tabs>
          <w:tab w:val="left" w:pos="3120"/>
        </w:tabs>
        <w:ind w:firstLine="480"/>
        <w:rPr>
          <w:rFonts w:cs="Times New Roman"/>
          <w:kern w:val="0"/>
        </w:rPr>
      </w:pPr>
      <w:r>
        <w:rPr>
          <w:rFonts w:cs="Times New Roman"/>
          <w:kern w:val="0"/>
        </w:rPr>
        <w:t>企业内部的环境管理机构是做好企业环境保护工作的主要机构,它的基本任务是负责组织、落实、监督本公司的环境保护工作。公司的环境管理应由总经理(副总经理)负责领导，公司配备专职人员负责环保，车间设立兼职环境保护监督员。</w:t>
      </w:r>
    </w:p>
    <w:p>
      <w:pPr>
        <w:widowControl/>
        <w:tabs>
          <w:tab w:val="left" w:pos="3120"/>
        </w:tabs>
        <w:ind w:firstLine="480"/>
        <w:rPr>
          <w:rFonts w:cs="Times New Roman"/>
          <w:kern w:val="0"/>
        </w:rPr>
      </w:pPr>
      <w:r>
        <w:rPr>
          <w:rFonts w:cs="Times New Roman"/>
          <w:kern w:val="0"/>
        </w:rPr>
        <w:t>环境管理机构主要职能是研究决策本公司环保工作的重大事宜,并负责公司环境保护的规划和管理以及环境保护治理设施管理、维修、操作，并下设实验室，负责公司的环境监测，是环境管理工作的具体执行部门。其主要职责如下：</w:t>
      </w:r>
    </w:p>
    <w:p>
      <w:pPr>
        <w:widowControl/>
        <w:tabs>
          <w:tab w:val="left" w:pos="3120"/>
        </w:tabs>
        <w:ind w:firstLine="480"/>
        <w:rPr>
          <w:rFonts w:cs="Times New Roman"/>
          <w:kern w:val="0"/>
        </w:rPr>
      </w:pPr>
      <w:r>
        <w:rPr>
          <w:rFonts w:cs="Times New Roman"/>
          <w:kern w:val="0"/>
        </w:rPr>
        <w:t>（1）根据公司规模、性质、特点和国家法律、法规，制定全公司环保规划和环境方针，并负责以多种形式向相关方面宣传；</w:t>
      </w:r>
    </w:p>
    <w:p>
      <w:pPr>
        <w:widowControl/>
        <w:tabs>
          <w:tab w:val="left" w:pos="3120"/>
        </w:tabs>
        <w:ind w:firstLine="480"/>
        <w:rPr>
          <w:rFonts w:cs="Times New Roman"/>
          <w:kern w:val="0"/>
        </w:rPr>
      </w:pPr>
      <w:r>
        <w:rPr>
          <w:rFonts w:cs="Times New Roman"/>
          <w:kern w:val="0"/>
        </w:rPr>
        <w:t>（2）负责获取、更新使用于本企业的与环境相关的法律、法规，负责把适用的法律、法规发放到相关部门；</w:t>
      </w:r>
    </w:p>
    <w:p>
      <w:pPr>
        <w:widowControl/>
        <w:tabs>
          <w:tab w:val="left" w:pos="3120"/>
        </w:tabs>
        <w:ind w:firstLine="480"/>
        <w:rPr>
          <w:rFonts w:cs="Times New Roman"/>
          <w:kern w:val="0"/>
        </w:rPr>
      </w:pPr>
      <w:r>
        <w:rPr>
          <w:rFonts w:cs="Times New Roman"/>
          <w:kern w:val="0"/>
        </w:rPr>
        <w:t>（3）协助各车间制定车间的环保规划，并协调和监督各单位具体实施；</w:t>
      </w:r>
    </w:p>
    <w:p>
      <w:pPr>
        <w:widowControl/>
        <w:tabs>
          <w:tab w:val="left" w:pos="3120"/>
        </w:tabs>
        <w:ind w:firstLine="480"/>
        <w:rPr>
          <w:rFonts w:cs="Times New Roman"/>
          <w:kern w:val="0"/>
        </w:rPr>
      </w:pPr>
      <w:r>
        <w:rPr>
          <w:rFonts w:cs="Times New Roman"/>
          <w:kern w:val="0"/>
        </w:rPr>
        <w:t>（4）负责制定和实施公司的年度环保培训计划；</w:t>
      </w:r>
    </w:p>
    <w:p>
      <w:pPr>
        <w:widowControl/>
        <w:tabs>
          <w:tab w:val="left" w:pos="3120"/>
        </w:tabs>
        <w:ind w:firstLine="480"/>
        <w:rPr>
          <w:rFonts w:cs="Times New Roman"/>
          <w:kern w:val="0"/>
        </w:rPr>
      </w:pPr>
      <w:r>
        <w:rPr>
          <w:rFonts w:cs="Times New Roman"/>
          <w:kern w:val="0"/>
        </w:rPr>
        <w:t>（5）负责公司内外部的环境工作信息交流；</w:t>
      </w:r>
    </w:p>
    <w:p>
      <w:pPr>
        <w:widowControl/>
        <w:tabs>
          <w:tab w:val="left" w:pos="3120"/>
        </w:tabs>
        <w:ind w:firstLine="480"/>
        <w:rPr>
          <w:rFonts w:cs="Times New Roman"/>
          <w:kern w:val="0"/>
        </w:rPr>
      </w:pPr>
      <w:r>
        <w:rPr>
          <w:rFonts w:cs="Times New Roman"/>
          <w:kern w:val="0"/>
        </w:rPr>
        <w:t>（6）监督检查各部门环保设施的运行管理，尤其是了解污染治理设备的运行状况以及治理效率；</w:t>
      </w:r>
    </w:p>
    <w:p>
      <w:pPr>
        <w:widowControl/>
        <w:tabs>
          <w:tab w:val="left" w:pos="3120"/>
        </w:tabs>
        <w:ind w:firstLine="480"/>
        <w:rPr>
          <w:rFonts w:cs="Times New Roman"/>
          <w:kern w:val="0"/>
        </w:rPr>
      </w:pPr>
      <w:r>
        <w:rPr>
          <w:rFonts w:cs="Times New Roman"/>
          <w:kern w:val="0"/>
        </w:rPr>
        <w:t>（7）监督检查各生产工艺设备的运行情况，确保无非正常工况生产事故的发生；</w:t>
      </w:r>
    </w:p>
    <w:p>
      <w:pPr>
        <w:widowControl/>
        <w:tabs>
          <w:tab w:val="left" w:pos="3120"/>
        </w:tabs>
        <w:ind w:firstLine="480"/>
        <w:rPr>
          <w:rFonts w:cs="Times New Roman"/>
          <w:kern w:val="0"/>
        </w:rPr>
      </w:pPr>
      <w:r>
        <w:rPr>
          <w:rFonts w:cs="Times New Roman"/>
          <w:kern w:val="0"/>
        </w:rPr>
        <w:t>（8）负责对新、改、扩建项目环保工程及其“三同时”执行情况进行环境监测、数据分析、验收评估；</w:t>
      </w:r>
    </w:p>
    <w:p>
      <w:pPr>
        <w:widowControl/>
        <w:tabs>
          <w:tab w:val="left" w:pos="3120"/>
        </w:tabs>
        <w:ind w:firstLine="480"/>
        <w:rPr>
          <w:rFonts w:cs="Times New Roman"/>
          <w:kern w:val="0"/>
        </w:rPr>
      </w:pPr>
      <w:r>
        <w:rPr>
          <w:rFonts w:cs="Times New Roman"/>
          <w:kern w:val="0"/>
        </w:rPr>
        <w:t>（9）负责应急计划的监督、检查；负责应急事故的协调处理；指导各单位对环保设施的管理；指导各单位应急与预防工作；对公司范围内重点危险区域部署监控措施；</w:t>
      </w:r>
    </w:p>
    <w:p>
      <w:pPr>
        <w:widowControl/>
        <w:tabs>
          <w:tab w:val="left" w:pos="3120"/>
        </w:tabs>
        <w:ind w:firstLine="480"/>
        <w:rPr>
          <w:rFonts w:cs="Times New Roman"/>
          <w:kern w:val="0"/>
        </w:rPr>
      </w:pPr>
      <w:r>
        <w:rPr>
          <w:rFonts w:cs="Times New Roman"/>
          <w:kern w:val="0"/>
        </w:rPr>
        <w:t>（10）负责公司环境监测技术数据统计管理；</w:t>
      </w:r>
    </w:p>
    <w:p>
      <w:pPr>
        <w:widowControl/>
        <w:tabs>
          <w:tab w:val="left" w:pos="3120"/>
        </w:tabs>
        <w:ind w:firstLine="480"/>
        <w:rPr>
          <w:rFonts w:cs="Times New Roman"/>
          <w:kern w:val="0"/>
        </w:rPr>
      </w:pPr>
      <w:r>
        <w:rPr>
          <w:rFonts w:cs="Times New Roman"/>
          <w:kern w:val="0"/>
        </w:rPr>
        <w:t>（11）负责全公司环保管理工作的监督和检查；</w:t>
      </w:r>
    </w:p>
    <w:p>
      <w:pPr>
        <w:widowControl/>
        <w:tabs>
          <w:tab w:val="left" w:pos="3120"/>
        </w:tabs>
        <w:ind w:firstLine="480"/>
        <w:rPr>
          <w:rFonts w:cs="Times New Roman"/>
          <w:kern w:val="0"/>
        </w:rPr>
      </w:pPr>
      <w:r>
        <w:rPr>
          <w:rFonts w:cs="Times New Roman"/>
          <w:kern w:val="0"/>
        </w:rPr>
        <w:t>（12）组织实施全公司环境年度评审工作；</w:t>
      </w:r>
    </w:p>
    <w:p>
      <w:pPr>
        <w:widowControl/>
        <w:tabs>
          <w:tab w:val="left" w:pos="3120"/>
        </w:tabs>
        <w:ind w:firstLine="480"/>
        <w:rPr>
          <w:rFonts w:cs="Times New Roman"/>
          <w:kern w:val="0"/>
        </w:rPr>
      </w:pPr>
      <w:r>
        <w:rPr>
          <w:rFonts w:cs="Times New Roman"/>
          <w:kern w:val="0"/>
        </w:rPr>
        <w:t>（13）负责公司的环境教育、培训、宣传，让环境保护意识深入职工心中；</w:t>
      </w:r>
    </w:p>
    <w:p>
      <w:pPr>
        <w:widowControl/>
        <w:tabs>
          <w:tab w:val="left" w:pos="3120"/>
        </w:tabs>
        <w:ind w:firstLine="480"/>
        <w:rPr>
          <w:rFonts w:cs="Times New Roman"/>
          <w:kern w:val="0"/>
        </w:rPr>
      </w:pPr>
      <w:r>
        <w:rPr>
          <w:rFonts w:cs="Times New Roman"/>
          <w:kern w:val="0"/>
        </w:rPr>
        <w:t>（14）建立环境管理台账制度;</w:t>
      </w:r>
    </w:p>
    <w:p>
      <w:pPr>
        <w:widowControl/>
        <w:tabs>
          <w:tab w:val="left" w:pos="3120"/>
        </w:tabs>
        <w:ind w:firstLine="480"/>
        <w:rPr>
          <w:rFonts w:cs="Times New Roman"/>
          <w:kern w:val="0"/>
        </w:rPr>
      </w:pPr>
      <w:r>
        <w:rPr>
          <w:rFonts w:cs="Times New Roman"/>
          <w:kern w:val="0"/>
        </w:rPr>
        <w:t>（15）预留资金转款用于各项环境保护措施和设施的技术改造、运行和维护。</w:t>
      </w:r>
    </w:p>
    <w:p>
      <w:pPr>
        <w:pStyle w:val="4"/>
        <w:adjustRightInd w:val="0"/>
        <w:snapToGrid w:val="0"/>
        <w:jc w:val="left"/>
        <w:rPr>
          <w:rFonts w:cs="Times New Roman"/>
          <w:szCs w:val="24"/>
        </w:rPr>
      </w:pPr>
      <w:bookmarkStart w:id="231" w:name="_Toc86611353"/>
      <w:r>
        <w:rPr>
          <w:rFonts w:cs="Times New Roman"/>
          <w:szCs w:val="24"/>
        </w:rPr>
        <w:t>8.2.5 环境管理体系</w:t>
      </w:r>
      <w:bookmarkEnd w:id="231"/>
    </w:p>
    <w:p>
      <w:pPr>
        <w:widowControl/>
        <w:tabs>
          <w:tab w:val="left" w:pos="3120"/>
        </w:tabs>
        <w:ind w:firstLine="480"/>
        <w:rPr>
          <w:rFonts w:cs="Times New Roman"/>
          <w:kern w:val="0"/>
        </w:rPr>
      </w:pPr>
      <w:r>
        <w:rPr>
          <w:rFonts w:cs="Times New Roman"/>
          <w:kern w:val="0"/>
        </w:rPr>
        <w:t>建议参照GB/T24001-1996、ISO14000 标准建立企业的环境管理体系文件并实施，通过有计划地评审和持续改进的循环，促进企业环境管理体系的不断完善与提高，创造条件争取通过国家认证。</w:t>
      </w:r>
    </w:p>
    <w:p>
      <w:pPr>
        <w:widowControl/>
        <w:tabs>
          <w:tab w:val="left" w:pos="3120"/>
        </w:tabs>
        <w:ind w:firstLine="480"/>
        <w:rPr>
          <w:rFonts w:cs="Times New Roman"/>
          <w:kern w:val="0"/>
        </w:rPr>
      </w:pPr>
      <w:r>
        <w:rPr>
          <w:rFonts w:cs="Times New Roman"/>
          <w:kern w:val="0"/>
        </w:rPr>
        <w:t>其环境管理体系的要点是：</w:t>
      </w:r>
    </w:p>
    <w:p>
      <w:pPr>
        <w:widowControl/>
        <w:tabs>
          <w:tab w:val="left" w:pos="3120"/>
        </w:tabs>
        <w:ind w:firstLine="480"/>
        <w:rPr>
          <w:rFonts w:cs="Times New Roman"/>
          <w:kern w:val="0"/>
        </w:rPr>
      </w:pPr>
      <w:r>
        <w:rPr>
          <w:rFonts w:cs="Times New Roman"/>
          <w:kern w:val="0"/>
        </w:rPr>
        <w:t>（1）应根据企业的环境要素制定公司的环境方针，包括其持续改进和污染预防的承诺、遵守国家环境法律、法规及其他要求的承诺；</w:t>
      </w:r>
    </w:p>
    <w:p>
      <w:pPr>
        <w:widowControl/>
        <w:tabs>
          <w:tab w:val="left" w:pos="3120"/>
        </w:tabs>
        <w:ind w:firstLine="480"/>
        <w:rPr>
          <w:rFonts w:cs="Times New Roman"/>
          <w:kern w:val="0"/>
        </w:rPr>
      </w:pPr>
      <w:r>
        <w:rPr>
          <w:rFonts w:cs="Times New Roman"/>
          <w:kern w:val="0"/>
        </w:rPr>
        <w:t>（2）制定企业的环境目标、指标以及各种运行程序和文件；</w:t>
      </w:r>
    </w:p>
    <w:p>
      <w:pPr>
        <w:widowControl/>
        <w:tabs>
          <w:tab w:val="left" w:pos="3120"/>
        </w:tabs>
        <w:ind w:firstLine="480"/>
        <w:rPr>
          <w:rFonts w:cs="Times New Roman"/>
          <w:kern w:val="0"/>
        </w:rPr>
      </w:pPr>
      <w:r>
        <w:rPr>
          <w:rFonts w:cs="Times New Roman"/>
          <w:kern w:val="0"/>
        </w:rPr>
        <w:t>（3）通过培训、实施运营的各种程序；</w:t>
      </w:r>
    </w:p>
    <w:p>
      <w:pPr>
        <w:widowControl/>
        <w:tabs>
          <w:tab w:val="left" w:pos="3120"/>
        </w:tabs>
        <w:ind w:firstLine="480"/>
        <w:rPr>
          <w:rFonts w:cs="Times New Roman"/>
          <w:kern w:val="0"/>
        </w:rPr>
      </w:pPr>
      <w:r>
        <w:rPr>
          <w:rFonts w:cs="Times New Roman"/>
          <w:kern w:val="0"/>
        </w:rPr>
        <w:t>（4）不断地监测、检查和纠正；</w:t>
      </w:r>
    </w:p>
    <w:p>
      <w:pPr>
        <w:widowControl/>
        <w:tabs>
          <w:tab w:val="left" w:pos="3120"/>
        </w:tabs>
        <w:ind w:firstLine="480"/>
        <w:rPr>
          <w:rFonts w:cs="Times New Roman"/>
          <w:kern w:val="0"/>
        </w:rPr>
      </w:pPr>
      <w:r>
        <w:rPr>
          <w:rFonts w:cs="Times New Roman"/>
          <w:kern w:val="0"/>
        </w:rPr>
        <w:t>（5）经过内部管理评审和外部审核，不断地持续改进循环。</w:t>
      </w:r>
    </w:p>
    <w:p>
      <w:pPr>
        <w:pStyle w:val="4"/>
        <w:adjustRightInd w:val="0"/>
        <w:snapToGrid w:val="0"/>
        <w:jc w:val="left"/>
        <w:rPr>
          <w:rFonts w:cs="Times New Roman"/>
          <w:szCs w:val="24"/>
        </w:rPr>
      </w:pPr>
      <w:bookmarkStart w:id="232" w:name="_Toc86611354"/>
      <w:r>
        <w:rPr>
          <w:rFonts w:cs="Times New Roman"/>
          <w:szCs w:val="24"/>
        </w:rPr>
        <w:t>8.2.6 环境管理计划</w:t>
      </w:r>
      <w:bookmarkEnd w:id="232"/>
    </w:p>
    <w:p>
      <w:pPr>
        <w:widowControl/>
        <w:tabs>
          <w:tab w:val="left" w:pos="3120"/>
        </w:tabs>
        <w:ind w:firstLine="480"/>
        <w:rPr>
          <w:rFonts w:cs="Times New Roman"/>
          <w:kern w:val="0"/>
        </w:rPr>
      </w:pPr>
      <w:r>
        <w:rPr>
          <w:rFonts w:cs="Times New Roman"/>
          <w:kern w:val="0"/>
        </w:rPr>
        <w:t>阶段污染防治、运行阶段的环保设施管理、信息反馈和群众监督各方面形成网络一体化管理，对环境管理工作计划，其工作重点应放在制定环境管理规章制度，减少污染物排放，降低对生态环境影响等方面，见表8.2-1。</w:t>
      </w:r>
    </w:p>
    <w:p>
      <w:pPr>
        <w:pStyle w:val="14"/>
        <w:spacing w:before="163" w:beforeLines="50"/>
        <w:ind w:firstLine="420"/>
        <w:rPr>
          <w:color w:val="auto"/>
          <w:szCs w:val="24"/>
        </w:rPr>
      </w:pPr>
      <w:r>
        <w:rPr>
          <w:color w:val="auto"/>
          <w:szCs w:val="24"/>
        </w:rPr>
        <w:t>表9.2-1  项目环境管理计划</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7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6" w:type="dxa"/>
            <w:vAlign w:val="center"/>
          </w:tcPr>
          <w:p>
            <w:pPr>
              <w:spacing w:line="240" w:lineRule="auto"/>
              <w:ind w:firstLine="0" w:firstLineChars="0"/>
              <w:jc w:val="center"/>
              <w:rPr>
                <w:rFonts w:cs="Times New Roman"/>
                <w:b/>
                <w:sz w:val="21"/>
                <w:szCs w:val="20"/>
              </w:rPr>
            </w:pPr>
            <w:r>
              <w:rPr>
                <w:rFonts w:cs="Times New Roman"/>
                <w:b/>
                <w:sz w:val="21"/>
                <w:szCs w:val="20"/>
              </w:rPr>
              <w:t>阶段</w:t>
            </w:r>
          </w:p>
        </w:tc>
        <w:tc>
          <w:tcPr>
            <w:tcW w:w="7112" w:type="dxa"/>
            <w:vAlign w:val="center"/>
          </w:tcPr>
          <w:p>
            <w:pPr>
              <w:spacing w:line="240" w:lineRule="auto"/>
              <w:ind w:firstLine="0" w:firstLineChars="0"/>
              <w:jc w:val="left"/>
              <w:rPr>
                <w:rFonts w:cs="Times New Roman"/>
                <w:b/>
                <w:sz w:val="21"/>
                <w:szCs w:val="20"/>
              </w:rPr>
            </w:pPr>
            <w:r>
              <w:rPr>
                <w:rFonts w:cs="Times New Roman"/>
                <w:b/>
                <w:sz w:val="21"/>
                <w:szCs w:val="20"/>
              </w:rPr>
              <w:t>环境管理主要任务内容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6" w:type="dxa"/>
            <w:vAlign w:val="center"/>
          </w:tcPr>
          <w:p>
            <w:pPr>
              <w:spacing w:line="240" w:lineRule="auto"/>
              <w:ind w:firstLine="0" w:firstLineChars="0"/>
              <w:jc w:val="center"/>
              <w:rPr>
                <w:rFonts w:cs="Times New Roman"/>
                <w:sz w:val="21"/>
                <w:szCs w:val="20"/>
              </w:rPr>
            </w:pPr>
            <w:r>
              <w:rPr>
                <w:rFonts w:cs="Times New Roman"/>
                <w:sz w:val="21"/>
                <w:szCs w:val="20"/>
              </w:rPr>
              <w:t>施工期</w:t>
            </w:r>
          </w:p>
        </w:tc>
        <w:tc>
          <w:tcPr>
            <w:tcW w:w="7112" w:type="dxa"/>
            <w:vAlign w:val="center"/>
          </w:tcPr>
          <w:p>
            <w:pPr>
              <w:spacing w:line="240" w:lineRule="auto"/>
              <w:ind w:firstLine="0" w:firstLineChars="0"/>
              <w:jc w:val="left"/>
              <w:rPr>
                <w:rFonts w:cs="Times New Roman"/>
                <w:sz w:val="21"/>
                <w:szCs w:val="20"/>
              </w:rPr>
            </w:pPr>
            <w:r>
              <w:rPr>
                <w:rFonts w:cs="Times New Roman"/>
                <w:sz w:val="21"/>
                <w:szCs w:val="20"/>
              </w:rPr>
              <w:t>1. 按照工程环保设计，与主体工程同步建设，严格执行“三同时”制度；</w:t>
            </w:r>
          </w:p>
          <w:p>
            <w:pPr>
              <w:spacing w:line="240" w:lineRule="auto"/>
              <w:ind w:firstLine="0" w:firstLineChars="0"/>
              <w:jc w:val="left"/>
              <w:rPr>
                <w:rFonts w:cs="Times New Roman"/>
                <w:sz w:val="21"/>
                <w:szCs w:val="20"/>
              </w:rPr>
            </w:pPr>
            <w:r>
              <w:rPr>
                <w:rFonts w:cs="Times New Roman"/>
                <w:sz w:val="21"/>
                <w:szCs w:val="20"/>
              </w:rPr>
              <w:t>2. 完善环境监理制度与环保档案，制定年度环境管理工作计划；</w:t>
            </w:r>
          </w:p>
          <w:p>
            <w:pPr>
              <w:spacing w:line="240" w:lineRule="auto"/>
              <w:ind w:firstLine="0" w:firstLineChars="0"/>
              <w:jc w:val="left"/>
              <w:rPr>
                <w:rFonts w:cs="Times New Roman"/>
                <w:sz w:val="21"/>
                <w:szCs w:val="20"/>
              </w:rPr>
            </w:pPr>
            <w:r>
              <w:rPr>
                <w:rFonts w:cs="Times New Roman"/>
                <w:sz w:val="21"/>
                <w:szCs w:val="20"/>
              </w:rPr>
              <w:t>3. 监督考核各施工单位和监理单位的责任书完成情况，处理施工中偶发环境污染纠</w:t>
            </w:r>
          </w:p>
          <w:p>
            <w:pPr>
              <w:spacing w:line="240" w:lineRule="auto"/>
              <w:ind w:firstLine="0" w:firstLineChars="0"/>
              <w:jc w:val="left"/>
              <w:rPr>
                <w:rFonts w:cs="Times New Roman"/>
                <w:sz w:val="21"/>
                <w:szCs w:val="20"/>
              </w:rPr>
            </w:pPr>
            <w:r>
              <w:rPr>
                <w:rFonts w:cs="Times New Roman"/>
                <w:sz w:val="21"/>
                <w:szCs w:val="20"/>
              </w:rPr>
              <w:t>纷；</w:t>
            </w:r>
          </w:p>
          <w:p>
            <w:pPr>
              <w:spacing w:line="240" w:lineRule="auto"/>
              <w:ind w:firstLine="0" w:firstLineChars="0"/>
              <w:jc w:val="left"/>
              <w:rPr>
                <w:rFonts w:cs="Times New Roman"/>
                <w:sz w:val="21"/>
                <w:szCs w:val="20"/>
              </w:rPr>
            </w:pPr>
            <w:r>
              <w:rPr>
                <w:rFonts w:cs="Times New Roman"/>
                <w:sz w:val="21"/>
                <w:szCs w:val="20"/>
              </w:rPr>
              <w:t>4. 认真做好各项环保设施的施工管理与验收，及时与当地环保行政主管部门沟通。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6" w:type="dxa"/>
            <w:vAlign w:val="center"/>
          </w:tcPr>
          <w:p>
            <w:pPr>
              <w:spacing w:line="240" w:lineRule="auto"/>
              <w:ind w:firstLine="0" w:firstLineChars="0"/>
              <w:jc w:val="center"/>
              <w:rPr>
                <w:rFonts w:cs="Times New Roman"/>
                <w:sz w:val="21"/>
                <w:szCs w:val="20"/>
              </w:rPr>
            </w:pPr>
            <w:r>
              <w:rPr>
                <w:rFonts w:cs="Times New Roman"/>
                <w:sz w:val="21"/>
                <w:szCs w:val="20"/>
              </w:rPr>
              <w:t>运营期</w:t>
            </w:r>
          </w:p>
        </w:tc>
        <w:tc>
          <w:tcPr>
            <w:tcW w:w="7112" w:type="dxa"/>
            <w:vAlign w:val="center"/>
          </w:tcPr>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1. </w:t>
            </w:r>
            <w:r>
              <w:rPr>
                <w:rFonts w:cs="Times New Roman"/>
                <w:kern w:val="0"/>
                <w:sz w:val="21"/>
                <w:szCs w:val="20"/>
              </w:rPr>
              <w:t>对照环评文件及其批复要求和项目设计文件，核查环保设施落实情况；</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2. </w:t>
            </w:r>
            <w:r>
              <w:rPr>
                <w:rFonts w:cs="Times New Roman"/>
                <w:kern w:val="0"/>
                <w:sz w:val="21"/>
                <w:szCs w:val="20"/>
              </w:rPr>
              <w:t>检验环保工程运行状况及效果，要求记录在案，与主体工程同步运行；</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3. </w:t>
            </w:r>
            <w:r>
              <w:rPr>
                <w:rFonts w:cs="Times New Roman"/>
                <w:kern w:val="0"/>
                <w:sz w:val="21"/>
                <w:szCs w:val="20"/>
              </w:rPr>
              <w:t>组织、配合有资质环境监测部门开展污染源监测；</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4. </w:t>
            </w:r>
            <w:r>
              <w:rPr>
                <w:rFonts w:cs="Times New Roman"/>
                <w:kern w:val="0"/>
                <w:sz w:val="21"/>
                <w:szCs w:val="20"/>
              </w:rPr>
              <w:t>委托有资质单位编制环境保护验收报告，组织对工程竣工验收；</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5. </w:t>
            </w:r>
            <w:r>
              <w:rPr>
                <w:rFonts w:cs="Times New Roman"/>
                <w:kern w:val="0"/>
                <w:sz w:val="21"/>
                <w:szCs w:val="20"/>
              </w:rPr>
              <w:t>总结试运行经验，针对存在及出现问题进行整改，提出补救措施方案；</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6. </w:t>
            </w:r>
            <w:r>
              <w:rPr>
                <w:rFonts w:cs="Times New Roman"/>
                <w:kern w:val="0"/>
                <w:sz w:val="21"/>
                <w:szCs w:val="20"/>
              </w:rPr>
              <w:t>强化管理，按照《排污许可证申请与核发技术规范总则》（</w:t>
            </w:r>
            <w:r>
              <w:rPr>
                <w:rFonts w:eastAsia="TimesNewRomanPSMT" w:cs="Times New Roman"/>
                <w:kern w:val="0"/>
                <w:sz w:val="21"/>
                <w:szCs w:val="20"/>
              </w:rPr>
              <w:t>HJ942-2018</w:t>
            </w:r>
            <w:r>
              <w:rPr>
                <w:rFonts w:cs="Times New Roman"/>
                <w:kern w:val="0"/>
                <w:sz w:val="21"/>
                <w:szCs w:val="20"/>
              </w:rPr>
              <w:t>）申报排污许可证，待《排污许可证申请与核发技术规范陶瓷砖瓦工业》正式发布后，按照该技术规范申报排污许可证，建立环保设施运行卡，定期检查、维护；</w:t>
            </w:r>
          </w:p>
          <w:p>
            <w:pPr>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7. </w:t>
            </w:r>
            <w:r>
              <w:rPr>
                <w:rFonts w:cs="Times New Roman"/>
                <w:kern w:val="0"/>
                <w:sz w:val="21"/>
                <w:szCs w:val="20"/>
              </w:rPr>
              <w:t>开展定期</w:t>
            </w:r>
            <w:r>
              <w:rPr>
                <w:rFonts w:eastAsia="TimesNewRomanPSMT" w:cs="Times New Roman"/>
                <w:kern w:val="0"/>
                <w:sz w:val="21"/>
                <w:szCs w:val="20"/>
              </w:rPr>
              <w:t>(</w:t>
            </w:r>
            <w:r>
              <w:rPr>
                <w:rFonts w:cs="Times New Roman"/>
                <w:kern w:val="0"/>
                <w:sz w:val="21"/>
                <w:szCs w:val="20"/>
              </w:rPr>
              <w:t>例行</w:t>
            </w:r>
            <w:r>
              <w:rPr>
                <w:rFonts w:eastAsia="TimesNewRomanPSMT" w:cs="Times New Roman"/>
                <w:kern w:val="0"/>
                <w:sz w:val="21"/>
                <w:szCs w:val="20"/>
              </w:rPr>
              <w:t>)</w:t>
            </w:r>
            <w:r>
              <w:rPr>
                <w:rFonts w:cs="Times New Roman"/>
                <w:kern w:val="0"/>
                <w:sz w:val="21"/>
                <w:szCs w:val="20"/>
              </w:rPr>
              <w:t>、不定期环境与污染源监测，发现问题及时处理；</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8. </w:t>
            </w:r>
            <w:r>
              <w:rPr>
                <w:rFonts w:cs="Times New Roman"/>
                <w:kern w:val="0"/>
                <w:sz w:val="21"/>
                <w:szCs w:val="20"/>
              </w:rPr>
              <w:t>建立健全环境保护档案，负责工厂日常环境保护，并按照国家有关规定及时、准确地上报企业环境报表和在线监测数据；</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9. </w:t>
            </w:r>
            <w:r>
              <w:rPr>
                <w:rFonts w:cs="Times New Roman"/>
                <w:kern w:val="0"/>
                <w:sz w:val="21"/>
                <w:szCs w:val="20"/>
              </w:rPr>
              <w:t>配合公司领导完成环保责任目标，确保污染物达标排放；</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10.</w:t>
            </w:r>
            <w:r>
              <w:rPr>
                <w:rFonts w:cs="Times New Roman"/>
                <w:kern w:val="0"/>
                <w:sz w:val="21"/>
                <w:szCs w:val="20"/>
              </w:rPr>
              <w:t>强化资源能源管理，实现废物减量化和再资源化，坚持环境污染有效预防；</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11 </w:t>
            </w:r>
            <w:r>
              <w:rPr>
                <w:rFonts w:cs="Times New Roman"/>
                <w:kern w:val="0"/>
                <w:sz w:val="21"/>
                <w:szCs w:val="20"/>
              </w:rPr>
              <w:t>加强易燃、有毒危险化学品贮存、使用安全管理，完善危险品和事故源管理条例，严格岗位操作规程，完善环境风险事故应急预案；</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12.</w:t>
            </w:r>
            <w:r>
              <w:rPr>
                <w:rFonts w:cs="Times New Roman"/>
                <w:kern w:val="0"/>
                <w:sz w:val="21"/>
                <w:szCs w:val="20"/>
              </w:rPr>
              <w:t>处理与群众环境纠纷，组织对突发性污染事故善后处理，追查原因并及时上报；</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13.</w:t>
            </w:r>
            <w:r>
              <w:rPr>
                <w:rFonts w:cs="Times New Roman"/>
                <w:kern w:val="0"/>
                <w:sz w:val="21"/>
                <w:szCs w:val="20"/>
              </w:rPr>
              <w:t>推行清洁生产审核，环境体系认证，实现企业可持续发展；</w:t>
            </w:r>
          </w:p>
          <w:p>
            <w:pPr>
              <w:autoSpaceDE w:val="0"/>
              <w:autoSpaceDN w:val="0"/>
              <w:adjustRightInd w:val="0"/>
              <w:spacing w:line="240" w:lineRule="auto"/>
              <w:ind w:firstLine="0" w:firstLineChars="0"/>
              <w:jc w:val="left"/>
              <w:rPr>
                <w:rFonts w:cs="Times New Roman"/>
                <w:sz w:val="21"/>
                <w:szCs w:val="20"/>
              </w:rPr>
            </w:pPr>
            <w:r>
              <w:rPr>
                <w:rFonts w:eastAsia="TimesNewRomanPSMT" w:cs="Times New Roman"/>
                <w:kern w:val="0"/>
                <w:sz w:val="21"/>
                <w:szCs w:val="20"/>
              </w:rPr>
              <w:t>14.</w:t>
            </w:r>
            <w:r>
              <w:rPr>
                <w:rFonts w:cs="Times New Roman"/>
                <w:kern w:val="0"/>
                <w:sz w:val="21"/>
                <w:szCs w:val="20"/>
              </w:rPr>
              <w:t>负责环保宣传与员工培训，提高环保意识教育，提升企业环境管理水平，确保实现清洁生产、持续改进。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6" w:type="dxa"/>
            <w:vAlign w:val="center"/>
          </w:tcPr>
          <w:p>
            <w:pPr>
              <w:autoSpaceDE w:val="0"/>
              <w:autoSpaceDN w:val="0"/>
              <w:adjustRightInd w:val="0"/>
              <w:spacing w:line="240" w:lineRule="auto"/>
              <w:ind w:firstLine="0" w:firstLineChars="0"/>
              <w:jc w:val="center"/>
              <w:rPr>
                <w:rFonts w:cs="Times New Roman"/>
                <w:sz w:val="21"/>
                <w:szCs w:val="20"/>
              </w:rPr>
            </w:pPr>
            <w:r>
              <w:rPr>
                <w:rFonts w:cs="Times New Roman"/>
                <w:kern w:val="0"/>
                <w:sz w:val="21"/>
                <w:szCs w:val="20"/>
              </w:rPr>
              <w:t>环境管理工作重点</w:t>
            </w:r>
          </w:p>
        </w:tc>
        <w:tc>
          <w:tcPr>
            <w:tcW w:w="7112" w:type="dxa"/>
            <w:vAlign w:val="center"/>
          </w:tcPr>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1. </w:t>
            </w:r>
            <w:r>
              <w:rPr>
                <w:rFonts w:cs="Times New Roman"/>
                <w:kern w:val="0"/>
                <w:sz w:val="21"/>
                <w:szCs w:val="20"/>
              </w:rPr>
              <w:t>加强污染源监控与管理，提高水资源、能源和一般工业固废的综合利用率；</w:t>
            </w:r>
          </w:p>
          <w:p>
            <w:pPr>
              <w:autoSpaceDE w:val="0"/>
              <w:autoSpaceDN w:val="0"/>
              <w:adjustRightInd w:val="0"/>
              <w:spacing w:line="240" w:lineRule="auto"/>
              <w:ind w:firstLine="0" w:firstLineChars="0"/>
              <w:jc w:val="left"/>
              <w:rPr>
                <w:rFonts w:cs="Times New Roman"/>
                <w:kern w:val="0"/>
                <w:sz w:val="21"/>
                <w:szCs w:val="20"/>
              </w:rPr>
            </w:pPr>
            <w:r>
              <w:rPr>
                <w:rFonts w:eastAsia="TimesNewRomanPSMT" w:cs="Times New Roman"/>
                <w:kern w:val="0"/>
                <w:sz w:val="21"/>
                <w:szCs w:val="20"/>
              </w:rPr>
              <w:t xml:space="preserve">2. </w:t>
            </w:r>
            <w:r>
              <w:rPr>
                <w:rFonts w:cs="Times New Roman"/>
                <w:kern w:val="0"/>
                <w:sz w:val="21"/>
                <w:szCs w:val="20"/>
              </w:rPr>
              <w:t>坚持“预防为主、防治结合、综合治理”原则，强化企业污染防治设施管理力度，明确岗位职责，奖罚分明，责任到人；</w:t>
            </w:r>
          </w:p>
          <w:p>
            <w:pPr>
              <w:autoSpaceDE w:val="0"/>
              <w:autoSpaceDN w:val="0"/>
              <w:adjustRightInd w:val="0"/>
              <w:spacing w:line="240" w:lineRule="auto"/>
              <w:ind w:firstLine="0" w:firstLineChars="0"/>
              <w:jc w:val="left"/>
              <w:rPr>
                <w:rFonts w:eastAsia="TimesNewRomanPSMT" w:cs="Times New Roman"/>
                <w:kern w:val="0"/>
                <w:sz w:val="21"/>
                <w:szCs w:val="20"/>
              </w:rPr>
            </w:pPr>
            <w:r>
              <w:rPr>
                <w:rFonts w:eastAsia="TimesNewRomanPSMT" w:cs="Times New Roman"/>
                <w:kern w:val="0"/>
                <w:sz w:val="21"/>
                <w:szCs w:val="20"/>
              </w:rPr>
              <w:t xml:space="preserve">3. </w:t>
            </w:r>
            <w:r>
              <w:rPr>
                <w:rFonts w:cs="Times New Roman"/>
                <w:kern w:val="0"/>
                <w:sz w:val="21"/>
                <w:szCs w:val="20"/>
              </w:rPr>
              <w:t>严格控制生产全过程</w:t>
            </w:r>
            <w:r>
              <w:rPr>
                <w:rFonts w:eastAsia="TimesNewRomanPSMT" w:cs="Times New Roman"/>
                <w:kern w:val="0"/>
                <w:sz w:val="21"/>
                <w:szCs w:val="20"/>
              </w:rPr>
              <w:t>“</w:t>
            </w:r>
            <w:r>
              <w:rPr>
                <w:rFonts w:cs="Times New Roman"/>
                <w:kern w:val="0"/>
                <w:sz w:val="21"/>
                <w:szCs w:val="20"/>
              </w:rPr>
              <w:t>三废</w:t>
            </w:r>
            <w:r>
              <w:rPr>
                <w:rFonts w:eastAsia="TimesNewRomanPSMT" w:cs="Times New Roman"/>
                <w:kern w:val="0"/>
                <w:sz w:val="21"/>
                <w:szCs w:val="20"/>
              </w:rPr>
              <w:t>”</w:t>
            </w:r>
            <w:r>
              <w:rPr>
                <w:rFonts w:cs="Times New Roman"/>
                <w:kern w:val="0"/>
                <w:sz w:val="21"/>
                <w:szCs w:val="20"/>
              </w:rPr>
              <w:t>排放及危险固废的安全处置，保护环境。</w:t>
            </w:r>
          </w:p>
        </w:tc>
      </w:tr>
    </w:tbl>
    <w:p>
      <w:pPr>
        <w:pStyle w:val="4"/>
        <w:adjustRightInd w:val="0"/>
        <w:snapToGrid w:val="0"/>
        <w:jc w:val="left"/>
        <w:rPr>
          <w:rFonts w:cs="Times New Roman"/>
          <w:szCs w:val="24"/>
        </w:rPr>
      </w:pPr>
      <w:bookmarkStart w:id="233" w:name="_Toc86611355"/>
      <w:r>
        <w:rPr>
          <w:rFonts w:cs="Times New Roman"/>
          <w:szCs w:val="24"/>
        </w:rPr>
        <w:t>8.2.7 总量控制</w:t>
      </w:r>
      <w:bookmarkEnd w:id="233"/>
    </w:p>
    <w:p>
      <w:pPr>
        <w:adjustRightInd w:val="0"/>
        <w:snapToGrid w:val="0"/>
        <w:ind w:firstLine="480"/>
        <w:rPr>
          <w:rFonts w:cs="Times New Roman"/>
          <w:u w:val="single"/>
        </w:rPr>
      </w:pPr>
      <w:r>
        <w:rPr>
          <w:rFonts w:cs="Times New Roman"/>
          <w:u w:val="single"/>
        </w:rPr>
        <w:t>评价按照国家级地方环保部门总量控制的要求，提出项目完成后污染物总量控制建议指标，作为地方环境管理的依据。</w:t>
      </w:r>
    </w:p>
    <w:p>
      <w:pPr>
        <w:ind w:firstLine="480"/>
        <w:rPr>
          <w:rFonts w:cs="Times New Roman"/>
          <w:kern w:val="0"/>
          <w:u w:val="single"/>
        </w:rPr>
      </w:pPr>
      <w:r>
        <w:rPr>
          <w:rFonts w:cs="Times New Roman"/>
          <w:kern w:val="0"/>
          <w:u w:val="single"/>
        </w:rPr>
        <w:t>本项目建成投产后，总量控制指标SO</w:t>
      </w:r>
      <w:r>
        <w:rPr>
          <w:rFonts w:cs="Times New Roman"/>
          <w:kern w:val="0"/>
          <w:u w:val="single"/>
          <w:vertAlign w:val="subscript"/>
        </w:rPr>
        <w:t>2</w:t>
      </w:r>
      <w:r>
        <w:rPr>
          <w:rFonts w:cs="Times New Roman"/>
          <w:kern w:val="0"/>
          <w:u w:val="single"/>
        </w:rPr>
        <w:t>、NO</w:t>
      </w:r>
      <w:r>
        <w:rPr>
          <w:rFonts w:cs="Times New Roman"/>
          <w:kern w:val="0"/>
          <w:u w:val="single"/>
          <w:vertAlign w:val="subscript"/>
        </w:rPr>
        <w:t>X</w:t>
      </w:r>
      <w:r>
        <w:rPr>
          <w:rFonts w:cs="Times New Roman"/>
          <w:kern w:val="0"/>
          <w:u w:val="single"/>
        </w:rPr>
        <w:t>。本项目建议的总量指标为SO</w:t>
      </w:r>
      <w:r>
        <w:rPr>
          <w:rFonts w:cs="Times New Roman"/>
          <w:kern w:val="0"/>
          <w:u w:val="single"/>
          <w:vertAlign w:val="subscript"/>
        </w:rPr>
        <w:t>2</w:t>
      </w:r>
      <w:r>
        <w:rPr>
          <w:rFonts w:cs="Times New Roman"/>
          <w:kern w:val="0"/>
          <w:u w:val="single"/>
        </w:rPr>
        <w:t>为155.16吨/年、NOx为407.19吨/年。</w:t>
      </w:r>
    </w:p>
    <w:p>
      <w:pPr>
        <w:ind w:firstLine="480"/>
        <w:rPr>
          <w:rFonts w:cs="Times New Roman"/>
          <w:kern w:val="0"/>
          <w:u w:val="single"/>
        </w:rPr>
      </w:pPr>
      <w:r>
        <w:rPr>
          <w:rFonts w:cs="Times New Roman"/>
          <w:kern w:val="0"/>
          <w:u w:val="single"/>
        </w:rPr>
        <w:t>建设单位目前已经申请总量，并获取湖南省生态环境厅的批复，申请指标为SO</w:t>
      </w:r>
      <w:r>
        <w:rPr>
          <w:rFonts w:cs="Times New Roman"/>
          <w:kern w:val="0"/>
          <w:u w:val="single"/>
          <w:vertAlign w:val="subscript"/>
        </w:rPr>
        <w:t>2</w:t>
      </w:r>
      <w:r>
        <w:rPr>
          <w:rFonts w:cs="Times New Roman"/>
          <w:kern w:val="0"/>
          <w:u w:val="single"/>
        </w:rPr>
        <w:t>：840.479t/a、NO</w:t>
      </w:r>
      <w:r>
        <w:rPr>
          <w:rFonts w:cs="Times New Roman"/>
          <w:kern w:val="0"/>
          <w:u w:val="single"/>
          <w:vertAlign w:val="subscript"/>
        </w:rPr>
        <w:t>x</w:t>
      </w:r>
      <w:r>
        <w:rPr>
          <w:rFonts w:cs="Times New Roman"/>
          <w:kern w:val="0"/>
          <w:u w:val="single"/>
        </w:rPr>
        <w:t>：1203.565t/a，能够满足本项目总量需求。</w:t>
      </w:r>
    </w:p>
    <w:p>
      <w:pPr>
        <w:pStyle w:val="3"/>
        <w:rPr>
          <w:rFonts w:cs="Times New Roman"/>
        </w:rPr>
      </w:pPr>
      <w:bookmarkStart w:id="234" w:name="_Toc7706"/>
      <w:bookmarkStart w:id="235" w:name="_Toc86611356"/>
      <w:r>
        <w:rPr>
          <w:rFonts w:cs="Times New Roman"/>
        </w:rPr>
        <w:t>8.3 信息公开</w:t>
      </w:r>
      <w:bookmarkEnd w:id="234"/>
      <w:bookmarkEnd w:id="235"/>
    </w:p>
    <w:p>
      <w:pPr>
        <w:widowControl/>
        <w:tabs>
          <w:tab w:val="left" w:pos="3120"/>
        </w:tabs>
        <w:ind w:firstLine="480"/>
        <w:rPr>
          <w:rFonts w:cs="Times New Roman"/>
          <w:kern w:val="0"/>
        </w:rPr>
      </w:pPr>
      <w:r>
        <w:rPr>
          <w:rFonts w:cs="Times New Roman"/>
          <w:kern w:val="0"/>
        </w:rPr>
        <w:t>根据《企业事业单位环境信息公开办法》（环境保护部令第31号），企业事业单位应当按照强制公开和自愿公开相结合的原则，及时、如实地公开其环境信息。企业事业单位应当建立健全本单位环境信息公开制度，指定机构负责本单位环境信息公开日常工作，排污单位应当公开以下信息：</w:t>
      </w:r>
    </w:p>
    <w:p>
      <w:pPr>
        <w:widowControl/>
        <w:tabs>
          <w:tab w:val="left" w:pos="3120"/>
        </w:tabs>
        <w:ind w:firstLine="480"/>
        <w:rPr>
          <w:rFonts w:cs="Times New Roman"/>
          <w:kern w:val="0"/>
        </w:rPr>
      </w:pPr>
      <w:r>
        <w:rPr>
          <w:rFonts w:cs="Times New Roman"/>
          <w:kern w:val="0"/>
        </w:rPr>
        <w:t>（一）基础信息，包括单位名称、组织机构代码、法定代表人、生产地址、联系方式，以及生产经营和管理服务的主要内容、产品及规模；</w:t>
      </w:r>
    </w:p>
    <w:p>
      <w:pPr>
        <w:widowControl/>
        <w:tabs>
          <w:tab w:val="left" w:pos="3120"/>
        </w:tabs>
        <w:ind w:firstLine="480"/>
        <w:rPr>
          <w:rFonts w:cs="Times New Roman"/>
          <w:kern w:val="0"/>
        </w:rPr>
      </w:pPr>
      <w:r>
        <w:rPr>
          <w:rFonts w:cs="Times New Roman"/>
          <w:kern w:val="0"/>
        </w:rPr>
        <w:t>（二）排污信息，包括主要污染物及特征污染物的名称、排放方式、排放口数量和分布情况、排放浓度和总量、超标情况，以及执行的污染物排放标准、核定的排放总量；</w:t>
      </w:r>
    </w:p>
    <w:p>
      <w:pPr>
        <w:widowControl/>
        <w:tabs>
          <w:tab w:val="left" w:pos="3120"/>
        </w:tabs>
        <w:ind w:firstLine="480"/>
        <w:rPr>
          <w:rFonts w:cs="Times New Roman"/>
          <w:kern w:val="0"/>
        </w:rPr>
      </w:pPr>
      <w:r>
        <w:rPr>
          <w:rFonts w:cs="Times New Roman"/>
          <w:kern w:val="0"/>
        </w:rPr>
        <w:t>（三）防治污染设施的建设和运行情况；</w:t>
      </w:r>
    </w:p>
    <w:p>
      <w:pPr>
        <w:widowControl/>
        <w:tabs>
          <w:tab w:val="left" w:pos="3120"/>
        </w:tabs>
        <w:ind w:firstLine="480"/>
        <w:rPr>
          <w:rFonts w:cs="Times New Roman"/>
          <w:kern w:val="0"/>
        </w:rPr>
      </w:pPr>
      <w:r>
        <w:rPr>
          <w:rFonts w:cs="Times New Roman"/>
          <w:kern w:val="0"/>
        </w:rPr>
        <w:t>（四）建设项目环境影响评价及其他环境保护行政许可情况；</w:t>
      </w:r>
    </w:p>
    <w:p>
      <w:pPr>
        <w:widowControl/>
        <w:tabs>
          <w:tab w:val="left" w:pos="3120"/>
        </w:tabs>
        <w:ind w:firstLine="480"/>
        <w:rPr>
          <w:rFonts w:cs="Times New Roman"/>
          <w:kern w:val="0"/>
        </w:rPr>
      </w:pPr>
      <w:r>
        <w:rPr>
          <w:rFonts w:cs="Times New Roman"/>
          <w:kern w:val="0"/>
        </w:rPr>
        <w:t>（五）突发环境事件应急预案；</w:t>
      </w:r>
    </w:p>
    <w:p>
      <w:pPr>
        <w:widowControl/>
        <w:tabs>
          <w:tab w:val="left" w:pos="3120"/>
        </w:tabs>
        <w:ind w:firstLine="480"/>
        <w:rPr>
          <w:rFonts w:cs="Times New Roman"/>
          <w:kern w:val="0"/>
        </w:rPr>
      </w:pPr>
      <w:r>
        <w:rPr>
          <w:rFonts w:cs="Times New Roman"/>
          <w:kern w:val="0"/>
        </w:rPr>
        <w:t>（六）其他应当公开的环境信息。</w:t>
      </w:r>
    </w:p>
    <w:p>
      <w:pPr>
        <w:widowControl/>
        <w:tabs>
          <w:tab w:val="left" w:pos="3120"/>
        </w:tabs>
        <w:ind w:firstLine="480"/>
        <w:rPr>
          <w:rFonts w:cs="Times New Roman"/>
          <w:kern w:val="0"/>
        </w:rPr>
      </w:pPr>
      <w:r>
        <w:rPr>
          <w:rFonts w:cs="Times New Roman"/>
          <w:kern w:val="0"/>
        </w:rPr>
        <w:t>列入国家重点监控企业名单的重点排污单位还应当公开其环境自行监测方案。</w:t>
      </w:r>
    </w:p>
    <w:p>
      <w:pPr>
        <w:widowControl/>
        <w:tabs>
          <w:tab w:val="left" w:pos="3120"/>
        </w:tabs>
        <w:ind w:firstLine="480"/>
        <w:rPr>
          <w:rFonts w:cs="Times New Roman"/>
          <w:kern w:val="0"/>
        </w:rPr>
      </w:pPr>
      <w:r>
        <w:rPr>
          <w:rFonts w:hint="eastAsia" w:cs="Times New Roman"/>
          <w:kern w:val="0"/>
        </w:rPr>
        <w:t>湖南将军新型建材生产项目</w:t>
      </w:r>
      <w:r>
        <w:rPr>
          <w:rFonts w:cs="Times New Roman"/>
          <w:kern w:val="0"/>
        </w:rPr>
        <w:t>按照上述要求自愿公开企业环境信息。环境信息公开途径包括：</w:t>
      </w:r>
      <w:r>
        <w:rPr>
          <w:rFonts w:hint="eastAsia" w:ascii="宋体" w:hAnsi="宋体" w:cs="宋体"/>
          <w:kern w:val="0"/>
        </w:rPr>
        <w:t>①</w:t>
      </w:r>
      <w:r>
        <w:rPr>
          <w:rFonts w:cs="Times New Roman"/>
          <w:kern w:val="0"/>
        </w:rPr>
        <w:t>公告或者公开发行的信息专刊；</w:t>
      </w:r>
      <w:r>
        <w:rPr>
          <w:rFonts w:hint="eastAsia" w:ascii="宋体" w:hAnsi="宋体" w:cs="宋体"/>
          <w:kern w:val="0"/>
        </w:rPr>
        <w:t>②</w:t>
      </w:r>
      <w:r>
        <w:rPr>
          <w:rFonts w:cs="Times New Roman"/>
          <w:kern w:val="0"/>
        </w:rPr>
        <w:t>广播、电视等新闻媒体；</w:t>
      </w:r>
      <w:r>
        <w:rPr>
          <w:rFonts w:hint="eastAsia" w:ascii="宋体" w:hAnsi="宋体" w:cs="宋体"/>
          <w:kern w:val="0"/>
        </w:rPr>
        <w:t>③</w:t>
      </w:r>
      <w:r>
        <w:rPr>
          <w:rFonts w:cs="Times New Roman"/>
          <w:kern w:val="0"/>
        </w:rPr>
        <w:t>信息公开服务、监督热线电话；</w:t>
      </w:r>
      <w:r>
        <w:rPr>
          <w:rFonts w:hint="eastAsia" w:ascii="宋体" w:hAnsi="宋体" w:cs="宋体"/>
          <w:kern w:val="0"/>
        </w:rPr>
        <w:t>④</w:t>
      </w:r>
      <w:r>
        <w:rPr>
          <w:rFonts w:cs="Times New Roman"/>
          <w:kern w:val="0"/>
        </w:rPr>
        <w:t>本单位的资料索取点、信息公开栏、信息亭、电子屏幕、电子触摸屏等场所或者设施；</w:t>
      </w:r>
      <w:r>
        <w:rPr>
          <w:rFonts w:hint="eastAsia" w:ascii="宋体" w:hAnsi="宋体" w:cs="宋体"/>
          <w:kern w:val="0"/>
        </w:rPr>
        <w:t>⑤</w:t>
      </w:r>
      <w:r>
        <w:rPr>
          <w:rFonts w:cs="Times New Roman"/>
          <w:kern w:val="0"/>
        </w:rPr>
        <w:t>其他便于公众及时、准确获得信息的方式。</w:t>
      </w:r>
    </w:p>
    <w:p>
      <w:pPr>
        <w:pStyle w:val="3"/>
        <w:rPr>
          <w:rFonts w:cs="Times New Roman"/>
        </w:rPr>
      </w:pPr>
      <w:bookmarkStart w:id="236" w:name="_Toc86611357"/>
      <w:bookmarkStart w:id="237" w:name="_Toc16658"/>
      <w:r>
        <w:rPr>
          <w:rFonts w:cs="Times New Roman"/>
        </w:rPr>
        <w:t>8.4 排污口信息</w:t>
      </w:r>
      <w:bookmarkEnd w:id="236"/>
      <w:bookmarkEnd w:id="237"/>
    </w:p>
    <w:p>
      <w:pPr>
        <w:autoSpaceDE w:val="0"/>
        <w:autoSpaceDN w:val="0"/>
        <w:adjustRightInd w:val="0"/>
        <w:ind w:firstLine="480"/>
        <w:rPr>
          <w:rFonts w:cs="Times New Roman"/>
          <w:kern w:val="0"/>
        </w:rPr>
      </w:pPr>
      <w:r>
        <w:rPr>
          <w:rFonts w:cs="Times New Roman"/>
          <w:kern w:val="0"/>
        </w:rPr>
        <w:t>根据国家环境保护总局环发[1999]24号文件的规定，一切新建、扩建、改建的排污单位必须在建设污染治理设施的同时建设规范化排污口，作为落实环境保护“三同时”制度的必要组成和项目验收内容之一。</w:t>
      </w:r>
    </w:p>
    <w:p>
      <w:pPr>
        <w:pStyle w:val="4"/>
        <w:adjustRightInd w:val="0"/>
        <w:snapToGrid w:val="0"/>
        <w:jc w:val="left"/>
        <w:rPr>
          <w:rFonts w:cs="Times New Roman"/>
          <w:szCs w:val="24"/>
        </w:rPr>
      </w:pPr>
      <w:bookmarkStart w:id="238" w:name="_Toc86611358"/>
      <w:r>
        <w:rPr>
          <w:rFonts w:cs="Times New Roman"/>
          <w:szCs w:val="24"/>
        </w:rPr>
        <w:t>8.4.1 项目排污口信息</w:t>
      </w:r>
      <w:bookmarkEnd w:id="238"/>
    </w:p>
    <w:p>
      <w:pPr>
        <w:autoSpaceDE w:val="0"/>
        <w:autoSpaceDN w:val="0"/>
        <w:adjustRightInd w:val="0"/>
        <w:ind w:firstLine="480"/>
        <w:rPr>
          <w:rFonts w:cs="Times New Roman"/>
          <w:kern w:val="0"/>
        </w:rPr>
      </w:pPr>
      <w:r>
        <w:rPr>
          <w:rFonts w:cs="Times New Roman"/>
          <w:kern w:val="0"/>
        </w:rPr>
        <w:t>按照环境保护部办公厅文件环办环评[2017]84 号《关于做好环境影响评价制度与排污许可制衔接相关工作的通知》以及《排污许可证申请与核发技术规范陶瓷砖瓦工业》（HJ954-2018）的要求，本项目实施后，废水全部达标回用，不外排，因此本项目排污口主要为废气排气筒，项目项目全厂共设13个排气筒，排污口的设置应按照环监（96）470 号文件》要求，进行规范化管理。排污口按照《排污单位编码规则》（HJ608-2017）进行编码。</w:t>
      </w:r>
    </w:p>
    <w:p>
      <w:pPr>
        <w:pStyle w:val="4"/>
        <w:adjustRightInd w:val="0"/>
        <w:snapToGrid w:val="0"/>
        <w:jc w:val="left"/>
        <w:rPr>
          <w:rFonts w:cs="Times New Roman"/>
          <w:szCs w:val="24"/>
        </w:rPr>
      </w:pPr>
      <w:bookmarkStart w:id="239" w:name="_Toc86611359"/>
      <w:r>
        <w:rPr>
          <w:rFonts w:cs="Times New Roman"/>
          <w:szCs w:val="24"/>
        </w:rPr>
        <w:t>8.4.2 项目排污口管理原则</w:t>
      </w:r>
      <w:bookmarkEnd w:id="239"/>
    </w:p>
    <w:p>
      <w:pPr>
        <w:autoSpaceDE w:val="0"/>
        <w:autoSpaceDN w:val="0"/>
        <w:adjustRightInd w:val="0"/>
        <w:ind w:firstLine="480"/>
        <w:rPr>
          <w:rFonts w:cs="Times New Roman"/>
          <w:kern w:val="0"/>
        </w:rPr>
      </w:pPr>
      <w:r>
        <w:rPr>
          <w:rFonts w:cs="Times New Roman"/>
          <w:kern w:val="0"/>
        </w:rPr>
        <w:t>1、向环境排放污染物的排放口必须按有关技术要求规范化设置；</w:t>
      </w:r>
    </w:p>
    <w:p>
      <w:pPr>
        <w:autoSpaceDE w:val="0"/>
        <w:autoSpaceDN w:val="0"/>
        <w:adjustRightInd w:val="0"/>
        <w:ind w:firstLine="480"/>
        <w:rPr>
          <w:rFonts w:cs="Times New Roman"/>
          <w:kern w:val="0"/>
        </w:rPr>
      </w:pPr>
      <w:r>
        <w:rPr>
          <w:rFonts w:cs="Times New Roman"/>
          <w:kern w:val="0"/>
        </w:rPr>
        <w:t>2、排污口应便于采样与计量监测，便于日常监测检查，应有观测、取样、维修通道；</w:t>
      </w:r>
    </w:p>
    <w:p>
      <w:pPr>
        <w:autoSpaceDE w:val="0"/>
        <w:autoSpaceDN w:val="0"/>
        <w:adjustRightInd w:val="0"/>
        <w:ind w:firstLine="480"/>
        <w:rPr>
          <w:rFonts w:cs="Times New Roman"/>
          <w:kern w:val="0"/>
        </w:rPr>
      </w:pPr>
      <w:r>
        <w:rPr>
          <w:rFonts w:cs="Times New Roman"/>
          <w:kern w:val="0"/>
        </w:rPr>
        <w:t>3、如实向环保管理部门申报排污口数量、位置及所排放的主要污染物种类、浓度、排放去向等情况。及时办理排污许可证。</w:t>
      </w:r>
    </w:p>
    <w:p>
      <w:pPr>
        <w:pStyle w:val="4"/>
        <w:adjustRightInd w:val="0"/>
        <w:snapToGrid w:val="0"/>
        <w:jc w:val="left"/>
        <w:rPr>
          <w:rFonts w:cs="Times New Roman"/>
          <w:szCs w:val="24"/>
        </w:rPr>
      </w:pPr>
      <w:bookmarkStart w:id="240" w:name="_Toc86611360"/>
      <w:r>
        <w:rPr>
          <w:rFonts w:cs="Times New Roman"/>
          <w:szCs w:val="24"/>
        </w:rPr>
        <w:t>8.4.3 项目排污口立标管理</w:t>
      </w:r>
      <w:bookmarkEnd w:id="240"/>
    </w:p>
    <w:p>
      <w:pPr>
        <w:autoSpaceDE w:val="0"/>
        <w:autoSpaceDN w:val="0"/>
        <w:adjustRightInd w:val="0"/>
        <w:ind w:firstLine="480"/>
        <w:rPr>
          <w:rFonts w:cs="Times New Roman"/>
          <w:kern w:val="0"/>
        </w:rPr>
      </w:pPr>
      <w:r>
        <w:rPr>
          <w:rFonts w:cs="Times New Roman"/>
          <w:kern w:val="0"/>
        </w:rPr>
        <w:t>建设项目应完成排污口规范建设，其投资应纳入正常生产设备之中。同时各污染源排放口应设置专项图标，执行《排污单位自行监测技术指南总则（HJ819-2017）》，见表9.4-1，并应注意以下几点：</w:t>
      </w:r>
    </w:p>
    <w:p>
      <w:pPr>
        <w:autoSpaceDE w:val="0"/>
        <w:autoSpaceDN w:val="0"/>
        <w:adjustRightInd w:val="0"/>
        <w:ind w:firstLine="480"/>
        <w:rPr>
          <w:rFonts w:cs="Times New Roman"/>
          <w:kern w:val="0"/>
        </w:rPr>
      </w:pPr>
      <w:r>
        <w:rPr>
          <w:rFonts w:cs="Times New Roman"/>
          <w:kern w:val="0"/>
        </w:rPr>
        <w:t>（1）污染物排污口的环保图形标志牌应设置在靠近采样点的醒目处，标志牌设置高度为其上边缘距离地面约2m；</w:t>
      </w:r>
    </w:p>
    <w:p>
      <w:pPr>
        <w:autoSpaceDE w:val="0"/>
        <w:autoSpaceDN w:val="0"/>
        <w:adjustRightInd w:val="0"/>
        <w:ind w:firstLine="480"/>
        <w:rPr>
          <w:rFonts w:cs="Times New Roman"/>
          <w:kern w:val="0"/>
        </w:rPr>
      </w:pPr>
      <w:r>
        <w:rPr>
          <w:rFonts w:cs="Times New Roman"/>
          <w:kern w:val="0"/>
        </w:rPr>
        <w:t>（2）污染物排污口和固体废物贮存处置场以设置方式标志牌为主，亦可根据情况设置立面或平面固定式标志牌；</w:t>
      </w:r>
    </w:p>
    <w:p>
      <w:pPr>
        <w:autoSpaceDE w:val="0"/>
        <w:autoSpaceDN w:val="0"/>
        <w:adjustRightInd w:val="0"/>
        <w:ind w:firstLine="480"/>
        <w:rPr>
          <w:rFonts w:cs="Times New Roman"/>
          <w:kern w:val="0"/>
        </w:rPr>
      </w:pPr>
      <w:r>
        <w:rPr>
          <w:rFonts w:cs="Times New Roman"/>
          <w:kern w:val="0"/>
        </w:rPr>
        <w:t>（3）废气排放口应设置提示性环境保护图形标志牌。</w:t>
      </w:r>
    </w:p>
    <w:p>
      <w:pPr>
        <w:pStyle w:val="14"/>
        <w:spacing w:before="163" w:beforeLines="50"/>
        <w:ind w:firstLine="420"/>
        <w:rPr>
          <w:color w:val="auto"/>
          <w:szCs w:val="24"/>
        </w:rPr>
      </w:pPr>
      <w:r>
        <w:rPr>
          <w:color w:val="auto"/>
          <w:szCs w:val="24"/>
        </w:rPr>
        <w:t>表8.4-1  各排污口（源、场）提示标志牌示意图</w:t>
      </w:r>
    </w:p>
    <w:tbl>
      <w:tblPr>
        <w:tblStyle w:val="4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561"/>
        <w:gridCol w:w="2693"/>
        <w:gridCol w:w="1910"/>
        <w:gridCol w:w="1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spacing w:line="240" w:lineRule="auto"/>
              <w:ind w:firstLine="0" w:firstLineChars="0"/>
              <w:jc w:val="center"/>
              <w:rPr>
                <w:rFonts w:cs="Times New Roman"/>
                <w:b/>
                <w:kern w:val="0"/>
                <w:sz w:val="21"/>
                <w:szCs w:val="18"/>
              </w:rPr>
            </w:pPr>
            <w:r>
              <w:rPr>
                <w:rFonts w:cs="Times New Roman"/>
                <w:b/>
                <w:kern w:val="0"/>
                <w:sz w:val="21"/>
                <w:szCs w:val="18"/>
              </w:rPr>
              <w:t>序号</w:t>
            </w:r>
          </w:p>
        </w:tc>
        <w:tc>
          <w:tcPr>
            <w:tcW w:w="1561" w:type="dxa"/>
            <w:vAlign w:val="center"/>
          </w:tcPr>
          <w:p>
            <w:pPr>
              <w:widowControl/>
              <w:spacing w:line="240" w:lineRule="auto"/>
              <w:ind w:firstLine="0" w:firstLineChars="0"/>
              <w:jc w:val="center"/>
              <w:rPr>
                <w:rFonts w:cs="Times New Roman"/>
                <w:b/>
                <w:kern w:val="0"/>
                <w:sz w:val="21"/>
                <w:szCs w:val="18"/>
              </w:rPr>
            </w:pPr>
            <w:r>
              <w:rPr>
                <w:rFonts w:cs="Times New Roman"/>
                <w:b/>
                <w:kern w:val="0"/>
                <w:sz w:val="21"/>
                <w:szCs w:val="18"/>
              </w:rPr>
              <w:t>标志名称</w:t>
            </w:r>
          </w:p>
        </w:tc>
        <w:tc>
          <w:tcPr>
            <w:tcW w:w="2693" w:type="dxa"/>
            <w:vAlign w:val="center"/>
          </w:tcPr>
          <w:p>
            <w:pPr>
              <w:widowControl/>
              <w:spacing w:line="240" w:lineRule="auto"/>
              <w:ind w:firstLine="0" w:firstLineChars="0"/>
              <w:jc w:val="center"/>
              <w:rPr>
                <w:rFonts w:cs="Times New Roman"/>
                <w:b/>
                <w:kern w:val="0"/>
                <w:sz w:val="21"/>
                <w:szCs w:val="18"/>
              </w:rPr>
            </w:pPr>
            <w:r>
              <w:rPr>
                <w:rFonts w:cs="Times New Roman"/>
                <w:b/>
                <w:kern w:val="0"/>
                <w:sz w:val="21"/>
                <w:szCs w:val="18"/>
              </w:rPr>
              <w:t>提示图形符号</w:t>
            </w:r>
          </w:p>
        </w:tc>
        <w:tc>
          <w:tcPr>
            <w:tcW w:w="1910" w:type="dxa"/>
            <w:vAlign w:val="center"/>
          </w:tcPr>
          <w:p>
            <w:pPr>
              <w:widowControl/>
              <w:spacing w:line="240" w:lineRule="auto"/>
              <w:ind w:firstLine="0" w:firstLineChars="0"/>
              <w:jc w:val="center"/>
              <w:rPr>
                <w:rFonts w:cs="Times New Roman"/>
                <w:b/>
                <w:kern w:val="0"/>
                <w:sz w:val="21"/>
                <w:szCs w:val="18"/>
              </w:rPr>
            </w:pPr>
            <w:r>
              <w:rPr>
                <w:rFonts w:cs="Times New Roman"/>
                <w:b/>
                <w:kern w:val="0"/>
                <w:sz w:val="21"/>
                <w:szCs w:val="18"/>
              </w:rPr>
              <w:t>警告图形符号</w:t>
            </w:r>
          </w:p>
        </w:tc>
        <w:tc>
          <w:tcPr>
            <w:tcW w:w="1689" w:type="dxa"/>
            <w:vAlign w:val="center"/>
          </w:tcPr>
          <w:p>
            <w:pPr>
              <w:widowControl/>
              <w:spacing w:line="240" w:lineRule="auto"/>
              <w:ind w:firstLine="0" w:firstLineChars="0"/>
              <w:jc w:val="center"/>
              <w:rPr>
                <w:rFonts w:cs="Times New Roman"/>
                <w:b/>
                <w:kern w:val="0"/>
                <w:sz w:val="21"/>
                <w:szCs w:val="18"/>
              </w:rPr>
            </w:pPr>
            <w:r>
              <w:rPr>
                <w:rFonts w:cs="Times New Roman"/>
                <w:b/>
                <w:kern w:val="0"/>
                <w:sz w:val="21"/>
                <w:szCs w:val="18"/>
              </w:rPr>
              <w:t>功能说明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1</w:t>
            </w:r>
          </w:p>
        </w:tc>
        <w:tc>
          <w:tcPr>
            <w:tcW w:w="1561"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污水排放口</w:t>
            </w:r>
          </w:p>
        </w:tc>
        <w:tc>
          <w:tcPr>
            <w:tcW w:w="2693"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表示污水向水体排放</w:t>
            </w:r>
          </w:p>
        </w:tc>
        <w:tc>
          <w:tcPr>
            <w:tcW w:w="1910" w:type="dxa"/>
            <w:vAlign w:val="center"/>
          </w:tcPr>
          <w:p>
            <w:pPr>
              <w:widowControl/>
              <w:spacing w:line="240" w:lineRule="auto"/>
              <w:ind w:firstLine="0" w:firstLineChars="0"/>
              <w:jc w:val="center"/>
              <w:rPr>
                <w:rFonts w:eastAsia="Times New Roman" w:cs="Times New Roman"/>
                <w:kern w:val="0"/>
                <w:sz w:val="21"/>
                <w:szCs w:val="18"/>
              </w:rPr>
            </w:pPr>
            <w:r>
              <w:rPr>
                <w:rFonts w:eastAsia="Times New Roman" w:cs="Times New Roman"/>
                <w:kern w:val="0"/>
                <w:sz w:val="21"/>
                <w:szCs w:val="18"/>
              </w:rPr>
              <w:drawing>
                <wp:inline distT="0" distB="0" distL="0" distR="0">
                  <wp:extent cx="733425" cy="514350"/>
                  <wp:effectExtent l="19050" t="0" r="9525" b="0"/>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noChangeArrowheads="1"/>
                          </pic:cNvPicPr>
                        </pic:nvPicPr>
                        <pic:blipFill>
                          <a:blip r:embed="rId111"/>
                          <a:srcRect/>
                          <a:stretch>
                            <a:fillRect/>
                          </a:stretch>
                        </pic:blipFill>
                        <pic:spPr>
                          <a:xfrm>
                            <a:off x="0" y="0"/>
                            <a:ext cx="733425" cy="514350"/>
                          </a:xfrm>
                          <a:prstGeom prst="rect">
                            <a:avLst/>
                          </a:prstGeom>
                          <a:noFill/>
                          <a:ln w="9525">
                            <a:noFill/>
                            <a:miter lim="800000"/>
                            <a:headEnd/>
                            <a:tailEnd/>
                          </a:ln>
                        </pic:spPr>
                      </pic:pic>
                    </a:graphicData>
                  </a:graphic>
                </wp:inline>
              </w:drawing>
            </w:r>
          </w:p>
        </w:tc>
        <w:tc>
          <w:tcPr>
            <w:tcW w:w="1689" w:type="dxa"/>
            <w:vAlign w:val="center"/>
          </w:tcPr>
          <w:p>
            <w:pPr>
              <w:widowControl/>
              <w:spacing w:line="240" w:lineRule="auto"/>
              <w:ind w:firstLine="0" w:firstLineChars="0"/>
              <w:jc w:val="center"/>
              <w:rPr>
                <w:rFonts w:eastAsia="Times New Roman" w:cs="Times New Roman"/>
                <w:kern w:val="0"/>
                <w:sz w:val="21"/>
                <w:szCs w:val="18"/>
              </w:rPr>
            </w:pPr>
            <w:r>
              <w:rPr>
                <w:rFonts w:cs="Times New Roman"/>
                <w:kern w:val="0"/>
                <w:sz w:val="21"/>
                <w:szCs w:val="18"/>
              </w:rPr>
              <w:t>表示污水向水体</w:t>
            </w:r>
            <w:r>
              <w:rPr>
                <w:rFonts w:cs="Times New Roman"/>
                <w:kern w:val="0"/>
                <w:sz w:val="21"/>
                <w:szCs w:val="18"/>
              </w:rPr>
              <w:br w:type="textWrapping"/>
            </w:r>
            <w:r>
              <w:rPr>
                <w:rFonts w:cs="Times New Roman"/>
                <w:kern w:val="0"/>
                <w:sz w:val="21"/>
                <w:szCs w:val="18"/>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2</w:t>
            </w:r>
          </w:p>
        </w:tc>
        <w:tc>
          <w:tcPr>
            <w:tcW w:w="1561"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废气排放口</w:t>
            </w:r>
          </w:p>
        </w:tc>
        <w:tc>
          <w:tcPr>
            <w:tcW w:w="2693"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表示废气向大气环境排放</w:t>
            </w:r>
          </w:p>
        </w:tc>
        <w:tc>
          <w:tcPr>
            <w:tcW w:w="1910" w:type="dxa"/>
            <w:vAlign w:val="center"/>
          </w:tcPr>
          <w:p>
            <w:pPr>
              <w:widowControl/>
              <w:spacing w:line="240" w:lineRule="auto"/>
              <w:ind w:firstLine="0" w:firstLineChars="0"/>
              <w:jc w:val="center"/>
              <w:rPr>
                <w:rFonts w:eastAsia="Times New Roman" w:cs="Times New Roman"/>
                <w:kern w:val="0"/>
                <w:sz w:val="21"/>
                <w:szCs w:val="18"/>
              </w:rPr>
            </w:pPr>
            <w:r>
              <w:rPr>
                <w:rFonts w:eastAsia="Times New Roman" w:cs="Times New Roman"/>
                <w:kern w:val="0"/>
                <w:sz w:val="21"/>
                <w:szCs w:val="18"/>
              </w:rPr>
              <w:drawing>
                <wp:inline distT="0" distB="0" distL="0" distR="0">
                  <wp:extent cx="619125" cy="533400"/>
                  <wp:effectExtent l="19050" t="0" r="9525" b="0"/>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noChangeArrowheads="1"/>
                          </pic:cNvPicPr>
                        </pic:nvPicPr>
                        <pic:blipFill>
                          <a:blip r:embed="rId112"/>
                          <a:srcRect/>
                          <a:stretch>
                            <a:fillRect/>
                          </a:stretch>
                        </pic:blipFill>
                        <pic:spPr>
                          <a:xfrm>
                            <a:off x="0" y="0"/>
                            <a:ext cx="619125" cy="533400"/>
                          </a:xfrm>
                          <a:prstGeom prst="rect">
                            <a:avLst/>
                          </a:prstGeom>
                          <a:noFill/>
                          <a:ln w="9525">
                            <a:noFill/>
                            <a:miter lim="800000"/>
                            <a:headEnd/>
                            <a:tailEnd/>
                          </a:ln>
                        </pic:spPr>
                      </pic:pic>
                    </a:graphicData>
                  </a:graphic>
                </wp:inline>
              </w:drawing>
            </w:r>
          </w:p>
        </w:tc>
        <w:tc>
          <w:tcPr>
            <w:tcW w:w="1689" w:type="dxa"/>
            <w:vAlign w:val="center"/>
          </w:tcPr>
          <w:p>
            <w:pPr>
              <w:widowControl/>
              <w:spacing w:line="240" w:lineRule="auto"/>
              <w:ind w:firstLine="0" w:firstLineChars="0"/>
              <w:jc w:val="center"/>
              <w:rPr>
                <w:rFonts w:eastAsia="Times New Roman" w:cs="Times New Roman"/>
                <w:kern w:val="0"/>
                <w:sz w:val="21"/>
                <w:szCs w:val="18"/>
              </w:rPr>
            </w:pPr>
            <w:r>
              <w:rPr>
                <w:rFonts w:cs="Times New Roman"/>
                <w:kern w:val="0"/>
                <w:sz w:val="21"/>
                <w:szCs w:val="18"/>
              </w:rPr>
              <w:t>表示废气向大气环境排放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3</w:t>
            </w:r>
          </w:p>
        </w:tc>
        <w:tc>
          <w:tcPr>
            <w:tcW w:w="1561"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噪声排放源</w:t>
            </w:r>
          </w:p>
        </w:tc>
        <w:tc>
          <w:tcPr>
            <w:tcW w:w="2693"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表示噪声向外环境排放</w:t>
            </w:r>
          </w:p>
        </w:tc>
        <w:tc>
          <w:tcPr>
            <w:tcW w:w="1910" w:type="dxa"/>
            <w:vAlign w:val="center"/>
          </w:tcPr>
          <w:p>
            <w:pPr>
              <w:widowControl/>
              <w:spacing w:line="240" w:lineRule="auto"/>
              <w:ind w:firstLine="0" w:firstLineChars="0"/>
              <w:jc w:val="center"/>
              <w:rPr>
                <w:rFonts w:eastAsia="Times New Roman" w:cs="Times New Roman"/>
                <w:kern w:val="0"/>
                <w:sz w:val="21"/>
                <w:szCs w:val="18"/>
              </w:rPr>
            </w:pPr>
            <w:r>
              <w:rPr>
                <w:rFonts w:eastAsia="Times New Roman" w:cs="Times New Roman"/>
                <w:kern w:val="0"/>
                <w:sz w:val="21"/>
                <w:szCs w:val="18"/>
              </w:rPr>
              <w:drawing>
                <wp:inline distT="0" distB="0" distL="0" distR="0">
                  <wp:extent cx="638175" cy="533400"/>
                  <wp:effectExtent l="19050" t="0" r="9525" b="0"/>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noChangeArrowheads="1"/>
                          </pic:cNvPicPr>
                        </pic:nvPicPr>
                        <pic:blipFill>
                          <a:blip r:embed="rId113"/>
                          <a:srcRect/>
                          <a:stretch>
                            <a:fillRect/>
                          </a:stretch>
                        </pic:blipFill>
                        <pic:spPr>
                          <a:xfrm>
                            <a:off x="0" y="0"/>
                            <a:ext cx="638175" cy="533400"/>
                          </a:xfrm>
                          <a:prstGeom prst="rect">
                            <a:avLst/>
                          </a:prstGeom>
                          <a:noFill/>
                          <a:ln w="9525">
                            <a:noFill/>
                            <a:miter lim="800000"/>
                            <a:headEnd/>
                            <a:tailEnd/>
                          </a:ln>
                        </pic:spPr>
                      </pic:pic>
                    </a:graphicData>
                  </a:graphic>
                </wp:inline>
              </w:drawing>
            </w:r>
          </w:p>
        </w:tc>
        <w:tc>
          <w:tcPr>
            <w:tcW w:w="1689"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表示噪声向外环境排放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4</w:t>
            </w:r>
          </w:p>
        </w:tc>
        <w:tc>
          <w:tcPr>
            <w:tcW w:w="1561"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一般固体废物</w:t>
            </w:r>
          </w:p>
        </w:tc>
        <w:tc>
          <w:tcPr>
            <w:tcW w:w="2693"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表示一般固体废物贮存、处置场</w:t>
            </w:r>
          </w:p>
        </w:tc>
        <w:tc>
          <w:tcPr>
            <w:tcW w:w="1910" w:type="dxa"/>
            <w:vAlign w:val="center"/>
          </w:tcPr>
          <w:p>
            <w:pPr>
              <w:widowControl/>
              <w:spacing w:line="240" w:lineRule="auto"/>
              <w:ind w:firstLine="0" w:firstLineChars="0"/>
              <w:jc w:val="center"/>
              <w:rPr>
                <w:rFonts w:eastAsia="Times New Roman" w:cs="Times New Roman"/>
                <w:kern w:val="0"/>
                <w:sz w:val="21"/>
                <w:szCs w:val="18"/>
              </w:rPr>
            </w:pPr>
            <w:r>
              <w:rPr>
                <w:rFonts w:eastAsia="Times New Roman" w:cs="Times New Roman"/>
                <w:kern w:val="0"/>
                <w:sz w:val="21"/>
                <w:szCs w:val="18"/>
              </w:rPr>
              <w:drawing>
                <wp:inline distT="0" distB="0" distL="0" distR="0">
                  <wp:extent cx="657225" cy="600075"/>
                  <wp:effectExtent l="19050" t="0" r="9525" b="0"/>
                  <wp:docPr id="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
                          <pic:cNvPicPr>
                            <a:picLocks noChangeAspect="1" noChangeArrowheads="1"/>
                          </pic:cNvPicPr>
                        </pic:nvPicPr>
                        <pic:blipFill>
                          <a:blip r:embed="rId114"/>
                          <a:srcRect/>
                          <a:stretch>
                            <a:fillRect/>
                          </a:stretch>
                        </pic:blipFill>
                        <pic:spPr>
                          <a:xfrm>
                            <a:off x="0" y="0"/>
                            <a:ext cx="657225" cy="600075"/>
                          </a:xfrm>
                          <a:prstGeom prst="rect">
                            <a:avLst/>
                          </a:prstGeom>
                          <a:noFill/>
                          <a:ln w="9525">
                            <a:noFill/>
                            <a:miter lim="800000"/>
                            <a:headEnd/>
                            <a:tailEnd/>
                          </a:ln>
                        </pic:spPr>
                      </pic:pic>
                    </a:graphicData>
                  </a:graphic>
                </wp:inline>
              </w:drawing>
            </w:r>
          </w:p>
        </w:tc>
        <w:tc>
          <w:tcPr>
            <w:tcW w:w="1689"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表示一般固体废物储存、处置场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5</w:t>
            </w:r>
          </w:p>
        </w:tc>
        <w:tc>
          <w:tcPr>
            <w:tcW w:w="1561"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危险废物</w:t>
            </w:r>
          </w:p>
        </w:tc>
        <w:tc>
          <w:tcPr>
            <w:tcW w:w="2693" w:type="dxa"/>
            <w:vAlign w:val="center"/>
          </w:tcPr>
          <w:p>
            <w:pPr>
              <w:widowControl/>
              <w:spacing w:line="240" w:lineRule="auto"/>
              <w:ind w:firstLine="0" w:firstLineChars="0"/>
              <w:jc w:val="center"/>
              <w:rPr>
                <w:rFonts w:cs="Times New Roman"/>
                <w:kern w:val="0"/>
                <w:sz w:val="21"/>
                <w:szCs w:val="18"/>
              </w:rPr>
            </w:pPr>
            <w:r>
              <w:rPr>
                <w:rFonts w:cs="Times New Roman"/>
                <w:kern w:val="0"/>
                <w:sz w:val="21"/>
                <w:szCs w:val="18"/>
              </w:rPr>
              <w:t>表示危险废物贮存、处置场</w:t>
            </w:r>
          </w:p>
        </w:tc>
        <w:tc>
          <w:tcPr>
            <w:tcW w:w="1910" w:type="dxa"/>
            <w:vAlign w:val="center"/>
          </w:tcPr>
          <w:p>
            <w:pPr>
              <w:widowControl/>
              <w:spacing w:line="240" w:lineRule="auto"/>
              <w:ind w:firstLine="0" w:firstLineChars="0"/>
              <w:jc w:val="center"/>
              <w:rPr>
                <w:rFonts w:eastAsia="Times New Roman" w:cs="Times New Roman"/>
                <w:kern w:val="0"/>
                <w:sz w:val="21"/>
                <w:szCs w:val="18"/>
              </w:rPr>
            </w:pPr>
            <w:r>
              <w:rPr>
                <w:rFonts w:eastAsia="Times New Roman" w:cs="Times New Roman"/>
                <w:kern w:val="0"/>
                <w:sz w:val="21"/>
                <w:szCs w:val="18"/>
              </w:rPr>
              <w:drawing>
                <wp:inline distT="0" distB="0" distL="0" distR="0">
                  <wp:extent cx="781050" cy="685800"/>
                  <wp:effectExtent l="19050" t="0" r="0" b="0"/>
                  <wp:docPr id="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9"/>
                          <pic:cNvPicPr>
                            <a:picLocks noChangeAspect="1" noChangeArrowheads="1"/>
                          </pic:cNvPicPr>
                        </pic:nvPicPr>
                        <pic:blipFill>
                          <a:blip r:embed="rId115"/>
                          <a:srcRect/>
                          <a:stretch>
                            <a:fillRect/>
                          </a:stretch>
                        </pic:blipFill>
                        <pic:spPr>
                          <a:xfrm>
                            <a:off x="0" y="0"/>
                            <a:ext cx="781050" cy="685800"/>
                          </a:xfrm>
                          <a:prstGeom prst="rect">
                            <a:avLst/>
                          </a:prstGeom>
                          <a:noFill/>
                          <a:ln w="9525">
                            <a:noFill/>
                            <a:miter lim="800000"/>
                            <a:headEnd/>
                            <a:tailEnd/>
                          </a:ln>
                        </pic:spPr>
                      </pic:pic>
                    </a:graphicData>
                  </a:graphic>
                </wp:inline>
              </w:drawing>
            </w:r>
          </w:p>
        </w:tc>
        <w:tc>
          <w:tcPr>
            <w:tcW w:w="1689" w:type="dxa"/>
            <w:vAlign w:val="center"/>
          </w:tcPr>
          <w:p>
            <w:pPr>
              <w:widowControl/>
              <w:spacing w:line="240" w:lineRule="auto"/>
              <w:ind w:firstLine="0" w:firstLineChars="0"/>
              <w:jc w:val="center"/>
              <w:rPr>
                <w:rFonts w:eastAsia="Times New Roman" w:cs="Times New Roman"/>
                <w:kern w:val="0"/>
                <w:sz w:val="21"/>
                <w:szCs w:val="18"/>
              </w:rPr>
            </w:pPr>
            <w:r>
              <w:rPr>
                <w:rFonts w:cs="Times New Roman"/>
                <w:kern w:val="0"/>
                <w:sz w:val="21"/>
                <w:szCs w:val="18"/>
              </w:rPr>
              <w:t>表示危险废物储存、处置场</w:t>
            </w:r>
          </w:p>
        </w:tc>
      </w:tr>
    </w:tbl>
    <w:p>
      <w:pPr>
        <w:pStyle w:val="4"/>
        <w:adjustRightInd w:val="0"/>
        <w:snapToGrid w:val="0"/>
        <w:jc w:val="left"/>
        <w:rPr>
          <w:rFonts w:cs="Times New Roman"/>
          <w:szCs w:val="24"/>
        </w:rPr>
      </w:pPr>
      <w:bookmarkStart w:id="241" w:name="_Toc86611361"/>
      <w:r>
        <w:rPr>
          <w:rFonts w:cs="Times New Roman"/>
          <w:szCs w:val="24"/>
        </w:rPr>
        <w:t>8.4.4 排污口建档管理</w:t>
      </w:r>
      <w:bookmarkEnd w:id="241"/>
    </w:p>
    <w:p>
      <w:pPr>
        <w:widowControl/>
        <w:tabs>
          <w:tab w:val="left" w:pos="3120"/>
        </w:tabs>
        <w:ind w:firstLine="480"/>
        <w:rPr>
          <w:rFonts w:cs="Times New Roman"/>
          <w:kern w:val="0"/>
        </w:rPr>
      </w:pPr>
      <w:r>
        <w:rPr>
          <w:rFonts w:hint="eastAsia" w:ascii="宋体" w:hAnsi="宋体" w:cs="宋体"/>
          <w:kern w:val="0"/>
        </w:rPr>
        <w:t>①</w:t>
      </w:r>
      <w:r>
        <w:rPr>
          <w:rFonts w:cs="Times New Roman"/>
          <w:kern w:val="0"/>
        </w:rPr>
        <w:t>建设单位应在各排污口处设立较明显的环境保护图形标志牌，其上应注明主要排放污染物的名称以警示周围群众。</w:t>
      </w:r>
    </w:p>
    <w:p>
      <w:pPr>
        <w:widowControl/>
        <w:ind w:firstLine="480"/>
        <w:rPr>
          <w:rFonts w:cs="Times New Roman"/>
          <w:kern w:val="0"/>
        </w:rPr>
      </w:pPr>
      <w:r>
        <w:rPr>
          <w:rFonts w:hint="eastAsia" w:ascii="宋体" w:hAnsi="宋体" w:cs="宋体"/>
          <w:kern w:val="0"/>
        </w:rPr>
        <w:t>②</w:t>
      </w:r>
      <w:r>
        <w:rPr>
          <w:rFonts w:cs="Times New Roman"/>
          <w:kern w:val="0"/>
        </w:rPr>
        <w:t>建设单位应如实填写《中华人民共和国规范化排污口标志登记证》的有关内容，由环保主管部门签发登记证。</w:t>
      </w:r>
    </w:p>
    <w:p>
      <w:pPr>
        <w:widowControl/>
        <w:ind w:firstLine="480"/>
        <w:rPr>
          <w:rFonts w:cs="Times New Roman"/>
          <w:kern w:val="0"/>
        </w:rPr>
      </w:pPr>
      <w:r>
        <w:rPr>
          <w:rFonts w:hint="eastAsia" w:ascii="宋体" w:hAnsi="宋体" w:cs="宋体"/>
          <w:kern w:val="0"/>
        </w:rPr>
        <w:t>③</w:t>
      </w:r>
      <w:r>
        <w:rPr>
          <w:rFonts w:cs="Times New Roman"/>
          <w:kern w:val="0"/>
        </w:rPr>
        <w:t>建设单位应将有关排污口的情况如：排污口的性质、编号、排污口的位置；主要排放污染物的种类、数量、浓度、排放规律、排放去向；以及污染治理设施的运行情况等进行建档管理，并报送环保主管部门备案。</w:t>
      </w:r>
    </w:p>
    <w:p>
      <w:pPr>
        <w:pStyle w:val="3"/>
        <w:rPr>
          <w:rFonts w:cs="Times New Roman"/>
        </w:rPr>
      </w:pPr>
      <w:bookmarkStart w:id="242" w:name="_Toc3031"/>
      <w:bookmarkStart w:id="243" w:name="_Toc86611362"/>
      <w:r>
        <w:rPr>
          <w:rFonts w:cs="Times New Roman"/>
        </w:rPr>
        <w:t>8.5 环境监测计划</w:t>
      </w:r>
      <w:bookmarkEnd w:id="242"/>
      <w:bookmarkEnd w:id="243"/>
    </w:p>
    <w:p>
      <w:pPr>
        <w:widowControl/>
        <w:ind w:firstLine="480"/>
        <w:rPr>
          <w:rFonts w:cs="Times New Roman"/>
          <w:kern w:val="0"/>
        </w:rPr>
      </w:pPr>
      <w:r>
        <w:rPr>
          <w:rFonts w:cs="Times New Roman"/>
          <w:kern w:val="0"/>
        </w:rPr>
        <w:t>项目应参照《排污单位自行监测技术指南总则》（HJ819-2017）的有关规定要求，在投产后开展自行监测。</w:t>
      </w:r>
    </w:p>
    <w:p>
      <w:pPr>
        <w:widowControl/>
        <w:ind w:firstLine="480"/>
        <w:rPr>
          <w:rFonts w:cs="Times New Roman"/>
          <w:kern w:val="0"/>
        </w:rPr>
      </w:pPr>
      <w:r>
        <w:rPr>
          <w:rFonts w:cs="Times New Roman"/>
          <w:kern w:val="0"/>
        </w:rPr>
        <w:t>（1）制定监测方案</w:t>
      </w:r>
    </w:p>
    <w:p>
      <w:pPr>
        <w:widowControl/>
        <w:ind w:firstLine="480"/>
        <w:rPr>
          <w:rFonts w:cs="Times New Roman"/>
          <w:kern w:val="0"/>
        </w:rPr>
      </w:pPr>
      <w:r>
        <w:rPr>
          <w:rFonts w:cs="Times New Roman"/>
          <w:kern w:val="0"/>
        </w:rPr>
        <w:t>根据项目污染源，项目的自行监测方案如下所示。在项目投产前，项目应根据监测计划进一步制定详细的监测方案，包括项目基本情况、监测点位及示意图、监测指标、执行标准及限值、监测频次等。</w:t>
      </w:r>
    </w:p>
    <w:p>
      <w:pPr>
        <w:widowControl/>
        <w:ind w:firstLine="480"/>
        <w:rPr>
          <w:rFonts w:cs="Times New Roman"/>
          <w:kern w:val="0"/>
        </w:rPr>
      </w:pPr>
      <w:r>
        <w:rPr>
          <w:rFonts w:cs="Times New Roman"/>
          <w:kern w:val="0"/>
        </w:rPr>
        <w:t>（2）设置和维护监测设施</w:t>
      </w:r>
    </w:p>
    <w:p>
      <w:pPr>
        <w:widowControl/>
        <w:ind w:firstLine="480"/>
        <w:rPr>
          <w:rFonts w:cs="Times New Roman"/>
          <w:kern w:val="0"/>
        </w:rPr>
      </w:pPr>
      <w:r>
        <w:rPr>
          <w:rFonts w:cs="Times New Roman"/>
          <w:kern w:val="0"/>
        </w:rPr>
        <w:t>项目应根据监测规范要求设置规范化的废气采样口，必要时搭建监测平台。</w:t>
      </w:r>
    </w:p>
    <w:p>
      <w:pPr>
        <w:widowControl/>
        <w:ind w:firstLine="480"/>
        <w:rPr>
          <w:rFonts w:cs="Times New Roman"/>
          <w:kern w:val="0"/>
        </w:rPr>
      </w:pPr>
      <w:r>
        <w:rPr>
          <w:rFonts w:cs="Times New Roman"/>
          <w:kern w:val="0"/>
        </w:rPr>
        <w:t>（3）开展自行监测</w:t>
      </w:r>
    </w:p>
    <w:p>
      <w:pPr>
        <w:widowControl/>
        <w:ind w:firstLine="480"/>
        <w:rPr>
          <w:rFonts w:cs="Times New Roman"/>
          <w:kern w:val="0"/>
        </w:rPr>
      </w:pPr>
      <w:r>
        <w:rPr>
          <w:rFonts w:cs="Times New Roman"/>
          <w:kern w:val="0"/>
        </w:rPr>
        <w:t>项目应根据最新的监测方案开展监测活动，受人员和设备等条件的限制，项目拟委托当地有资质的监测单位代其开展自行监测，企业不设置独立的环境监测机构。</w:t>
      </w:r>
    </w:p>
    <w:p>
      <w:pPr>
        <w:widowControl/>
        <w:ind w:firstLine="480"/>
        <w:rPr>
          <w:rFonts w:cs="Times New Roman"/>
          <w:kern w:val="0"/>
        </w:rPr>
      </w:pPr>
      <w:r>
        <w:rPr>
          <w:rFonts w:cs="Times New Roman"/>
          <w:kern w:val="0"/>
        </w:rPr>
        <w:t>（4）做好环境质量保证与质量控制</w:t>
      </w:r>
    </w:p>
    <w:p>
      <w:pPr>
        <w:widowControl/>
        <w:ind w:firstLine="480"/>
        <w:rPr>
          <w:rFonts w:cs="Times New Roman"/>
          <w:kern w:val="0"/>
        </w:rPr>
      </w:pPr>
      <w:r>
        <w:rPr>
          <w:rFonts w:cs="Times New Roman"/>
          <w:kern w:val="0"/>
        </w:rPr>
        <w:t>项目应建立自行监测质量管理制度，按照相关技术规范要求做好监测质量保证与质量控制。</w:t>
      </w:r>
    </w:p>
    <w:p>
      <w:pPr>
        <w:widowControl/>
        <w:ind w:firstLine="480"/>
        <w:rPr>
          <w:rFonts w:cs="Times New Roman"/>
          <w:kern w:val="0"/>
        </w:rPr>
      </w:pPr>
      <w:r>
        <w:rPr>
          <w:rFonts w:cs="Times New Roman"/>
          <w:kern w:val="0"/>
        </w:rPr>
        <w:t>（5）记录和保存监测数据</w:t>
      </w:r>
    </w:p>
    <w:p>
      <w:pPr>
        <w:widowControl/>
        <w:ind w:firstLine="480"/>
        <w:rPr>
          <w:rFonts w:cs="Times New Roman"/>
          <w:kern w:val="0"/>
        </w:rPr>
      </w:pPr>
      <w:r>
        <w:rPr>
          <w:rFonts w:cs="Times New Roman"/>
          <w:kern w:val="0"/>
        </w:rPr>
        <w:t>项目应做好与监测相关的数据记录，按照规定进行保存，并依据相关法规向社会公开监测结果。</w:t>
      </w:r>
    </w:p>
    <w:p>
      <w:pPr>
        <w:pStyle w:val="4"/>
        <w:adjustRightInd w:val="0"/>
        <w:snapToGrid w:val="0"/>
        <w:jc w:val="left"/>
        <w:rPr>
          <w:rFonts w:cs="Times New Roman"/>
          <w:szCs w:val="24"/>
        </w:rPr>
      </w:pPr>
      <w:bookmarkStart w:id="244" w:name="_Toc86611363"/>
      <w:r>
        <w:rPr>
          <w:rFonts w:cs="Times New Roman"/>
          <w:szCs w:val="24"/>
        </w:rPr>
        <w:t>8.5.1 监测内容</w:t>
      </w:r>
      <w:bookmarkEnd w:id="244"/>
    </w:p>
    <w:p>
      <w:pPr>
        <w:widowControl/>
        <w:ind w:firstLine="480"/>
        <w:rPr>
          <w:rFonts w:cs="Times New Roman"/>
          <w:kern w:val="0"/>
          <w:u w:val="single"/>
        </w:rPr>
      </w:pPr>
      <w:r>
        <w:rPr>
          <w:rFonts w:cs="Times New Roman"/>
          <w:kern w:val="0"/>
          <w:u w:val="single"/>
        </w:rPr>
        <w:t>项目运营期环境监测内容见表8.5-1。环境监测方法应参考《环境监测技术规范》、《排污单位自行监测技术指南 总则（HJ819-2017）》规定的方法，可委托有资质监测单位进行监测或建设单位自行监测。每次监测都应有完整的记录。监测数据应及时整理、统计，按时向管理部门、调度部门报告，做好监测资料的归档工作。监测结果如有异常，应及时反馈生产管理部门，查找原因，及时解决。</w:t>
      </w:r>
    </w:p>
    <w:p>
      <w:pPr>
        <w:pStyle w:val="14"/>
        <w:spacing w:before="163" w:beforeLines="50"/>
        <w:ind w:firstLine="420"/>
        <w:rPr>
          <w:color w:val="auto"/>
          <w:szCs w:val="24"/>
          <w:u w:val="single"/>
        </w:rPr>
      </w:pPr>
      <w:r>
        <w:rPr>
          <w:color w:val="auto"/>
          <w:szCs w:val="24"/>
          <w:u w:val="single"/>
        </w:rPr>
        <w:t>表8.5-1  环境监测内容一览表</w:t>
      </w:r>
    </w:p>
    <w:tbl>
      <w:tblPr>
        <w:tblStyle w:val="45"/>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86"/>
        <w:gridCol w:w="1122"/>
        <w:gridCol w:w="1702"/>
        <w:gridCol w:w="2410"/>
        <w:gridCol w:w="1417"/>
        <w:gridCol w:w="119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808" w:type="dxa"/>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b/>
                <w:kern w:val="0"/>
                <w:sz w:val="21"/>
                <w:szCs w:val="18"/>
                <w:u w:val="single"/>
              </w:rPr>
            </w:pPr>
            <w:r>
              <w:rPr>
                <w:rFonts w:cs="Times New Roman"/>
                <w:b/>
                <w:kern w:val="0"/>
                <w:sz w:val="21"/>
                <w:szCs w:val="18"/>
                <w:u w:val="single"/>
              </w:rPr>
              <w:t>项目</w:t>
            </w: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b/>
                <w:kern w:val="0"/>
                <w:sz w:val="21"/>
                <w:szCs w:val="18"/>
                <w:u w:val="single"/>
              </w:rPr>
            </w:pPr>
            <w:r>
              <w:rPr>
                <w:rFonts w:cs="Times New Roman"/>
                <w:b/>
                <w:kern w:val="0"/>
                <w:sz w:val="21"/>
                <w:szCs w:val="18"/>
                <w:u w:val="single"/>
              </w:rPr>
              <w:t>监测点位</w:t>
            </w:r>
          </w:p>
        </w:tc>
        <w:tc>
          <w:tcPr>
            <w:tcW w:w="241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b/>
                <w:kern w:val="0"/>
                <w:sz w:val="21"/>
                <w:szCs w:val="18"/>
                <w:u w:val="single"/>
              </w:rPr>
            </w:pPr>
            <w:r>
              <w:rPr>
                <w:rFonts w:cs="Times New Roman"/>
                <w:b/>
                <w:kern w:val="0"/>
                <w:sz w:val="21"/>
                <w:szCs w:val="18"/>
                <w:u w:val="single"/>
              </w:rPr>
              <w:t>监测因子</w:t>
            </w:r>
          </w:p>
        </w:tc>
        <w:tc>
          <w:tcPr>
            <w:tcW w:w="14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b/>
                <w:kern w:val="0"/>
                <w:sz w:val="21"/>
                <w:szCs w:val="18"/>
                <w:u w:val="single"/>
              </w:rPr>
            </w:pPr>
            <w:r>
              <w:rPr>
                <w:rFonts w:cs="Times New Roman"/>
                <w:b/>
                <w:kern w:val="0"/>
                <w:sz w:val="21"/>
                <w:szCs w:val="18"/>
                <w:u w:val="single"/>
              </w:rPr>
              <w:t>监测频次</w:t>
            </w:r>
          </w:p>
        </w:tc>
        <w:tc>
          <w:tcPr>
            <w:tcW w:w="119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b/>
                <w:kern w:val="0"/>
                <w:sz w:val="21"/>
                <w:szCs w:val="18"/>
                <w:u w:val="single"/>
              </w:rPr>
            </w:pPr>
            <w:r>
              <w:rPr>
                <w:rFonts w:cs="Times New Roman"/>
                <w:b/>
                <w:kern w:val="0"/>
                <w:sz w:val="21"/>
                <w:szCs w:val="18"/>
                <w:u w:val="single"/>
              </w:rPr>
              <w:t>监测时间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污染源计划监测</w:t>
            </w:r>
          </w:p>
        </w:tc>
        <w:tc>
          <w:tcPr>
            <w:tcW w:w="1122"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生产废水</w:t>
            </w: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二级絮凝沉淀池排口</w:t>
            </w:r>
          </w:p>
        </w:tc>
        <w:tc>
          <w:tcPr>
            <w:tcW w:w="241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pH、化学需氧量、悬浮物、石油类、五日生化需氧量、氨氮、总磷、总氮、硫化物、氟化物、总铜、总锌、总钡、水温、流量</w:t>
            </w:r>
          </w:p>
        </w:tc>
        <w:tc>
          <w:tcPr>
            <w:tcW w:w="1417"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自行监测</w:t>
            </w:r>
          </w:p>
        </w:tc>
        <w:tc>
          <w:tcPr>
            <w:tcW w:w="119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季度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废水车间外排口</w:t>
            </w:r>
          </w:p>
        </w:tc>
        <w:tc>
          <w:tcPr>
            <w:tcW w:w="241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总镉、总铬、总铅、</w:t>
            </w:r>
          </w:p>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总镍、总钴、总铍</w:t>
            </w:r>
          </w:p>
        </w:tc>
        <w:tc>
          <w:tcPr>
            <w:tcW w:w="141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9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季度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vMerge w:val="restart"/>
            <w:tcBorders>
              <w:top w:val="single" w:color="auto" w:sz="4" w:space="0"/>
              <w:left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废气</w:t>
            </w:r>
          </w:p>
        </w:tc>
        <w:tc>
          <w:tcPr>
            <w:tcW w:w="170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auto"/>
              <w:ind w:firstLine="0" w:firstLineChars="0"/>
              <w:jc w:val="center"/>
              <w:rPr>
                <w:rFonts w:cs="Times New Roman"/>
                <w:kern w:val="0"/>
                <w:sz w:val="21"/>
                <w:szCs w:val="18"/>
                <w:u w:val="single"/>
              </w:rPr>
            </w:pPr>
            <w:r>
              <w:rPr>
                <w:rFonts w:cs="Times New Roman"/>
                <w:kern w:val="0"/>
                <w:sz w:val="21"/>
                <w:szCs w:val="18"/>
                <w:u w:val="single"/>
              </w:rPr>
              <w:t>TA001、TA0010~TA014废气净化装置的进出口</w:t>
            </w:r>
          </w:p>
        </w:tc>
        <w:tc>
          <w:tcPr>
            <w:tcW w:w="241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颗粒物</w:t>
            </w:r>
          </w:p>
        </w:tc>
        <w:tc>
          <w:tcPr>
            <w:tcW w:w="14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自行监测</w:t>
            </w:r>
          </w:p>
        </w:tc>
        <w:tc>
          <w:tcPr>
            <w:tcW w:w="119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季度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vMerge w:val="continue"/>
            <w:tcBorders>
              <w:left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TA002~TA005废气净化装置进出口</w:t>
            </w:r>
          </w:p>
        </w:tc>
        <w:tc>
          <w:tcPr>
            <w:tcW w:w="241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颗粒物、SO</w:t>
            </w:r>
            <w:r>
              <w:rPr>
                <w:rFonts w:cs="Times New Roman"/>
                <w:kern w:val="0"/>
                <w:sz w:val="21"/>
                <w:szCs w:val="18"/>
                <w:u w:val="single"/>
                <w:vertAlign w:val="subscript"/>
              </w:rPr>
              <w:t>2</w:t>
            </w:r>
            <w:r>
              <w:rPr>
                <w:rFonts w:cs="Times New Roman"/>
                <w:kern w:val="0"/>
                <w:sz w:val="21"/>
                <w:szCs w:val="18"/>
                <w:u w:val="single"/>
              </w:rPr>
              <w:t>、NO</w:t>
            </w:r>
            <w:r>
              <w:rPr>
                <w:rFonts w:cs="Times New Roman"/>
                <w:kern w:val="0"/>
                <w:sz w:val="21"/>
                <w:szCs w:val="18"/>
                <w:u w:val="single"/>
                <w:vertAlign w:val="subscript"/>
              </w:rPr>
              <w:t>x</w:t>
            </w:r>
          </w:p>
        </w:tc>
        <w:tc>
          <w:tcPr>
            <w:tcW w:w="14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自行监测</w:t>
            </w:r>
          </w:p>
        </w:tc>
        <w:tc>
          <w:tcPr>
            <w:tcW w:w="119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季度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vMerge w:val="continue"/>
            <w:tcBorders>
              <w:left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TA06~TA09废气净化装置进出口</w:t>
            </w:r>
          </w:p>
        </w:tc>
        <w:tc>
          <w:tcPr>
            <w:tcW w:w="241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颗粒物、SO</w:t>
            </w:r>
            <w:r>
              <w:rPr>
                <w:rFonts w:cs="Times New Roman"/>
                <w:kern w:val="0"/>
                <w:sz w:val="21"/>
                <w:szCs w:val="18"/>
                <w:u w:val="single"/>
                <w:vertAlign w:val="subscript"/>
              </w:rPr>
              <w:t>2</w:t>
            </w:r>
            <w:r>
              <w:rPr>
                <w:rFonts w:cs="Times New Roman"/>
                <w:kern w:val="0"/>
                <w:sz w:val="21"/>
                <w:szCs w:val="18"/>
                <w:u w:val="single"/>
              </w:rPr>
              <w:t>、NO</w:t>
            </w:r>
            <w:r>
              <w:rPr>
                <w:rFonts w:cs="Times New Roman"/>
                <w:kern w:val="0"/>
                <w:sz w:val="21"/>
                <w:szCs w:val="18"/>
                <w:u w:val="single"/>
                <w:vertAlign w:val="subscript"/>
              </w:rPr>
              <w:t>x</w:t>
            </w:r>
            <w:r>
              <w:rPr>
                <w:rFonts w:cs="Times New Roman"/>
                <w:kern w:val="0"/>
                <w:sz w:val="21"/>
                <w:szCs w:val="18"/>
                <w:u w:val="single"/>
              </w:rPr>
              <w:t>、氟化物</w:t>
            </w:r>
          </w:p>
        </w:tc>
        <w:tc>
          <w:tcPr>
            <w:tcW w:w="14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自行监测</w:t>
            </w:r>
          </w:p>
        </w:tc>
        <w:tc>
          <w:tcPr>
            <w:tcW w:w="119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季度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厂界无组织废气</w:t>
            </w: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厂界</w:t>
            </w:r>
          </w:p>
        </w:tc>
        <w:tc>
          <w:tcPr>
            <w:tcW w:w="241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颗粒物</w:t>
            </w:r>
          </w:p>
        </w:tc>
        <w:tc>
          <w:tcPr>
            <w:tcW w:w="14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自行监测</w:t>
            </w:r>
          </w:p>
        </w:tc>
        <w:tc>
          <w:tcPr>
            <w:tcW w:w="119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半年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噪声</w:t>
            </w: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东、南、西、北四厂界</w:t>
            </w:r>
          </w:p>
        </w:tc>
        <w:tc>
          <w:tcPr>
            <w:tcW w:w="241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等效A声级</w:t>
            </w:r>
          </w:p>
        </w:tc>
        <w:tc>
          <w:tcPr>
            <w:tcW w:w="14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自行监测</w:t>
            </w:r>
          </w:p>
        </w:tc>
        <w:tc>
          <w:tcPr>
            <w:tcW w:w="119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例行监测2次/年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固体废物</w:t>
            </w:r>
          </w:p>
        </w:tc>
        <w:tc>
          <w:tcPr>
            <w:tcW w:w="4112" w:type="dxa"/>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一般固废、危险废物、生活垃圾等是否均得到有效妥善的处置</w:t>
            </w:r>
          </w:p>
        </w:tc>
        <w:tc>
          <w:tcPr>
            <w:tcW w:w="14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每年调查1次</w:t>
            </w:r>
          </w:p>
        </w:tc>
        <w:tc>
          <w:tcPr>
            <w:tcW w:w="119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环境质量监测计划</w:t>
            </w:r>
          </w:p>
        </w:tc>
        <w:tc>
          <w:tcPr>
            <w:tcW w:w="112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大气环境</w:t>
            </w: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项目下风向居民点</w:t>
            </w:r>
          </w:p>
        </w:tc>
        <w:tc>
          <w:tcPr>
            <w:tcW w:w="241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TSP、PM</w:t>
            </w:r>
            <w:r>
              <w:rPr>
                <w:rFonts w:cs="Times New Roman"/>
                <w:kern w:val="0"/>
                <w:sz w:val="21"/>
                <w:szCs w:val="18"/>
                <w:u w:val="single"/>
                <w:vertAlign w:val="subscript"/>
              </w:rPr>
              <w:t>10</w:t>
            </w:r>
            <w:r>
              <w:rPr>
                <w:rFonts w:cs="Times New Roman"/>
                <w:kern w:val="0"/>
                <w:sz w:val="21"/>
                <w:szCs w:val="18"/>
                <w:u w:val="single"/>
              </w:rPr>
              <w:t>、SO</w:t>
            </w:r>
            <w:r>
              <w:rPr>
                <w:rFonts w:cs="Times New Roman"/>
                <w:kern w:val="0"/>
                <w:sz w:val="21"/>
                <w:szCs w:val="18"/>
                <w:u w:val="single"/>
                <w:vertAlign w:val="subscript"/>
              </w:rPr>
              <w:t>2</w:t>
            </w:r>
            <w:r>
              <w:rPr>
                <w:rFonts w:cs="Times New Roman"/>
                <w:kern w:val="0"/>
                <w:sz w:val="21"/>
                <w:szCs w:val="18"/>
                <w:u w:val="single"/>
              </w:rPr>
              <w:t>、NOx、氟化物</w:t>
            </w:r>
          </w:p>
        </w:tc>
        <w:tc>
          <w:tcPr>
            <w:tcW w:w="14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每年1次</w:t>
            </w:r>
          </w:p>
        </w:tc>
        <w:tc>
          <w:tcPr>
            <w:tcW w:w="119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按监测技术规范执行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声环境</w:t>
            </w: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项目东南西北厂界</w:t>
            </w:r>
          </w:p>
        </w:tc>
        <w:tc>
          <w:tcPr>
            <w:tcW w:w="241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LeqdB（A）</w:t>
            </w:r>
          </w:p>
        </w:tc>
        <w:tc>
          <w:tcPr>
            <w:tcW w:w="14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每年1次</w:t>
            </w:r>
          </w:p>
        </w:tc>
        <w:tc>
          <w:tcPr>
            <w:tcW w:w="119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昼夜各1次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地表水</w:t>
            </w: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白象河</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pH、氨氮、氰化物、COD、石油类、挥发酚、铅、镉、砷、汞、铁、锰、氟化物、六价铬</w:t>
            </w:r>
          </w:p>
        </w:tc>
        <w:tc>
          <w:tcPr>
            <w:tcW w:w="1417"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每年2次</w:t>
            </w:r>
          </w:p>
        </w:tc>
        <w:tc>
          <w:tcPr>
            <w:tcW w:w="1191"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按监测技术规范执行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地下水</w:t>
            </w: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众拱村水井</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9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土壤</w:t>
            </w: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厂址下风向600设1个监测点</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kern w:val="0"/>
                <w:sz w:val="21"/>
                <w:szCs w:val="18"/>
                <w:u w:val="single"/>
              </w:rPr>
            </w:pPr>
            <w:r>
              <w:rPr>
                <w:rFonts w:cs="Times New Roman"/>
                <w:kern w:val="0"/>
                <w:sz w:val="21"/>
                <w:szCs w:val="18"/>
                <w:u w:val="single"/>
              </w:rPr>
              <w:t>pH、砷、汞、铜、铅、锌、镉、铬、镍、氟化物</w:t>
            </w:r>
          </w:p>
        </w:tc>
        <w:tc>
          <w:tcPr>
            <w:tcW w:w="1417"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auto"/>
              <w:ind w:firstLine="0" w:firstLineChars="0"/>
              <w:jc w:val="center"/>
              <w:rPr>
                <w:rFonts w:cs="Times New Roman"/>
                <w:kern w:val="0"/>
                <w:sz w:val="21"/>
                <w:szCs w:val="18"/>
                <w:u w:val="single"/>
              </w:rPr>
            </w:pPr>
            <w:r>
              <w:rPr>
                <w:rFonts w:cs="Times New Roman"/>
                <w:kern w:val="0"/>
                <w:sz w:val="21"/>
                <w:szCs w:val="18"/>
                <w:u w:val="single"/>
              </w:rPr>
              <w:t>每年1次</w:t>
            </w:r>
          </w:p>
        </w:tc>
        <w:tc>
          <w:tcPr>
            <w:tcW w:w="1191"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每次1天，每天采样1次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12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70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r>
              <w:rPr>
                <w:rFonts w:cs="Times New Roman"/>
                <w:kern w:val="0"/>
                <w:sz w:val="21"/>
                <w:szCs w:val="18"/>
                <w:u w:val="single"/>
              </w:rPr>
              <w:t>厂址上风向200设1个监测点</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18"/>
                <w:u w:val="single"/>
              </w:rPr>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auto"/>
              <w:ind w:firstLine="0" w:firstLineChars="0"/>
              <w:jc w:val="center"/>
              <w:rPr>
                <w:rFonts w:cs="Times New Roman"/>
                <w:kern w:val="0"/>
                <w:sz w:val="21"/>
                <w:szCs w:val="18"/>
                <w:u w:val="single"/>
              </w:rPr>
            </w:pPr>
          </w:p>
        </w:tc>
        <w:tc>
          <w:tcPr>
            <w:tcW w:w="1191"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auto"/>
              <w:ind w:firstLine="0" w:firstLineChars="0"/>
              <w:jc w:val="center"/>
              <w:rPr>
                <w:rFonts w:cs="Times New Roman"/>
                <w:kern w:val="0"/>
                <w:sz w:val="21"/>
                <w:szCs w:val="18"/>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8" w:type="dxa"/>
            <w:gridSpan w:val="6"/>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auto"/>
              <w:ind w:firstLine="0" w:firstLineChars="0"/>
              <w:jc w:val="left"/>
              <w:rPr>
                <w:rFonts w:cs="Times New Roman"/>
                <w:kern w:val="0"/>
                <w:sz w:val="21"/>
                <w:szCs w:val="18"/>
                <w:u w:val="single"/>
              </w:rPr>
            </w:pPr>
            <w:r>
              <w:rPr>
                <w:rFonts w:cs="Times New Roman"/>
                <w:kern w:val="0"/>
                <w:sz w:val="21"/>
                <w:szCs w:val="18"/>
                <w:u w:val="single"/>
              </w:rPr>
              <w:t>注：</w:t>
            </w:r>
            <w:r>
              <w:rPr>
                <w:rFonts w:hint="eastAsia" w:ascii="宋体" w:hAnsi="宋体" w:cs="宋体"/>
                <w:kern w:val="0"/>
                <w:sz w:val="21"/>
                <w:szCs w:val="18"/>
                <w:u w:val="single"/>
              </w:rPr>
              <w:t>①</w:t>
            </w:r>
            <w:r>
              <w:rPr>
                <w:rFonts w:cs="Times New Roman"/>
                <w:kern w:val="0"/>
                <w:sz w:val="21"/>
                <w:szCs w:val="18"/>
                <w:u w:val="single"/>
              </w:rPr>
              <w:t>*排放口有流动水排放时开展监测，排放期间按日监测；</w:t>
            </w:r>
          </w:p>
          <w:p>
            <w:pPr>
              <w:autoSpaceDE w:val="0"/>
              <w:autoSpaceDN w:val="0"/>
              <w:adjustRightInd w:val="0"/>
              <w:spacing w:line="240" w:lineRule="auto"/>
              <w:ind w:firstLine="0" w:firstLineChars="0"/>
              <w:jc w:val="left"/>
              <w:rPr>
                <w:rFonts w:cs="Times New Roman"/>
                <w:kern w:val="0"/>
                <w:sz w:val="21"/>
                <w:szCs w:val="18"/>
                <w:u w:val="single"/>
              </w:rPr>
            </w:pPr>
            <w:r>
              <w:rPr>
                <w:rFonts w:hint="eastAsia" w:ascii="宋体" w:hAnsi="宋体" w:cs="宋体"/>
                <w:kern w:val="0"/>
                <w:sz w:val="21"/>
                <w:szCs w:val="18"/>
                <w:u w:val="single"/>
              </w:rPr>
              <w:t>②</w:t>
            </w:r>
            <w:r>
              <w:rPr>
                <w:rFonts w:cs="Times New Roman"/>
                <w:kern w:val="0"/>
                <w:sz w:val="21"/>
                <w:szCs w:val="18"/>
                <w:u w:val="single"/>
              </w:rPr>
              <w:t>自行监测按照HJ819、HJ/T373要求执行；应同步记录监测期间的生产工况。</w:t>
            </w:r>
          </w:p>
        </w:tc>
      </w:tr>
    </w:tbl>
    <w:p>
      <w:pPr>
        <w:pStyle w:val="4"/>
        <w:rPr>
          <w:rFonts w:cs="Times New Roman"/>
        </w:rPr>
      </w:pPr>
      <w:bookmarkStart w:id="245" w:name="_Toc86611364"/>
      <w:r>
        <w:rPr>
          <w:rFonts w:cs="Times New Roman"/>
        </w:rPr>
        <w:t>8.5.2 监测实施和成果的管理</w:t>
      </w:r>
      <w:bookmarkEnd w:id="245"/>
    </w:p>
    <w:p>
      <w:pPr>
        <w:autoSpaceDE w:val="0"/>
        <w:autoSpaceDN w:val="0"/>
        <w:adjustRightInd w:val="0"/>
        <w:ind w:firstLine="480"/>
        <w:rPr>
          <w:rFonts w:cs="Times New Roman"/>
          <w:kern w:val="0"/>
        </w:rPr>
      </w:pPr>
      <w:r>
        <w:rPr>
          <w:rFonts w:cs="Times New Roman"/>
          <w:kern w:val="0"/>
        </w:rPr>
        <w:t>在项目试运行后立即委托监测机构进行一次污染源的全面监测，并对废气治理设备、污水处理设施以及噪声控制设施、固废储存处置情况进行一次全面的验收。主要验证污染物排放是否达到排放标准和总量控制的规定以确定有无达到本报告书的要求，并将结果上报当地环保主管部门。</w:t>
      </w:r>
    </w:p>
    <w:p>
      <w:pPr>
        <w:autoSpaceDE w:val="0"/>
        <w:autoSpaceDN w:val="0"/>
        <w:adjustRightInd w:val="0"/>
        <w:ind w:firstLine="480"/>
        <w:rPr>
          <w:rFonts w:cs="Times New Roman"/>
          <w:kern w:val="0"/>
        </w:rPr>
      </w:pPr>
      <w:r>
        <w:rPr>
          <w:rFonts w:cs="Times New Roman"/>
          <w:kern w:val="0"/>
        </w:rPr>
        <w:t>工程验收合格后，企业应根据监测计划，定期对污染源进行监测，监测结果在监测结束后一个月内上报当地环保主管部门。</w:t>
      </w:r>
    </w:p>
    <w:p>
      <w:pPr>
        <w:ind w:firstLine="480"/>
        <w:rPr>
          <w:rFonts w:cs="Times New Roman"/>
          <w:kern w:val="0"/>
        </w:rPr>
      </w:pPr>
      <w:r>
        <w:rPr>
          <w:rFonts w:cs="Times New Roman"/>
          <w:kern w:val="0"/>
        </w:rPr>
        <w:t>监测数据应由本公司和当地环境监测站分别建立数据库统一存档，作为编制环境质量报告书和监测年鉴的原始材料。监测数据应长期保存，并定期接受当地环保主管部门的考核。</w:t>
      </w:r>
    </w:p>
    <w:p>
      <w:pPr>
        <w:pStyle w:val="3"/>
        <w:rPr>
          <w:rFonts w:cs="Times New Roman"/>
        </w:rPr>
      </w:pPr>
      <w:bookmarkStart w:id="246" w:name="_Toc86611365"/>
      <w:bookmarkStart w:id="247" w:name="_Toc29233"/>
      <w:r>
        <w:rPr>
          <w:rFonts w:cs="Times New Roman"/>
        </w:rPr>
        <w:t>8.6 建设项目环境保护“环保设施竣工”验收内容</w:t>
      </w:r>
      <w:bookmarkEnd w:id="246"/>
      <w:bookmarkEnd w:id="247"/>
    </w:p>
    <w:p>
      <w:pPr>
        <w:ind w:firstLine="480"/>
        <w:rPr>
          <w:rFonts w:cs="Times New Roman"/>
          <w:u w:val="single"/>
        </w:rPr>
        <w:sectPr>
          <w:pgSz w:w="11906" w:h="16838"/>
          <w:pgMar w:top="1440" w:right="1800" w:bottom="1440" w:left="1800" w:header="851" w:footer="992" w:gutter="0"/>
          <w:cols w:space="425" w:num="1"/>
          <w:docGrid w:type="lines" w:linePitch="326" w:charSpace="0"/>
        </w:sectPr>
      </w:pPr>
      <w:r>
        <w:rPr>
          <w:rFonts w:hint="eastAsia" w:cs="Times New Roman"/>
          <w:u w:val="single"/>
        </w:rPr>
        <w:t>本项目分两期建设，一期将所有建筑工程、除6条烧成窑及配套干燥窑以外的设备全部完成</w:t>
      </w:r>
      <w:r>
        <w:rPr>
          <w:rFonts w:cs="Times New Roman"/>
          <w:u w:val="single"/>
        </w:rPr>
        <w:t>，在环保措施建成验收以前不得投入运营，表9.6-1和表9.6-2列出了本项目应当实施的环保项目，供环保监测与管理部门验收参考。</w:t>
      </w:r>
    </w:p>
    <w:p>
      <w:pPr>
        <w:pStyle w:val="14"/>
        <w:spacing w:before="163" w:beforeLines="50"/>
        <w:ind w:firstLine="420"/>
        <w:rPr>
          <w:b/>
          <w:bCs/>
          <w:color w:val="auto"/>
          <w:szCs w:val="24"/>
          <w:u w:val="single"/>
        </w:rPr>
      </w:pPr>
      <w:r>
        <w:rPr>
          <w:bCs/>
          <w:color w:val="auto"/>
          <w:szCs w:val="24"/>
          <w:u w:val="single"/>
        </w:rPr>
        <w:t>表9.6-1  环保工程竣工验收一览表</w:t>
      </w:r>
      <w:r>
        <w:rPr>
          <w:rFonts w:hint="eastAsia"/>
          <w:bCs/>
          <w:color w:val="auto"/>
          <w:szCs w:val="24"/>
          <w:u w:val="single"/>
        </w:rPr>
        <w:t>（包含一期、二期）</w:t>
      </w:r>
    </w:p>
    <w:tbl>
      <w:tblPr>
        <w:tblStyle w:val="45"/>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278"/>
        <w:gridCol w:w="1417"/>
        <w:gridCol w:w="7654"/>
        <w:gridCol w:w="2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Align w:val="center"/>
          </w:tcPr>
          <w:p>
            <w:pPr>
              <w:pStyle w:val="14"/>
              <w:rPr>
                <w:color w:val="auto"/>
                <w:kern w:val="2"/>
                <w:u w:val="single"/>
              </w:rPr>
            </w:pPr>
            <w:r>
              <w:rPr>
                <w:color w:val="auto"/>
                <w:kern w:val="2"/>
                <w:u w:val="single"/>
              </w:rPr>
              <w:t>类别</w:t>
            </w:r>
          </w:p>
        </w:tc>
        <w:tc>
          <w:tcPr>
            <w:tcW w:w="1278" w:type="dxa"/>
            <w:vAlign w:val="center"/>
          </w:tcPr>
          <w:p>
            <w:pPr>
              <w:pStyle w:val="14"/>
              <w:rPr>
                <w:color w:val="auto"/>
                <w:kern w:val="2"/>
                <w:u w:val="single"/>
              </w:rPr>
            </w:pPr>
            <w:r>
              <w:rPr>
                <w:color w:val="auto"/>
                <w:kern w:val="2"/>
                <w:u w:val="single"/>
              </w:rPr>
              <w:t>验收对象</w:t>
            </w:r>
          </w:p>
        </w:tc>
        <w:tc>
          <w:tcPr>
            <w:tcW w:w="1417" w:type="dxa"/>
            <w:vAlign w:val="center"/>
          </w:tcPr>
          <w:p>
            <w:pPr>
              <w:pStyle w:val="14"/>
              <w:rPr>
                <w:color w:val="auto"/>
                <w:kern w:val="2"/>
                <w:u w:val="single"/>
              </w:rPr>
            </w:pPr>
            <w:r>
              <w:rPr>
                <w:color w:val="auto"/>
                <w:kern w:val="2"/>
                <w:u w:val="single"/>
              </w:rPr>
              <w:t>污染因子</w:t>
            </w:r>
          </w:p>
        </w:tc>
        <w:tc>
          <w:tcPr>
            <w:tcW w:w="7654" w:type="dxa"/>
            <w:vAlign w:val="center"/>
          </w:tcPr>
          <w:p>
            <w:pPr>
              <w:pStyle w:val="14"/>
              <w:rPr>
                <w:color w:val="auto"/>
                <w:kern w:val="2"/>
                <w:u w:val="single"/>
              </w:rPr>
            </w:pPr>
            <w:r>
              <w:rPr>
                <w:color w:val="auto"/>
                <w:kern w:val="2"/>
                <w:u w:val="single"/>
              </w:rPr>
              <w:t>治理措施</w:t>
            </w:r>
          </w:p>
        </w:tc>
        <w:tc>
          <w:tcPr>
            <w:tcW w:w="2866" w:type="dxa"/>
            <w:vAlign w:val="center"/>
          </w:tcPr>
          <w:p>
            <w:pPr>
              <w:pStyle w:val="14"/>
              <w:rPr>
                <w:color w:val="auto"/>
                <w:kern w:val="2"/>
                <w:u w:val="single"/>
              </w:rPr>
            </w:pPr>
            <w:r>
              <w:rPr>
                <w:color w:val="auto"/>
                <w:kern w:val="2"/>
                <w:u w:val="single"/>
              </w:rPr>
              <w:t>处理效果、执行标准或拟达要求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restart"/>
            <w:vAlign w:val="center"/>
          </w:tcPr>
          <w:p>
            <w:pPr>
              <w:pStyle w:val="14"/>
              <w:rPr>
                <w:b/>
                <w:color w:val="auto"/>
                <w:kern w:val="2"/>
                <w:u w:val="single"/>
              </w:rPr>
            </w:pPr>
            <w:r>
              <w:rPr>
                <w:color w:val="auto"/>
                <w:kern w:val="2"/>
                <w:u w:val="single"/>
              </w:rPr>
              <w:t>废气</w:t>
            </w:r>
          </w:p>
        </w:tc>
        <w:tc>
          <w:tcPr>
            <w:tcW w:w="1278" w:type="dxa"/>
            <w:vAlign w:val="center"/>
          </w:tcPr>
          <w:p>
            <w:pPr>
              <w:pStyle w:val="14"/>
              <w:rPr>
                <w:b/>
                <w:color w:val="auto"/>
                <w:kern w:val="2"/>
                <w:u w:val="single"/>
              </w:rPr>
            </w:pPr>
            <w:r>
              <w:rPr>
                <w:color w:val="auto"/>
                <w:kern w:val="2"/>
                <w:u w:val="single"/>
              </w:rPr>
              <w:t>原料堆场</w:t>
            </w:r>
          </w:p>
        </w:tc>
        <w:tc>
          <w:tcPr>
            <w:tcW w:w="1417" w:type="dxa"/>
            <w:vAlign w:val="center"/>
          </w:tcPr>
          <w:p>
            <w:pPr>
              <w:pStyle w:val="14"/>
              <w:rPr>
                <w:b/>
                <w:color w:val="auto"/>
                <w:kern w:val="2"/>
                <w:u w:val="single"/>
              </w:rPr>
            </w:pPr>
            <w:r>
              <w:rPr>
                <w:color w:val="auto"/>
                <w:kern w:val="2"/>
                <w:u w:val="single"/>
              </w:rPr>
              <w:t>粉尘</w:t>
            </w:r>
          </w:p>
        </w:tc>
        <w:tc>
          <w:tcPr>
            <w:tcW w:w="7654" w:type="dxa"/>
            <w:vAlign w:val="center"/>
          </w:tcPr>
          <w:p>
            <w:pPr>
              <w:pStyle w:val="14"/>
              <w:rPr>
                <w:b/>
                <w:color w:val="auto"/>
                <w:kern w:val="2"/>
                <w:u w:val="single"/>
              </w:rPr>
            </w:pPr>
            <w:r>
              <w:rPr>
                <w:color w:val="auto"/>
                <w:u w:val="single"/>
              </w:rPr>
              <w:t>对原料堆存、装卸等设洒水降尘措施；对原料场全部设置为四面封闭结构（留出入</w:t>
            </w:r>
            <w:r>
              <w:rPr>
                <w:color w:val="auto"/>
                <w:kern w:val="2"/>
                <w:u w:val="single"/>
              </w:rPr>
              <w:t>口），设置顶棚，减少扬尘污染</w:t>
            </w:r>
          </w:p>
        </w:tc>
        <w:tc>
          <w:tcPr>
            <w:tcW w:w="2866" w:type="dxa"/>
            <w:vMerge w:val="restart"/>
            <w:vAlign w:val="center"/>
          </w:tcPr>
          <w:p>
            <w:pPr>
              <w:autoSpaceDE w:val="0"/>
              <w:autoSpaceDN w:val="0"/>
              <w:adjustRightInd w:val="0"/>
              <w:spacing w:line="240" w:lineRule="auto"/>
              <w:ind w:firstLine="0" w:firstLineChars="0"/>
              <w:jc w:val="center"/>
              <w:rPr>
                <w:rFonts w:cs="Times New Roman"/>
                <w:sz w:val="21"/>
                <w:szCs w:val="21"/>
                <w:u w:val="single"/>
              </w:rPr>
            </w:pPr>
            <w:r>
              <w:rPr>
                <w:rFonts w:cs="Times New Roman"/>
                <w:kern w:val="0"/>
                <w:sz w:val="21"/>
                <w:szCs w:val="21"/>
                <w:u w:val="single"/>
              </w:rPr>
              <w:t>《陶瓷工业污染物排放标准》（GB25464-2010）标准及修改单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Merge w:val="restart"/>
            <w:vAlign w:val="center"/>
          </w:tcPr>
          <w:p>
            <w:pPr>
              <w:pStyle w:val="14"/>
              <w:rPr>
                <w:b/>
                <w:color w:val="auto"/>
                <w:kern w:val="2"/>
                <w:u w:val="single"/>
              </w:rPr>
            </w:pPr>
            <w:r>
              <w:rPr>
                <w:color w:val="auto"/>
                <w:kern w:val="2"/>
                <w:u w:val="single"/>
              </w:rPr>
              <w:t>原料制备</w:t>
            </w:r>
          </w:p>
        </w:tc>
        <w:tc>
          <w:tcPr>
            <w:tcW w:w="1417"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粉尘</w:t>
            </w:r>
          </w:p>
        </w:tc>
        <w:tc>
          <w:tcPr>
            <w:tcW w:w="7654" w:type="dxa"/>
            <w:vAlign w:val="center"/>
          </w:tcPr>
          <w:p>
            <w:pPr>
              <w:autoSpaceDE w:val="0"/>
              <w:autoSpaceDN w:val="0"/>
              <w:adjustRightInd w:val="0"/>
              <w:spacing w:line="240" w:lineRule="auto"/>
              <w:ind w:firstLine="0" w:firstLineChars="0"/>
              <w:jc w:val="center"/>
              <w:rPr>
                <w:rFonts w:cs="Times New Roman"/>
                <w:sz w:val="21"/>
                <w:szCs w:val="21"/>
                <w:u w:val="single"/>
              </w:rPr>
            </w:pPr>
            <w:r>
              <w:rPr>
                <w:rFonts w:cs="Times New Roman"/>
                <w:kern w:val="0"/>
                <w:sz w:val="21"/>
                <w:szCs w:val="21"/>
                <w:u w:val="single"/>
              </w:rPr>
              <w:t>对各喷雾干燥塔分别设布袋除尘器处理，热风炉设置旋风除尘设施</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Merge w:val="continue"/>
            <w:vAlign w:val="center"/>
          </w:tcPr>
          <w:p>
            <w:pPr>
              <w:pStyle w:val="14"/>
              <w:rPr>
                <w:b/>
                <w:color w:val="auto"/>
                <w:kern w:val="2"/>
                <w:u w:val="single"/>
              </w:rPr>
            </w:pPr>
          </w:p>
        </w:tc>
        <w:tc>
          <w:tcPr>
            <w:tcW w:w="1417" w:type="dxa"/>
            <w:vAlign w:val="center"/>
          </w:tcPr>
          <w:p>
            <w:pPr>
              <w:autoSpaceDE w:val="0"/>
              <w:autoSpaceDN w:val="0"/>
              <w:adjustRightInd w:val="0"/>
              <w:spacing w:line="240" w:lineRule="auto"/>
              <w:ind w:firstLine="0" w:firstLineChars="0"/>
              <w:jc w:val="center"/>
              <w:rPr>
                <w:rFonts w:cs="Times New Roman"/>
                <w:sz w:val="21"/>
                <w:szCs w:val="21"/>
                <w:u w:val="single"/>
              </w:rPr>
            </w:pPr>
            <w:r>
              <w:rPr>
                <w:rFonts w:cs="Times New Roman"/>
                <w:kern w:val="0"/>
                <w:sz w:val="21"/>
                <w:szCs w:val="21"/>
                <w:u w:val="single"/>
              </w:rPr>
              <w:t>粉尘、SO</w:t>
            </w:r>
            <w:r>
              <w:rPr>
                <w:rFonts w:cs="Times New Roman"/>
                <w:kern w:val="0"/>
                <w:sz w:val="21"/>
                <w:szCs w:val="21"/>
                <w:u w:val="single"/>
                <w:vertAlign w:val="subscript"/>
              </w:rPr>
              <w:t>2</w:t>
            </w:r>
            <w:r>
              <w:rPr>
                <w:rFonts w:cs="Times New Roman"/>
                <w:kern w:val="0"/>
                <w:sz w:val="21"/>
                <w:szCs w:val="21"/>
                <w:u w:val="single"/>
              </w:rPr>
              <w:t>、NO</w:t>
            </w:r>
            <w:r>
              <w:rPr>
                <w:rFonts w:cs="Times New Roman"/>
                <w:kern w:val="0"/>
                <w:sz w:val="21"/>
                <w:szCs w:val="21"/>
                <w:u w:val="single"/>
                <w:vertAlign w:val="subscript"/>
              </w:rPr>
              <w:t>X</w:t>
            </w:r>
            <w:r>
              <w:rPr>
                <w:rFonts w:cs="Times New Roman"/>
                <w:kern w:val="0"/>
                <w:sz w:val="21"/>
                <w:szCs w:val="21"/>
                <w:u w:val="single"/>
              </w:rPr>
              <w:t>、氟化物</w:t>
            </w:r>
          </w:p>
        </w:tc>
        <w:tc>
          <w:tcPr>
            <w:tcW w:w="7654" w:type="dxa"/>
            <w:vAlign w:val="center"/>
          </w:tcPr>
          <w:p>
            <w:pPr>
              <w:pStyle w:val="43"/>
              <w:snapToGrid w:val="0"/>
              <w:spacing w:after="0"/>
              <w:ind w:firstLine="0" w:firstLineChars="0"/>
              <w:jc w:val="center"/>
              <w:rPr>
                <w:rFonts w:ascii="Times New Roman" w:hAnsi="Times New Roman"/>
                <w:sz w:val="21"/>
                <w:szCs w:val="21"/>
                <w:u w:val="single"/>
              </w:rPr>
            </w:pPr>
            <w:r>
              <w:rPr>
                <w:rFonts w:ascii="Times New Roman" w:hAnsi="Times New Roman"/>
                <w:kern w:val="2"/>
                <w:sz w:val="21"/>
                <w:szCs w:val="21"/>
                <w:u w:val="single"/>
              </w:rPr>
              <w:t>1号、2号生产线喷雾干燥塔+窑炉：热风炉热烟气经SNCR脱硝</w:t>
            </w:r>
            <w:r>
              <w:rPr>
                <w:rFonts w:hint="eastAsia" w:ascii="Times New Roman" w:hAnsi="Times New Roman"/>
                <w:kern w:val="2"/>
                <w:sz w:val="21"/>
                <w:szCs w:val="21"/>
                <w:u w:val="single"/>
              </w:rPr>
              <w:t>+SCR脱硝</w:t>
            </w:r>
            <w:r>
              <w:rPr>
                <w:rFonts w:ascii="Times New Roman" w:hAnsi="Times New Roman"/>
                <w:kern w:val="2"/>
                <w:sz w:val="21"/>
                <w:szCs w:val="21"/>
                <w:u w:val="single"/>
              </w:rPr>
              <w:t>后再进入喷雾干燥塔，喷雾干燥塔烟气通过经“</w:t>
            </w:r>
            <w:r>
              <w:rPr>
                <w:rFonts w:hint="eastAsia" w:ascii="Times New Roman" w:hAnsi="Times New Roman"/>
                <w:kern w:val="2"/>
                <w:sz w:val="21"/>
                <w:szCs w:val="21"/>
                <w:u w:val="single"/>
              </w:rPr>
              <w:t>石灰-石膏脱硫</w:t>
            </w:r>
            <w:r>
              <w:rPr>
                <w:rFonts w:ascii="Times New Roman" w:hAnsi="Times New Roman"/>
                <w:kern w:val="2"/>
                <w:sz w:val="21"/>
                <w:szCs w:val="21"/>
                <w:u w:val="single"/>
              </w:rPr>
              <w:t>+袋式除尘”工艺处理达标后经35m排气筒排放，共设置4个排气筒</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粉料仓+成型车间</w:t>
            </w:r>
          </w:p>
        </w:tc>
        <w:tc>
          <w:tcPr>
            <w:tcW w:w="1417"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粉尘</w:t>
            </w:r>
          </w:p>
        </w:tc>
        <w:tc>
          <w:tcPr>
            <w:tcW w:w="7654" w:type="dxa"/>
            <w:vAlign w:val="center"/>
          </w:tcPr>
          <w:p>
            <w:pPr>
              <w:autoSpaceDE w:val="0"/>
              <w:autoSpaceDN w:val="0"/>
              <w:adjustRightInd w:val="0"/>
              <w:spacing w:line="240" w:lineRule="auto"/>
              <w:ind w:firstLine="0" w:firstLineChars="0"/>
              <w:rPr>
                <w:rFonts w:cs="Times New Roman"/>
                <w:sz w:val="21"/>
                <w:szCs w:val="21"/>
                <w:u w:val="single"/>
              </w:rPr>
            </w:pPr>
            <w:r>
              <w:rPr>
                <w:rFonts w:cs="Times New Roman"/>
                <w:sz w:val="21"/>
                <w:szCs w:val="21"/>
                <w:u w:val="single"/>
              </w:rPr>
              <w:t>采用袋式除尘器处理后15m排气筒排放，共计</w:t>
            </w:r>
            <w:r>
              <w:rPr>
                <w:rFonts w:hint="eastAsia" w:cs="Times New Roman"/>
                <w:sz w:val="21"/>
                <w:szCs w:val="21"/>
                <w:u w:val="single"/>
              </w:rPr>
              <w:t>4</w:t>
            </w:r>
            <w:r>
              <w:rPr>
                <w:rFonts w:cs="Times New Roman"/>
                <w:sz w:val="21"/>
                <w:szCs w:val="21"/>
                <w:u w:val="single"/>
              </w:rPr>
              <w:t>个排气筒；</w:t>
            </w:r>
          </w:p>
        </w:tc>
        <w:tc>
          <w:tcPr>
            <w:tcW w:w="2866" w:type="dxa"/>
            <w:vAlign w:val="center"/>
          </w:tcPr>
          <w:p>
            <w:pPr>
              <w:pStyle w:val="14"/>
              <w:rPr>
                <w:b/>
                <w:color w:val="auto"/>
                <w:kern w:val="2"/>
                <w:u w:val="single"/>
              </w:rPr>
            </w:pPr>
            <w:r>
              <w:rPr>
                <w:color w:val="auto"/>
                <w:u w:val="single"/>
              </w:rPr>
              <w:t>《大气污染物综合排放标准》（GB16297-1996）</w:t>
            </w:r>
            <w:r>
              <w:rPr>
                <w:color w:val="auto"/>
                <w:kern w:val="2"/>
                <w:u w:val="single"/>
              </w:rPr>
              <w:t>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烧成窑</w:t>
            </w:r>
          </w:p>
        </w:tc>
        <w:tc>
          <w:tcPr>
            <w:tcW w:w="1417" w:type="dxa"/>
            <w:vAlign w:val="center"/>
          </w:tcPr>
          <w:p>
            <w:pPr>
              <w:spacing w:line="240" w:lineRule="auto"/>
              <w:ind w:firstLine="0" w:firstLineChars="0"/>
              <w:jc w:val="center"/>
              <w:rPr>
                <w:rFonts w:cs="Times New Roman"/>
                <w:sz w:val="21"/>
                <w:szCs w:val="21"/>
                <w:u w:val="single"/>
              </w:rPr>
            </w:pPr>
            <w:r>
              <w:rPr>
                <w:rFonts w:cs="Times New Roman"/>
                <w:kern w:val="0"/>
                <w:sz w:val="21"/>
                <w:szCs w:val="21"/>
                <w:u w:val="single"/>
              </w:rPr>
              <w:t>粉尘、SO</w:t>
            </w:r>
            <w:r>
              <w:rPr>
                <w:rFonts w:cs="Times New Roman"/>
                <w:kern w:val="0"/>
                <w:sz w:val="21"/>
                <w:szCs w:val="21"/>
                <w:u w:val="single"/>
                <w:vertAlign w:val="subscript"/>
              </w:rPr>
              <w:t>2</w:t>
            </w:r>
            <w:r>
              <w:rPr>
                <w:rFonts w:cs="Times New Roman"/>
                <w:kern w:val="0"/>
                <w:sz w:val="21"/>
                <w:szCs w:val="21"/>
                <w:u w:val="single"/>
              </w:rPr>
              <w:t>、NO</w:t>
            </w:r>
            <w:r>
              <w:rPr>
                <w:rFonts w:cs="Times New Roman"/>
                <w:kern w:val="0"/>
                <w:sz w:val="21"/>
                <w:szCs w:val="21"/>
                <w:u w:val="single"/>
                <w:vertAlign w:val="subscript"/>
              </w:rPr>
              <w:t>X</w:t>
            </w:r>
            <w:r>
              <w:rPr>
                <w:rFonts w:cs="Times New Roman"/>
                <w:kern w:val="0"/>
                <w:sz w:val="21"/>
                <w:szCs w:val="21"/>
                <w:u w:val="single"/>
              </w:rPr>
              <w:t>、氟化物</w:t>
            </w:r>
          </w:p>
        </w:tc>
        <w:tc>
          <w:tcPr>
            <w:tcW w:w="7654" w:type="dxa"/>
            <w:vAlign w:val="center"/>
          </w:tcPr>
          <w:p>
            <w:pPr>
              <w:pStyle w:val="43"/>
              <w:snapToGrid w:val="0"/>
              <w:spacing w:after="0"/>
              <w:ind w:firstLine="0" w:firstLineChars="0"/>
              <w:jc w:val="center"/>
              <w:rPr>
                <w:rFonts w:ascii="Times New Roman" w:hAnsi="Times New Roman"/>
                <w:kern w:val="2"/>
                <w:sz w:val="21"/>
                <w:szCs w:val="21"/>
                <w:u w:val="single"/>
              </w:rPr>
            </w:pPr>
            <w:r>
              <w:rPr>
                <w:rFonts w:hint="eastAsia" w:ascii="Times New Roman" w:hAnsi="Times New Roman"/>
                <w:kern w:val="2"/>
                <w:sz w:val="21"/>
                <w:szCs w:val="21"/>
                <w:u w:val="single"/>
              </w:rPr>
              <w:t>窑尾要求采用SNCR脱硝+SCR脱硝+石灰-石膏脱硫</w:t>
            </w:r>
            <w:r>
              <w:rPr>
                <w:rFonts w:ascii="Times New Roman" w:hAnsi="Times New Roman"/>
                <w:kern w:val="2"/>
                <w:sz w:val="21"/>
                <w:szCs w:val="21"/>
                <w:u w:val="single"/>
              </w:rPr>
              <w:t>+袋式除尘处理达标经35m排气筒排放，共计4个排气筒</w:t>
            </w:r>
          </w:p>
        </w:tc>
        <w:tc>
          <w:tcPr>
            <w:tcW w:w="2866" w:type="dxa"/>
            <w:vAlign w:val="center"/>
          </w:tcPr>
          <w:p>
            <w:pPr>
              <w:pStyle w:val="14"/>
              <w:rPr>
                <w:b/>
                <w:color w:val="auto"/>
                <w:kern w:val="2"/>
                <w:u w:val="single"/>
              </w:rPr>
            </w:pPr>
            <w:r>
              <w:rPr>
                <w:color w:val="auto"/>
                <w:kern w:val="2"/>
                <w:u w:val="single"/>
              </w:rPr>
              <w:t>《陶瓷工业污染物排放标准》（GB25464-2010）标准及修改单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印刷机</w:t>
            </w:r>
          </w:p>
        </w:tc>
        <w:tc>
          <w:tcPr>
            <w:tcW w:w="1417"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VOCs</w:t>
            </w:r>
          </w:p>
        </w:tc>
        <w:tc>
          <w:tcPr>
            <w:tcW w:w="7654" w:type="dxa"/>
            <w:vAlign w:val="center"/>
          </w:tcPr>
          <w:p>
            <w:pPr>
              <w:pStyle w:val="43"/>
              <w:snapToGrid w:val="0"/>
              <w:spacing w:after="0"/>
              <w:ind w:firstLine="0" w:firstLineChars="0"/>
              <w:jc w:val="center"/>
              <w:rPr>
                <w:rFonts w:ascii="Times New Roman" w:hAnsi="Times New Roman"/>
                <w:kern w:val="2"/>
                <w:sz w:val="21"/>
                <w:szCs w:val="21"/>
                <w:u w:val="single"/>
              </w:rPr>
            </w:pPr>
            <w:r>
              <w:rPr>
                <w:rFonts w:hint="eastAsia" w:ascii="Times New Roman" w:hAnsi="Times New Roman"/>
                <w:sz w:val="21"/>
                <w:szCs w:val="21"/>
                <w:u w:val="single"/>
              </w:rPr>
              <w:t>通入喷雾干燥塔中燃烧处理后与喷雾干燥废气一并排放</w:t>
            </w:r>
          </w:p>
        </w:tc>
        <w:tc>
          <w:tcPr>
            <w:tcW w:w="2866" w:type="dxa"/>
            <w:vAlign w:val="center"/>
          </w:tcPr>
          <w:p>
            <w:pPr>
              <w:pStyle w:val="14"/>
              <w:rPr>
                <w:b/>
                <w:color w:val="auto"/>
                <w:u w:val="single"/>
              </w:rPr>
            </w:pPr>
            <w:r>
              <w:rPr>
                <w:color w:val="auto"/>
                <w:u w:val="single"/>
              </w:rPr>
              <w:t>《</w:t>
            </w:r>
            <w:r>
              <w:fldChar w:fldCharType="begin"/>
            </w:r>
            <w:r>
              <w:instrText xml:space="preserve"> HYPERLINK "http://www.csx.gov.cn/hbj/zwgk18/tzgg69/2319569/2018072016325711809.pdf" </w:instrText>
            </w:r>
            <w:r>
              <w:fldChar w:fldCharType="separate"/>
            </w:r>
            <w:r>
              <w:rPr>
                <w:color w:val="auto"/>
                <w:u w:val="single"/>
              </w:rPr>
              <w:t>湖南省印刷业挥发性有机物排放标准</w:t>
            </w:r>
            <w:r>
              <w:rPr>
                <w:color w:val="auto"/>
                <w:u w:val="single"/>
              </w:rPr>
              <w:fldChar w:fldCharType="end"/>
            </w:r>
            <w:r>
              <w:rPr>
                <w:color w:val="auto"/>
                <w:u w:val="single"/>
              </w:rPr>
              <w:t>》（DB43-1357—2017）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restart"/>
            <w:vAlign w:val="center"/>
          </w:tcPr>
          <w:p>
            <w:pPr>
              <w:pStyle w:val="14"/>
              <w:rPr>
                <w:b/>
                <w:color w:val="auto"/>
                <w:kern w:val="2"/>
                <w:u w:val="single"/>
              </w:rPr>
            </w:pPr>
            <w:r>
              <w:rPr>
                <w:color w:val="auto"/>
                <w:kern w:val="2"/>
                <w:u w:val="single"/>
              </w:rPr>
              <w:t>废水</w:t>
            </w: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生活污水</w:t>
            </w:r>
          </w:p>
        </w:tc>
        <w:tc>
          <w:tcPr>
            <w:tcW w:w="1417"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COD、BOD、氨氮、SS</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生活污水处理站处理工艺采用AO 生物处理的工艺</w:t>
            </w:r>
          </w:p>
        </w:tc>
        <w:tc>
          <w:tcPr>
            <w:tcW w:w="2866" w:type="dxa"/>
            <w:vAlign w:val="center"/>
          </w:tcPr>
          <w:p>
            <w:pPr>
              <w:pStyle w:val="14"/>
              <w:rPr>
                <w:b/>
                <w:color w:val="auto"/>
                <w:kern w:val="2"/>
                <w:u w:val="single"/>
              </w:rPr>
            </w:pPr>
            <w:r>
              <w:rPr>
                <w:color w:val="auto"/>
                <w:u w:val="single"/>
              </w:rPr>
              <w:t>经生活污水处理站处理后</w:t>
            </w:r>
            <w:r>
              <w:rPr>
                <w:rFonts w:hint="eastAsia"/>
                <w:color w:val="auto"/>
                <w:u w:val="single"/>
              </w:rPr>
              <w:t>排入白象河，远期排入污水处理厂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生产废水</w:t>
            </w:r>
          </w:p>
        </w:tc>
        <w:tc>
          <w:tcPr>
            <w:tcW w:w="1417" w:type="dxa"/>
            <w:vAlign w:val="center"/>
          </w:tcPr>
          <w:p>
            <w:pPr>
              <w:pStyle w:val="14"/>
              <w:rPr>
                <w:b/>
                <w:color w:val="auto"/>
                <w:kern w:val="2"/>
                <w:u w:val="single"/>
              </w:rPr>
            </w:pPr>
            <w:r>
              <w:rPr>
                <w:color w:val="auto"/>
                <w:kern w:val="2"/>
                <w:u w:val="single"/>
              </w:rPr>
              <w:t>SS</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回用管网</w:t>
            </w:r>
          </w:p>
        </w:tc>
        <w:tc>
          <w:tcPr>
            <w:tcW w:w="2866" w:type="dxa"/>
            <w:vMerge w:val="restart"/>
            <w:vAlign w:val="center"/>
          </w:tcPr>
          <w:p>
            <w:pPr>
              <w:pStyle w:val="14"/>
              <w:rPr>
                <w:b/>
                <w:color w:val="auto"/>
                <w:kern w:val="2"/>
                <w:u w:val="single"/>
              </w:rPr>
            </w:pPr>
            <w:r>
              <w:rPr>
                <w:color w:val="auto"/>
                <w:u w:val="single"/>
              </w:rPr>
              <w:t>全部回用，不外排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初期雨水</w:t>
            </w:r>
          </w:p>
        </w:tc>
        <w:tc>
          <w:tcPr>
            <w:tcW w:w="1417" w:type="dxa"/>
            <w:vAlign w:val="center"/>
          </w:tcPr>
          <w:p>
            <w:pPr>
              <w:pStyle w:val="14"/>
              <w:rPr>
                <w:b/>
                <w:color w:val="auto"/>
                <w:kern w:val="2"/>
                <w:u w:val="single"/>
              </w:rPr>
            </w:pPr>
            <w:r>
              <w:rPr>
                <w:color w:val="auto"/>
                <w:kern w:val="2"/>
                <w:u w:val="single"/>
              </w:rPr>
              <w:t>SS</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bCs/>
                <w:sz w:val="21"/>
                <w:szCs w:val="21"/>
                <w:u w:val="single"/>
              </w:rPr>
              <w:t>初期雨水收集池</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二级絮凝沉淀池</w:t>
            </w:r>
          </w:p>
        </w:tc>
        <w:tc>
          <w:tcPr>
            <w:tcW w:w="1417" w:type="dxa"/>
            <w:vAlign w:val="center"/>
          </w:tcPr>
          <w:p>
            <w:pPr>
              <w:pStyle w:val="14"/>
              <w:rPr>
                <w:b/>
                <w:color w:val="auto"/>
                <w:kern w:val="2"/>
                <w:u w:val="single"/>
              </w:rPr>
            </w:pPr>
            <w:r>
              <w:rPr>
                <w:color w:val="auto"/>
                <w:kern w:val="2"/>
                <w:u w:val="single"/>
              </w:rPr>
              <w:t>/</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2个3522</w:t>
            </w:r>
            <w:r>
              <w:rPr>
                <w:rFonts w:cs="Times New Roman"/>
                <w:bCs/>
                <w:kern w:val="0"/>
                <w:sz w:val="21"/>
                <w:szCs w:val="21"/>
                <w:u w:val="single"/>
              </w:rPr>
              <w:t>m</w:t>
            </w:r>
            <w:r>
              <w:rPr>
                <w:rFonts w:cs="Times New Roman"/>
                <w:bCs/>
                <w:kern w:val="0"/>
                <w:sz w:val="21"/>
                <w:szCs w:val="21"/>
                <w:u w:val="single"/>
                <w:vertAlign w:val="superscript"/>
              </w:rPr>
              <w:t>3</w:t>
            </w:r>
            <w:r>
              <w:rPr>
                <w:rFonts w:cs="Times New Roman"/>
                <w:bCs/>
                <w:kern w:val="0"/>
                <w:sz w:val="21"/>
                <w:szCs w:val="21"/>
                <w:u w:val="single"/>
              </w:rPr>
              <w:t>、1个1388m</w:t>
            </w:r>
            <w:r>
              <w:rPr>
                <w:rFonts w:cs="Times New Roman"/>
                <w:bCs/>
                <w:kern w:val="0"/>
                <w:sz w:val="21"/>
                <w:szCs w:val="21"/>
                <w:u w:val="single"/>
                <w:vertAlign w:val="superscript"/>
              </w:rPr>
              <w:t>3</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脱硫塔循环水池</w:t>
            </w:r>
          </w:p>
        </w:tc>
        <w:tc>
          <w:tcPr>
            <w:tcW w:w="1417" w:type="dxa"/>
            <w:vAlign w:val="center"/>
          </w:tcPr>
          <w:p>
            <w:pPr>
              <w:pStyle w:val="14"/>
              <w:rPr>
                <w:b/>
                <w:color w:val="auto"/>
                <w:kern w:val="2"/>
                <w:u w:val="single"/>
              </w:rPr>
            </w:pPr>
            <w:r>
              <w:rPr>
                <w:color w:val="auto"/>
                <w:kern w:val="2"/>
                <w:u w:val="single"/>
              </w:rPr>
              <w:t>/</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4个</w:t>
            </w:r>
            <w:r>
              <w:rPr>
                <w:rFonts w:cs="Times New Roman"/>
                <w:bCs/>
                <w:sz w:val="21"/>
                <w:szCs w:val="21"/>
                <w:u w:val="single"/>
              </w:rPr>
              <w:t>600m</w:t>
            </w:r>
            <w:r>
              <w:rPr>
                <w:rFonts w:cs="Times New Roman"/>
                <w:bCs/>
                <w:sz w:val="21"/>
                <w:szCs w:val="21"/>
                <w:u w:val="single"/>
                <w:vertAlign w:val="superscript"/>
              </w:rPr>
              <w:t>3</w:t>
            </w:r>
            <w:r>
              <w:rPr>
                <w:rFonts w:cs="Times New Roman"/>
                <w:bCs/>
                <w:sz w:val="21"/>
                <w:szCs w:val="21"/>
                <w:u w:val="single"/>
              </w:rPr>
              <w:t>的脱硫废水池</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循环冷却水池</w:t>
            </w:r>
          </w:p>
        </w:tc>
        <w:tc>
          <w:tcPr>
            <w:tcW w:w="1417" w:type="dxa"/>
            <w:vAlign w:val="center"/>
          </w:tcPr>
          <w:p>
            <w:pPr>
              <w:pStyle w:val="14"/>
              <w:rPr>
                <w:b/>
                <w:color w:val="auto"/>
                <w:kern w:val="2"/>
                <w:u w:val="single"/>
              </w:rPr>
            </w:pPr>
            <w:r>
              <w:rPr>
                <w:color w:val="auto"/>
                <w:kern w:val="2"/>
                <w:u w:val="single"/>
              </w:rPr>
              <w:t>/</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bCs/>
                <w:sz w:val="21"/>
                <w:szCs w:val="21"/>
                <w:u w:val="single"/>
              </w:rPr>
              <w:t>2个448m</w:t>
            </w:r>
            <w:r>
              <w:rPr>
                <w:rFonts w:cs="Times New Roman"/>
                <w:bCs/>
                <w:sz w:val="21"/>
                <w:szCs w:val="21"/>
                <w:u w:val="single"/>
                <w:vertAlign w:val="superscript"/>
              </w:rPr>
              <w:t>3</w:t>
            </w:r>
            <w:r>
              <w:rPr>
                <w:rFonts w:cs="Times New Roman"/>
                <w:bCs/>
                <w:sz w:val="21"/>
                <w:szCs w:val="21"/>
                <w:u w:val="single"/>
              </w:rPr>
              <w:t>的设备间接冷却循环水池</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雨污分流</w:t>
            </w:r>
          </w:p>
        </w:tc>
        <w:tc>
          <w:tcPr>
            <w:tcW w:w="1417"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SS</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雨污分流系统</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restart"/>
            <w:vAlign w:val="center"/>
          </w:tcPr>
          <w:p>
            <w:pPr>
              <w:pStyle w:val="14"/>
              <w:rPr>
                <w:b/>
                <w:color w:val="auto"/>
                <w:kern w:val="2"/>
                <w:u w:val="single"/>
              </w:rPr>
            </w:pPr>
            <w:r>
              <w:rPr>
                <w:color w:val="auto"/>
                <w:kern w:val="2"/>
                <w:u w:val="single"/>
              </w:rPr>
              <w:t>固废</w:t>
            </w:r>
          </w:p>
        </w:tc>
        <w:tc>
          <w:tcPr>
            <w:tcW w:w="2695" w:type="dxa"/>
            <w:gridSpan w:val="2"/>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收集</w:t>
            </w:r>
          </w:p>
        </w:tc>
        <w:tc>
          <w:tcPr>
            <w:tcW w:w="2866" w:type="dxa"/>
            <w:vAlign w:val="center"/>
          </w:tcPr>
          <w:p>
            <w:pPr>
              <w:pStyle w:val="14"/>
              <w:rPr>
                <w:b/>
                <w:color w:val="auto"/>
                <w:kern w:val="2"/>
                <w:u w:val="single"/>
              </w:rPr>
            </w:pPr>
            <w:r>
              <w:rPr>
                <w:color w:val="auto"/>
                <w:kern w:val="2"/>
                <w:u w:val="single"/>
              </w:rPr>
              <w:t>分类收集，合理处置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2695" w:type="dxa"/>
            <w:gridSpan w:val="2"/>
            <w:vAlign w:val="center"/>
          </w:tcPr>
          <w:p>
            <w:pPr>
              <w:spacing w:line="240" w:lineRule="auto"/>
              <w:ind w:firstLine="0" w:firstLineChars="0"/>
              <w:jc w:val="center"/>
              <w:rPr>
                <w:rFonts w:cs="Times New Roman"/>
                <w:sz w:val="21"/>
                <w:szCs w:val="21"/>
                <w:u w:val="single"/>
              </w:rPr>
            </w:pPr>
            <w:r>
              <w:rPr>
                <w:rFonts w:cs="Times New Roman"/>
                <w:sz w:val="21"/>
                <w:szCs w:val="21"/>
                <w:u w:val="single"/>
              </w:rPr>
              <w:t>危险废物</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危废暂存间</w:t>
            </w:r>
            <w:r>
              <w:rPr>
                <w:rFonts w:cs="Times New Roman"/>
                <w:bCs/>
                <w:sz w:val="21"/>
                <w:szCs w:val="21"/>
                <w:u w:val="single"/>
              </w:rPr>
              <w:t>，防渗处理</w:t>
            </w:r>
          </w:p>
        </w:tc>
        <w:tc>
          <w:tcPr>
            <w:tcW w:w="2866" w:type="dxa"/>
            <w:vAlign w:val="center"/>
          </w:tcPr>
          <w:p>
            <w:pPr>
              <w:pStyle w:val="14"/>
              <w:rPr>
                <w:b/>
                <w:color w:val="auto"/>
                <w:kern w:val="2"/>
                <w:u w:val="single"/>
              </w:rPr>
            </w:pPr>
            <w:r>
              <w:rPr>
                <w:color w:val="auto"/>
                <w:kern w:val="2"/>
                <w:u w:val="single"/>
              </w:rPr>
              <w:t>委托有资质单位代为处置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2695" w:type="dxa"/>
            <w:gridSpan w:val="2"/>
            <w:vAlign w:val="center"/>
          </w:tcPr>
          <w:p>
            <w:pPr>
              <w:spacing w:line="240" w:lineRule="auto"/>
              <w:ind w:firstLine="0" w:firstLineChars="0"/>
              <w:jc w:val="center"/>
              <w:rPr>
                <w:rFonts w:cs="Times New Roman"/>
                <w:sz w:val="21"/>
                <w:szCs w:val="21"/>
                <w:u w:val="single"/>
              </w:rPr>
            </w:pPr>
            <w:r>
              <w:rPr>
                <w:rFonts w:cs="Times New Roman"/>
                <w:sz w:val="21"/>
                <w:szCs w:val="21"/>
                <w:u w:val="single"/>
              </w:rPr>
              <w:t>生活垃圾</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生活垃圾收集桶</w:t>
            </w:r>
          </w:p>
        </w:tc>
        <w:tc>
          <w:tcPr>
            <w:tcW w:w="2866" w:type="dxa"/>
            <w:vAlign w:val="center"/>
          </w:tcPr>
          <w:p>
            <w:pPr>
              <w:pStyle w:val="14"/>
              <w:rPr>
                <w:b/>
                <w:color w:val="auto"/>
                <w:kern w:val="2"/>
                <w:u w:val="single"/>
              </w:rPr>
            </w:pPr>
            <w:r>
              <w:rPr>
                <w:color w:val="auto"/>
                <w:kern w:val="2"/>
                <w:u w:val="single"/>
              </w:rPr>
              <w:t>交由环卫部门清运处置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Align w:val="center"/>
          </w:tcPr>
          <w:p>
            <w:pPr>
              <w:pStyle w:val="14"/>
              <w:rPr>
                <w:b/>
                <w:color w:val="auto"/>
                <w:kern w:val="2"/>
                <w:u w:val="single"/>
              </w:rPr>
            </w:pPr>
            <w:r>
              <w:rPr>
                <w:color w:val="auto"/>
                <w:kern w:val="2"/>
                <w:u w:val="single"/>
              </w:rPr>
              <w:t>噪声</w:t>
            </w:r>
          </w:p>
        </w:tc>
        <w:tc>
          <w:tcPr>
            <w:tcW w:w="2695" w:type="dxa"/>
            <w:gridSpan w:val="2"/>
            <w:vAlign w:val="center"/>
          </w:tcPr>
          <w:p>
            <w:pPr>
              <w:spacing w:line="240" w:lineRule="auto"/>
              <w:ind w:firstLine="0" w:firstLineChars="0"/>
              <w:jc w:val="center"/>
              <w:rPr>
                <w:rFonts w:cs="Times New Roman"/>
                <w:sz w:val="21"/>
                <w:szCs w:val="21"/>
                <w:u w:val="single"/>
              </w:rPr>
            </w:pPr>
            <w:r>
              <w:rPr>
                <w:rFonts w:cs="Times New Roman"/>
                <w:kern w:val="0"/>
                <w:sz w:val="21"/>
                <w:szCs w:val="21"/>
                <w:u w:val="single"/>
              </w:rPr>
              <w:t>各类泵、风机、球磨机、空压机等</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设减震、消声、隔音装置</w:t>
            </w:r>
          </w:p>
        </w:tc>
        <w:tc>
          <w:tcPr>
            <w:tcW w:w="2866" w:type="dxa"/>
            <w:vAlign w:val="center"/>
          </w:tcPr>
          <w:p>
            <w:pPr>
              <w:spacing w:line="240" w:lineRule="auto"/>
              <w:ind w:firstLine="0" w:firstLineChars="0"/>
              <w:jc w:val="center"/>
              <w:rPr>
                <w:rFonts w:cs="Times New Roman"/>
                <w:b/>
                <w:sz w:val="21"/>
                <w:szCs w:val="21"/>
                <w:u w:val="single"/>
              </w:rPr>
            </w:pPr>
            <w:r>
              <w:rPr>
                <w:rFonts w:cs="Times New Roman"/>
                <w:kern w:val="0"/>
                <w:sz w:val="21"/>
                <w:szCs w:val="21"/>
                <w:u w:val="single"/>
              </w:rPr>
              <w:t>《工业企业厂界环境噪声排放标准》（GB12348-2008）3类标准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Align w:val="center"/>
          </w:tcPr>
          <w:p>
            <w:pPr>
              <w:pStyle w:val="14"/>
              <w:rPr>
                <w:b/>
                <w:color w:val="auto"/>
                <w:kern w:val="2"/>
                <w:u w:val="single"/>
              </w:rPr>
            </w:pPr>
            <w:r>
              <w:rPr>
                <w:color w:val="auto"/>
                <w:kern w:val="2"/>
                <w:u w:val="single"/>
              </w:rPr>
              <w:t>监测与管理</w:t>
            </w:r>
          </w:p>
        </w:tc>
        <w:tc>
          <w:tcPr>
            <w:tcW w:w="2695" w:type="dxa"/>
            <w:gridSpan w:val="2"/>
            <w:vAlign w:val="center"/>
          </w:tcPr>
          <w:p>
            <w:pPr>
              <w:spacing w:line="240" w:lineRule="auto"/>
              <w:ind w:firstLine="0" w:firstLineChars="0"/>
              <w:jc w:val="center"/>
              <w:rPr>
                <w:rFonts w:cs="Times New Roman"/>
                <w:sz w:val="21"/>
                <w:szCs w:val="21"/>
                <w:u w:val="single"/>
              </w:rPr>
            </w:pPr>
            <w:r>
              <w:rPr>
                <w:rFonts w:cs="Times New Roman"/>
                <w:kern w:val="0"/>
                <w:sz w:val="21"/>
                <w:szCs w:val="21"/>
                <w:u w:val="single"/>
              </w:rPr>
              <w:t>环保管理机构及制度</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机构、制度齐全，脱硫塔在线监测系统</w:t>
            </w:r>
          </w:p>
        </w:tc>
        <w:tc>
          <w:tcPr>
            <w:tcW w:w="2866"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配套齐全</w:t>
            </w:r>
          </w:p>
        </w:tc>
      </w:tr>
    </w:tbl>
    <w:p>
      <w:pPr>
        <w:pStyle w:val="14"/>
        <w:spacing w:before="163" w:beforeLines="50"/>
        <w:ind w:firstLine="480"/>
        <w:rPr>
          <w:b/>
          <w:bCs/>
          <w:color w:val="auto"/>
          <w:szCs w:val="24"/>
          <w:u w:val="single"/>
        </w:rPr>
      </w:pPr>
      <w:r>
        <w:rPr>
          <w:bCs/>
          <w:color w:val="auto"/>
          <w:szCs w:val="24"/>
          <w:u w:val="single"/>
        </w:rPr>
        <w:t>表9.6-1  环保工程竣工验收一览表</w:t>
      </w:r>
      <w:r>
        <w:rPr>
          <w:rFonts w:hint="eastAsia"/>
          <w:bCs/>
          <w:color w:val="auto"/>
          <w:szCs w:val="24"/>
          <w:u w:val="single"/>
        </w:rPr>
        <w:t>（仅一期）</w:t>
      </w:r>
    </w:p>
    <w:tbl>
      <w:tblPr>
        <w:tblStyle w:val="45"/>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278"/>
        <w:gridCol w:w="1417"/>
        <w:gridCol w:w="7654"/>
        <w:gridCol w:w="2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Align w:val="center"/>
          </w:tcPr>
          <w:p>
            <w:pPr>
              <w:pStyle w:val="14"/>
              <w:rPr>
                <w:color w:val="auto"/>
                <w:kern w:val="2"/>
                <w:u w:val="single"/>
              </w:rPr>
            </w:pPr>
            <w:r>
              <w:rPr>
                <w:color w:val="auto"/>
                <w:kern w:val="2"/>
                <w:u w:val="single"/>
              </w:rPr>
              <w:t>类别</w:t>
            </w:r>
          </w:p>
        </w:tc>
        <w:tc>
          <w:tcPr>
            <w:tcW w:w="1278" w:type="dxa"/>
            <w:vAlign w:val="center"/>
          </w:tcPr>
          <w:p>
            <w:pPr>
              <w:pStyle w:val="14"/>
              <w:rPr>
                <w:color w:val="auto"/>
                <w:kern w:val="2"/>
                <w:u w:val="single"/>
              </w:rPr>
            </w:pPr>
            <w:r>
              <w:rPr>
                <w:color w:val="auto"/>
                <w:kern w:val="2"/>
                <w:u w:val="single"/>
              </w:rPr>
              <w:t>验收对象</w:t>
            </w:r>
          </w:p>
        </w:tc>
        <w:tc>
          <w:tcPr>
            <w:tcW w:w="1417" w:type="dxa"/>
            <w:vAlign w:val="center"/>
          </w:tcPr>
          <w:p>
            <w:pPr>
              <w:pStyle w:val="14"/>
              <w:rPr>
                <w:color w:val="auto"/>
                <w:kern w:val="2"/>
                <w:u w:val="single"/>
              </w:rPr>
            </w:pPr>
            <w:r>
              <w:rPr>
                <w:color w:val="auto"/>
                <w:kern w:val="2"/>
                <w:u w:val="single"/>
              </w:rPr>
              <w:t>污染因子</w:t>
            </w:r>
          </w:p>
        </w:tc>
        <w:tc>
          <w:tcPr>
            <w:tcW w:w="7654" w:type="dxa"/>
            <w:vAlign w:val="center"/>
          </w:tcPr>
          <w:p>
            <w:pPr>
              <w:pStyle w:val="14"/>
              <w:rPr>
                <w:color w:val="auto"/>
                <w:kern w:val="2"/>
                <w:u w:val="single"/>
              </w:rPr>
            </w:pPr>
            <w:r>
              <w:rPr>
                <w:color w:val="auto"/>
                <w:kern w:val="2"/>
                <w:u w:val="single"/>
              </w:rPr>
              <w:t>治理措施</w:t>
            </w:r>
          </w:p>
        </w:tc>
        <w:tc>
          <w:tcPr>
            <w:tcW w:w="2866" w:type="dxa"/>
            <w:vAlign w:val="center"/>
          </w:tcPr>
          <w:p>
            <w:pPr>
              <w:pStyle w:val="14"/>
              <w:rPr>
                <w:color w:val="auto"/>
                <w:kern w:val="2"/>
                <w:u w:val="single"/>
              </w:rPr>
            </w:pPr>
            <w:r>
              <w:rPr>
                <w:color w:val="auto"/>
                <w:kern w:val="2"/>
                <w:u w:val="single"/>
              </w:rPr>
              <w:t>处理效果、执行标准或拟达要求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restart"/>
            <w:vAlign w:val="center"/>
          </w:tcPr>
          <w:p>
            <w:pPr>
              <w:pStyle w:val="14"/>
              <w:rPr>
                <w:b/>
                <w:color w:val="auto"/>
                <w:kern w:val="2"/>
                <w:u w:val="single"/>
              </w:rPr>
            </w:pPr>
            <w:r>
              <w:rPr>
                <w:color w:val="auto"/>
                <w:kern w:val="2"/>
                <w:u w:val="single"/>
              </w:rPr>
              <w:t>废气</w:t>
            </w:r>
          </w:p>
        </w:tc>
        <w:tc>
          <w:tcPr>
            <w:tcW w:w="1278" w:type="dxa"/>
            <w:vAlign w:val="center"/>
          </w:tcPr>
          <w:p>
            <w:pPr>
              <w:pStyle w:val="14"/>
              <w:rPr>
                <w:b/>
                <w:color w:val="auto"/>
                <w:kern w:val="2"/>
                <w:u w:val="single"/>
              </w:rPr>
            </w:pPr>
            <w:r>
              <w:rPr>
                <w:color w:val="auto"/>
                <w:kern w:val="2"/>
                <w:u w:val="single"/>
              </w:rPr>
              <w:t>原料堆场</w:t>
            </w:r>
          </w:p>
        </w:tc>
        <w:tc>
          <w:tcPr>
            <w:tcW w:w="1417" w:type="dxa"/>
            <w:vAlign w:val="center"/>
          </w:tcPr>
          <w:p>
            <w:pPr>
              <w:pStyle w:val="14"/>
              <w:rPr>
                <w:b/>
                <w:color w:val="auto"/>
                <w:kern w:val="2"/>
                <w:u w:val="single"/>
              </w:rPr>
            </w:pPr>
            <w:r>
              <w:rPr>
                <w:color w:val="auto"/>
                <w:kern w:val="2"/>
                <w:u w:val="single"/>
              </w:rPr>
              <w:t>粉尘</w:t>
            </w:r>
          </w:p>
        </w:tc>
        <w:tc>
          <w:tcPr>
            <w:tcW w:w="7654" w:type="dxa"/>
            <w:vAlign w:val="center"/>
          </w:tcPr>
          <w:p>
            <w:pPr>
              <w:pStyle w:val="14"/>
              <w:rPr>
                <w:b/>
                <w:color w:val="auto"/>
                <w:kern w:val="2"/>
                <w:u w:val="single"/>
              </w:rPr>
            </w:pPr>
            <w:r>
              <w:rPr>
                <w:color w:val="auto"/>
                <w:u w:val="single"/>
              </w:rPr>
              <w:t>对原料堆存、装卸等设洒水降尘措施；对原料场全部设置为四面封闭结构（留出入</w:t>
            </w:r>
            <w:r>
              <w:rPr>
                <w:color w:val="auto"/>
                <w:kern w:val="2"/>
                <w:u w:val="single"/>
              </w:rPr>
              <w:t>口），设置顶棚，减少扬尘污染</w:t>
            </w:r>
          </w:p>
        </w:tc>
        <w:tc>
          <w:tcPr>
            <w:tcW w:w="2866" w:type="dxa"/>
            <w:vMerge w:val="restart"/>
            <w:vAlign w:val="center"/>
          </w:tcPr>
          <w:p>
            <w:pPr>
              <w:autoSpaceDE w:val="0"/>
              <w:autoSpaceDN w:val="0"/>
              <w:adjustRightInd w:val="0"/>
              <w:spacing w:line="240" w:lineRule="auto"/>
              <w:ind w:firstLine="0" w:firstLineChars="0"/>
              <w:jc w:val="center"/>
              <w:rPr>
                <w:rFonts w:cs="Times New Roman"/>
                <w:sz w:val="21"/>
                <w:szCs w:val="21"/>
                <w:u w:val="single"/>
              </w:rPr>
            </w:pPr>
            <w:r>
              <w:rPr>
                <w:rFonts w:cs="Times New Roman"/>
                <w:kern w:val="0"/>
                <w:sz w:val="21"/>
                <w:szCs w:val="21"/>
                <w:u w:val="single"/>
              </w:rPr>
              <w:t>《陶瓷工业污染物排放标准》（GB25464-2010）标准及修改单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Merge w:val="restart"/>
            <w:vAlign w:val="center"/>
          </w:tcPr>
          <w:p>
            <w:pPr>
              <w:pStyle w:val="14"/>
              <w:rPr>
                <w:b/>
                <w:color w:val="auto"/>
                <w:kern w:val="2"/>
                <w:u w:val="single"/>
              </w:rPr>
            </w:pPr>
            <w:r>
              <w:rPr>
                <w:color w:val="auto"/>
                <w:kern w:val="2"/>
                <w:u w:val="single"/>
              </w:rPr>
              <w:t>原料制备</w:t>
            </w:r>
          </w:p>
        </w:tc>
        <w:tc>
          <w:tcPr>
            <w:tcW w:w="1417"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粉尘</w:t>
            </w:r>
          </w:p>
        </w:tc>
        <w:tc>
          <w:tcPr>
            <w:tcW w:w="7654" w:type="dxa"/>
            <w:vAlign w:val="center"/>
          </w:tcPr>
          <w:p>
            <w:pPr>
              <w:autoSpaceDE w:val="0"/>
              <w:autoSpaceDN w:val="0"/>
              <w:adjustRightInd w:val="0"/>
              <w:spacing w:line="240" w:lineRule="auto"/>
              <w:ind w:firstLine="0" w:firstLineChars="0"/>
              <w:jc w:val="center"/>
              <w:rPr>
                <w:rFonts w:cs="Times New Roman"/>
                <w:sz w:val="21"/>
                <w:szCs w:val="21"/>
                <w:u w:val="single"/>
              </w:rPr>
            </w:pPr>
            <w:r>
              <w:rPr>
                <w:rFonts w:cs="Times New Roman"/>
                <w:kern w:val="0"/>
                <w:sz w:val="21"/>
                <w:szCs w:val="21"/>
                <w:u w:val="single"/>
              </w:rPr>
              <w:t>对各喷雾干燥塔分别设布袋除尘器处理，热风炉设置旋风除尘设施</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Merge w:val="continue"/>
            <w:vAlign w:val="center"/>
          </w:tcPr>
          <w:p>
            <w:pPr>
              <w:pStyle w:val="14"/>
              <w:rPr>
                <w:b/>
                <w:color w:val="auto"/>
                <w:kern w:val="2"/>
                <w:u w:val="single"/>
              </w:rPr>
            </w:pPr>
          </w:p>
        </w:tc>
        <w:tc>
          <w:tcPr>
            <w:tcW w:w="1417" w:type="dxa"/>
            <w:vAlign w:val="center"/>
          </w:tcPr>
          <w:p>
            <w:pPr>
              <w:autoSpaceDE w:val="0"/>
              <w:autoSpaceDN w:val="0"/>
              <w:adjustRightInd w:val="0"/>
              <w:spacing w:line="240" w:lineRule="auto"/>
              <w:ind w:firstLine="0" w:firstLineChars="0"/>
              <w:jc w:val="center"/>
              <w:rPr>
                <w:rFonts w:cs="Times New Roman"/>
                <w:sz w:val="21"/>
                <w:szCs w:val="21"/>
                <w:u w:val="single"/>
              </w:rPr>
            </w:pPr>
            <w:r>
              <w:rPr>
                <w:rFonts w:cs="Times New Roman"/>
                <w:kern w:val="0"/>
                <w:sz w:val="21"/>
                <w:szCs w:val="21"/>
                <w:u w:val="single"/>
              </w:rPr>
              <w:t>粉尘、SO</w:t>
            </w:r>
            <w:r>
              <w:rPr>
                <w:rFonts w:cs="Times New Roman"/>
                <w:kern w:val="0"/>
                <w:sz w:val="21"/>
                <w:szCs w:val="21"/>
                <w:u w:val="single"/>
                <w:vertAlign w:val="subscript"/>
              </w:rPr>
              <w:t>2</w:t>
            </w:r>
            <w:r>
              <w:rPr>
                <w:rFonts w:cs="Times New Roman"/>
                <w:kern w:val="0"/>
                <w:sz w:val="21"/>
                <w:szCs w:val="21"/>
                <w:u w:val="single"/>
              </w:rPr>
              <w:t>、NO</w:t>
            </w:r>
            <w:r>
              <w:rPr>
                <w:rFonts w:cs="Times New Roman"/>
                <w:kern w:val="0"/>
                <w:sz w:val="21"/>
                <w:szCs w:val="21"/>
                <w:u w:val="single"/>
                <w:vertAlign w:val="subscript"/>
              </w:rPr>
              <w:t>X</w:t>
            </w:r>
            <w:r>
              <w:rPr>
                <w:rFonts w:cs="Times New Roman"/>
                <w:kern w:val="0"/>
                <w:sz w:val="21"/>
                <w:szCs w:val="21"/>
                <w:u w:val="single"/>
              </w:rPr>
              <w:t>、氟化物</w:t>
            </w:r>
          </w:p>
        </w:tc>
        <w:tc>
          <w:tcPr>
            <w:tcW w:w="7654" w:type="dxa"/>
            <w:vAlign w:val="center"/>
          </w:tcPr>
          <w:p>
            <w:pPr>
              <w:pStyle w:val="43"/>
              <w:snapToGrid w:val="0"/>
              <w:spacing w:after="0"/>
              <w:ind w:firstLine="0" w:firstLineChars="0"/>
              <w:jc w:val="center"/>
              <w:rPr>
                <w:rFonts w:ascii="Times New Roman" w:hAnsi="Times New Roman"/>
                <w:sz w:val="21"/>
                <w:szCs w:val="21"/>
                <w:u w:val="single"/>
              </w:rPr>
            </w:pPr>
            <w:r>
              <w:rPr>
                <w:rFonts w:ascii="Times New Roman" w:hAnsi="Times New Roman"/>
                <w:kern w:val="2"/>
                <w:sz w:val="21"/>
                <w:szCs w:val="21"/>
                <w:u w:val="single"/>
              </w:rPr>
              <w:t>1号、2号生产线喷雾干燥塔+窑炉：热风炉热烟气经SNCR脱硝</w:t>
            </w:r>
            <w:r>
              <w:rPr>
                <w:rFonts w:hint="eastAsia" w:ascii="Times New Roman" w:hAnsi="Times New Roman"/>
                <w:kern w:val="2"/>
                <w:sz w:val="21"/>
                <w:szCs w:val="21"/>
                <w:u w:val="single"/>
              </w:rPr>
              <w:t>+SCR脱硝</w:t>
            </w:r>
            <w:r>
              <w:rPr>
                <w:rFonts w:ascii="Times New Roman" w:hAnsi="Times New Roman"/>
                <w:kern w:val="2"/>
                <w:sz w:val="21"/>
                <w:szCs w:val="21"/>
                <w:u w:val="single"/>
              </w:rPr>
              <w:t>后再进入喷雾干燥塔，喷雾干燥塔烟气通过经“</w:t>
            </w:r>
            <w:r>
              <w:rPr>
                <w:rFonts w:hint="eastAsia" w:ascii="Times New Roman" w:hAnsi="Times New Roman"/>
                <w:kern w:val="2"/>
                <w:sz w:val="21"/>
                <w:szCs w:val="21"/>
                <w:u w:val="single"/>
              </w:rPr>
              <w:t>石灰-石膏脱硫</w:t>
            </w:r>
            <w:r>
              <w:rPr>
                <w:rFonts w:ascii="Times New Roman" w:hAnsi="Times New Roman"/>
                <w:kern w:val="2"/>
                <w:sz w:val="21"/>
                <w:szCs w:val="21"/>
                <w:u w:val="single"/>
              </w:rPr>
              <w:t>+袋式除尘”工艺处理达标后经35m排气筒排放，共设置4个排气筒</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粉料仓+成型车间</w:t>
            </w:r>
          </w:p>
        </w:tc>
        <w:tc>
          <w:tcPr>
            <w:tcW w:w="1417"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粉尘</w:t>
            </w:r>
          </w:p>
        </w:tc>
        <w:tc>
          <w:tcPr>
            <w:tcW w:w="7654" w:type="dxa"/>
            <w:vAlign w:val="center"/>
          </w:tcPr>
          <w:p>
            <w:pPr>
              <w:autoSpaceDE w:val="0"/>
              <w:autoSpaceDN w:val="0"/>
              <w:adjustRightInd w:val="0"/>
              <w:spacing w:line="240" w:lineRule="auto"/>
              <w:ind w:firstLine="0" w:firstLineChars="0"/>
              <w:rPr>
                <w:rFonts w:cs="Times New Roman"/>
                <w:sz w:val="21"/>
                <w:szCs w:val="21"/>
                <w:u w:val="single"/>
              </w:rPr>
            </w:pPr>
            <w:r>
              <w:rPr>
                <w:rFonts w:cs="Times New Roman"/>
                <w:sz w:val="21"/>
                <w:szCs w:val="21"/>
                <w:u w:val="single"/>
              </w:rPr>
              <w:t>采用袋式除尘器处理后15m排气筒排放，共计</w:t>
            </w:r>
            <w:r>
              <w:rPr>
                <w:rFonts w:hint="eastAsia" w:cs="Times New Roman"/>
                <w:sz w:val="21"/>
                <w:szCs w:val="21"/>
                <w:u w:val="single"/>
              </w:rPr>
              <w:t>4</w:t>
            </w:r>
            <w:r>
              <w:rPr>
                <w:rFonts w:cs="Times New Roman"/>
                <w:sz w:val="21"/>
                <w:szCs w:val="21"/>
                <w:u w:val="single"/>
              </w:rPr>
              <w:t>个排气筒；</w:t>
            </w:r>
          </w:p>
        </w:tc>
        <w:tc>
          <w:tcPr>
            <w:tcW w:w="2866" w:type="dxa"/>
            <w:vAlign w:val="center"/>
          </w:tcPr>
          <w:p>
            <w:pPr>
              <w:pStyle w:val="14"/>
              <w:rPr>
                <w:b/>
                <w:color w:val="auto"/>
                <w:kern w:val="2"/>
                <w:u w:val="single"/>
              </w:rPr>
            </w:pPr>
            <w:r>
              <w:rPr>
                <w:color w:val="auto"/>
                <w:u w:val="single"/>
              </w:rPr>
              <w:t>《大气污染物综合排放标准》（GB16297-1996）</w:t>
            </w:r>
            <w:r>
              <w:rPr>
                <w:color w:val="auto"/>
                <w:kern w:val="2"/>
                <w:u w:val="single"/>
              </w:rPr>
              <w:t>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烧成窑</w:t>
            </w:r>
          </w:p>
        </w:tc>
        <w:tc>
          <w:tcPr>
            <w:tcW w:w="1417" w:type="dxa"/>
            <w:vAlign w:val="center"/>
          </w:tcPr>
          <w:p>
            <w:pPr>
              <w:spacing w:line="240" w:lineRule="auto"/>
              <w:ind w:firstLine="0" w:firstLineChars="0"/>
              <w:jc w:val="center"/>
              <w:rPr>
                <w:rFonts w:cs="Times New Roman"/>
                <w:sz w:val="21"/>
                <w:szCs w:val="21"/>
                <w:u w:val="single"/>
              </w:rPr>
            </w:pPr>
            <w:r>
              <w:rPr>
                <w:rFonts w:cs="Times New Roman"/>
                <w:kern w:val="0"/>
                <w:sz w:val="21"/>
                <w:szCs w:val="21"/>
                <w:u w:val="single"/>
              </w:rPr>
              <w:t>粉尘、SO</w:t>
            </w:r>
            <w:r>
              <w:rPr>
                <w:rFonts w:cs="Times New Roman"/>
                <w:kern w:val="0"/>
                <w:sz w:val="21"/>
                <w:szCs w:val="21"/>
                <w:u w:val="single"/>
                <w:vertAlign w:val="subscript"/>
              </w:rPr>
              <w:t>2</w:t>
            </w:r>
            <w:r>
              <w:rPr>
                <w:rFonts w:cs="Times New Roman"/>
                <w:kern w:val="0"/>
                <w:sz w:val="21"/>
                <w:szCs w:val="21"/>
                <w:u w:val="single"/>
              </w:rPr>
              <w:t>、NO</w:t>
            </w:r>
            <w:r>
              <w:rPr>
                <w:rFonts w:cs="Times New Roman"/>
                <w:kern w:val="0"/>
                <w:sz w:val="21"/>
                <w:szCs w:val="21"/>
                <w:u w:val="single"/>
                <w:vertAlign w:val="subscript"/>
              </w:rPr>
              <w:t>X</w:t>
            </w:r>
            <w:r>
              <w:rPr>
                <w:rFonts w:cs="Times New Roman"/>
                <w:kern w:val="0"/>
                <w:sz w:val="21"/>
                <w:szCs w:val="21"/>
                <w:u w:val="single"/>
              </w:rPr>
              <w:t>、氟化物</w:t>
            </w:r>
          </w:p>
        </w:tc>
        <w:tc>
          <w:tcPr>
            <w:tcW w:w="7654" w:type="dxa"/>
            <w:vAlign w:val="center"/>
          </w:tcPr>
          <w:p>
            <w:pPr>
              <w:pStyle w:val="43"/>
              <w:snapToGrid w:val="0"/>
              <w:spacing w:after="0"/>
              <w:ind w:firstLine="0" w:firstLineChars="0"/>
              <w:jc w:val="center"/>
              <w:rPr>
                <w:rFonts w:ascii="Times New Roman" w:hAnsi="Times New Roman"/>
                <w:kern w:val="2"/>
                <w:sz w:val="21"/>
                <w:szCs w:val="21"/>
                <w:u w:val="single"/>
              </w:rPr>
            </w:pPr>
            <w:r>
              <w:rPr>
                <w:rFonts w:hint="eastAsia" w:ascii="Times New Roman" w:hAnsi="Times New Roman"/>
                <w:kern w:val="2"/>
                <w:sz w:val="21"/>
                <w:szCs w:val="21"/>
                <w:u w:val="single"/>
              </w:rPr>
              <w:t>窑尾要求采用SNCR脱硝+SCR脱硝+石灰-石膏脱硫</w:t>
            </w:r>
            <w:r>
              <w:rPr>
                <w:rFonts w:ascii="Times New Roman" w:hAnsi="Times New Roman"/>
                <w:kern w:val="2"/>
                <w:sz w:val="21"/>
                <w:szCs w:val="21"/>
                <w:u w:val="single"/>
              </w:rPr>
              <w:t>+袋式除尘处理达标经35m排气筒排放，共计2个排气筒</w:t>
            </w:r>
          </w:p>
        </w:tc>
        <w:tc>
          <w:tcPr>
            <w:tcW w:w="2866" w:type="dxa"/>
            <w:vAlign w:val="center"/>
          </w:tcPr>
          <w:p>
            <w:pPr>
              <w:pStyle w:val="14"/>
              <w:rPr>
                <w:b/>
                <w:color w:val="auto"/>
                <w:kern w:val="2"/>
                <w:u w:val="single"/>
              </w:rPr>
            </w:pPr>
            <w:r>
              <w:rPr>
                <w:color w:val="auto"/>
                <w:kern w:val="2"/>
                <w:u w:val="single"/>
              </w:rPr>
              <w:t>《陶瓷工业污染物排放标准》（GB25464-2010）标准及修改单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印刷机</w:t>
            </w:r>
          </w:p>
        </w:tc>
        <w:tc>
          <w:tcPr>
            <w:tcW w:w="1417"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VOCs</w:t>
            </w:r>
          </w:p>
        </w:tc>
        <w:tc>
          <w:tcPr>
            <w:tcW w:w="7654" w:type="dxa"/>
            <w:vAlign w:val="center"/>
          </w:tcPr>
          <w:p>
            <w:pPr>
              <w:pStyle w:val="43"/>
              <w:snapToGrid w:val="0"/>
              <w:spacing w:after="0"/>
              <w:ind w:firstLine="0" w:firstLineChars="0"/>
              <w:jc w:val="center"/>
              <w:rPr>
                <w:rFonts w:ascii="Times New Roman" w:hAnsi="Times New Roman"/>
                <w:kern w:val="2"/>
                <w:sz w:val="21"/>
                <w:szCs w:val="21"/>
                <w:u w:val="single"/>
              </w:rPr>
            </w:pPr>
            <w:r>
              <w:rPr>
                <w:rFonts w:hint="eastAsia" w:ascii="Times New Roman" w:hAnsi="Times New Roman"/>
                <w:sz w:val="21"/>
                <w:szCs w:val="21"/>
                <w:u w:val="single"/>
              </w:rPr>
              <w:t>通入喷雾干燥塔中燃烧处理后与喷雾干燥废气一并排放</w:t>
            </w:r>
          </w:p>
        </w:tc>
        <w:tc>
          <w:tcPr>
            <w:tcW w:w="2866" w:type="dxa"/>
            <w:vAlign w:val="center"/>
          </w:tcPr>
          <w:p>
            <w:pPr>
              <w:pStyle w:val="14"/>
              <w:rPr>
                <w:b/>
                <w:color w:val="auto"/>
                <w:u w:val="single"/>
              </w:rPr>
            </w:pPr>
            <w:r>
              <w:rPr>
                <w:color w:val="auto"/>
                <w:u w:val="single"/>
              </w:rPr>
              <w:t>《</w:t>
            </w:r>
            <w:r>
              <w:fldChar w:fldCharType="begin"/>
            </w:r>
            <w:r>
              <w:instrText xml:space="preserve"> HYPERLINK "http://www.csx.gov.cn/hbj/zwgk18/tzgg69/2319569/2018072016325711809.pdf" </w:instrText>
            </w:r>
            <w:r>
              <w:fldChar w:fldCharType="separate"/>
            </w:r>
            <w:r>
              <w:rPr>
                <w:color w:val="auto"/>
                <w:u w:val="single"/>
              </w:rPr>
              <w:t>湖南省印刷业挥发性有机物排放标准</w:t>
            </w:r>
            <w:r>
              <w:rPr>
                <w:color w:val="auto"/>
                <w:u w:val="single"/>
              </w:rPr>
              <w:fldChar w:fldCharType="end"/>
            </w:r>
            <w:r>
              <w:rPr>
                <w:color w:val="auto"/>
                <w:u w:val="single"/>
              </w:rPr>
              <w:t>》（DB43-1357—2017）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restart"/>
            <w:vAlign w:val="center"/>
          </w:tcPr>
          <w:p>
            <w:pPr>
              <w:pStyle w:val="14"/>
              <w:rPr>
                <w:b/>
                <w:color w:val="auto"/>
                <w:kern w:val="2"/>
                <w:u w:val="single"/>
              </w:rPr>
            </w:pPr>
            <w:r>
              <w:rPr>
                <w:color w:val="auto"/>
                <w:kern w:val="2"/>
                <w:u w:val="single"/>
              </w:rPr>
              <w:t>废水</w:t>
            </w: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生活污水</w:t>
            </w:r>
          </w:p>
        </w:tc>
        <w:tc>
          <w:tcPr>
            <w:tcW w:w="1417"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COD、BOD、氨氮、SS</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生活污水处理站处理工艺采用AO 生物处理的工艺</w:t>
            </w:r>
          </w:p>
        </w:tc>
        <w:tc>
          <w:tcPr>
            <w:tcW w:w="2866" w:type="dxa"/>
            <w:vAlign w:val="center"/>
          </w:tcPr>
          <w:p>
            <w:pPr>
              <w:pStyle w:val="14"/>
              <w:rPr>
                <w:b/>
                <w:color w:val="auto"/>
                <w:kern w:val="2"/>
                <w:u w:val="single"/>
              </w:rPr>
            </w:pPr>
            <w:r>
              <w:rPr>
                <w:color w:val="auto"/>
                <w:u w:val="single"/>
              </w:rPr>
              <w:t>经生活污水处理站处理后</w:t>
            </w:r>
            <w:r>
              <w:rPr>
                <w:rFonts w:hint="eastAsia"/>
                <w:color w:val="auto"/>
                <w:u w:val="single"/>
              </w:rPr>
              <w:t>排入白象河，远期排入污水处理厂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生产废水</w:t>
            </w:r>
          </w:p>
        </w:tc>
        <w:tc>
          <w:tcPr>
            <w:tcW w:w="1417" w:type="dxa"/>
            <w:vAlign w:val="center"/>
          </w:tcPr>
          <w:p>
            <w:pPr>
              <w:pStyle w:val="14"/>
              <w:rPr>
                <w:b/>
                <w:color w:val="auto"/>
                <w:kern w:val="2"/>
                <w:u w:val="single"/>
              </w:rPr>
            </w:pPr>
            <w:r>
              <w:rPr>
                <w:color w:val="auto"/>
                <w:kern w:val="2"/>
                <w:u w:val="single"/>
              </w:rPr>
              <w:t>SS</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回用管网</w:t>
            </w:r>
          </w:p>
        </w:tc>
        <w:tc>
          <w:tcPr>
            <w:tcW w:w="2866" w:type="dxa"/>
            <w:vMerge w:val="restart"/>
            <w:vAlign w:val="center"/>
          </w:tcPr>
          <w:p>
            <w:pPr>
              <w:pStyle w:val="14"/>
              <w:rPr>
                <w:b/>
                <w:color w:val="auto"/>
                <w:kern w:val="2"/>
                <w:u w:val="single"/>
              </w:rPr>
            </w:pPr>
            <w:r>
              <w:rPr>
                <w:color w:val="auto"/>
                <w:u w:val="single"/>
              </w:rPr>
              <w:t>全部回用，不外排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初期雨水</w:t>
            </w:r>
          </w:p>
        </w:tc>
        <w:tc>
          <w:tcPr>
            <w:tcW w:w="1417" w:type="dxa"/>
            <w:vAlign w:val="center"/>
          </w:tcPr>
          <w:p>
            <w:pPr>
              <w:pStyle w:val="14"/>
              <w:rPr>
                <w:b/>
                <w:color w:val="auto"/>
                <w:kern w:val="2"/>
                <w:u w:val="single"/>
              </w:rPr>
            </w:pPr>
            <w:r>
              <w:rPr>
                <w:color w:val="auto"/>
                <w:kern w:val="2"/>
                <w:u w:val="single"/>
              </w:rPr>
              <w:t>SS</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bCs/>
                <w:sz w:val="21"/>
                <w:szCs w:val="21"/>
                <w:u w:val="single"/>
              </w:rPr>
              <w:t>初期雨水收集池</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二级絮凝沉淀池</w:t>
            </w:r>
          </w:p>
        </w:tc>
        <w:tc>
          <w:tcPr>
            <w:tcW w:w="1417" w:type="dxa"/>
            <w:vAlign w:val="center"/>
          </w:tcPr>
          <w:p>
            <w:pPr>
              <w:pStyle w:val="14"/>
              <w:rPr>
                <w:b/>
                <w:color w:val="auto"/>
                <w:kern w:val="2"/>
                <w:u w:val="single"/>
              </w:rPr>
            </w:pPr>
            <w:r>
              <w:rPr>
                <w:color w:val="auto"/>
                <w:kern w:val="2"/>
                <w:u w:val="single"/>
              </w:rPr>
              <w:t>/</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2个3522</w:t>
            </w:r>
            <w:r>
              <w:rPr>
                <w:rFonts w:cs="Times New Roman"/>
                <w:bCs/>
                <w:kern w:val="0"/>
                <w:sz w:val="21"/>
                <w:szCs w:val="21"/>
                <w:u w:val="single"/>
              </w:rPr>
              <w:t>m</w:t>
            </w:r>
            <w:r>
              <w:rPr>
                <w:rFonts w:cs="Times New Roman"/>
                <w:bCs/>
                <w:kern w:val="0"/>
                <w:sz w:val="21"/>
                <w:szCs w:val="21"/>
                <w:u w:val="single"/>
                <w:vertAlign w:val="superscript"/>
              </w:rPr>
              <w:t>3</w:t>
            </w:r>
            <w:r>
              <w:rPr>
                <w:rFonts w:cs="Times New Roman"/>
                <w:bCs/>
                <w:kern w:val="0"/>
                <w:sz w:val="21"/>
                <w:szCs w:val="21"/>
                <w:u w:val="single"/>
              </w:rPr>
              <w:t>、1个1388m</w:t>
            </w:r>
            <w:r>
              <w:rPr>
                <w:rFonts w:cs="Times New Roman"/>
                <w:bCs/>
                <w:kern w:val="0"/>
                <w:sz w:val="21"/>
                <w:szCs w:val="21"/>
                <w:u w:val="single"/>
                <w:vertAlign w:val="superscript"/>
              </w:rPr>
              <w:t>3</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脱硫塔循环水池</w:t>
            </w:r>
          </w:p>
        </w:tc>
        <w:tc>
          <w:tcPr>
            <w:tcW w:w="1417" w:type="dxa"/>
            <w:vAlign w:val="center"/>
          </w:tcPr>
          <w:p>
            <w:pPr>
              <w:pStyle w:val="14"/>
              <w:rPr>
                <w:b/>
                <w:color w:val="auto"/>
                <w:kern w:val="2"/>
                <w:u w:val="single"/>
              </w:rPr>
            </w:pPr>
            <w:r>
              <w:rPr>
                <w:color w:val="auto"/>
                <w:kern w:val="2"/>
                <w:u w:val="single"/>
              </w:rPr>
              <w:t>/</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4个</w:t>
            </w:r>
            <w:r>
              <w:rPr>
                <w:rFonts w:cs="Times New Roman"/>
                <w:bCs/>
                <w:sz w:val="21"/>
                <w:szCs w:val="21"/>
                <w:u w:val="single"/>
              </w:rPr>
              <w:t>600m</w:t>
            </w:r>
            <w:r>
              <w:rPr>
                <w:rFonts w:cs="Times New Roman"/>
                <w:bCs/>
                <w:sz w:val="21"/>
                <w:szCs w:val="21"/>
                <w:u w:val="single"/>
                <w:vertAlign w:val="superscript"/>
              </w:rPr>
              <w:t>3</w:t>
            </w:r>
            <w:r>
              <w:rPr>
                <w:rFonts w:cs="Times New Roman"/>
                <w:bCs/>
                <w:sz w:val="21"/>
                <w:szCs w:val="21"/>
                <w:u w:val="single"/>
              </w:rPr>
              <w:t>的脱硫废水池</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循环冷却水池</w:t>
            </w:r>
          </w:p>
        </w:tc>
        <w:tc>
          <w:tcPr>
            <w:tcW w:w="1417" w:type="dxa"/>
            <w:vAlign w:val="center"/>
          </w:tcPr>
          <w:p>
            <w:pPr>
              <w:pStyle w:val="14"/>
              <w:rPr>
                <w:b/>
                <w:color w:val="auto"/>
                <w:kern w:val="2"/>
                <w:u w:val="single"/>
              </w:rPr>
            </w:pPr>
            <w:r>
              <w:rPr>
                <w:color w:val="auto"/>
                <w:kern w:val="2"/>
                <w:u w:val="single"/>
              </w:rPr>
              <w:t>/</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bCs/>
                <w:sz w:val="21"/>
                <w:szCs w:val="21"/>
                <w:u w:val="single"/>
              </w:rPr>
              <w:t>2个448m</w:t>
            </w:r>
            <w:r>
              <w:rPr>
                <w:rFonts w:cs="Times New Roman"/>
                <w:bCs/>
                <w:sz w:val="21"/>
                <w:szCs w:val="21"/>
                <w:u w:val="single"/>
                <w:vertAlign w:val="superscript"/>
              </w:rPr>
              <w:t>3</w:t>
            </w:r>
            <w:r>
              <w:rPr>
                <w:rFonts w:cs="Times New Roman"/>
                <w:bCs/>
                <w:sz w:val="21"/>
                <w:szCs w:val="21"/>
                <w:u w:val="single"/>
              </w:rPr>
              <w:t>的设备间接冷却循环水池</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1278"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雨污分流</w:t>
            </w:r>
          </w:p>
        </w:tc>
        <w:tc>
          <w:tcPr>
            <w:tcW w:w="1417" w:type="dxa"/>
            <w:vAlign w:val="center"/>
          </w:tcPr>
          <w:p>
            <w:pPr>
              <w:spacing w:line="240" w:lineRule="auto"/>
              <w:ind w:firstLine="0" w:firstLineChars="0"/>
              <w:jc w:val="center"/>
              <w:rPr>
                <w:rFonts w:cs="Times New Roman"/>
                <w:sz w:val="21"/>
                <w:szCs w:val="21"/>
                <w:u w:val="single"/>
              </w:rPr>
            </w:pPr>
            <w:r>
              <w:rPr>
                <w:rFonts w:cs="Times New Roman"/>
                <w:sz w:val="21"/>
                <w:szCs w:val="21"/>
                <w:u w:val="single"/>
              </w:rPr>
              <w:t>SS</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雨污分流系统</w:t>
            </w:r>
          </w:p>
        </w:tc>
        <w:tc>
          <w:tcPr>
            <w:tcW w:w="2866" w:type="dxa"/>
            <w:vMerge w:val="continue"/>
            <w:vAlign w:val="center"/>
          </w:tcPr>
          <w:p>
            <w:pPr>
              <w:pStyle w:val="14"/>
              <w:rPr>
                <w:b/>
                <w:color w:val="auto"/>
                <w:kern w:val="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restart"/>
            <w:vAlign w:val="center"/>
          </w:tcPr>
          <w:p>
            <w:pPr>
              <w:pStyle w:val="14"/>
              <w:rPr>
                <w:b/>
                <w:color w:val="auto"/>
                <w:kern w:val="2"/>
                <w:u w:val="single"/>
              </w:rPr>
            </w:pPr>
            <w:r>
              <w:rPr>
                <w:color w:val="auto"/>
                <w:kern w:val="2"/>
                <w:u w:val="single"/>
              </w:rPr>
              <w:t>固废</w:t>
            </w:r>
          </w:p>
        </w:tc>
        <w:tc>
          <w:tcPr>
            <w:tcW w:w="2695" w:type="dxa"/>
            <w:gridSpan w:val="2"/>
            <w:vAlign w:val="center"/>
          </w:tcPr>
          <w:p>
            <w:pPr>
              <w:spacing w:line="240" w:lineRule="auto"/>
              <w:ind w:firstLine="0" w:firstLineChars="0"/>
              <w:jc w:val="center"/>
              <w:rPr>
                <w:rFonts w:cs="Times New Roman"/>
                <w:sz w:val="21"/>
                <w:szCs w:val="21"/>
                <w:u w:val="single"/>
              </w:rPr>
            </w:pPr>
            <w:r>
              <w:rPr>
                <w:rFonts w:cs="Times New Roman"/>
                <w:sz w:val="21"/>
                <w:szCs w:val="21"/>
                <w:u w:val="single"/>
              </w:rPr>
              <w:t>一般固废</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收集</w:t>
            </w:r>
          </w:p>
        </w:tc>
        <w:tc>
          <w:tcPr>
            <w:tcW w:w="2866" w:type="dxa"/>
            <w:vAlign w:val="center"/>
          </w:tcPr>
          <w:p>
            <w:pPr>
              <w:pStyle w:val="14"/>
              <w:rPr>
                <w:b/>
                <w:color w:val="auto"/>
                <w:kern w:val="2"/>
                <w:u w:val="single"/>
              </w:rPr>
            </w:pPr>
            <w:r>
              <w:rPr>
                <w:color w:val="auto"/>
                <w:kern w:val="2"/>
                <w:u w:val="single"/>
              </w:rPr>
              <w:t>分类收集，合理处置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2695" w:type="dxa"/>
            <w:gridSpan w:val="2"/>
            <w:vAlign w:val="center"/>
          </w:tcPr>
          <w:p>
            <w:pPr>
              <w:spacing w:line="240" w:lineRule="auto"/>
              <w:ind w:firstLine="0" w:firstLineChars="0"/>
              <w:jc w:val="center"/>
              <w:rPr>
                <w:rFonts w:cs="Times New Roman"/>
                <w:sz w:val="21"/>
                <w:szCs w:val="21"/>
                <w:u w:val="single"/>
              </w:rPr>
            </w:pPr>
            <w:r>
              <w:rPr>
                <w:rFonts w:cs="Times New Roman"/>
                <w:sz w:val="21"/>
                <w:szCs w:val="21"/>
                <w:u w:val="single"/>
              </w:rPr>
              <w:t>危险废物</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危废暂存间</w:t>
            </w:r>
            <w:r>
              <w:rPr>
                <w:rFonts w:cs="Times New Roman"/>
                <w:bCs/>
                <w:sz w:val="21"/>
                <w:szCs w:val="21"/>
                <w:u w:val="single"/>
              </w:rPr>
              <w:t>，防渗处理</w:t>
            </w:r>
          </w:p>
        </w:tc>
        <w:tc>
          <w:tcPr>
            <w:tcW w:w="2866" w:type="dxa"/>
            <w:vAlign w:val="center"/>
          </w:tcPr>
          <w:p>
            <w:pPr>
              <w:pStyle w:val="14"/>
              <w:rPr>
                <w:b/>
                <w:color w:val="auto"/>
                <w:kern w:val="2"/>
                <w:u w:val="single"/>
              </w:rPr>
            </w:pPr>
            <w:r>
              <w:rPr>
                <w:color w:val="auto"/>
                <w:kern w:val="2"/>
                <w:u w:val="single"/>
              </w:rPr>
              <w:t>委托有资质单位代为处置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Merge w:val="continue"/>
            <w:vAlign w:val="center"/>
          </w:tcPr>
          <w:p>
            <w:pPr>
              <w:pStyle w:val="14"/>
              <w:rPr>
                <w:b/>
                <w:color w:val="auto"/>
                <w:kern w:val="2"/>
                <w:u w:val="single"/>
              </w:rPr>
            </w:pPr>
          </w:p>
        </w:tc>
        <w:tc>
          <w:tcPr>
            <w:tcW w:w="2695" w:type="dxa"/>
            <w:gridSpan w:val="2"/>
            <w:vAlign w:val="center"/>
          </w:tcPr>
          <w:p>
            <w:pPr>
              <w:spacing w:line="240" w:lineRule="auto"/>
              <w:ind w:firstLine="0" w:firstLineChars="0"/>
              <w:jc w:val="center"/>
              <w:rPr>
                <w:rFonts w:cs="Times New Roman"/>
                <w:sz w:val="21"/>
                <w:szCs w:val="21"/>
                <w:u w:val="single"/>
              </w:rPr>
            </w:pPr>
            <w:r>
              <w:rPr>
                <w:rFonts w:cs="Times New Roman"/>
                <w:sz w:val="21"/>
                <w:szCs w:val="21"/>
                <w:u w:val="single"/>
              </w:rPr>
              <w:t>生活垃圾</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生活垃圾收集桶</w:t>
            </w:r>
          </w:p>
        </w:tc>
        <w:tc>
          <w:tcPr>
            <w:tcW w:w="2866" w:type="dxa"/>
            <w:vAlign w:val="center"/>
          </w:tcPr>
          <w:p>
            <w:pPr>
              <w:pStyle w:val="14"/>
              <w:rPr>
                <w:b/>
                <w:color w:val="auto"/>
                <w:kern w:val="2"/>
                <w:u w:val="single"/>
              </w:rPr>
            </w:pPr>
            <w:r>
              <w:rPr>
                <w:color w:val="auto"/>
                <w:kern w:val="2"/>
                <w:u w:val="single"/>
              </w:rPr>
              <w:t>交由环卫部门清运处置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Align w:val="center"/>
          </w:tcPr>
          <w:p>
            <w:pPr>
              <w:pStyle w:val="14"/>
              <w:rPr>
                <w:b/>
                <w:color w:val="auto"/>
                <w:kern w:val="2"/>
                <w:u w:val="single"/>
              </w:rPr>
            </w:pPr>
            <w:r>
              <w:rPr>
                <w:color w:val="auto"/>
                <w:kern w:val="2"/>
                <w:u w:val="single"/>
              </w:rPr>
              <w:t>噪声</w:t>
            </w:r>
          </w:p>
        </w:tc>
        <w:tc>
          <w:tcPr>
            <w:tcW w:w="2695" w:type="dxa"/>
            <w:gridSpan w:val="2"/>
            <w:vAlign w:val="center"/>
          </w:tcPr>
          <w:p>
            <w:pPr>
              <w:spacing w:line="240" w:lineRule="auto"/>
              <w:ind w:firstLine="0" w:firstLineChars="0"/>
              <w:jc w:val="center"/>
              <w:rPr>
                <w:rFonts w:cs="Times New Roman"/>
                <w:sz w:val="21"/>
                <w:szCs w:val="21"/>
                <w:u w:val="single"/>
              </w:rPr>
            </w:pPr>
            <w:r>
              <w:rPr>
                <w:rFonts w:cs="Times New Roman"/>
                <w:kern w:val="0"/>
                <w:sz w:val="21"/>
                <w:szCs w:val="21"/>
                <w:u w:val="single"/>
              </w:rPr>
              <w:t>各类泵、风机、球磨机、空压机等</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设减震、消声、隔音装置</w:t>
            </w:r>
          </w:p>
        </w:tc>
        <w:tc>
          <w:tcPr>
            <w:tcW w:w="2866" w:type="dxa"/>
            <w:vAlign w:val="center"/>
          </w:tcPr>
          <w:p>
            <w:pPr>
              <w:spacing w:line="240" w:lineRule="auto"/>
              <w:ind w:firstLine="0" w:firstLineChars="0"/>
              <w:jc w:val="center"/>
              <w:rPr>
                <w:rFonts w:cs="Times New Roman"/>
                <w:b/>
                <w:sz w:val="21"/>
                <w:szCs w:val="21"/>
                <w:u w:val="single"/>
              </w:rPr>
            </w:pPr>
            <w:r>
              <w:rPr>
                <w:rFonts w:cs="Times New Roman"/>
                <w:kern w:val="0"/>
                <w:sz w:val="21"/>
                <w:szCs w:val="21"/>
                <w:u w:val="single"/>
              </w:rPr>
              <w:t>《工业企业厂界环境噪声排放标准》（GB12348-2008）3类标准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9" w:type="dxa"/>
            <w:vAlign w:val="center"/>
          </w:tcPr>
          <w:p>
            <w:pPr>
              <w:pStyle w:val="14"/>
              <w:rPr>
                <w:b/>
                <w:color w:val="auto"/>
                <w:kern w:val="2"/>
                <w:u w:val="single"/>
              </w:rPr>
            </w:pPr>
            <w:r>
              <w:rPr>
                <w:color w:val="auto"/>
                <w:kern w:val="2"/>
                <w:u w:val="single"/>
              </w:rPr>
              <w:t>监测与管理</w:t>
            </w:r>
          </w:p>
        </w:tc>
        <w:tc>
          <w:tcPr>
            <w:tcW w:w="2695" w:type="dxa"/>
            <w:gridSpan w:val="2"/>
            <w:vAlign w:val="center"/>
          </w:tcPr>
          <w:p>
            <w:pPr>
              <w:spacing w:line="240" w:lineRule="auto"/>
              <w:ind w:firstLine="0" w:firstLineChars="0"/>
              <w:jc w:val="center"/>
              <w:rPr>
                <w:rFonts w:cs="Times New Roman"/>
                <w:sz w:val="21"/>
                <w:szCs w:val="21"/>
                <w:u w:val="single"/>
              </w:rPr>
            </w:pPr>
            <w:r>
              <w:rPr>
                <w:rFonts w:cs="Times New Roman"/>
                <w:kern w:val="0"/>
                <w:sz w:val="21"/>
                <w:szCs w:val="21"/>
                <w:u w:val="single"/>
              </w:rPr>
              <w:t>环保管理机构及制度</w:t>
            </w:r>
          </w:p>
        </w:tc>
        <w:tc>
          <w:tcPr>
            <w:tcW w:w="7654"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机构、制度齐全，脱硫塔在线监测系统</w:t>
            </w:r>
          </w:p>
        </w:tc>
        <w:tc>
          <w:tcPr>
            <w:tcW w:w="2866" w:type="dxa"/>
            <w:vAlign w:val="center"/>
          </w:tcPr>
          <w:p>
            <w:pPr>
              <w:spacing w:line="240" w:lineRule="auto"/>
              <w:ind w:firstLine="0" w:firstLineChars="0"/>
              <w:jc w:val="center"/>
              <w:rPr>
                <w:rFonts w:cs="Times New Roman"/>
                <w:kern w:val="0"/>
                <w:sz w:val="21"/>
                <w:szCs w:val="21"/>
                <w:u w:val="single"/>
              </w:rPr>
            </w:pPr>
            <w:r>
              <w:rPr>
                <w:rFonts w:cs="Times New Roman"/>
                <w:kern w:val="0"/>
                <w:sz w:val="21"/>
                <w:szCs w:val="21"/>
                <w:u w:val="single"/>
              </w:rPr>
              <w:t>配套齐全</w:t>
            </w:r>
          </w:p>
        </w:tc>
      </w:tr>
    </w:tbl>
    <w:p>
      <w:pPr>
        <w:pStyle w:val="14"/>
        <w:spacing w:before="163" w:beforeLines="50"/>
        <w:jc w:val="both"/>
        <w:rPr>
          <w:color w:val="auto"/>
          <w:sz w:val="22"/>
          <w:szCs w:val="22"/>
          <w:u w:val="single"/>
        </w:rPr>
      </w:pPr>
    </w:p>
    <w:p>
      <w:pPr>
        <w:ind w:firstLine="480"/>
        <w:rPr>
          <w:rFonts w:cs="Times New Roman"/>
        </w:rPr>
        <w:sectPr>
          <w:pgSz w:w="16838" w:h="11906" w:orient="landscape"/>
          <w:pgMar w:top="1800" w:right="1440" w:bottom="1800" w:left="1440" w:header="851" w:footer="992" w:gutter="0"/>
          <w:cols w:space="425" w:num="1"/>
          <w:docGrid w:type="lines" w:linePitch="326" w:charSpace="0"/>
        </w:sectPr>
      </w:pPr>
    </w:p>
    <w:p>
      <w:pPr>
        <w:pStyle w:val="2"/>
        <w:rPr>
          <w:rFonts w:cs="Times New Roman"/>
        </w:rPr>
      </w:pPr>
      <w:bookmarkStart w:id="248" w:name="_Toc86611366"/>
      <w:r>
        <w:rPr>
          <w:rFonts w:cs="Times New Roman"/>
        </w:rPr>
        <w:t>9环境影响评价结论</w:t>
      </w:r>
      <w:bookmarkEnd w:id="248"/>
    </w:p>
    <w:p>
      <w:pPr>
        <w:pStyle w:val="3"/>
        <w:rPr>
          <w:rFonts w:cs="Times New Roman"/>
          <w:szCs w:val="30"/>
        </w:rPr>
      </w:pPr>
      <w:bookmarkStart w:id="249" w:name="_Toc517522366"/>
      <w:bookmarkStart w:id="250" w:name="_Toc86611367"/>
      <w:bookmarkStart w:id="251" w:name="_Toc25795"/>
      <w:r>
        <w:rPr>
          <w:rFonts w:cs="Times New Roman"/>
          <w:szCs w:val="30"/>
        </w:rPr>
        <w:t>9.1 项目概况</w:t>
      </w:r>
      <w:bookmarkEnd w:id="249"/>
      <w:bookmarkEnd w:id="250"/>
      <w:bookmarkEnd w:id="251"/>
    </w:p>
    <w:p>
      <w:pPr>
        <w:autoSpaceDE w:val="0"/>
        <w:autoSpaceDN w:val="0"/>
        <w:adjustRightInd w:val="0"/>
        <w:ind w:firstLine="480"/>
        <w:rPr>
          <w:rFonts w:cs="Times New Roman"/>
          <w:kern w:val="0"/>
        </w:rPr>
      </w:pPr>
      <w:r>
        <w:rPr>
          <w:rFonts w:cs="Times New Roman"/>
        </w:rPr>
        <w:t>项目拟在界牌陶瓷循环经济特色工业园区征地1165333.2m</w:t>
      </w:r>
      <w:r>
        <w:rPr>
          <w:rFonts w:cs="Times New Roman"/>
          <w:vertAlign w:val="superscript"/>
        </w:rPr>
        <w:t>2</w:t>
      </w:r>
      <w:r>
        <w:rPr>
          <w:rFonts w:cs="Times New Roman"/>
        </w:rPr>
        <w:t>（合1748亩），总建筑面积966703m</w:t>
      </w:r>
      <w:r>
        <w:rPr>
          <w:rFonts w:cs="Times New Roman"/>
          <w:vertAlign w:val="superscript"/>
        </w:rPr>
        <w:t>2</w:t>
      </w:r>
      <w:r>
        <w:rPr>
          <w:rFonts w:cs="Times New Roman"/>
        </w:rPr>
        <w:t>。其中，原料（制浆配料、制浆、制粉）车间95087m</w:t>
      </w:r>
      <w:r>
        <w:rPr>
          <w:rFonts w:cs="Times New Roman"/>
          <w:vertAlign w:val="superscript"/>
        </w:rPr>
        <w:t>2</w:t>
      </w:r>
      <w:r>
        <w:rPr>
          <w:rFonts w:cs="Times New Roman"/>
        </w:rPr>
        <w:t>，生产车间372501m</w:t>
      </w:r>
      <w:r>
        <w:rPr>
          <w:rFonts w:cs="Times New Roman"/>
          <w:vertAlign w:val="superscript"/>
        </w:rPr>
        <w:t>2</w:t>
      </w:r>
      <w:r>
        <w:rPr>
          <w:rFonts w:cs="Times New Roman"/>
        </w:rPr>
        <w:t>，智能存储车间106315m</w:t>
      </w:r>
      <w:r>
        <w:rPr>
          <w:rFonts w:cs="Times New Roman"/>
          <w:vertAlign w:val="superscript"/>
        </w:rPr>
        <w:t>2</w:t>
      </w:r>
      <w:r>
        <w:rPr>
          <w:rFonts w:cs="Times New Roman"/>
        </w:rPr>
        <w:t>，包装材料车间25242m</w:t>
      </w:r>
      <w:r>
        <w:rPr>
          <w:rFonts w:cs="Times New Roman"/>
          <w:vertAlign w:val="superscript"/>
        </w:rPr>
        <w:t>2</w:t>
      </w:r>
      <w:r>
        <w:rPr>
          <w:rFonts w:cs="Times New Roman"/>
        </w:rPr>
        <w:t>，智能洁具车间59367m</w:t>
      </w:r>
      <w:r>
        <w:rPr>
          <w:rFonts w:cs="Times New Roman"/>
          <w:vertAlign w:val="superscript"/>
        </w:rPr>
        <w:t>2</w:t>
      </w:r>
      <w:r>
        <w:rPr>
          <w:rFonts w:cs="Times New Roman"/>
        </w:rPr>
        <w:t>，家居配套定制深加工车间29831m</w:t>
      </w:r>
      <w:r>
        <w:rPr>
          <w:rFonts w:cs="Times New Roman"/>
          <w:vertAlign w:val="superscript"/>
        </w:rPr>
        <w:t>2</w:t>
      </w:r>
      <w:r>
        <w:rPr>
          <w:rFonts w:cs="Times New Roman"/>
        </w:rPr>
        <w:t>，110KV 配电房5812m</w:t>
      </w:r>
      <w:r>
        <w:rPr>
          <w:rFonts w:cs="Times New Roman"/>
          <w:vertAlign w:val="superscript"/>
        </w:rPr>
        <w:t>2</w:t>
      </w:r>
      <w:r>
        <w:rPr>
          <w:rFonts w:cs="Times New Roman"/>
        </w:rPr>
        <w:t>，车间配电房9360m</w:t>
      </w:r>
      <w:r>
        <w:rPr>
          <w:rFonts w:cs="Times New Roman"/>
          <w:vertAlign w:val="superscript"/>
        </w:rPr>
        <w:t>2</w:t>
      </w:r>
      <w:r>
        <w:rPr>
          <w:rFonts w:cs="Times New Roman"/>
        </w:rPr>
        <w:t>，办公楼8400m</w:t>
      </w:r>
      <w:r>
        <w:rPr>
          <w:rFonts w:cs="Times New Roman"/>
          <w:vertAlign w:val="superscript"/>
        </w:rPr>
        <w:t>2</w:t>
      </w:r>
      <w:r>
        <w:rPr>
          <w:rFonts w:cs="Times New Roman"/>
        </w:rPr>
        <w:t>，员工宿舍楼45420m</w:t>
      </w:r>
      <w:r>
        <w:rPr>
          <w:rFonts w:cs="Times New Roman"/>
          <w:vertAlign w:val="superscript"/>
        </w:rPr>
        <w:t>2</w:t>
      </w:r>
      <w:r>
        <w:rPr>
          <w:rFonts w:cs="Times New Roman"/>
        </w:rPr>
        <w:t>，煤仓17458m</w:t>
      </w:r>
      <w:r>
        <w:rPr>
          <w:rFonts w:cs="Times New Roman"/>
          <w:vertAlign w:val="superscript"/>
        </w:rPr>
        <w:t>2</w:t>
      </w:r>
      <w:r>
        <w:rPr>
          <w:rFonts w:cs="Times New Roman"/>
        </w:rPr>
        <w:t>，煤转气车间16848m</w:t>
      </w:r>
      <w:r>
        <w:rPr>
          <w:rFonts w:cs="Times New Roman"/>
          <w:vertAlign w:val="superscript"/>
        </w:rPr>
        <w:t>2</w:t>
      </w:r>
      <w:r>
        <w:rPr>
          <w:rFonts w:cs="Times New Roman"/>
        </w:rPr>
        <w:t>，原矿预处理车间27627m</w:t>
      </w:r>
      <w:r>
        <w:rPr>
          <w:rFonts w:cs="Times New Roman"/>
          <w:vertAlign w:val="superscript"/>
        </w:rPr>
        <w:t>2</w:t>
      </w:r>
      <w:r>
        <w:rPr>
          <w:rFonts w:cs="Times New Roman"/>
        </w:rPr>
        <w:t>，原料堆场120753m</w:t>
      </w:r>
      <w:r>
        <w:rPr>
          <w:rFonts w:cs="Times New Roman"/>
          <w:vertAlign w:val="superscript"/>
        </w:rPr>
        <w:t>2</w:t>
      </w:r>
      <w:r>
        <w:rPr>
          <w:rFonts w:cs="Times New Roman"/>
        </w:rPr>
        <w:t>，环保建筑4800m</w:t>
      </w:r>
      <w:r>
        <w:rPr>
          <w:rFonts w:cs="Times New Roman"/>
          <w:vertAlign w:val="superscript"/>
        </w:rPr>
        <w:t>2</w:t>
      </w:r>
      <w:r>
        <w:rPr>
          <w:rFonts w:cs="Times New Roman"/>
        </w:rPr>
        <w:t>，其他辅助生产建筑21882m</w:t>
      </w:r>
      <w:r>
        <w:rPr>
          <w:rFonts w:cs="Times New Roman"/>
          <w:vertAlign w:val="superscript"/>
        </w:rPr>
        <w:t>2</w:t>
      </w:r>
      <w:r>
        <w:rPr>
          <w:rFonts w:cs="Times New Roman"/>
        </w:rPr>
        <w:t>。并购置生产设备，配套建设电气工程、给排水工程、消防工程、道路及绿化等附属工程。项目拟建设12条高科技新型环保建材生产线，主产品方案为仿古/抛釉砖8613万m</w:t>
      </w:r>
      <w:r>
        <w:rPr>
          <w:rFonts w:cs="Times New Roman"/>
          <w:vertAlign w:val="superscript"/>
        </w:rPr>
        <w:t>2</w:t>
      </w:r>
      <w:r>
        <w:rPr>
          <w:rFonts w:cs="Times New Roman"/>
        </w:rPr>
        <w:t>，通体抛釉砖4026万m</w:t>
      </w:r>
      <w:r>
        <w:rPr>
          <w:rFonts w:cs="Times New Roman"/>
          <w:vertAlign w:val="superscript"/>
        </w:rPr>
        <w:t>2</w:t>
      </w:r>
      <w:r>
        <w:rPr>
          <w:rFonts w:cs="Times New Roman"/>
        </w:rPr>
        <w:t>，微晶大板165万m</w:t>
      </w:r>
      <w:r>
        <w:rPr>
          <w:rFonts w:cs="Times New Roman"/>
          <w:vertAlign w:val="superscript"/>
        </w:rPr>
        <w:t>2</w:t>
      </w:r>
      <w:r>
        <w:rPr>
          <w:rFonts w:cs="Times New Roman"/>
        </w:rPr>
        <w:t>，卫生洁具120万件。</w:t>
      </w:r>
      <w:r>
        <w:rPr>
          <w:rFonts w:cs="Times New Roman"/>
          <w:kern w:val="0"/>
        </w:rPr>
        <w:t>项目总投资为203022.30万元。</w:t>
      </w:r>
    </w:p>
    <w:p>
      <w:pPr>
        <w:pStyle w:val="3"/>
        <w:rPr>
          <w:rFonts w:cs="Times New Roman"/>
          <w:szCs w:val="30"/>
        </w:rPr>
      </w:pPr>
      <w:bookmarkStart w:id="252" w:name="_Toc517522368"/>
      <w:bookmarkStart w:id="253" w:name="_Toc21664"/>
      <w:bookmarkStart w:id="254" w:name="_Toc86611368"/>
      <w:r>
        <w:rPr>
          <w:rFonts w:cs="Times New Roman"/>
          <w:szCs w:val="30"/>
        </w:rPr>
        <w:t>9.2 环境影响评价结论</w:t>
      </w:r>
      <w:bookmarkEnd w:id="252"/>
      <w:bookmarkEnd w:id="253"/>
      <w:bookmarkEnd w:id="254"/>
    </w:p>
    <w:p>
      <w:pPr>
        <w:ind w:firstLine="482"/>
        <w:rPr>
          <w:rFonts w:cs="Times New Roman"/>
          <w:b/>
        </w:rPr>
      </w:pPr>
      <w:r>
        <w:rPr>
          <w:rFonts w:cs="Times New Roman"/>
          <w:b/>
        </w:rPr>
        <w:t>1、环境空气</w:t>
      </w:r>
    </w:p>
    <w:p>
      <w:pPr>
        <w:ind w:firstLine="480"/>
        <w:rPr>
          <w:rFonts w:cs="Times New Roman"/>
        </w:rPr>
      </w:pPr>
      <w:r>
        <w:rPr>
          <w:rFonts w:cs="Times New Roman"/>
        </w:rPr>
        <w:t>根据衡阳市环境保护局发布的关于2020年12月及1-12月全市环境质量状况的通报可知，衡阳县SO</w:t>
      </w:r>
      <w:r>
        <w:rPr>
          <w:rFonts w:cs="Times New Roman"/>
          <w:vertAlign w:val="subscript"/>
        </w:rPr>
        <w:t>2</w:t>
      </w:r>
      <w:r>
        <w:rPr>
          <w:rFonts w:cs="Times New Roman"/>
        </w:rPr>
        <w:t>、NO</w:t>
      </w:r>
      <w:r>
        <w:rPr>
          <w:rFonts w:cs="Times New Roman"/>
          <w:vertAlign w:val="subscript"/>
        </w:rPr>
        <w:t>2</w:t>
      </w:r>
      <w:r>
        <w:rPr>
          <w:rFonts w:cs="Times New Roman"/>
        </w:rPr>
        <w:t>和可吸入颗粒物（PM</w:t>
      </w:r>
      <w:r>
        <w:rPr>
          <w:rFonts w:cs="Times New Roman"/>
          <w:vertAlign w:val="subscript"/>
        </w:rPr>
        <w:t>10</w:t>
      </w:r>
      <w:r>
        <w:rPr>
          <w:rFonts w:cs="Times New Roman"/>
        </w:rPr>
        <w:t>）年平均质量浓度、CO24小时平均第95百分位数浓度、O</w:t>
      </w:r>
      <w:r>
        <w:rPr>
          <w:rFonts w:cs="Times New Roman"/>
          <w:vertAlign w:val="subscript"/>
        </w:rPr>
        <w:t>3</w:t>
      </w:r>
      <w:r>
        <w:rPr>
          <w:rFonts w:cs="Times New Roman"/>
        </w:rPr>
        <w:t>日最大8h滑动平均值的第90百分位数浓度和细颗粒物（PM</w:t>
      </w:r>
      <w:r>
        <w:rPr>
          <w:rFonts w:cs="Times New Roman"/>
          <w:vertAlign w:val="subscript"/>
        </w:rPr>
        <w:t>2.5</w:t>
      </w:r>
      <w:r>
        <w:rPr>
          <w:rFonts w:cs="Times New Roman"/>
        </w:rPr>
        <w:t>）年平均质量浓度均能满足《环境空气质量标准》（GB3095-2012）二级标准限值要求，因此项目所在区域为</w:t>
      </w:r>
      <w:r>
        <w:rPr>
          <w:rFonts w:hint="eastAsia" w:cs="Times New Roman"/>
        </w:rPr>
        <w:t>不</w:t>
      </w:r>
      <w:r>
        <w:rPr>
          <w:rFonts w:cs="Times New Roman"/>
        </w:rPr>
        <w:t>达标区。</w:t>
      </w:r>
    </w:p>
    <w:p>
      <w:pPr>
        <w:ind w:firstLine="480"/>
        <w:rPr>
          <w:rFonts w:cs="Times New Roman"/>
        </w:rPr>
      </w:pPr>
      <w:r>
        <w:rPr>
          <w:rFonts w:cs="Times New Roman"/>
        </w:rPr>
        <w:t>本项目补充监测结果表明，</w:t>
      </w:r>
      <w:r>
        <w:rPr>
          <w:rFonts w:cs="Times New Roman"/>
          <w:bCs/>
        </w:rPr>
        <w:t>在监测期间，在监测期间，项目周边环境敏感点太清村（G1）及众拱村（G2）TSP日均值满足《环境空气质量标准》（GB3095-2012）二级标准及其修改单二级标准要求；氟化物日均值满足《环境空气质量标准》（GB3095-2012）附录A标准要求；氯化氢、铅及其无机化合物日均值满足《工业企业设计卫生标准》（TJ36-79）中居住区大气中有害物质的最高容许浓度；氨满足《环境影响评价技术导则大气环境》（HJ2.2-2018）附录D一次浓度的参考限值；TVOC满足《环境影响评价技术导则大气环境》（HJ2.2-2018）附录D8小时平均浓度的参考限值；镉及其化合物、镍及其化合物及汞及其化合物均满足相应标准要求。</w:t>
      </w:r>
    </w:p>
    <w:p>
      <w:pPr>
        <w:ind w:firstLine="480"/>
        <w:rPr>
          <w:rFonts w:cs="Times New Roman"/>
        </w:rPr>
      </w:pPr>
      <w:r>
        <w:rPr>
          <w:rFonts w:cs="Times New Roman"/>
        </w:rPr>
        <w:t>综上，本项目周边区域环境空气质量较好，各监测因子均能满足国家相应环境空气质量标准。</w:t>
      </w:r>
    </w:p>
    <w:p>
      <w:pPr>
        <w:ind w:firstLine="482"/>
        <w:rPr>
          <w:rFonts w:cs="Times New Roman"/>
          <w:b/>
        </w:rPr>
      </w:pPr>
      <w:r>
        <w:rPr>
          <w:rFonts w:cs="Times New Roman"/>
          <w:b/>
        </w:rPr>
        <w:t>2、地表水</w:t>
      </w:r>
    </w:p>
    <w:p>
      <w:pPr>
        <w:ind w:firstLine="480"/>
        <w:rPr>
          <w:rFonts w:cs="Times New Roman"/>
        </w:rPr>
      </w:pPr>
      <w:r>
        <w:rPr>
          <w:rFonts w:cs="Times New Roman"/>
        </w:rPr>
        <w:t>监测结果表明，项目拟建地附近斜陂堰水库、白象河各监测因子均能满足《地表水环境质量标准》（GB3838-2002）表1中Ⅲ类标准，说明项目地表周边水环境质量良好。</w:t>
      </w:r>
    </w:p>
    <w:p>
      <w:pPr>
        <w:ind w:firstLine="482"/>
        <w:rPr>
          <w:rFonts w:cs="Times New Roman"/>
          <w:b/>
        </w:rPr>
      </w:pPr>
      <w:r>
        <w:rPr>
          <w:rFonts w:cs="Times New Roman"/>
          <w:b/>
        </w:rPr>
        <w:t>3、地下水</w:t>
      </w:r>
    </w:p>
    <w:p>
      <w:pPr>
        <w:ind w:firstLine="480"/>
        <w:rPr>
          <w:rFonts w:cs="Times New Roman"/>
        </w:rPr>
      </w:pPr>
      <w:r>
        <w:rPr>
          <w:rFonts w:cs="Times New Roman"/>
        </w:rPr>
        <w:t>项目所在区域三个地下水监测点位各项监测因子均符合《地下水环境质量标准》（GB/T14848-2017）中的Ⅲ类水质标准，评价区域地下水质量状况良好。</w:t>
      </w:r>
    </w:p>
    <w:p>
      <w:pPr>
        <w:ind w:firstLine="482"/>
        <w:rPr>
          <w:rFonts w:cs="Times New Roman"/>
          <w:b/>
        </w:rPr>
      </w:pPr>
      <w:r>
        <w:rPr>
          <w:rFonts w:cs="Times New Roman"/>
          <w:b/>
        </w:rPr>
        <w:t>4、声环境</w:t>
      </w:r>
    </w:p>
    <w:p>
      <w:pPr>
        <w:ind w:firstLine="480"/>
        <w:rPr>
          <w:rFonts w:cs="Times New Roman"/>
        </w:rPr>
      </w:pPr>
      <w:r>
        <w:rPr>
          <w:rFonts w:cs="Times New Roman"/>
        </w:rPr>
        <w:t>项目东、南、西、北厂界昼夜间噪声监测值能满足《声环境质量标准》（GB3096-2008）3类标准，周边居民点昼夜间噪声监测值能满足《声环境质量标准》（GB3096-2008）2类标准。</w:t>
      </w:r>
    </w:p>
    <w:p>
      <w:pPr>
        <w:ind w:firstLine="482"/>
        <w:rPr>
          <w:rFonts w:cs="Times New Roman"/>
          <w:b/>
        </w:rPr>
      </w:pPr>
      <w:r>
        <w:rPr>
          <w:rFonts w:cs="Times New Roman"/>
          <w:b/>
        </w:rPr>
        <w:t>5、土壤环境</w:t>
      </w:r>
    </w:p>
    <w:p>
      <w:pPr>
        <w:ind w:firstLine="480"/>
        <w:rPr>
          <w:rFonts w:cs="Times New Roman"/>
        </w:rPr>
      </w:pPr>
      <w:r>
        <w:rPr>
          <w:rFonts w:cs="Times New Roman"/>
          <w:kern w:val="0"/>
          <w:lang w:val="zh-CN"/>
        </w:rPr>
        <w:t>评价区域建设用地土壤符合《土壤环境质量  建设用地土壤污染风险管控标准（试行）》（GB36600-2018）中表1第二类用地的筛选值；周边农用地土壤符合《土壤环境质量  农用地土壤污染风险管控标准（试行）》（GB15618-2018）中表1风险筛选值。</w:t>
      </w:r>
    </w:p>
    <w:p>
      <w:pPr>
        <w:pStyle w:val="3"/>
        <w:rPr>
          <w:rFonts w:cs="Times New Roman"/>
          <w:szCs w:val="30"/>
        </w:rPr>
      </w:pPr>
      <w:bookmarkStart w:id="255" w:name="_Toc86611369"/>
      <w:bookmarkStart w:id="256" w:name="_Toc517522369"/>
      <w:bookmarkStart w:id="257" w:name="_Toc9571"/>
      <w:r>
        <w:rPr>
          <w:rFonts w:cs="Times New Roman"/>
          <w:szCs w:val="30"/>
        </w:rPr>
        <w:t>9.3 环境影响分析结论</w:t>
      </w:r>
      <w:bookmarkEnd w:id="255"/>
      <w:bookmarkEnd w:id="256"/>
      <w:bookmarkEnd w:id="257"/>
    </w:p>
    <w:p>
      <w:pPr>
        <w:pStyle w:val="4"/>
        <w:adjustRightInd w:val="0"/>
        <w:snapToGrid w:val="0"/>
        <w:jc w:val="left"/>
        <w:rPr>
          <w:rFonts w:cs="Times New Roman"/>
          <w:szCs w:val="24"/>
        </w:rPr>
      </w:pPr>
      <w:bookmarkStart w:id="258" w:name="_Toc517522371"/>
      <w:bookmarkStart w:id="259" w:name="_Toc86611370"/>
      <w:r>
        <w:rPr>
          <w:rFonts w:cs="Times New Roman"/>
          <w:szCs w:val="24"/>
        </w:rPr>
        <w:t>9.3.</w:t>
      </w:r>
      <w:bookmarkEnd w:id="258"/>
      <w:r>
        <w:rPr>
          <w:rFonts w:cs="Times New Roman"/>
          <w:szCs w:val="24"/>
        </w:rPr>
        <w:t>1废气影响分析结论</w:t>
      </w:r>
      <w:bookmarkEnd w:id="259"/>
    </w:p>
    <w:p>
      <w:pPr>
        <w:pStyle w:val="69"/>
        <w:rPr>
          <w:u w:val="single"/>
        </w:rPr>
      </w:pPr>
      <w:r>
        <w:rPr>
          <w:rFonts w:hint="eastAsia"/>
          <w:u w:val="single"/>
        </w:rPr>
        <w:t>本项目位于不达标区，且不属于达标规划中包含的新增污染源建设项目，但本项目已有替代污染源，为板市乡子园砖厂、西渡镇宏伟砖厂、演陂镇正源砖厂、渣江镇油库砖厂、渣江镇河西砖厂、大安乡上升砖厂、西渡镇咸育砖厂，总计可替代削减SO</w:t>
      </w:r>
      <w:r>
        <w:rPr>
          <w:u w:val="single"/>
          <w:vertAlign w:val="subscript"/>
        </w:rPr>
        <w:t>2</w:t>
      </w:r>
      <w:r>
        <w:rPr>
          <w:rFonts w:hint="eastAsia"/>
          <w:u w:val="single"/>
        </w:rPr>
        <w:t>：</w:t>
      </w:r>
      <w:r>
        <w:rPr>
          <w:u w:val="single"/>
        </w:rPr>
        <w:t>3848</w:t>
      </w:r>
      <w:r>
        <w:rPr>
          <w:rFonts w:hint="eastAsia"/>
          <w:u w:val="single"/>
        </w:rPr>
        <w:t>t</w:t>
      </w:r>
      <w:r>
        <w:rPr>
          <w:u w:val="single"/>
        </w:rPr>
        <w:t>/a</w:t>
      </w:r>
      <w:r>
        <w:rPr>
          <w:rFonts w:hint="eastAsia"/>
          <w:u w:val="single"/>
        </w:rPr>
        <w:t>、NO</w:t>
      </w:r>
      <w:r>
        <w:rPr>
          <w:rFonts w:hint="eastAsia"/>
          <w:u w:val="single"/>
          <w:vertAlign w:val="subscript"/>
        </w:rPr>
        <w:t>x</w:t>
      </w:r>
      <w:r>
        <w:rPr>
          <w:rFonts w:hint="eastAsia"/>
          <w:u w:val="single"/>
        </w:rPr>
        <w:t>：</w:t>
      </w:r>
      <w:r>
        <w:rPr>
          <w:u w:val="single"/>
        </w:rPr>
        <w:t>951.6</w:t>
      </w:r>
      <w:r>
        <w:rPr>
          <w:rFonts w:hint="eastAsia"/>
          <w:u w:val="single"/>
        </w:rPr>
        <w:t>t</w:t>
      </w:r>
      <w:r>
        <w:rPr>
          <w:u w:val="single"/>
        </w:rPr>
        <w:t>/a</w:t>
      </w:r>
      <w:r>
        <w:rPr>
          <w:rFonts w:hint="eastAsia"/>
          <w:u w:val="single"/>
        </w:rPr>
        <w:t>，符合倍量削减要求；项目各污染物的短期浓度贡献值（1h平均浓度贡献值和2</w:t>
      </w:r>
      <w:r>
        <w:rPr>
          <w:u w:val="single"/>
        </w:rPr>
        <w:t>4</w:t>
      </w:r>
      <w:r>
        <w:rPr>
          <w:rFonts w:hint="eastAsia"/>
          <w:u w:val="single"/>
        </w:rPr>
        <w:t>h平均浓度贡献值）均低于1</w:t>
      </w:r>
      <w:r>
        <w:rPr>
          <w:u w:val="single"/>
        </w:rPr>
        <w:t>00</w:t>
      </w:r>
      <w:r>
        <w:rPr>
          <w:rFonts w:hint="eastAsia"/>
          <w:u w:val="single"/>
        </w:rPr>
        <w:t>%，长期浓度贡献值（年平均浓度贡献值）均低于3</w:t>
      </w:r>
      <w:r>
        <w:rPr>
          <w:u w:val="single"/>
        </w:rPr>
        <w:t>0</w:t>
      </w:r>
      <w:r>
        <w:rPr>
          <w:rFonts w:hint="eastAsia"/>
          <w:u w:val="single"/>
        </w:rPr>
        <w:t>%；SO</w:t>
      </w:r>
      <w:r>
        <w:rPr>
          <w:u w:val="single"/>
          <w:vertAlign w:val="subscript"/>
        </w:rPr>
        <w:t>2</w:t>
      </w:r>
      <w:r>
        <w:rPr>
          <w:rFonts w:hint="eastAsia"/>
          <w:u w:val="single"/>
        </w:rPr>
        <w:t>的9</w:t>
      </w:r>
      <w:r>
        <w:rPr>
          <w:u w:val="single"/>
        </w:rPr>
        <w:t>8</w:t>
      </w:r>
      <w:r>
        <w:rPr>
          <w:rFonts w:hint="eastAsia"/>
          <w:u w:val="single"/>
        </w:rPr>
        <w:t>%保证率日平均浓度叠加值和年平均浓度叠加值均能达标；NO</w:t>
      </w:r>
      <w:r>
        <w:rPr>
          <w:rFonts w:hint="eastAsia"/>
          <w:u w:val="single"/>
          <w:vertAlign w:val="subscript"/>
        </w:rPr>
        <w:t>x</w:t>
      </w:r>
      <w:r>
        <w:rPr>
          <w:u w:val="single"/>
        </w:rPr>
        <w:t>98</w:t>
      </w:r>
      <w:r>
        <w:rPr>
          <w:rFonts w:hint="eastAsia"/>
          <w:u w:val="single"/>
        </w:rPr>
        <w:t>%保证率日平均浓度叠加值超标，年平均浓度叠加值达标；PM</w:t>
      </w:r>
      <w:r>
        <w:rPr>
          <w:u w:val="single"/>
          <w:vertAlign w:val="subscript"/>
        </w:rPr>
        <w:t>10</w:t>
      </w:r>
      <w:r>
        <w:rPr>
          <w:u w:val="single"/>
        </w:rPr>
        <w:t>95</w:t>
      </w:r>
      <w:r>
        <w:rPr>
          <w:rFonts w:hint="eastAsia"/>
          <w:u w:val="single"/>
        </w:rPr>
        <w:t>%保证率日平均浓度叠加值和年平均浓度叠加值均超标；TSP日平均浓度叠加值达标；氟化物日平均浓度叠加值达标；VOCs日平均浓度叠加值达标；PM</w:t>
      </w:r>
      <w:r>
        <w:rPr>
          <w:u w:val="single"/>
          <w:vertAlign w:val="subscript"/>
        </w:rPr>
        <w:t>2.5</w:t>
      </w:r>
      <w:r>
        <w:rPr>
          <w:u w:val="single"/>
        </w:rPr>
        <w:t>95</w:t>
      </w:r>
      <w:r>
        <w:rPr>
          <w:rFonts w:hint="eastAsia"/>
          <w:u w:val="single"/>
        </w:rPr>
        <w:t>%保证率日平均浓度叠加值和年平均浓度叠加值均超标。主要超标因子包括NO</w:t>
      </w:r>
      <w:r>
        <w:rPr>
          <w:rFonts w:hint="eastAsia"/>
          <w:u w:val="single"/>
          <w:vertAlign w:val="subscript"/>
        </w:rPr>
        <w:t>x</w:t>
      </w:r>
      <w:r>
        <w:rPr>
          <w:rFonts w:hint="eastAsia"/>
          <w:u w:val="single"/>
        </w:rPr>
        <w:t>、SO</w:t>
      </w:r>
      <w:r>
        <w:rPr>
          <w:u w:val="single"/>
          <w:vertAlign w:val="subscript"/>
        </w:rPr>
        <w:t>2</w:t>
      </w:r>
      <w:r>
        <w:rPr>
          <w:rFonts w:hint="eastAsia"/>
          <w:u w:val="single"/>
        </w:rPr>
        <w:t>、PM</w:t>
      </w:r>
      <w:r>
        <w:rPr>
          <w:u w:val="single"/>
          <w:vertAlign w:val="subscript"/>
        </w:rPr>
        <w:t>2.5</w:t>
      </w:r>
      <w:r>
        <w:rPr>
          <w:rFonts w:hint="eastAsia"/>
          <w:u w:val="single"/>
        </w:rPr>
        <w:t>，NO</w:t>
      </w:r>
      <w:r>
        <w:rPr>
          <w:rFonts w:hint="eastAsia"/>
          <w:u w:val="single"/>
          <w:vertAlign w:val="subscript"/>
        </w:rPr>
        <w:t>x</w:t>
      </w:r>
      <w:r>
        <w:rPr>
          <w:rFonts w:hint="eastAsia"/>
          <w:u w:val="single"/>
        </w:rPr>
        <w:t>年平均质量浓度变化率K为</w:t>
      </w:r>
      <w:r>
        <w:rPr>
          <w:u w:val="single"/>
        </w:rPr>
        <w:t>-49.49%</w:t>
      </w:r>
      <w:r>
        <w:rPr>
          <w:rFonts w:hint="eastAsia"/>
          <w:u w:val="single"/>
        </w:rPr>
        <w:t>，小于</w:t>
      </w:r>
      <w:r>
        <w:rPr>
          <w:u w:val="single"/>
        </w:rPr>
        <w:t>020</w:t>
      </w:r>
      <w:r>
        <w:rPr>
          <w:rFonts w:hint="eastAsia"/>
          <w:u w:val="single"/>
        </w:rPr>
        <w:t>%；SO</w:t>
      </w:r>
      <w:r>
        <w:rPr>
          <w:u w:val="single"/>
          <w:vertAlign w:val="subscript"/>
        </w:rPr>
        <w:t>2</w:t>
      </w:r>
      <w:r>
        <w:rPr>
          <w:rFonts w:hint="eastAsia"/>
          <w:u w:val="single"/>
        </w:rPr>
        <w:t>年平均质量浓度变化率K为</w:t>
      </w:r>
      <w:r>
        <w:rPr>
          <w:u w:val="single"/>
        </w:rPr>
        <w:t>-77.93%</w:t>
      </w:r>
      <w:r>
        <w:rPr>
          <w:rFonts w:hint="eastAsia"/>
          <w:u w:val="single"/>
        </w:rPr>
        <w:t>，小于-</w:t>
      </w:r>
      <w:r>
        <w:rPr>
          <w:u w:val="single"/>
        </w:rPr>
        <w:t>20</w:t>
      </w:r>
      <w:r>
        <w:rPr>
          <w:rFonts w:hint="eastAsia"/>
          <w:u w:val="single"/>
        </w:rPr>
        <w:t>%；PM</w:t>
      </w:r>
      <w:r>
        <w:rPr>
          <w:u w:val="single"/>
          <w:vertAlign w:val="subscript"/>
        </w:rPr>
        <w:t>2.5</w:t>
      </w:r>
      <w:r>
        <w:rPr>
          <w:rFonts w:hint="eastAsia"/>
          <w:u w:val="single"/>
        </w:rPr>
        <w:t>年平均质量浓度变化率为-</w:t>
      </w:r>
      <w:r>
        <w:rPr>
          <w:u w:val="single"/>
        </w:rPr>
        <w:t>44.07</w:t>
      </w:r>
      <w:r>
        <w:rPr>
          <w:rFonts w:hint="eastAsia"/>
          <w:u w:val="single"/>
        </w:rPr>
        <w:t>%，所有K值均低于-</w:t>
      </w:r>
      <w:r>
        <w:rPr>
          <w:u w:val="single"/>
        </w:rPr>
        <w:t>20</w:t>
      </w:r>
      <w:r>
        <w:rPr>
          <w:rFonts w:hint="eastAsia"/>
          <w:u w:val="single"/>
        </w:rPr>
        <w:t>%。综上所述，本项目大气环境影响符合《导则》要求，环境影响可以接受。</w:t>
      </w:r>
    </w:p>
    <w:p>
      <w:pPr>
        <w:pStyle w:val="4"/>
        <w:adjustRightInd w:val="0"/>
        <w:snapToGrid w:val="0"/>
        <w:jc w:val="left"/>
        <w:rPr>
          <w:rFonts w:cs="Times New Roman"/>
          <w:szCs w:val="24"/>
        </w:rPr>
      </w:pPr>
      <w:bookmarkStart w:id="260" w:name="_Toc86611371"/>
      <w:r>
        <w:rPr>
          <w:rFonts w:cs="Times New Roman"/>
          <w:szCs w:val="24"/>
        </w:rPr>
        <w:t>9.3.2 地表水影响分析结论</w:t>
      </w:r>
      <w:bookmarkEnd w:id="260"/>
    </w:p>
    <w:p>
      <w:pPr>
        <w:ind w:firstLine="480"/>
        <w:rPr>
          <w:rFonts w:cs="Times New Roman"/>
        </w:rPr>
      </w:pPr>
      <w:r>
        <w:rPr>
          <w:rFonts w:hint="eastAsia" w:ascii="宋体" w:hAnsi="宋体" w:cs="宋体"/>
        </w:rPr>
        <w:t>①</w:t>
      </w:r>
      <w:r>
        <w:rPr>
          <w:rFonts w:cs="Times New Roman"/>
        </w:rPr>
        <w:t>本项目生产废水和生活污水经各自的废水处理设施处理后，不外排，因此，本项目地表水评价等级定为三级B。</w:t>
      </w:r>
    </w:p>
    <w:p>
      <w:pPr>
        <w:ind w:firstLine="480"/>
        <w:rPr>
          <w:rFonts w:cs="Times New Roman"/>
        </w:rPr>
      </w:pPr>
      <w:r>
        <w:rPr>
          <w:rFonts w:hint="eastAsia" w:ascii="宋体" w:hAnsi="宋体" w:cs="宋体"/>
        </w:rPr>
        <w:t>②</w:t>
      </w:r>
      <w:r>
        <w:rPr>
          <w:rFonts w:cs="Times New Roman"/>
        </w:rPr>
        <w:t>本项目营运期生产废水分类收集后，经独立建设的混凝沉淀池处理后回用于各个工序。</w:t>
      </w:r>
    </w:p>
    <w:p>
      <w:pPr>
        <w:ind w:firstLine="480"/>
        <w:rPr>
          <w:rFonts w:cs="Times New Roman"/>
          <w:b/>
        </w:rPr>
      </w:pPr>
      <w:r>
        <w:rPr>
          <w:rFonts w:cs="Times New Roman"/>
        </w:rPr>
        <w:t>因此，项目生产系统用水和生活污水全部可实现循环利用，无废水外排，本项目的建设对地表水体影响甚微。</w:t>
      </w:r>
    </w:p>
    <w:p>
      <w:pPr>
        <w:pStyle w:val="4"/>
        <w:adjustRightInd w:val="0"/>
        <w:snapToGrid w:val="0"/>
        <w:jc w:val="left"/>
        <w:rPr>
          <w:rFonts w:cs="Times New Roman"/>
          <w:szCs w:val="24"/>
        </w:rPr>
      </w:pPr>
      <w:bookmarkStart w:id="261" w:name="_Toc86611372"/>
      <w:r>
        <w:rPr>
          <w:rFonts w:cs="Times New Roman"/>
          <w:szCs w:val="24"/>
        </w:rPr>
        <w:t>9.3.3 地下水影响分析结论</w:t>
      </w:r>
      <w:bookmarkEnd w:id="261"/>
    </w:p>
    <w:p>
      <w:pPr>
        <w:ind w:firstLine="480"/>
        <w:rPr>
          <w:rFonts w:cs="Times New Roman"/>
          <w:kern w:val="0"/>
        </w:rPr>
      </w:pPr>
      <w:r>
        <w:rPr>
          <w:rFonts w:cs="Times New Roman"/>
          <w:kern w:val="0"/>
        </w:rPr>
        <w:t>项目运行过程中对地下水环境存在潜在污染风险的区域主要为危废间、生产生活污水处理设施水池等。按照《环境影响评价技术导则-地下水环境》（HJ610-2016）中的防渗要求对厂区进行分区防渗设计，厂区做好污染防渗措施，并在运行期加强维护和管理的情况下，项目正常运行过程中产生的污废水、固废等污染物发生渗漏的可能性较小，项目建设运营对地下水环境的影响是可控的。</w:t>
      </w:r>
    </w:p>
    <w:p>
      <w:pPr>
        <w:ind w:firstLine="480"/>
        <w:rPr>
          <w:rFonts w:cs="Times New Roman"/>
          <w:kern w:val="0"/>
        </w:rPr>
      </w:pPr>
      <w:r>
        <w:rPr>
          <w:rFonts w:cs="Times New Roman"/>
          <w:kern w:val="0"/>
        </w:rPr>
        <w:t>在污水池防渗层出现破损或破裂，污染物发生渗漏的非正常状况下，随着时间的增加，污染物通过防渗层发生渗漏的量会逐渐增加，渗漏进入含水层中的污染物的迁移扩散距离越来越大。污染物运移1000d 后，污染物在地下水环境中的最大迁移扩散距离约为357m，随着时间的增加，污染物在含水层中的迁移扩散距离还会增大，会对项目区及其地下水下游的地下水环境造成不同程度的污染。在防渗层出现破损或破裂，污染物发生渗漏的非正常状况下，污染物运移1000d内，白象河水质基本不受影响。为了确保村民饮用水和用水安全及保障用水水质不降低，建设单位应做好污水池防渗措施，运行期加强维护和管理，减少污废水、固废、油类等发生渗漏或泄露的可能性，定期检修，发现泄漏及时采取补救措施。同时，加强对白象河及众拱村水质监测，发现水质异常，及时找出原因并采取补救措施，则项目的建设运行对敏感点的污染的风险是可控的。</w:t>
      </w:r>
    </w:p>
    <w:p>
      <w:pPr>
        <w:ind w:firstLine="480"/>
        <w:rPr>
          <w:rFonts w:cs="Times New Roman"/>
          <w:kern w:val="0"/>
          <w:szCs w:val="20"/>
        </w:rPr>
      </w:pPr>
      <w:r>
        <w:rPr>
          <w:rFonts w:cs="Times New Roman"/>
          <w:kern w:val="0"/>
        </w:rPr>
        <w:t>总体来水，项目为陶瓷生产项目，项目具有完备的供水系统、循环水系统和污水处理系统。正常工况下，厂区生产水</w:t>
      </w:r>
      <w:r>
        <w:rPr>
          <w:rFonts w:hint="eastAsia" w:cs="Times New Roman"/>
          <w:kern w:val="0"/>
        </w:rPr>
        <w:t>废水</w:t>
      </w:r>
      <w:r>
        <w:rPr>
          <w:rFonts w:cs="Times New Roman"/>
          <w:kern w:val="0"/>
        </w:rPr>
        <w:t>全部循环再利用不外排，不会对地下水造成影响。但在非正常工况或者事故状态下，如生活污水泄漏等情况下，污染物和废水会渗入地下，对地下水造成污染。在厂区采用分区污染防渗措施、运行期加强维护、管理和对敏感点进行定期地下水监测的情况下，污废水、固废和油类发生渗漏或泄露的可行性较小，项目的建设运营对下水环境的影响是可控和可接受的</w:t>
      </w:r>
      <w:r>
        <w:rPr>
          <w:rFonts w:cs="Times New Roman"/>
          <w:kern w:val="0"/>
          <w:szCs w:val="20"/>
        </w:rPr>
        <w:t>。</w:t>
      </w:r>
    </w:p>
    <w:p>
      <w:pPr>
        <w:pStyle w:val="4"/>
        <w:adjustRightInd w:val="0"/>
        <w:snapToGrid w:val="0"/>
        <w:jc w:val="left"/>
        <w:rPr>
          <w:rFonts w:cs="Times New Roman"/>
          <w:szCs w:val="24"/>
        </w:rPr>
      </w:pPr>
      <w:bookmarkStart w:id="262" w:name="_Toc86611373"/>
      <w:r>
        <w:rPr>
          <w:rFonts w:cs="Times New Roman"/>
          <w:szCs w:val="24"/>
        </w:rPr>
        <w:t>9.3.4 噪声影响分析结论</w:t>
      </w:r>
      <w:bookmarkEnd w:id="262"/>
    </w:p>
    <w:p>
      <w:pPr>
        <w:ind w:firstLine="480"/>
        <w:rPr>
          <w:rFonts w:cs="Times New Roman"/>
          <w:kern w:val="0"/>
          <w:szCs w:val="20"/>
        </w:rPr>
      </w:pPr>
      <w:r>
        <w:rPr>
          <w:rFonts w:cs="Times New Roman"/>
          <w:kern w:val="0"/>
          <w:szCs w:val="20"/>
        </w:rPr>
        <w:t>项目对空气动力性噪声装消声器、设置独立封闭空间，机械动力性噪声采用封闭式厂房隔声及设减振垫，在工程全建成的情况下，根据场界噪声预测结果，运营期厂界昼间夜间东南西北厂界噪声贡献值能达到《工业企业厂界环境噪声排放标准》3 类标准。项目运营后应严格执行防治噪声措施，尽量选用低噪声设备，同时做好绿化、围挡措施，可以减少设备噪声对厂界外声环境的影响；厂界噪声对周边环境敏感目标影响不大。</w:t>
      </w:r>
    </w:p>
    <w:p>
      <w:pPr>
        <w:pStyle w:val="4"/>
        <w:adjustRightInd w:val="0"/>
        <w:snapToGrid w:val="0"/>
        <w:jc w:val="left"/>
        <w:rPr>
          <w:rFonts w:cs="Times New Roman"/>
          <w:szCs w:val="24"/>
        </w:rPr>
      </w:pPr>
      <w:bookmarkStart w:id="263" w:name="_Toc86611374"/>
      <w:r>
        <w:rPr>
          <w:rFonts w:cs="Times New Roman"/>
          <w:szCs w:val="24"/>
        </w:rPr>
        <w:t>9.3.5 固废影响分析结论</w:t>
      </w:r>
      <w:bookmarkEnd w:id="263"/>
    </w:p>
    <w:p>
      <w:pPr>
        <w:ind w:firstLine="480"/>
        <w:rPr>
          <w:rFonts w:cs="Times New Roman"/>
          <w:kern w:val="0"/>
          <w:szCs w:val="20"/>
        </w:rPr>
      </w:pPr>
      <w:r>
        <w:rPr>
          <w:rFonts w:cs="Times New Roman"/>
          <w:kern w:val="0"/>
          <w:szCs w:val="20"/>
        </w:rPr>
        <w:t>该项目运营期产生的各类固废均得到了妥善的处置，不外排，且各类固废的处理措施均可行，因此固废对环境的影响不大。</w:t>
      </w:r>
    </w:p>
    <w:p>
      <w:pPr>
        <w:pStyle w:val="4"/>
        <w:adjustRightInd w:val="0"/>
        <w:snapToGrid w:val="0"/>
        <w:jc w:val="left"/>
        <w:rPr>
          <w:rFonts w:cs="Times New Roman"/>
          <w:szCs w:val="24"/>
        </w:rPr>
      </w:pPr>
      <w:bookmarkStart w:id="264" w:name="_Toc86611375"/>
      <w:r>
        <w:rPr>
          <w:rFonts w:cs="Times New Roman"/>
          <w:szCs w:val="24"/>
        </w:rPr>
        <w:t>9.3.6 土壤环境影响分析结论</w:t>
      </w:r>
      <w:bookmarkEnd w:id="264"/>
    </w:p>
    <w:p>
      <w:pPr>
        <w:autoSpaceDE w:val="0"/>
        <w:autoSpaceDN w:val="0"/>
        <w:adjustRightInd w:val="0"/>
        <w:ind w:firstLine="480"/>
        <w:rPr>
          <w:rFonts w:cs="Times New Roman"/>
          <w:kern w:val="0"/>
          <w:szCs w:val="20"/>
        </w:rPr>
      </w:pPr>
      <w:r>
        <w:rPr>
          <w:rFonts w:hint="eastAsia" w:ascii="宋体" w:hAnsi="宋体" w:cs="宋体"/>
          <w:kern w:val="0"/>
          <w:szCs w:val="20"/>
        </w:rPr>
        <w:t>①</w:t>
      </w:r>
      <w:r>
        <w:rPr>
          <w:rFonts w:cs="Times New Roman"/>
          <w:kern w:val="0"/>
          <w:szCs w:val="20"/>
        </w:rPr>
        <w:t>本项目土壤环境影响评价等级为三级</w:t>
      </w:r>
    </w:p>
    <w:p>
      <w:pPr>
        <w:autoSpaceDE w:val="0"/>
        <w:autoSpaceDN w:val="0"/>
        <w:adjustRightInd w:val="0"/>
        <w:ind w:firstLine="480"/>
        <w:rPr>
          <w:rFonts w:cs="Times New Roman"/>
          <w:kern w:val="0"/>
          <w:szCs w:val="20"/>
        </w:rPr>
      </w:pPr>
      <w:r>
        <w:rPr>
          <w:rFonts w:hint="eastAsia" w:ascii="宋体" w:hAnsi="宋体" w:cs="宋体"/>
          <w:kern w:val="0"/>
          <w:szCs w:val="20"/>
        </w:rPr>
        <w:t>②</w:t>
      </w:r>
      <w:r>
        <w:rPr>
          <w:rFonts w:cs="Times New Roman"/>
          <w:kern w:val="0"/>
          <w:szCs w:val="20"/>
        </w:rPr>
        <w:t>正常状况下，本项目建成后对各关心点农作物的影响将是有限的；由于采取了严格的防渗措施，不会因污水下渗造成土壤污染。污水处理设施泄漏非正常状况下，污水通过污水池裂缝进入土壤，将会造成土壤污染。</w:t>
      </w:r>
    </w:p>
    <w:p>
      <w:pPr>
        <w:pStyle w:val="4"/>
        <w:adjustRightInd w:val="0"/>
        <w:snapToGrid w:val="0"/>
        <w:jc w:val="left"/>
        <w:rPr>
          <w:rFonts w:cs="Times New Roman"/>
          <w:szCs w:val="24"/>
        </w:rPr>
      </w:pPr>
      <w:bookmarkStart w:id="265" w:name="_Toc86611376"/>
      <w:r>
        <w:rPr>
          <w:rFonts w:cs="Times New Roman"/>
          <w:szCs w:val="24"/>
        </w:rPr>
        <w:t>9.3.7 生态环境影响分析结论</w:t>
      </w:r>
      <w:bookmarkEnd w:id="265"/>
    </w:p>
    <w:p>
      <w:pPr>
        <w:autoSpaceDE w:val="0"/>
        <w:autoSpaceDN w:val="0"/>
        <w:adjustRightInd w:val="0"/>
        <w:ind w:firstLine="480"/>
        <w:rPr>
          <w:rFonts w:cs="Times New Roman"/>
          <w:kern w:val="0"/>
        </w:rPr>
      </w:pPr>
      <w:r>
        <w:rPr>
          <w:rFonts w:cs="Times New Roman"/>
          <w:kern w:val="0"/>
        </w:rPr>
        <w:t>项目位于工业园区，项目建设对区域生态环境的影响范围和影响程度均较小，实际运行过程中排放污染物量小，项目运营对生态环境的影响是可以接受的。</w:t>
      </w:r>
    </w:p>
    <w:p>
      <w:pPr>
        <w:pStyle w:val="4"/>
        <w:adjustRightInd w:val="0"/>
        <w:snapToGrid w:val="0"/>
        <w:jc w:val="left"/>
        <w:rPr>
          <w:rFonts w:cs="Times New Roman"/>
          <w:szCs w:val="24"/>
        </w:rPr>
      </w:pPr>
      <w:bookmarkStart w:id="266" w:name="_Toc86611377"/>
      <w:r>
        <w:rPr>
          <w:rFonts w:cs="Times New Roman"/>
          <w:szCs w:val="24"/>
        </w:rPr>
        <w:t>9.3.8 环境风险影响分析结论</w:t>
      </w:r>
      <w:bookmarkEnd w:id="266"/>
    </w:p>
    <w:p>
      <w:pPr>
        <w:ind w:firstLine="480"/>
        <w:rPr>
          <w:rFonts w:cs="Times New Roman"/>
        </w:rPr>
      </w:pPr>
      <w:r>
        <w:rPr>
          <w:rFonts w:cs="Times New Roman"/>
        </w:rPr>
        <w:t>本工程生产过程中使用和贮存一定量的易燃易爆的</w:t>
      </w:r>
      <w:r>
        <w:rPr>
          <w:rFonts w:hint="eastAsia" w:cs="Times New Roman"/>
        </w:rPr>
        <w:t>天然气</w:t>
      </w:r>
      <w:r>
        <w:rPr>
          <w:rFonts w:cs="Times New Roman"/>
        </w:rPr>
        <w:t>，根据物料危害和源项分析，一氧化碳、硫化氢、甲烷和</w:t>
      </w:r>
      <w:r>
        <w:rPr>
          <w:rFonts w:hint="eastAsia" w:cs="Times New Roman"/>
        </w:rPr>
        <w:t>天然气</w:t>
      </w:r>
      <w:r>
        <w:rPr>
          <w:rFonts w:cs="Times New Roman"/>
        </w:rPr>
        <w:t>是主要危险污染物。根据分析，</w:t>
      </w:r>
      <w:r>
        <w:rPr>
          <w:rFonts w:hint="eastAsia" w:cs="Times New Roman"/>
        </w:rPr>
        <w:t>天然气</w:t>
      </w:r>
      <w:r>
        <w:rPr>
          <w:rFonts w:cs="Times New Roman"/>
        </w:rPr>
        <w:t>泄漏可能会造成人员伤亡，风险程度是人们所关心的，其风险程度在可接受范围之内。本次环评提出了风险防范措施，以便在发生风险事故时，能以最快的速度发挥最大的能效，有序的实施救援，尽快控制事态的发展，降低事故对人群造成的危害，削减对环境产生的不利影响。项目在采取风险管理、防范、减缓措施，并制定风险事故应急预案后，其存在的环境风险基本在可以接受的范围内。建设单位应该尽快编制本工程的《突发环境风险应急预案》并报当地环保部门备案。</w:t>
      </w:r>
    </w:p>
    <w:p>
      <w:pPr>
        <w:pStyle w:val="3"/>
        <w:rPr>
          <w:rFonts w:cs="Times New Roman"/>
          <w:szCs w:val="30"/>
        </w:rPr>
      </w:pPr>
      <w:bookmarkStart w:id="267" w:name="_Toc16968"/>
      <w:bookmarkStart w:id="268" w:name="_Toc86611378"/>
      <w:r>
        <w:rPr>
          <w:rFonts w:cs="Times New Roman"/>
          <w:szCs w:val="30"/>
        </w:rPr>
        <w:t>9.4与政策、规划的符合性</w:t>
      </w:r>
      <w:bookmarkEnd w:id="267"/>
      <w:bookmarkEnd w:id="268"/>
    </w:p>
    <w:p>
      <w:pPr>
        <w:widowControl/>
        <w:ind w:firstLine="597" w:firstLineChars="249"/>
        <w:rPr>
          <w:rFonts w:cs="Times New Roman"/>
          <w:kern w:val="0"/>
        </w:rPr>
      </w:pPr>
      <w:bookmarkStart w:id="269" w:name="_Toc517522374"/>
      <w:r>
        <w:rPr>
          <w:rFonts w:cs="Times New Roman"/>
          <w:kern w:val="0"/>
        </w:rPr>
        <w:t>本项目符合《产业结构调整指导目录（2011年本）2013修正》、《</w:t>
      </w:r>
      <w:r>
        <w:rPr>
          <w:rFonts w:cs="Times New Roman"/>
        </w:rPr>
        <w:t>建筑卫生陶瓷行业准入标准</w:t>
      </w:r>
      <w:r>
        <w:rPr>
          <w:rFonts w:cs="Times New Roman"/>
          <w:kern w:val="0"/>
        </w:rPr>
        <w:t>》、</w:t>
      </w:r>
      <w:r>
        <w:rPr>
          <w:rFonts w:cs="Times New Roman"/>
        </w:rPr>
        <w:t>《</w:t>
      </w:r>
      <w:r>
        <w:rPr>
          <w:rFonts w:cs="Times New Roman" w:eastAsiaTheme="majorEastAsia"/>
        </w:rPr>
        <w:t>“</w:t>
      </w:r>
      <w:r>
        <w:rPr>
          <w:rFonts w:cs="Times New Roman"/>
        </w:rPr>
        <w:t>十三五”生态环境保护规划》、“水十条”、“大气十条”、“土十条”等</w:t>
      </w:r>
      <w:r>
        <w:rPr>
          <w:rFonts w:cs="Times New Roman"/>
          <w:kern w:val="0"/>
        </w:rPr>
        <w:t>相关规定和要求。</w:t>
      </w:r>
    </w:p>
    <w:p>
      <w:pPr>
        <w:widowControl/>
        <w:ind w:firstLine="597" w:firstLineChars="249"/>
        <w:rPr>
          <w:rFonts w:cs="Times New Roman"/>
          <w:kern w:val="0"/>
        </w:rPr>
      </w:pPr>
      <w:r>
        <w:rPr>
          <w:rFonts w:cs="Times New Roman"/>
          <w:kern w:val="0"/>
        </w:rPr>
        <w:t>本项目符合</w:t>
      </w:r>
      <w:r>
        <w:rPr>
          <w:rFonts w:cs="Times New Roman"/>
          <w:bCs/>
          <w:kern w:val="0"/>
        </w:rPr>
        <w:t>《湖南省主体功能区规划》、《湖南省湘江保护条例》《湖南省“十</w:t>
      </w:r>
      <w:r>
        <w:rPr>
          <w:rFonts w:hint="eastAsia" w:cs="Times New Roman"/>
          <w:bCs/>
          <w:kern w:val="0"/>
        </w:rPr>
        <w:t>四</w:t>
      </w:r>
      <w:r>
        <w:rPr>
          <w:rFonts w:cs="Times New Roman"/>
          <w:bCs/>
          <w:kern w:val="0"/>
        </w:rPr>
        <w:t>五”</w:t>
      </w:r>
      <w:r>
        <w:rPr>
          <w:rFonts w:hint="eastAsia" w:cs="Times New Roman"/>
          <w:bCs/>
          <w:kern w:val="0"/>
        </w:rPr>
        <w:t>生态环境保护</w:t>
      </w:r>
      <w:r>
        <w:rPr>
          <w:rFonts w:cs="Times New Roman"/>
          <w:bCs/>
          <w:kern w:val="0"/>
        </w:rPr>
        <w:t>规划</w:t>
      </w:r>
      <w:r>
        <w:rPr>
          <w:rFonts w:hint="eastAsia" w:cs="Times New Roman"/>
          <w:bCs/>
          <w:kern w:val="0"/>
        </w:rPr>
        <w:t>（征求意见稿）</w:t>
      </w:r>
      <w:r>
        <w:rPr>
          <w:rFonts w:cs="Times New Roman"/>
          <w:bCs/>
          <w:kern w:val="0"/>
        </w:rPr>
        <w:t>》、《衡阳县城市总体规划（2006-2020年）2013年修订》</w:t>
      </w:r>
      <w:r>
        <w:rPr>
          <w:rFonts w:cs="Times New Roman"/>
          <w:kern w:val="0"/>
        </w:rPr>
        <w:t>等规定和文件要求。</w:t>
      </w:r>
    </w:p>
    <w:p>
      <w:pPr>
        <w:pStyle w:val="3"/>
        <w:rPr>
          <w:rFonts w:cs="Times New Roman"/>
          <w:szCs w:val="30"/>
        </w:rPr>
      </w:pPr>
      <w:bookmarkStart w:id="270" w:name="_Toc29566"/>
      <w:bookmarkStart w:id="271" w:name="_Toc86611379"/>
      <w:r>
        <w:rPr>
          <w:rFonts w:cs="Times New Roman"/>
          <w:szCs w:val="30"/>
        </w:rPr>
        <w:t>9.5 “三线一单”符合性分析</w:t>
      </w:r>
      <w:bookmarkEnd w:id="270"/>
      <w:bookmarkEnd w:id="271"/>
    </w:p>
    <w:p>
      <w:pPr>
        <w:widowControl/>
        <w:ind w:firstLine="480"/>
        <w:rPr>
          <w:rFonts w:cs="Times New Roman"/>
        </w:rPr>
      </w:pPr>
      <w:r>
        <w:rPr>
          <w:rFonts w:cs="Times New Roman"/>
          <w:kern w:val="0"/>
        </w:rPr>
        <w:t>项目选址不位于位于自然保护区、风景名胜区、饮用水源保护地和其他需要特别保护等法律法规禁止开发建设的区域，符合生态红线控制要求，项目建设不会突破所处区域环境质量底线，符合资源利用上线标准，同时符合符合国家及地方相关产业政策。</w:t>
      </w:r>
      <w:r>
        <w:rPr>
          <w:rFonts w:cs="Times New Roman"/>
        </w:rPr>
        <w:t>项目符合“三线一单”相关要求。</w:t>
      </w:r>
    </w:p>
    <w:p>
      <w:pPr>
        <w:pStyle w:val="3"/>
      </w:pPr>
      <w:bookmarkStart w:id="272" w:name="_Toc86611380"/>
      <w:r>
        <w:rPr>
          <w:rFonts w:hint="eastAsia"/>
        </w:rPr>
        <w:t>9</w:t>
      </w:r>
      <w:r>
        <w:t>.6</w:t>
      </w:r>
      <w:r>
        <w:rPr>
          <w:rFonts w:hint="eastAsia"/>
        </w:rPr>
        <w:t>环境制约因素与解决办法</w:t>
      </w:r>
      <w:bookmarkEnd w:id="272"/>
    </w:p>
    <w:p>
      <w:pPr>
        <w:ind w:firstLine="480"/>
        <w:rPr>
          <w:rFonts w:cs="Times New Roman"/>
          <w:u w:val="single"/>
        </w:rPr>
      </w:pPr>
      <w:r>
        <w:rPr>
          <w:rFonts w:hint="eastAsia" w:cs="Times New Roman"/>
          <w:u w:val="single"/>
        </w:rPr>
        <w:t>1、园区禁止使用高、中硫煤等大量增加SO</w:t>
      </w:r>
      <w:r>
        <w:rPr>
          <w:rFonts w:hint="eastAsia" w:cs="Times New Roman"/>
          <w:u w:val="single"/>
          <w:vertAlign w:val="subscript"/>
        </w:rPr>
        <w:t>2</w:t>
      </w:r>
      <w:r>
        <w:rPr>
          <w:rFonts w:hint="eastAsia" w:cs="Times New Roman"/>
          <w:u w:val="single"/>
        </w:rPr>
        <w:t>和TSP排放污染严重的工业项目</w:t>
      </w:r>
    </w:p>
    <w:p>
      <w:pPr>
        <w:ind w:firstLine="480"/>
        <w:rPr>
          <w:rFonts w:cs="Times New Roman"/>
          <w:u w:val="single"/>
        </w:rPr>
      </w:pPr>
      <w:r>
        <w:rPr>
          <w:rFonts w:hint="eastAsia" w:cs="Times New Roman"/>
          <w:u w:val="single"/>
        </w:rPr>
        <w:t>解决办法：项目使用低硫煤（含硫量低于0</w:t>
      </w:r>
      <w:r>
        <w:rPr>
          <w:rFonts w:cs="Times New Roman"/>
          <w:u w:val="single"/>
        </w:rPr>
        <w:t>.35</w:t>
      </w:r>
      <w:r>
        <w:rPr>
          <w:rFonts w:hint="eastAsia" w:cs="Times New Roman"/>
          <w:u w:val="single"/>
        </w:rPr>
        <w:t>%），且项目采用脱硫除尘设施后SO</w:t>
      </w:r>
      <w:r>
        <w:rPr>
          <w:rFonts w:cs="Times New Roman"/>
          <w:u w:val="single"/>
          <w:vertAlign w:val="subscript"/>
        </w:rPr>
        <w:t>2</w:t>
      </w:r>
      <w:r>
        <w:rPr>
          <w:rFonts w:hint="eastAsia" w:cs="Times New Roman"/>
          <w:u w:val="single"/>
        </w:rPr>
        <w:t>和颗粒物排放量大大降低，不属于大量增加SO</w:t>
      </w:r>
      <w:r>
        <w:rPr>
          <w:rFonts w:cs="Times New Roman"/>
          <w:u w:val="single"/>
          <w:vertAlign w:val="subscript"/>
        </w:rPr>
        <w:t>2</w:t>
      </w:r>
      <w:r>
        <w:rPr>
          <w:rFonts w:hint="eastAsia" w:cs="Times New Roman"/>
          <w:u w:val="single"/>
        </w:rPr>
        <w:t>和TSP排放污染严重的工业项目。</w:t>
      </w:r>
    </w:p>
    <w:p>
      <w:pPr>
        <w:ind w:firstLine="480"/>
        <w:rPr>
          <w:rFonts w:cs="Times New Roman"/>
          <w:u w:val="single"/>
        </w:rPr>
      </w:pPr>
      <w:r>
        <w:rPr>
          <w:rFonts w:hint="eastAsia" w:cs="Times New Roman"/>
          <w:u w:val="single"/>
        </w:rPr>
        <w:t>2、根据《湖南省“蓝天保卫战”实施方案》的相关要求，补充项目SO2、NOx污染物两倍削减替代方案</w:t>
      </w:r>
    </w:p>
    <w:p>
      <w:pPr>
        <w:ind w:firstLine="480"/>
        <w:rPr>
          <w:rFonts w:cs="Times New Roman"/>
          <w:kern w:val="0"/>
        </w:rPr>
      </w:pPr>
      <w:r>
        <w:rPr>
          <w:rFonts w:hint="eastAsia" w:cs="Times New Roman"/>
          <w:u w:val="single"/>
        </w:rPr>
        <w:t>解决办法：根据衡阳市生态环境局提供资料，项目SO</w:t>
      </w:r>
      <w:r>
        <w:rPr>
          <w:rFonts w:cs="Times New Roman"/>
          <w:u w:val="single"/>
          <w:vertAlign w:val="subscript"/>
        </w:rPr>
        <w:t>2</w:t>
      </w:r>
      <w:r>
        <w:rPr>
          <w:rFonts w:hint="eastAsia" w:cs="Times New Roman"/>
          <w:u w:val="single"/>
        </w:rPr>
        <w:t>和NO</w:t>
      </w:r>
      <w:r>
        <w:rPr>
          <w:rFonts w:hint="eastAsia" w:cs="Times New Roman"/>
          <w:u w:val="single"/>
          <w:vertAlign w:val="subscript"/>
        </w:rPr>
        <w:t>x</w:t>
      </w:r>
      <w:r>
        <w:rPr>
          <w:rFonts w:hint="eastAsia" w:cs="Times New Roman"/>
          <w:u w:val="single"/>
        </w:rPr>
        <w:t>削减源可从衡阳县淘汰的板市乡子园砖厂、西渡镇宏伟砖厂、西渡镇咸育砖厂、演陂镇正源砖厂、渣江镇油库砖厂、渣江镇河西砖厂、大安乡上升砖厂等7家砖厂及衡阳县1</w:t>
      </w:r>
      <w:r>
        <w:rPr>
          <w:rFonts w:cs="Times New Roman"/>
          <w:u w:val="single"/>
        </w:rPr>
        <w:t>4</w:t>
      </w:r>
      <w:r>
        <w:rPr>
          <w:rFonts w:hint="eastAsia" w:cs="Times New Roman"/>
          <w:u w:val="single"/>
        </w:rPr>
        <w:t>家砖厂通过采取措施后削减SO</w:t>
      </w:r>
      <w:r>
        <w:rPr>
          <w:rFonts w:cs="Times New Roman"/>
          <w:u w:val="single"/>
          <w:vertAlign w:val="subscript"/>
        </w:rPr>
        <w:t>2</w:t>
      </w:r>
      <w:r>
        <w:rPr>
          <w:rFonts w:hint="eastAsia" w:cs="Times New Roman"/>
          <w:u w:val="single"/>
        </w:rPr>
        <w:t>及NO</w:t>
      </w:r>
      <w:r>
        <w:rPr>
          <w:rFonts w:hint="eastAsia" w:cs="Times New Roman"/>
          <w:u w:val="single"/>
          <w:vertAlign w:val="subscript"/>
        </w:rPr>
        <w:t>x</w:t>
      </w:r>
      <w:r>
        <w:rPr>
          <w:rFonts w:hint="eastAsia" w:cs="Times New Roman"/>
          <w:u w:val="single"/>
        </w:rPr>
        <w:t>获得，并异地削减NO</w:t>
      </w:r>
      <w:r>
        <w:rPr>
          <w:rFonts w:hint="eastAsia" w:cs="Times New Roman"/>
          <w:u w:val="single"/>
          <w:vertAlign w:val="subscript"/>
        </w:rPr>
        <w:t>x</w:t>
      </w:r>
      <w:r>
        <w:rPr>
          <w:rFonts w:cs="Times New Roman"/>
          <w:u w:val="single"/>
        </w:rPr>
        <w:t>756.13</w:t>
      </w:r>
      <w:r>
        <w:rPr>
          <w:rFonts w:hint="eastAsia" w:cs="Times New Roman"/>
          <w:u w:val="single"/>
        </w:rPr>
        <w:t>t</w:t>
      </w:r>
      <w:r>
        <w:rPr>
          <w:rFonts w:cs="Times New Roman"/>
          <w:u w:val="single"/>
        </w:rPr>
        <w:t>/a</w:t>
      </w:r>
      <w:r>
        <w:rPr>
          <w:rFonts w:hint="eastAsia" w:cs="Times New Roman"/>
          <w:u w:val="single"/>
        </w:rPr>
        <w:t>（湖南柳化桂成化工有限公司），可满足本项目倍量削减需求：SO</w:t>
      </w:r>
      <w:r>
        <w:rPr>
          <w:rFonts w:cs="Times New Roman"/>
          <w:u w:val="single"/>
          <w:vertAlign w:val="subscript"/>
        </w:rPr>
        <w:t>2</w:t>
      </w:r>
      <w:r>
        <w:rPr>
          <w:rFonts w:hint="eastAsia" w:cs="Times New Roman"/>
          <w:u w:val="single"/>
        </w:rPr>
        <w:t>：</w:t>
      </w:r>
      <w:r>
        <w:rPr>
          <w:rFonts w:cs="Times New Roman"/>
          <w:u w:val="single"/>
        </w:rPr>
        <w:t>310.32</w:t>
      </w:r>
      <w:r>
        <w:rPr>
          <w:rFonts w:hint="eastAsia" w:cs="Times New Roman"/>
          <w:u w:val="single"/>
        </w:rPr>
        <w:t>t</w:t>
      </w:r>
      <w:r>
        <w:rPr>
          <w:rFonts w:cs="Times New Roman"/>
          <w:u w:val="single"/>
        </w:rPr>
        <w:t>/a</w:t>
      </w:r>
      <w:r>
        <w:rPr>
          <w:rFonts w:hint="eastAsia" w:cs="Times New Roman"/>
          <w:u w:val="single"/>
        </w:rPr>
        <w:t>（项目2倍排放量）、NO</w:t>
      </w:r>
      <w:r>
        <w:rPr>
          <w:rFonts w:hint="eastAsia" w:cs="Times New Roman"/>
          <w:u w:val="single"/>
          <w:vertAlign w:val="subscript"/>
        </w:rPr>
        <w:t>x</w:t>
      </w:r>
      <w:r>
        <w:rPr>
          <w:rFonts w:hint="eastAsia" w:cs="Times New Roman"/>
          <w:u w:val="single"/>
        </w:rPr>
        <w:t>：</w:t>
      </w:r>
      <w:r>
        <w:rPr>
          <w:rFonts w:cs="Times New Roman"/>
          <w:u w:val="single"/>
        </w:rPr>
        <w:t>814.38</w:t>
      </w:r>
      <w:r>
        <w:rPr>
          <w:rFonts w:hint="eastAsia" w:cs="Times New Roman"/>
          <w:u w:val="single"/>
        </w:rPr>
        <w:t>t</w:t>
      </w:r>
      <w:r>
        <w:rPr>
          <w:rFonts w:cs="Times New Roman"/>
          <w:u w:val="single"/>
        </w:rPr>
        <w:t>/a</w:t>
      </w:r>
      <w:r>
        <w:rPr>
          <w:rFonts w:hint="eastAsia" w:cs="Times New Roman"/>
          <w:u w:val="single"/>
        </w:rPr>
        <w:t>（项目2倍排放量）。因此，项目满足倍量削减的要求。</w:t>
      </w:r>
    </w:p>
    <w:p>
      <w:pPr>
        <w:pStyle w:val="3"/>
        <w:rPr>
          <w:rFonts w:cs="Times New Roman"/>
          <w:szCs w:val="30"/>
        </w:rPr>
      </w:pPr>
      <w:bookmarkStart w:id="273" w:name="_Toc26589"/>
      <w:bookmarkStart w:id="274" w:name="_Toc86611381"/>
      <w:r>
        <w:rPr>
          <w:rFonts w:cs="Times New Roman"/>
          <w:szCs w:val="30"/>
        </w:rPr>
        <w:t>9.7 公众意见采纳情况</w:t>
      </w:r>
      <w:bookmarkEnd w:id="273"/>
      <w:bookmarkEnd w:id="274"/>
    </w:p>
    <w:p>
      <w:pPr>
        <w:snapToGrid w:val="0"/>
        <w:ind w:firstLine="480"/>
        <w:rPr>
          <w:rFonts w:cs="Times New Roman"/>
          <w:kern w:val="0"/>
        </w:rPr>
      </w:pPr>
      <w:r>
        <w:rPr>
          <w:rFonts w:cs="Times New Roman"/>
          <w:kern w:val="0"/>
        </w:rPr>
        <w:t>调查结果表明，接受调查的公众均支持项目建设，同时认为建设项目应建立环境管理制度、落实各项环保措施和做好污染防治工作，保护周围的环境，把环境污染的影响降至最低程度。</w:t>
      </w:r>
    </w:p>
    <w:p>
      <w:pPr>
        <w:pStyle w:val="3"/>
        <w:rPr>
          <w:rFonts w:cs="Times New Roman"/>
          <w:szCs w:val="30"/>
        </w:rPr>
      </w:pPr>
      <w:bookmarkStart w:id="275" w:name="_Toc86611382"/>
      <w:bookmarkStart w:id="276" w:name="_Toc21414"/>
      <w:r>
        <w:rPr>
          <w:rFonts w:cs="Times New Roman"/>
          <w:szCs w:val="30"/>
        </w:rPr>
        <w:t>9.8 环境管理与监测计划</w:t>
      </w:r>
      <w:bookmarkEnd w:id="275"/>
      <w:bookmarkEnd w:id="276"/>
    </w:p>
    <w:p>
      <w:pPr>
        <w:snapToGrid w:val="0"/>
        <w:ind w:firstLine="480"/>
        <w:rPr>
          <w:rFonts w:cs="Times New Roman"/>
        </w:rPr>
      </w:pPr>
      <w:r>
        <w:rPr>
          <w:rFonts w:cs="Times New Roman"/>
        </w:rPr>
        <w:t>项目应建立健全的环境管理制度和管理体系，明确责任主体、管理重点，确保各项环境保护设施和措施的建设、运行及维护费用的保障。常宁市和平农业农机专业合作社作为本项目环境管理的责任主体，在日常生产中，要做好相关环境管理的台账记录，定期按照环境监测计划对污染源和环境质量进行监测。</w:t>
      </w:r>
    </w:p>
    <w:p>
      <w:pPr>
        <w:pStyle w:val="3"/>
        <w:rPr>
          <w:rFonts w:cs="Times New Roman"/>
          <w:szCs w:val="30"/>
        </w:rPr>
      </w:pPr>
      <w:bookmarkStart w:id="277" w:name="_Toc21196"/>
      <w:bookmarkStart w:id="278" w:name="_Toc86611383"/>
      <w:r>
        <w:rPr>
          <w:rFonts w:cs="Times New Roman"/>
          <w:szCs w:val="30"/>
        </w:rPr>
        <w:t>9.9 污染物排放总量控制</w:t>
      </w:r>
      <w:bookmarkEnd w:id="277"/>
      <w:bookmarkEnd w:id="278"/>
    </w:p>
    <w:p>
      <w:pPr>
        <w:adjustRightInd w:val="0"/>
        <w:snapToGrid w:val="0"/>
        <w:ind w:firstLine="480"/>
        <w:rPr>
          <w:rFonts w:cs="Times New Roman"/>
          <w:u w:val="single"/>
        </w:rPr>
      </w:pPr>
      <w:r>
        <w:rPr>
          <w:rFonts w:cs="Times New Roman"/>
          <w:u w:val="single"/>
        </w:rPr>
        <w:t>评价按照国家级地方环保部门总量控制的要求，提出项目完成后污染物总量控制建议指标，作为地方环境管理的依据。</w:t>
      </w:r>
    </w:p>
    <w:p>
      <w:pPr>
        <w:ind w:firstLine="480"/>
        <w:rPr>
          <w:rFonts w:cs="Times New Roman"/>
          <w:kern w:val="0"/>
          <w:u w:val="single"/>
        </w:rPr>
      </w:pPr>
      <w:r>
        <w:rPr>
          <w:rFonts w:cs="Times New Roman"/>
          <w:kern w:val="0"/>
          <w:u w:val="single"/>
        </w:rPr>
        <w:t>本项目建成投产后，总量控制指标SO</w:t>
      </w:r>
      <w:r>
        <w:rPr>
          <w:rFonts w:cs="Times New Roman"/>
          <w:kern w:val="0"/>
          <w:u w:val="single"/>
          <w:vertAlign w:val="subscript"/>
        </w:rPr>
        <w:t>2</w:t>
      </w:r>
      <w:r>
        <w:rPr>
          <w:rFonts w:cs="Times New Roman"/>
          <w:kern w:val="0"/>
          <w:u w:val="single"/>
        </w:rPr>
        <w:t>、NO</w:t>
      </w:r>
      <w:r>
        <w:rPr>
          <w:rFonts w:cs="Times New Roman"/>
          <w:kern w:val="0"/>
          <w:u w:val="single"/>
          <w:vertAlign w:val="subscript"/>
        </w:rPr>
        <w:t>X</w:t>
      </w:r>
      <w:r>
        <w:rPr>
          <w:rFonts w:cs="Times New Roman"/>
          <w:kern w:val="0"/>
          <w:u w:val="single"/>
        </w:rPr>
        <w:t>。本项目建议的总量指标为SO</w:t>
      </w:r>
      <w:r>
        <w:rPr>
          <w:rFonts w:cs="Times New Roman"/>
          <w:kern w:val="0"/>
          <w:u w:val="single"/>
          <w:vertAlign w:val="subscript"/>
        </w:rPr>
        <w:t>2</w:t>
      </w:r>
      <w:r>
        <w:rPr>
          <w:rFonts w:cs="Times New Roman"/>
          <w:kern w:val="0"/>
          <w:u w:val="single"/>
        </w:rPr>
        <w:t>为155.16吨/年、NOx为407.19吨/年，具体由衡阳县环保局核定。</w:t>
      </w:r>
    </w:p>
    <w:p>
      <w:pPr>
        <w:pStyle w:val="3"/>
        <w:rPr>
          <w:rFonts w:cs="Times New Roman"/>
          <w:szCs w:val="30"/>
        </w:rPr>
      </w:pPr>
      <w:bookmarkStart w:id="279" w:name="_Toc30284"/>
      <w:bookmarkStart w:id="280" w:name="_Toc86611384"/>
      <w:r>
        <w:rPr>
          <w:rFonts w:cs="Times New Roman"/>
          <w:szCs w:val="30"/>
        </w:rPr>
        <w:t>9.9 总结论</w:t>
      </w:r>
      <w:bookmarkEnd w:id="279"/>
      <w:bookmarkEnd w:id="280"/>
    </w:p>
    <w:bookmarkEnd w:id="269"/>
    <w:p>
      <w:pPr>
        <w:pStyle w:val="71"/>
        <w:ind w:firstLine="480"/>
      </w:pPr>
      <w:bookmarkStart w:id="281" w:name="_Hlk76114980"/>
      <w:bookmarkStart w:id="282" w:name="_Toc517522375"/>
      <w:r>
        <w:t>湖南将军新型建材生产项目</w:t>
      </w:r>
      <w:bookmarkEnd w:id="281"/>
      <w:r>
        <w:t>符合国家相关法律法规、国家和地方相关产业政策和衡阳市、衡阳县相关文件精神要求；建设项目选址合理。在落实本项目提出的整改措施的前提下，各种污染物可稳定达标排放和合理处置且满足总量控制要求，从预测的结果来看本项目造成的环境影响相对较小，不会明显改变项目所在地区域环境质量。</w:t>
      </w:r>
    </w:p>
    <w:p>
      <w:pPr>
        <w:ind w:firstLine="480"/>
        <w:rPr>
          <w:rFonts w:cs="Times New Roman"/>
        </w:rPr>
      </w:pPr>
      <w:r>
        <w:rPr>
          <w:rFonts w:cs="Times New Roman"/>
        </w:rPr>
        <w:t>根据建设方提供的公众参与调查结论，公众对本项目的建设无反对意见。在严格执行环保“三同时”、排污许可制度，落实本环评报告提出的各项环保整改措施的前提下，从环境保护角度分析，本项目的建设是可行的。</w:t>
      </w:r>
    </w:p>
    <w:p>
      <w:pPr>
        <w:pStyle w:val="3"/>
        <w:rPr>
          <w:rFonts w:cs="Times New Roman"/>
          <w:szCs w:val="30"/>
        </w:rPr>
      </w:pPr>
      <w:bookmarkStart w:id="283" w:name="_Toc86611385"/>
      <w:bookmarkStart w:id="284" w:name="_Toc12197"/>
      <w:r>
        <w:rPr>
          <w:rFonts w:cs="Times New Roman"/>
          <w:szCs w:val="30"/>
        </w:rPr>
        <w:t>9.10 建议</w:t>
      </w:r>
      <w:bookmarkEnd w:id="282"/>
      <w:bookmarkEnd w:id="283"/>
      <w:bookmarkEnd w:id="284"/>
    </w:p>
    <w:p>
      <w:pPr>
        <w:pStyle w:val="69"/>
      </w:pPr>
      <w:r>
        <w:t>1、本次评价结论是根据建设单位提供资料、规模，原辅材料用量、工艺设计方案等情况基础上进行的，如果建设营运后其规模、原辅材料用量设计方案等有所变化，建设单位应按环保部门的要求另行申报。</w:t>
      </w:r>
    </w:p>
    <w:p>
      <w:pPr>
        <w:pStyle w:val="69"/>
      </w:pPr>
      <w:r>
        <w:t>2、增强员工环保意识，制订环保设施操作运行规程，建立健全各项环保岗位责任制，强化环保管理，确保环保设施正常稳定运行；加强监督管理，消除事故隐患，防止出现事故性和非正常污染排放。</w:t>
      </w:r>
    </w:p>
    <w:p>
      <w:pPr>
        <w:ind w:firstLine="480"/>
        <w:rPr>
          <w:rFonts w:cs="Times New Roman"/>
        </w:rPr>
      </w:pPr>
      <w:r>
        <w:rPr>
          <w:rFonts w:cs="Times New Roman"/>
        </w:rPr>
        <w:t>3、建设单位应认真贯彻执行有关建设项目环境保护管理文件的精神，建立健全各项环保规章制度，严格执行“三同时”。</w:t>
      </w:r>
    </w:p>
    <w:sectPr>
      <w:pgSz w:w="11906" w:h="16838"/>
      <w:pgMar w:top="1440" w:right="1800" w:bottom="1440" w:left="1800"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font>
  <w:font w:name="Arial Black">
    <w:panose1 w:val="020B0A04020102020204"/>
    <w:charset w:val="00"/>
    <w:family w:val="swiss"/>
    <w:pitch w:val="default"/>
    <w:sig w:usb0="A00002AF" w:usb1="400078FB" w:usb2="00000000" w:usb3="00000000" w:csb0="6000009F" w:csb1="DFD70000"/>
  </w:font>
  <w:font w:name="monospace">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TimesNewRomanPSMT">
    <w:altName w:val="Times New Roman"/>
    <w:panose1 w:val="00000000000000000000"/>
    <w:charset w:val="00"/>
    <w:family w:val="roman"/>
    <w:pitch w:val="default"/>
    <w:sig w:usb0="00000000" w:usb1="00000000" w:usb2="00000010" w:usb3="00000000" w:csb0="00060001" w:csb1="00000000"/>
  </w:font>
  <w:font w:name="等线 Light">
    <w:panose1 w:val="02010600030101010101"/>
    <w:charset w:val="86"/>
    <w:family w:val="auto"/>
    <w:pitch w:val="default"/>
    <w:sig w:usb0="A00002BF" w:usb1="38CF7CFA" w:usb2="00000016" w:usb3="00000000" w:csb0="0004000F"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 w:name="Segoe UI Emoji">
    <w:panose1 w:val="020B0502040204020203"/>
    <w:charset w:val="00"/>
    <w:family w:val="swiss"/>
    <w:pitch w:val="default"/>
    <w:sig w:usb0="00000001"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jc w:val="center"/>
    </w:pPr>
  </w:p>
  <w:p>
    <w:pPr>
      <w:ind w:firstLine="48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03483788"/>
      <w:docPartObj>
        <w:docPartGallery w:val="AutoText"/>
      </w:docPartObj>
    </w:sdtPr>
    <w:sdtContent>
      <w:p>
        <w:pPr>
          <w:ind w:firstLine="480"/>
          <w:jc w:val="center"/>
        </w:pPr>
        <w:r>
          <w:fldChar w:fldCharType="begin"/>
        </w:r>
        <w:r>
          <w:instrText xml:space="preserve">PAGE   \* MERGEFORMAT</w:instrText>
        </w:r>
        <w:r>
          <w:fldChar w:fldCharType="separate"/>
        </w:r>
        <w:r>
          <w:rPr>
            <w:lang w:val="zh-CN"/>
          </w:rPr>
          <w:t>2</w:t>
        </w:r>
        <w:r>
          <w:fldChar w:fldCharType="end"/>
        </w:r>
      </w:p>
    </w:sdtContent>
  </w:sdt>
  <w:p>
    <w:pPr>
      <w:ind w:firstLine="4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lowerLetter"/>
      <w:pStyle w:val="12"/>
      <w:lvlText w:val="%1）"/>
      <w:lvlJc w:val="left"/>
      <w:pPr>
        <w:ind w:left="4902" w:hanging="420"/>
      </w:pPr>
      <w:rPr>
        <w:rFonts w:hint="eastAsia"/>
      </w:rPr>
    </w:lvl>
  </w:abstractNum>
  <w:abstractNum w:abstractNumId="1">
    <w:nsid w:val="FFFFFF89"/>
    <w:multiLevelType w:val="singleLevel"/>
    <w:tmpl w:val="FFFFFF89"/>
    <w:lvl w:ilvl="0" w:tentative="0">
      <w:start w:val="1"/>
      <w:numFmt w:val="bullet"/>
      <w:pStyle w:val="16"/>
      <w:lvlText w:val=""/>
      <w:lvlJc w:val="left"/>
      <w:pPr>
        <w:tabs>
          <w:tab w:val="left" w:pos="360"/>
        </w:tabs>
        <w:ind w:left="360" w:hanging="360"/>
      </w:pPr>
      <w:rPr>
        <w:rFonts w:hint="default" w:ascii="Wingdings" w:hAnsi="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hlYjY2ZmI1ZDA3MzAwNGE1MWQ2ZmRmOGY5M2FjMjcifQ=="/>
  </w:docVars>
  <w:rsids>
    <w:rsidRoot w:val="00637F64"/>
    <w:rsid w:val="00000AFF"/>
    <w:rsid w:val="00001EBB"/>
    <w:rsid w:val="000228A9"/>
    <w:rsid w:val="00023595"/>
    <w:rsid w:val="000245F2"/>
    <w:rsid w:val="00036276"/>
    <w:rsid w:val="000362A1"/>
    <w:rsid w:val="000432C7"/>
    <w:rsid w:val="00044BE8"/>
    <w:rsid w:val="000514FD"/>
    <w:rsid w:val="00056978"/>
    <w:rsid w:val="00076F8D"/>
    <w:rsid w:val="000775E6"/>
    <w:rsid w:val="0008399D"/>
    <w:rsid w:val="000965E3"/>
    <w:rsid w:val="000A0B1F"/>
    <w:rsid w:val="000A1864"/>
    <w:rsid w:val="000B3C19"/>
    <w:rsid w:val="000B646F"/>
    <w:rsid w:val="000C1BDD"/>
    <w:rsid w:val="000C48FD"/>
    <w:rsid w:val="000D0BD2"/>
    <w:rsid w:val="000D3B9D"/>
    <w:rsid w:val="000D4452"/>
    <w:rsid w:val="000E1C77"/>
    <w:rsid w:val="000F00A2"/>
    <w:rsid w:val="000F0835"/>
    <w:rsid w:val="000F7801"/>
    <w:rsid w:val="000F7B5F"/>
    <w:rsid w:val="0010289A"/>
    <w:rsid w:val="00106E74"/>
    <w:rsid w:val="001101A5"/>
    <w:rsid w:val="0013627F"/>
    <w:rsid w:val="00137AB8"/>
    <w:rsid w:val="00140C67"/>
    <w:rsid w:val="00150E2C"/>
    <w:rsid w:val="00151537"/>
    <w:rsid w:val="00153750"/>
    <w:rsid w:val="00155F39"/>
    <w:rsid w:val="0016270B"/>
    <w:rsid w:val="001728EF"/>
    <w:rsid w:val="00174FC2"/>
    <w:rsid w:val="00197469"/>
    <w:rsid w:val="0019790A"/>
    <w:rsid w:val="001A476C"/>
    <w:rsid w:val="001B0759"/>
    <w:rsid w:val="001B2E43"/>
    <w:rsid w:val="001B3E66"/>
    <w:rsid w:val="001B69D7"/>
    <w:rsid w:val="001B7E88"/>
    <w:rsid w:val="001C0F1F"/>
    <w:rsid w:val="001C28BB"/>
    <w:rsid w:val="001D1EAB"/>
    <w:rsid w:val="001E3279"/>
    <w:rsid w:val="001E355F"/>
    <w:rsid w:val="001F029E"/>
    <w:rsid w:val="001F1C95"/>
    <w:rsid w:val="001F515C"/>
    <w:rsid w:val="001F6483"/>
    <w:rsid w:val="00205685"/>
    <w:rsid w:val="00217F84"/>
    <w:rsid w:val="00231119"/>
    <w:rsid w:val="00233A96"/>
    <w:rsid w:val="00236723"/>
    <w:rsid w:val="002375D6"/>
    <w:rsid w:val="00242ED4"/>
    <w:rsid w:val="00256EB5"/>
    <w:rsid w:val="00261406"/>
    <w:rsid w:val="00261490"/>
    <w:rsid w:val="00265151"/>
    <w:rsid w:val="0026577A"/>
    <w:rsid w:val="002702AE"/>
    <w:rsid w:val="0027080B"/>
    <w:rsid w:val="00286648"/>
    <w:rsid w:val="00290F7F"/>
    <w:rsid w:val="002931F8"/>
    <w:rsid w:val="002A2F98"/>
    <w:rsid w:val="002B35F4"/>
    <w:rsid w:val="002C0085"/>
    <w:rsid w:val="002C312E"/>
    <w:rsid w:val="002C5046"/>
    <w:rsid w:val="002F2C9F"/>
    <w:rsid w:val="002F7F07"/>
    <w:rsid w:val="00310648"/>
    <w:rsid w:val="0031436D"/>
    <w:rsid w:val="003233BA"/>
    <w:rsid w:val="00326D6E"/>
    <w:rsid w:val="003319B1"/>
    <w:rsid w:val="003353B6"/>
    <w:rsid w:val="00336C35"/>
    <w:rsid w:val="00342439"/>
    <w:rsid w:val="0034418D"/>
    <w:rsid w:val="003442FE"/>
    <w:rsid w:val="00347AED"/>
    <w:rsid w:val="00356A7F"/>
    <w:rsid w:val="00356CB6"/>
    <w:rsid w:val="0036238D"/>
    <w:rsid w:val="00362A59"/>
    <w:rsid w:val="00362ACD"/>
    <w:rsid w:val="00363D11"/>
    <w:rsid w:val="00366E14"/>
    <w:rsid w:val="0037603F"/>
    <w:rsid w:val="00376A55"/>
    <w:rsid w:val="00380AB4"/>
    <w:rsid w:val="003921F3"/>
    <w:rsid w:val="003A6B22"/>
    <w:rsid w:val="003B6C57"/>
    <w:rsid w:val="003C7ECE"/>
    <w:rsid w:val="003D27B6"/>
    <w:rsid w:val="003D5B34"/>
    <w:rsid w:val="003E505B"/>
    <w:rsid w:val="003E6F30"/>
    <w:rsid w:val="003F15D5"/>
    <w:rsid w:val="003F19EC"/>
    <w:rsid w:val="0040393B"/>
    <w:rsid w:val="00403A25"/>
    <w:rsid w:val="0041499C"/>
    <w:rsid w:val="004275B2"/>
    <w:rsid w:val="00427C8E"/>
    <w:rsid w:val="004346B4"/>
    <w:rsid w:val="004379E6"/>
    <w:rsid w:val="00442543"/>
    <w:rsid w:val="0044610D"/>
    <w:rsid w:val="00455F65"/>
    <w:rsid w:val="00460AF7"/>
    <w:rsid w:val="004618BD"/>
    <w:rsid w:val="00461C1C"/>
    <w:rsid w:val="00471361"/>
    <w:rsid w:val="00481E33"/>
    <w:rsid w:val="004825C5"/>
    <w:rsid w:val="00483706"/>
    <w:rsid w:val="004851A3"/>
    <w:rsid w:val="004A2E6D"/>
    <w:rsid w:val="004A4362"/>
    <w:rsid w:val="004C13F8"/>
    <w:rsid w:val="004C6792"/>
    <w:rsid w:val="004C70CC"/>
    <w:rsid w:val="004D01D3"/>
    <w:rsid w:val="004D066A"/>
    <w:rsid w:val="004D0A48"/>
    <w:rsid w:val="004D30F6"/>
    <w:rsid w:val="004D3EBF"/>
    <w:rsid w:val="004E10CE"/>
    <w:rsid w:val="004E7CBB"/>
    <w:rsid w:val="004F134F"/>
    <w:rsid w:val="004F43D5"/>
    <w:rsid w:val="004F689E"/>
    <w:rsid w:val="004F6E1B"/>
    <w:rsid w:val="004F7BA0"/>
    <w:rsid w:val="00504132"/>
    <w:rsid w:val="00504EAD"/>
    <w:rsid w:val="00506323"/>
    <w:rsid w:val="00506CD5"/>
    <w:rsid w:val="00507FAE"/>
    <w:rsid w:val="00512437"/>
    <w:rsid w:val="00513B9A"/>
    <w:rsid w:val="00525FAC"/>
    <w:rsid w:val="005273F1"/>
    <w:rsid w:val="00547480"/>
    <w:rsid w:val="00551E90"/>
    <w:rsid w:val="0055275F"/>
    <w:rsid w:val="00553EFF"/>
    <w:rsid w:val="005670C4"/>
    <w:rsid w:val="00572540"/>
    <w:rsid w:val="00572E5C"/>
    <w:rsid w:val="00573ED4"/>
    <w:rsid w:val="00574858"/>
    <w:rsid w:val="005860E4"/>
    <w:rsid w:val="00587ACD"/>
    <w:rsid w:val="0059256A"/>
    <w:rsid w:val="005925EB"/>
    <w:rsid w:val="0059345E"/>
    <w:rsid w:val="005A47A1"/>
    <w:rsid w:val="005A61E0"/>
    <w:rsid w:val="005B065C"/>
    <w:rsid w:val="005B0C61"/>
    <w:rsid w:val="005B7FCB"/>
    <w:rsid w:val="005D17A7"/>
    <w:rsid w:val="005D5AC3"/>
    <w:rsid w:val="005E3C1F"/>
    <w:rsid w:val="005E5B94"/>
    <w:rsid w:val="006021EE"/>
    <w:rsid w:val="00610AAE"/>
    <w:rsid w:val="00610B38"/>
    <w:rsid w:val="00612063"/>
    <w:rsid w:val="006126E1"/>
    <w:rsid w:val="006211AC"/>
    <w:rsid w:val="00637F64"/>
    <w:rsid w:val="006419E9"/>
    <w:rsid w:val="006474DE"/>
    <w:rsid w:val="00647EA4"/>
    <w:rsid w:val="00653395"/>
    <w:rsid w:val="0067169F"/>
    <w:rsid w:val="006738DB"/>
    <w:rsid w:val="00674F5C"/>
    <w:rsid w:val="006771EA"/>
    <w:rsid w:val="00681FF1"/>
    <w:rsid w:val="0069631B"/>
    <w:rsid w:val="006B2103"/>
    <w:rsid w:val="006B6D7F"/>
    <w:rsid w:val="006C287D"/>
    <w:rsid w:val="006E20A1"/>
    <w:rsid w:val="006E3F2C"/>
    <w:rsid w:val="006E492F"/>
    <w:rsid w:val="006E6FA7"/>
    <w:rsid w:val="00704592"/>
    <w:rsid w:val="00712211"/>
    <w:rsid w:val="0071507F"/>
    <w:rsid w:val="00721801"/>
    <w:rsid w:val="007246D0"/>
    <w:rsid w:val="00734A88"/>
    <w:rsid w:val="007619DA"/>
    <w:rsid w:val="0076458F"/>
    <w:rsid w:val="00773DC3"/>
    <w:rsid w:val="00777277"/>
    <w:rsid w:val="007847C6"/>
    <w:rsid w:val="007A5774"/>
    <w:rsid w:val="007A5E79"/>
    <w:rsid w:val="007B2897"/>
    <w:rsid w:val="007D0CF3"/>
    <w:rsid w:val="007D15F1"/>
    <w:rsid w:val="007D1DF9"/>
    <w:rsid w:val="007E1160"/>
    <w:rsid w:val="007E201F"/>
    <w:rsid w:val="007E6D67"/>
    <w:rsid w:val="00810A18"/>
    <w:rsid w:val="008306D9"/>
    <w:rsid w:val="00847E2F"/>
    <w:rsid w:val="008603B6"/>
    <w:rsid w:val="00863091"/>
    <w:rsid w:val="0086710A"/>
    <w:rsid w:val="008747B0"/>
    <w:rsid w:val="008757D4"/>
    <w:rsid w:val="008763BC"/>
    <w:rsid w:val="0088440C"/>
    <w:rsid w:val="008861A2"/>
    <w:rsid w:val="008A3D31"/>
    <w:rsid w:val="008B102A"/>
    <w:rsid w:val="008B398F"/>
    <w:rsid w:val="008B647D"/>
    <w:rsid w:val="008C0791"/>
    <w:rsid w:val="008D0356"/>
    <w:rsid w:val="008D40EC"/>
    <w:rsid w:val="008E2124"/>
    <w:rsid w:val="008E29A2"/>
    <w:rsid w:val="008E454B"/>
    <w:rsid w:val="008F22F4"/>
    <w:rsid w:val="008F2980"/>
    <w:rsid w:val="008F2DBF"/>
    <w:rsid w:val="00910D81"/>
    <w:rsid w:val="00910E8C"/>
    <w:rsid w:val="009125B4"/>
    <w:rsid w:val="00920111"/>
    <w:rsid w:val="00927497"/>
    <w:rsid w:val="009469BD"/>
    <w:rsid w:val="00947780"/>
    <w:rsid w:val="009523E5"/>
    <w:rsid w:val="00963813"/>
    <w:rsid w:val="00964D6F"/>
    <w:rsid w:val="009667ED"/>
    <w:rsid w:val="00977C77"/>
    <w:rsid w:val="00982AEC"/>
    <w:rsid w:val="00984C40"/>
    <w:rsid w:val="00985C4D"/>
    <w:rsid w:val="009862CA"/>
    <w:rsid w:val="0099097F"/>
    <w:rsid w:val="00991FAD"/>
    <w:rsid w:val="009A424B"/>
    <w:rsid w:val="009C1685"/>
    <w:rsid w:val="009C1951"/>
    <w:rsid w:val="009C2F16"/>
    <w:rsid w:val="009D0770"/>
    <w:rsid w:val="009D4F48"/>
    <w:rsid w:val="009E3FDE"/>
    <w:rsid w:val="009F137A"/>
    <w:rsid w:val="009F63D9"/>
    <w:rsid w:val="009F76B2"/>
    <w:rsid w:val="00A032C4"/>
    <w:rsid w:val="00A04247"/>
    <w:rsid w:val="00A04C05"/>
    <w:rsid w:val="00A140A0"/>
    <w:rsid w:val="00A233F1"/>
    <w:rsid w:val="00A2400F"/>
    <w:rsid w:val="00A27551"/>
    <w:rsid w:val="00A379DB"/>
    <w:rsid w:val="00A458FE"/>
    <w:rsid w:val="00A52F94"/>
    <w:rsid w:val="00A53052"/>
    <w:rsid w:val="00A6160E"/>
    <w:rsid w:val="00A62E92"/>
    <w:rsid w:val="00A63308"/>
    <w:rsid w:val="00A76AEF"/>
    <w:rsid w:val="00A773C6"/>
    <w:rsid w:val="00A81099"/>
    <w:rsid w:val="00A85778"/>
    <w:rsid w:val="00A91A44"/>
    <w:rsid w:val="00AA6DDA"/>
    <w:rsid w:val="00AB223B"/>
    <w:rsid w:val="00AB3A9A"/>
    <w:rsid w:val="00AB64B5"/>
    <w:rsid w:val="00AC0F22"/>
    <w:rsid w:val="00AC6F2A"/>
    <w:rsid w:val="00AD0A1F"/>
    <w:rsid w:val="00AD37C2"/>
    <w:rsid w:val="00AD5C2F"/>
    <w:rsid w:val="00AD7CAF"/>
    <w:rsid w:val="00AE199A"/>
    <w:rsid w:val="00AE33F5"/>
    <w:rsid w:val="00AE6C94"/>
    <w:rsid w:val="00AE746B"/>
    <w:rsid w:val="00B37466"/>
    <w:rsid w:val="00B43047"/>
    <w:rsid w:val="00B641C8"/>
    <w:rsid w:val="00B67B6D"/>
    <w:rsid w:val="00B7794A"/>
    <w:rsid w:val="00B8459E"/>
    <w:rsid w:val="00B873E4"/>
    <w:rsid w:val="00B95198"/>
    <w:rsid w:val="00B966F3"/>
    <w:rsid w:val="00BA1E03"/>
    <w:rsid w:val="00BA576A"/>
    <w:rsid w:val="00BA6958"/>
    <w:rsid w:val="00BB00B3"/>
    <w:rsid w:val="00BC6199"/>
    <w:rsid w:val="00BC6BD5"/>
    <w:rsid w:val="00BF0228"/>
    <w:rsid w:val="00BF08E7"/>
    <w:rsid w:val="00C12EAA"/>
    <w:rsid w:val="00C21350"/>
    <w:rsid w:val="00C310D7"/>
    <w:rsid w:val="00C52441"/>
    <w:rsid w:val="00C54E55"/>
    <w:rsid w:val="00C70BF3"/>
    <w:rsid w:val="00C76446"/>
    <w:rsid w:val="00C77452"/>
    <w:rsid w:val="00C806C6"/>
    <w:rsid w:val="00C8461F"/>
    <w:rsid w:val="00C84ADB"/>
    <w:rsid w:val="00C954E2"/>
    <w:rsid w:val="00C9559D"/>
    <w:rsid w:val="00C96410"/>
    <w:rsid w:val="00CA4450"/>
    <w:rsid w:val="00CB0710"/>
    <w:rsid w:val="00CB61F4"/>
    <w:rsid w:val="00CB7AC0"/>
    <w:rsid w:val="00CC12EE"/>
    <w:rsid w:val="00CC6E3F"/>
    <w:rsid w:val="00CD108B"/>
    <w:rsid w:val="00CD1712"/>
    <w:rsid w:val="00CD4DBB"/>
    <w:rsid w:val="00CD5EF8"/>
    <w:rsid w:val="00CE0D07"/>
    <w:rsid w:val="00CF3ADE"/>
    <w:rsid w:val="00CF6021"/>
    <w:rsid w:val="00D04BAF"/>
    <w:rsid w:val="00D06344"/>
    <w:rsid w:val="00D065C0"/>
    <w:rsid w:val="00D0679B"/>
    <w:rsid w:val="00D17421"/>
    <w:rsid w:val="00D21CA0"/>
    <w:rsid w:val="00D21FC9"/>
    <w:rsid w:val="00D22E22"/>
    <w:rsid w:val="00D271C6"/>
    <w:rsid w:val="00D40510"/>
    <w:rsid w:val="00D41B13"/>
    <w:rsid w:val="00D4413B"/>
    <w:rsid w:val="00D635D5"/>
    <w:rsid w:val="00D639D1"/>
    <w:rsid w:val="00D83E09"/>
    <w:rsid w:val="00D8583E"/>
    <w:rsid w:val="00D8602E"/>
    <w:rsid w:val="00D90A11"/>
    <w:rsid w:val="00D913ED"/>
    <w:rsid w:val="00D95BCB"/>
    <w:rsid w:val="00DA6A29"/>
    <w:rsid w:val="00DB203E"/>
    <w:rsid w:val="00DB4AD4"/>
    <w:rsid w:val="00DB4F67"/>
    <w:rsid w:val="00DB6547"/>
    <w:rsid w:val="00DB7927"/>
    <w:rsid w:val="00DD2883"/>
    <w:rsid w:val="00DD2CD6"/>
    <w:rsid w:val="00DD321A"/>
    <w:rsid w:val="00DD3518"/>
    <w:rsid w:val="00DD57DA"/>
    <w:rsid w:val="00DE1032"/>
    <w:rsid w:val="00DE1B58"/>
    <w:rsid w:val="00DE77FE"/>
    <w:rsid w:val="00DF1692"/>
    <w:rsid w:val="00DF71B9"/>
    <w:rsid w:val="00E076D1"/>
    <w:rsid w:val="00E10F25"/>
    <w:rsid w:val="00E148D5"/>
    <w:rsid w:val="00E322DC"/>
    <w:rsid w:val="00E41D0B"/>
    <w:rsid w:val="00E507BB"/>
    <w:rsid w:val="00E555BF"/>
    <w:rsid w:val="00E6152C"/>
    <w:rsid w:val="00E621FD"/>
    <w:rsid w:val="00E75F95"/>
    <w:rsid w:val="00E77BF8"/>
    <w:rsid w:val="00E77D55"/>
    <w:rsid w:val="00E81856"/>
    <w:rsid w:val="00E87E5E"/>
    <w:rsid w:val="00E92B06"/>
    <w:rsid w:val="00E96DAA"/>
    <w:rsid w:val="00EA48D9"/>
    <w:rsid w:val="00EA5EC3"/>
    <w:rsid w:val="00EA723A"/>
    <w:rsid w:val="00EB0E39"/>
    <w:rsid w:val="00EC3375"/>
    <w:rsid w:val="00EC42F1"/>
    <w:rsid w:val="00EC46D7"/>
    <w:rsid w:val="00ED1BDB"/>
    <w:rsid w:val="00ED2D88"/>
    <w:rsid w:val="00ED4AC0"/>
    <w:rsid w:val="00ED6D41"/>
    <w:rsid w:val="00ED6D46"/>
    <w:rsid w:val="00ED7ED9"/>
    <w:rsid w:val="00F11A33"/>
    <w:rsid w:val="00F17B46"/>
    <w:rsid w:val="00F21493"/>
    <w:rsid w:val="00F3373F"/>
    <w:rsid w:val="00F344C6"/>
    <w:rsid w:val="00F355DC"/>
    <w:rsid w:val="00F365AA"/>
    <w:rsid w:val="00F47A29"/>
    <w:rsid w:val="00F51104"/>
    <w:rsid w:val="00F51B5F"/>
    <w:rsid w:val="00F52117"/>
    <w:rsid w:val="00F61584"/>
    <w:rsid w:val="00F63B73"/>
    <w:rsid w:val="00F645B0"/>
    <w:rsid w:val="00F70EA2"/>
    <w:rsid w:val="00F732AD"/>
    <w:rsid w:val="00F80184"/>
    <w:rsid w:val="00F802ED"/>
    <w:rsid w:val="00F80CCE"/>
    <w:rsid w:val="00F87DD5"/>
    <w:rsid w:val="00F92FB4"/>
    <w:rsid w:val="00F93857"/>
    <w:rsid w:val="00F97B0E"/>
    <w:rsid w:val="00FA3161"/>
    <w:rsid w:val="00FA52E9"/>
    <w:rsid w:val="00FA5CD1"/>
    <w:rsid w:val="00FB00F8"/>
    <w:rsid w:val="00FB29A1"/>
    <w:rsid w:val="00FB5295"/>
    <w:rsid w:val="00FB5E17"/>
    <w:rsid w:val="00FC30C8"/>
    <w:rsid w:val="00FC45F2"/>
    <w:rsid w:val="00FC4DD8"/>
    <w:rsid w:val="00FC56A4"/>
    <w:rsid w:val="00FC6335"/>
    <w:rsid w:val="00FD4B59"/>
    <w:rsid w:val="00FD6ED4"/>
    <w:rsid w:val="00FE7682"/>
    <w:rsid w:val="00FE7F15"/>
    <w:rsid w:val="00FF2271"/>
    <w:rsid w:val="00FF4220"/>
    <w:rsid w:val="0A9A5C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qFormat="1"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qFormat="1" w:unhideWhenUsed="0" w:uiPriority="0" w:semiHidden="0" w:name="List Bullet"/>
    <w:lsdException w:qFormat="1" w:uiPriority="99" w:semiHidden="0"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99" w:semiHidden="0" w:name="Document Map"/>
    <w:lsdException w:qFormat="1" w:unhideWhenUsed="0" w:uiPriority="99" w:semiHidden="0" w:name="Plain Text"/>
    <w:lsdException w:uiPriority="99" w:name="E-mail Signature"/>
    <w:lsdException w:qFormat="1" w:unhideWhenUsed="0" w:uiPriority="0" w:semiHidden="0" w:name="Normal (Web)"/>
    <w:lsdException w:uiPriority="99" w:name="HTML Acronym"/>
    <w:lsdException w:uiPriority="99"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uiPriority="99"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iPriority="0" w:name="Table Grid 5"/>
    <w:lsdException w:qFormat="1" w:uiPriority="0"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59" w:semiHidden="0" w:name="Table Grid"/>
    <w:lsdException w:qFormat="1" w:uiPriority="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60"/>
    <w:qFormat/>
    <w:uiPriority w:val="0"/>
    <w:pPr>
      <w:keepNext/>
      <w:keepLines/>
      <w:ind w:firstLine="0" w:firstLineChars="0"/>
      <w:outlineLvl w:val="0"/>
    </w:pPr>
    <w:rPr>
      <w:b/>
      <w:bCs/>
      <w:kern w:val="44"/>
      <w:sz w:val="28"/>
      <w:szCs w:val="44"/>
    </w:rPr>
  </w:style>
  <w:style w:type="paragraph" w:styleId="3">
    <w:name w:val="heading 2"/>
    <w:basedOn w:val="1"/>
    <w:next w:val="1"/>
    <w:link w:val="61"/>
    <w:unhideWhenUsed/>
    <w:qFormat/>
    <w:uiPriority w:val="0"/>
    <w:pPr>
      <w:keepNext/>
      <w:keepLines/>
      <w:ind w:firstLine="0" w:firstLineChars="0"/>
      <w:outlineLvl w:val="1"/>
    </w:pPr>
    <w:rPr>
      <w:rFonts w:cstheme="majorBidi"/>
      <w:b/>
      <w:bCs/>
      <w:szCs w:val="32"/>
    </w:rPr>
  </w:style>
  <w:style w:type="paragraph" w:styleId="4">
    <w:name w:val="heading 3"/>
    <w:basedOn w:val="1"/>
    <w:next w:val="1"/>
    <w:link w:val="62"/>
    <w:unhideWhenUsed/>
    <w:qFormat/>
    <w:uiPriority w:val="0"/>
    <w:pPr>
      <w:keepNext/>
      <w:keepLines/>
      <w:ind w:firstLine="0" w:firstLineChars="0"/>
      <w:outlineLvl w:val="2"/>
    </w:pPr>
    <w:rPr>
      <w:b/>
      <w:bCs/>
      <w:szCs w:val="32"/>
    </w:rPr>
  </w:style>
  <w:style w:type="paragraph" w:styleId="5">
    <w:name w:val="heading 4"/>
    <w:basedOn w:val="1"/>
    <w:next w:val="1"/>
    <w:link w:val="63"/>
    <w:qFormat/>
    <w:uiPriority w:val="0"/>
    <w:pPr>
      <w:keepNext/>
      <w:keepLines/>
      <w:tabs>
        <w:tab w:val="left" w:pos="1574"/>
      </w:tabs>
      <w:spacing w:line="240" w:lineRule="auto"/>
      <w:ind w:firstLine="0" w:firstLineChars="0"/>
      <w:outlineLvl w:val="3"/>
    </w:pPr>
    <w:rPr>
      <w:rFonts w:cs="Times New Roman"/>
      <w:b/>
      <w:bCs/>
      <w:szCs w:val="28"/>
    </w:rPr>
  </w:style>
  <w:style w:type="paragraph" w:styleId="6">
    <w:name w:val="heading 5"/>
    <w:basedOn w:val="1"/>
    <w:next w:val="1"/>
    <w:link w:val="64"/>
    <w:qFormat/>
    <w:uiPriority w:val="0"/>
    <w:pPr>
      <w:keepNext/>
      <w:keepLines/>
      <w:tabs>
        <w:tab w:val="left" w:pos="1008"/>
      </w:tabs>
      <w:spacing w:before="280" w:after="290" w:line="376" w:lineRule="auto"/>
      <w:ind w:left="1008" w:hanging="1008" w:firstLineChars="0"/>
      <w:outlineLvl w:val="4"/>
    </w:pPr>
    <w:rPr>
      <w:rFonts w:cs="Times New Roman"/>
      <w:b/>
      <w:bCs/>
      <w:sz w:val="28"/>
      <w:szCs w:val="28"/>
    </w:rPr>
  </w:style>
  <w:style w:type="paragraph" w:styleId="7">
    <w:name w:val="heading 6"/>
    <w:basedOn w:val="1"/>
    <w:next w:val="1"/>
    <w:link w:val="65"/>
    <w:qFormat/>
    <w:uiPriority w:val="9"/>
    <w:pPr>
      <w:keepNext/>
      <w:keepLines/>
      <w:tabs>
        <w:tab w:val="left" w:pos="1152"/>
      </w:tabs>
      <w:spacing w:before="240" w:after="64" w:line="320" w:lineRule="auto"/>
      <w:ind w:left="1152" w:hanging="1152" w:firstLineChars="0"/>
      <w:outlineLvl w:val="5"/>
    </w:pPr>
    <w:rPr>
      <w:rFonts w:ascii="Arial" w:hAnsi="Arial" w:eastAsia="黑体" w:cs="Times New Roman"/>
      <w:b/>
      <w:bCs/>
      <w:szCs w:val="24"/>
    </w:rPr>
  </w:style>
  <w:style w:type="paragraph" w:styleId="8">
    <w:name w:val="heading 7"/>
    <w:basedOn w:val="1"/>
    <w:next w:val="1"/>
    <w:link w:val="66"/>
    <w:unhideWhenUsed/>
    <w:qFormat/>
    <w:uiPriority w:val="9"/>
    <w:pPr>
      <w:keepNext/>
      <w:keepLines/>
      <w:widowControl/>
      <w:adjustRightInd w:val="0"/>
      <w:snapToGrid w:val="0"/>
      <w:spacing w:before="240" w:after="64" w:line="320" w:lineRule="auto"/>
      <w:ind w:left="1296" w:hanging="1296" w:firstLineChars="0"/>
      <w:jc w:val="left"/>
      <w:outlineLvl w:val="6"/>
    </w:pPr>
    <w:rPr>
      <w:rFonts w:cs="Times New Roman"/>
      <w:b/>
      <w:bCs/>
      <w:snapToGrid w:val="0"/>
      <w:kern w:val="0"/>
      <w:sz w:val="20"/>
      <w:szCs w:val="24"/>
    </w:rPr>
  </w:style>
  <w:style w:type="paragraph" w:styleId="9">
    <w:name w:val="heading 8"/>
    <w:basedOn w:val="1"/>
    <w:next w:val="1"/>
    <w:link w:val="67"/>
    <w:unhideWhenUsed/>
    <w:qFormat/>
    <w:uiPriority w:val="9"/>
    <w:pPr>
      <w:keepNext/>
      <w:keepLines/>
      <w:widowControl/>
      <w:adjustRightInd w:val="0"/>
      <w:snapToGrid w:val="0"/>
      <w:spacing w:before="240" w:after="64" w:line="320" w:lineRule="auto"/>
      <w:ind w:left="1440" w:hanging="1440" w:firstLineChars="0"/>
      <w:jc w:val="left"/>
      <w:outlineLvl w:val="7"/>
    </w:pPr>
    <w:rPr>
      <w:rFonts w:ascii="Cambria" w:hAnsi="Cambria" w:cs="Times New Roman"/>
      <w:snapToGrid w:val="0"/>
      <w:kern w:val="0"/>
      <w:sz w:val="20"/>
      <w:szCs w:val="24"/>
    </w:rPr>
  </w:style>
  <w:style w:type="paragraph" w:styleId="10">
    <w:name w:val="heading 9"/>
    <w:basedOn w:val="1"/>
    <w:next w:val="1"/>
    <w:link w:val="68"/>
    <w:unhideWhenUsed/>
    <w:qFormat/>
    <w:uiPriority w:val="9"/>
    <w:pPr>
      <w:keepNext/>
      <w:keepLines/>
      <w:widowControl/>
      <w:adjustRightInd w:val="0"/>
      <w:snapToGrid w:val="0"/>
      <w:spacing w:before="240" w:after="64" w:line="320" w:lineRule="auto"/>
      <w:ind w:left="1584" w:hanging="1584" w:firstLineChars="0"/>
      <w:jc w:val="left"/>
      <w:outlineLvl w:val="8"/>
    </w:pPr>
    <w:rPr>
      <w:rFonts w:ascii="Cambria" w:hAnsi="Cambria" w:cs="Times New Roman"/>
      <w:snapToGrid w:val="0"/>
      <w:kern w:val="0"/>
      <w:sz w:val="21"/>
      <w:szCs w:val="21"/>
    </w:rPr>
  </w:style>
  <w:style w:type="character" w:default="1" w:styleId="47">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spacing w:line="240" w:lineRule="auto"/>
      <w:ind w:left="2520" w:leftChars="1200" w:firstLine="0" w:firstLineChars="0"/>
    </w:pPr>
    <w:rPr>
      <w:rFonts w:cs="Times New Roman"/>
      <w:sz w:val="21"/>
      <w:szCs w:val="24"/>
    </w:rPr>
  </w:style>
  <w:style w:type="paragraph" w:styleId="12">
    <w:name w:val="List Number"/>
    <w:basedOn w:val="1"/>
    <w:unhideWhenUsed/>
    <w:qFormat/>
    <w:uiPriority w:val="99"/>
    <w:pPr>
      <w:numPr>
        <w:ilvl w:val="0"/>
        <w:numId w:val="1"/>
      </w:numPr>
      <w:adjustRightInd w:val="0"/>
      <w:snapToGrid w:val="0"/>
      <w:ind w:firstLine="0" w:firstLineChars="0"/>
    </w:pPr>
    <w:rPr>
      <w:rFonts w:cs="Times New Roman"/>
      <w:szCs w:val="20"/>
    </w:rPr>
  </w:style>
  <w:style w:type="paragraph" w:styleId="13">
    <w:name w:val="Normal Indent"/>
    <w:basedOn w:val="1"/>
    <w:link w:val="95"/>
    <w:qFormat/>
    <w:uiPriority w:val="0"/>
    <w:pPr>
      <w:adjustRightInd w:val="0"/>
      <w:snapToGrid w:val="0"/>
      <w:spacing w:line="300" w:lineRule="auto"/>
      <w:ind w:left="-50" w:leftChars="-50" w:firstLine="482" w:firstLineChars="0"/>
      <w:jc w:val="left"/>
    </w:pPr>
    <w:rPr>
      <w:rFonts w:ascii="Calibri" w:hAnsi="Calibri" w:cs="Times New Roman"/>
      <w:kern w:val="0"/>
      <w:szCs w:val="20"/>
    </w:rPr>
  </w:style>
  <w:style w:type="paragraph" w:styleId="14">
    <w:name w:val="caption"/>
    <w:basedOn w:val="1"/>
    <w:next w:val="15"/>
    <w:link w:val="79"/>
    <w:qFormat/>
    <w:uiPriority w:val="0"/>
    <w:pPr>
      <w:adjustRightInd w:val="0"/>
      <w:snapToGrid w:val="0"/>
      <w:spacing w:line="240" w:lineRule="auto"/>
      <w:ind w:firstLine="0" w:firstLineChars="0"/>
      <w:jc w:val="center"/>
    </w:pPr>
    <w:rPr>
      <w:rFonts w:cs="Times New Roman"/>
      <w:color w:val="000000"/>
      <w:kern w:val="0"/>
      <w:sz w:val="21"/>
      <w:szCs w:val="21"/>
    </w:rPr>
  </w:style>
  <w:style w:type="paragraph" w:customStyle="1" w:styleId="15">
    <w:name w:val="7表格文字"/>
    <w:basedOn w:val="1"/>
    <w:qFormat/>
    <w:uiPriority w:val="0"/>
    <w:pPr>
      <w:spacing w:line="240" w:lineRule="auto"/>
      <w:ind w:firstLine="0" w:firstLineChars="0"/>
      <w:jc w:val="center"/>
    </w:pPr>
    <w:rPr>
      <w:rFonts w:cs="Times New Roman"/>
      <w:sz w:val="21"/>
      <w:szCs w:val="21"/>
    </w:rPr>
  </w:style>
  <w:style w:type="paragraph" w:styleId="16">
    <w:name w:val="List Bullet"/>
    <w:basedOn w:val="1"/>
    <w:qFormat/>
    <w:uiPriority w:val="0"/>
    <w:pPr>
      <w:numPr>
        <w:ilvl w:val="0"/>
        <w:numId w:val="2"/>
      </w:numPr>
      <w:spacing w:line="240" w:lineRule="auto"/>
      <w:ind w:firstLine="0" w:firstLineChars="0"/>
    </w:pPr>
    <w:rPr>
      <w:rFonts w:cs="Times New Roman"/>
      <w:sz w:val="20"/>
      <w:szCs w:val="20"/>
    </w:rPr>
  </w:style>
  <w:style w:type="paragraph" w:styleId="17">
    <w:name w:val="Document Map"/>
    <w:basedOn w:val="1"/>
    <w:link w:val="96"/>
    <w:qFormat/>
    <w:uiPriority w:val="99"/>
    <w:pPr>
      <w:spacing w:line="240" w:lineRule="auto"/>
      <w:ind w:firstLine="0" w:firstLineChars="0"/>
    </w:pPr>
    <w:rPr>
      <w:rFonts w:ascii="宋体" w:hAnsi="Calibri" w:cs="Times New Roman"/>
      <w:kern w:val="0"/>
      <w:sz w:val="18"/>
      <w:szCs w:val="18"/>
    </w:rPr>
  </w:style>
  <w:style w:type="paragraph" w:styleId="18">
    <w:name w:val="annotation text"/>
    <w:basedOn w:val="1"/>
    <w:link w:val="93"/>
    <w:unhideWhenUsed/>
    <w:qFormat/>
    <w:uiPriority w:val="0"/>
    <w:pPr>
      <w:jc w:val="left"/>
    </w:pPr>
  </w:style>
  <w:style w:type="paragraph" w:styleId="19">
    <w:name w:val="Body Text"/>
    <w:basedOn w:val="1"/>
    <w:link w:val="73"/>
    <w:unhideWhenUsed/>
    <w:qFormat/>
    <w:uiPriority w:val="0"/>
    <w:pPr>
      <w:spacing w:after="120"/>
    </w:pPr>
  </w:style>
  <w:style w:type="paragraph" w:styleId="20">
    <w:name w:val="Body Text Indent"/>
    <w:basedOn w:val="1"/>
    <w:link w:val="97"/>
    <w:qFormat/>
    <w:uiPriority w:val="0"/>
    <w:pPr>
      <w:spacing w:after="120" w:line="240" w:lineRule="auto"/>
      <w:ind w:left="420" w:leftChars="200" w:firstLine="0" w:firstLineChars="0"/>
    </w:pPr>
    <w:rPr>
      <w:rFonts w:ascii="Calibri" w:hAnsi="Calibri" w:cs="Times New Roman"/>
      <w:sz w:val="21"/>
      <w:szCs w:val="24"/>
    </w:rPr>
  </w:style>
  <w:style w:type="paragraph" w:styleId="21">
    <w:name w:val="List 2"/>
    <w:basedOn w:val="1"/>
    <w:qFormat/>
    <w:uiPriority w:val="0"/>
    <w:pPr>
      <w:spacing w:line="240" w:lineRule="auto"/>
      <w:ind w:left="100" w:leftChars="200" w:hanging="200" w:hangingChars="200"/>
    </w:pPr>
    <w:rPr>
      <w:rFonts w:cs="Times New Roman"/>
      <w:sz w:val="21"/>
      <w:szCs w:val="24"/>
    </w:rPr>
  </w:style>
  <w:style w:type="paragraph" w:styleId="22">
    <w:name w:val="toc 5"/>
    <w:basedOn w:val="1"/>
    <w:next w:val="1"/>
    <w:unhideWhenUsed/>
    <w:qFormat/>
    <w:uiPriority w:val="39"/>
    <w:pPr>
      <w:spacing w:line="240" w:lineRule="auto"/>
      <w:ind w:left="1680" w:leftChars="800" w:firstLine="0" w:firstLineChars="0"/>
    </w:pPr>
    <w:rPr>
      <w:rFonts w:cs="Times New Roman"/>
      <w:sz w:val="21"/>
      <w:szCs w:val="24"/>
    </w:rPr>
  </w:style>
  <w:style w:type="paragraph" w:styleId="23">
    <w:name w:val="toc 3"/>
    <w:basedOn w:val="1"/>
    <w:next w:val="1"/>
    <w:qFormat/>
    <w:uiPriority w:val="39"/>
    <w:pPr>
      <w:spacing w:line="240" w:lineRule="auto"/>
      <w:ind w:left="840" w:leftChars="400" w:firstLine="0" w:firstLineChars="0"/>
    </w:pPr>
    <w:rPr>
      <w:rFonts w:cs="Times New Roman"/>
      <w:sz w:val="21"/>
      <w:szCs w:val="24"/>
    </w:rPr>
  </w:style>
  <w:style w:type="paragraph" w:styleId="24">
    <w:name w:val="Plain Text"/>
    <w:basedOn w:val="1"/>
    <w:link w:val="80"/>
    <w:qFormat/>
    <w:uiPriority w:val="99"/>
    <w:pPr>
      <w:spacing w:line="240" w:lineRule="auto"/>
      <w:ind w:firstLine="0" w:firstLineChars="0"/>
    </w:pPr>
    <w:rPr>
      <w:rFonts w:ascii="宋体" w:hAnsi="Courier New" w:cs="Times New Roman"/>
      <w:kern w:val="0"/>
      <w:sz w:val="20"/>
      <w:szCs w:val="21"/>
    </w:rPr>
  </w:style>
  <w:style w:type="paragraph" w:styleId="25">
    <w:name w:val="toc 8"/>
    <w:basedOn w:val="1"/>
    <w:next w:val="1"/>
    <w:unhideWhenUsed/>
    <w:qFormat/>
    <w:uiPriority w:val="39"/>
    <w:pPr>
      <w:spacing w:line="240" w:lineRule="auto"/>
      <w:ind w:left="2940" w:leftChars="1400" w:firstLine="0" w:firstLineChars="0"/>
    </w:pPr>
    <w:rPr>
      <w:rFonts w:cs="Times New Roman"/>
      <w:sz w:val="21"/>
      <w:szCs w:val="24"/>
    </w:rPr>
  </w:style>
  <w:style w:type="paragraph" w:styleId="26">
    <w:name w:val="Date"/>
    <w:basedOn w:val="1"/>
    <w:next w:val="1"/>
    <w:link w:val="98"/>
    <w:qFormat/>
    <w:uiPriority w:val="0"/>
    <w:pPr>
      <w:spacing w:line="240" w:lineRule="auto"/>
      <w:ind w:left="100" w:leftChars="2500" w:firstLine="0" w:firstLineChars="0"/>
    </w:pPr>
    <w:rPr>
      <w:rFonts w:cs="Times New Roman"/>
      <w:sz w:val="21"/>
      <w:szCs w:val="24"/>
    </w:rPr>
  </w:style>
  <w:style w:type="paragraph" w:styleId="27">
    <w:name w:val="Body Text Indent 2"/>
    <w:basedOn w:val="1"/>
    <w:link w:val="99"/>
    <w:qFormat/>
    <w:uiPriority w:val="0"/>
    <w:pPr>
      <w:tabs>
        <w:tab w:val="left" w:pos="2190"/>
        <w:tab w:val="left" w:pos="2520"/>
        <w:tab w:val="left" w:pos="2940"/>
        <w:tab w:val="left" w:pos="3495"/>
      </w:tabs>
      <w:spacing w:line="600" w:lineRule="exact"/>
      <w:ind w:firstLine="560"/>
    </w:pPr>
    <w:rPr>
      <w:rFonts w:ascii="宋体" w:cs="Times New Roman"/>
      <w:sz w:val="28"/>
      <w:szCs w:val="24"/>
    </w:rPr>
  </w:style>
  <w:style w:type="paragraph" w:styleId="28">
    <w:name w:val="Balloon Text"/>
    <w:basedOn w:val="1"/>
    <w:link w:val="100"/>
    <w:qFormat/>
    <w:uiPriority w:val="99"/>
    <w:pPr>
      <w:spacing w:line="240" w:lineRule="auto"/>
      <w:ind w:firstLine="0" w:firstLineChars="0"/>
    </w:pPr>
    <w:rPr>
      <w:rFonts w:ascii="Calibri" w:hAnsi="Calibri" w:cs="Times New Roman"/>
      <w:kern w:val="0"/>
      <w:sz w:val="18"/>
      <w:szCs w:val="18"/>
    </w:rPr>
  </w:style>
  <w:style w:type="paragraph" w:styleId="29">
    <w:name w:val="footer"/>
    <w:basedOn w:val="1"/>
    <w:link w:val="101"/>
    <w:unhideWhenUsed/>
    <w:qFormat/>
    <w:uiPriority w:val="99"/>
    <w:pPr>
      <w:tabs>
        <w:tab w:val="center" w:pos="4153"/>
        <w:tab w:val="right" w:pos="8306"/>
      </w:tabs>
      <w:snapToGrid w:val="0"/>
      <w:spacing w:line="240" w:lineRule="auto"/>
      <w:ind w:firstLine="0" w:firstLineChars="0"/>
      <w:jc w:val="left"/>
    </w:pPr>
    <w:rPr>
      <w:rFonts w:cs="Times New Roman"/>
      <w:sz w:val="18"/>
      <w:szCs w:val="18"/>
    </w:rPr>
  </w:style>
  <w:style w:type="paragraph" w:styleId="30">
    <w:name w:val="header"/>
    <w:basedOn w:val="1"/>
    <w:link w:val="81"/>
    <w:unhideWhenUsed/>
    <w:qFormat/>
    <w:uiPriority w:val="99"/>
    <w:pPr>
      <w:pBdr>
        <w:bottom w:val="single" w:color="auto" w:sz="6" w:space="1"/>
      </w:pBdr>
      <w:tabs>
        <w:tab w:val="center" w:pos="4153"/>
        <w:tab w:val="right" w:pos="8306"/>
      </w:tabs>
      <w:snapToGrid w:val="0"/>
      <w:spacing w:line="240" w:lineRule="auto"/>
      <w:ind w:firstLine="0" w:firstLineChars="0"/>
      <w:jc w:val="center"/>
    </w:pPr>
    <w:rPr>
      <w:rFonts w:cs="Times New Roman"/>
      <w:sz w:val="18"/>
      <w:szCs w:val="18"/>
    </w:rPr>
  </w:style>
  <w:style w:type="paragraph" w:styleId="31">
    <w:name w:val="toc 1"/>
    <w:basedOn w:val="1"/>
    <w:next w:val="1"/>
    <w:qFormat/>
    <w:uiPriority w:val="39"/>
    <w:pPr>
      <w:spacing w:before="120" w:after="120" w:line="240" w:lineRule="auto"/>
      <w:ind w:firstLine="0" w:firstLineChars="0"/>
    </w:pPr>
    <w:rPr>
      <w:rFonts w:cs="Times New Roman"/>
      <w:sz w:val="28"/>
      <w:szCs w:val="24"/>
    </w:rPr>
  </w:style>
  <w:style w:type="paragraph" w:styleId="32">
    <w:name w:val="toc 4"/>
    <w:basedOn w:val="1"/>
    <w:next w:val="1"/>
    <w:unhideWhenUsed/>
    <w:qFormat/>
    <w:uiPriority w:val="39"/>
    <w:pPr>
      <w:spacing w:line="240" w:lineRule="auto"/>
      <w:ind w:left="1260" w:leftChars="600" w:firstLine="0" w:firstLineChars="0"/>
    </w:pPr>
    <w:rPr>
      <w:rFonts w:cs="Times New Roman"/>
      <w:sz w:val="21"/>
      <w:szCs w:val="24"/>
    </w:rPr>
  </w:style>
  <w:style w:type="paragraph" w:styleId="33">
    <w:name w:val="List"/>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styleId="34">
    <w:name w:val="toc 6"/>
    <w:basedOn w:val="1"/>
    <w:next w:val="1"/>
    <w:unhideWhenUsed/>
    <w:qFormat/>
    <w:uiPriority w:val="39"/>
    <w:pPr>
      <w:spacing w:line="240" w:lineRule="auto"/>
      <w:ind w:left="2100" w:leftChars="1000" w:firstLine="0" w:firstLineChars="0"/>
    </w:pPr>
    <w:rPr>
      <w:rFonts w:cs="Times New Roman"/>
      <w:sz w:val="21"/>
      <w:szCs w:val="24"/>
    </w:rPr>
  </w:style>
  <w:style w:type="paragraph" w:styleId="35">
    <w:name w:val="Body Text Indent 3"/>
    <w:basedOn w:val="1"/>
    <w:link w:val="102"/>
    <w:qFormat/>
    <w:uiPriority w:val="0"/>
    <w:pPr>
      <w:spacing w:after="120" w:line="240" w:lineRule="auto"/>
      <w:ind w:left="420" w:leftChars="200" w:firstLine="0" w:firstLineChars="0"/>
    </w:pPr>
    <w:rPr>
      <w:rFonts w:ascii="Calibri" w:hAnsi="Calibri" w:cs="Times New Roman"/>
      <w:sz w:val="16"/>
      <w:szCs w:val="16"/>
    </w:rPr>
  </w:style>
  <w:style w:type="paragraph" w:styleId="36">
    <w:name w:val="toc 2"/>
    <w:basedOn w:val="1"/>
    <w:next w:val="1"/>
    <w:qFormat/>
    <w:uiPriority w:val="39"/>
    <w:pPr>
      <w:spacing w:line="240" w:lineRule="auto"/>
      <w:ind w:left="420" w:leftChars="200" w:firstLine="0" w:firstLineChars="0"/>
    </w:pPr>
    <w:rPr>
      <w:rFonts w:cs="Times New Roman"/>
      <w:sz w:val="21"/>
      <w:szCs w:val="24"/>
    </w:rPr>
  </w:style>
  <w:style w:type="paragraph" w:styleId="37">
    <w:name w:val="toc 9"/>
    <w:basedOn w:val="1"/>
    <w:next w:val="1"/>
    <w:unhideWhenUsed/>
    <w:qFormat/>
    <w:uiPriority w:val="39"/>
    <w:pPr>
      <w:spacing w:line="240" w:lineRule="auto"/>
      <w:ind w:left="3360" w:leftChars="1600" w:firstLine="0" w:firstLineChars="0"/>
    </w:pPr>
    <w:rPr>
      <w:rFonts w:cs="Times New Roman"/>
      <w:sz w:val="21"/>
      <w:szCs w:val="24"/>
    </w:rPr>
  </w:style>
  <w:style w:type="paragraph" w:styleId="38">
    <w:name w:val="Body Text 2"/>
    <w:basedOn w:val="1"/>
    <w:link w:val="103"/>
    <w:qFormat/>
    <w:uiPriority w:val="0"/>
    <w:pPr>
      <w:tabs>
        <w:tab w:val="left" w:pos="360"/>
      </w:tabs>
      <w:spacing w:line="500" w:lineRule="exact"/>
      <w:ind w:firstLine="0" w:firstLineChars="0"/>
    </w:pPr>
    <w:rPr>
      <w:rFonts w:ascii="宋体" w:hAnsi="宋体" w:cs="Times New Roman"/>
      <w:bCs/>
      <w:color w:val="FF6600"/>
      <w:szCs w:val="24"/>
    </w:rPr>
  </w:style>
  <w:style w:type="paragraph" w:styleId="39">
    <w:name w:val="HTML Preformatted"/>
    <w:basedOn w:val="1"/>
    <w:link w:val="239"/>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firstLineChars="0"/>
      <w:jc w:val="left"/>
    </w:pPr>
    <w:rPr>
      <w:rFonts w:hint="eastAsia" w:ascii="宋体" w:hAnsi="宋体" w:cs="Times New Roman"/>
      <w:kern w:val="0"/>
      <w:szCs w:val="24"/>
    </w:rPr>
  </w:style>
  <w:style w:type="paragraph" w:styleId="40">
    <w:name w:val="Normal (Web)"/>
    <w:basedOn w:val="1"/>
    <w:qFormat/>
    <w:uiPriority w:val="0"/>
    <w:pPr>
      <w:widowControl/>
      <w:spacing w:before="100" w:beforeAutospacing="1" w:after="100" w:afterAutospacing="1" w:line="240" w:lineRule="auto"/>
      <w:ind w:firstLine="0" w:firstLineChars="0"/>
      <w:jc w:val="left"/>
    </w:pPr>
    <w:rPr>
      <w:rFonts w:ascii="宋体" w:hAnsi="宋体" w:cs="Times New Roman"/>
      <w:kern w:val="0"/>
      <w:szCs w:val="24"/>
    </w:rPr>
  </w:style>
  <w:style w:type="paragraph" w:styleId="41">
    <w:name w:val="Title"/>
    <w:basedOn w:val="1"/>
    <w:link w:val="104"/>
    <w:qFormat/>
    <w:uiPriority w:val="0"/>
    <w:pPr>
      <w:tabs>
        <w:tab w:val="left" w:pos="1021"/>
      </w:tabs>
      <w:spacing w:before="240" w:after="60" w:line="300" w:lineRule="auto"/>
      <w:ind w:firstLine="0" w:firstLineChars="0"/>
      <w:jc w:val="center"/>
      <w:outlineLvl w:val="0"/>
    </w:pPr>
    <w:rPr>
      <w:rFonts w:ascii="Calibri" w:hAnsi="Calibri" w:eastAsia="黑体" w:cs="Times New Roman"/>
      <w:kern w:val="0"/>
      <w:sz w:val="32"/>
      <w:szCs w:val="20"/>
    </w:rPr>
  </w:style>
  <w:style w:type="paragraph" w:styleId="42">
    <w:name w:val="annotation subject"/>
    <w:basedOn w:val="18"/>
    <w:next w:val="18"/>
    <w:link w:val="94"/>
    <w:qFormat/>
    <w:uiPriority w:val="0"/>
    <w:pPr>
      <w:spacing w:line="240" w:lineRule="auto"/>
      <w:ind w:firstLine="0" w:firstLineChars="0"/>
    </w:pPr>
    <w:rPr>
      <w:rFonts w:cs="Times New Roman"/>
      <w:b/>
      <w:bCs/>
      <w:sz w:val="21"/>
      <w:szCs w:val="24"/>
    </w:rPr>
  </w:style>
  <w:style w:type="paragraph" w:styleId="43">
    <w:name w:val="Body Text First Indent"/>
    <w:basedOn w:val="19"/>
    <w:link w:val="74"/>
    <w:qFormat/>
    <w:uiPriority w:val="0"/>
    <w:pPr>
      <w:spacing w:line="240" w:lineRule="auto"/>
      <w:ind w:firstLine="420" w:firstLineChars="100"/>
    </w:pPr>
    <w:rPr>
      <w:rFonts w:ascii="Calibri" w:hAnsi="Calibri" w:cs="Times New Roman"/>
      <w:kern w:val="0"/>
      <w:sz w:val="20"/>
      <w:szCs w:val="24"/>
    </w:rPr>
  </w:style>
  <w:style w:type="paragraph" w:styleId="44">
    <w:name w:val="Body Text First Indent 2"/>
    <w:basedOn w:val="20"/>
    <w:link w:val="248"/>
    <w:semiHidden/>
    <w:unhideWhenUsed/>
    <w:qFormat/>
    <w:uiPriority w:val="99"/>
    <w:pPr>
      <w:ind w:firstLine="420" w:firstLineChars="200"/>
    </w:pPr>
    <w:rPr>
      <w:rFonts w:ascii="Times New Roman" w:hAnsi="Times New Roman"/>
    </w:rPr>
  </w:style>
  <w:style w:type="table" w:styleId="46">
    <w:name w:val="Table Grid"/>
    <w:basedOn w:val="45"/>
    <w:qFormat/>
    <w:uiPriority w:val="59"/>
    <w:pPr>
      <w:widowControl w:val="0"/>
      <w:jc w:val="both"/>
    </w:pPr>
    <w:rPr>
      <w:rFonts w:ascii="Calibri" w:hAnsi="Calibri"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8">
    <w:name w:val="Strong"/>
    <w:basedOn w:val="47"/>
    <w:qFormat/>
    <w:uiPriority w:val="0"/>
    <w:rPr>
      <w:b/>
      <w:bCs/>
    </w:rPr>
  </w:style>
  <w:style w:type="character" w:styleId="49">
    <w:name w:val="page number"/>
    <w:basedOn w:val="47"/>
    <w:qFormat/>
    <w:uiPriority w:val="0"/>
  </w:style>
  <w:style w:type="character" w:styleId="50">
    <w:name w:val="FollowedHyperlink"/>
    <w:basedOn w:val="47"/>
    <w:qFormat/>
    <w:uiPriority w:val="99"/>
    <w:rPr>
      <w:color w:val="535353"/>
      <w:u w:val="none"/>
    </w:rPr>
  </w:style>
  <w:style w:type="character" w:styleId="51">
    <w:name w:val="Emphasis"/>
    <w:qFormat/>
    <w:uiPriority w:val="0"/>
    <w:rPr>
      <w:color w:val="CC0033"/>
    </w:rPr>
  </w:style>
  <w:style w:type="character" w:styleId="52">
    <w:name w:val="HTML Definition"/>
    <w:basedOn w:val="47"/>
    <w:qFormat/>
    <w:uiPriority w:val="0"/>
  </w:style>
  <w:style w:type="character" w:styleId="53">
    <w:name w:val="HTML Variable"/>
    <w:basedOn w:val="47"/>
    <w:qFormat/>
    <w:uiPriority w:val="0"/>
  </w:style>
  <w:style w:type="character" w:styleId="54">
    <w:name w:val="Hyperlink"/>
    <w:basedOn w:val="47"/>
    <w:unhideWhenUsed/>
    <w:qFormat/>
    <w:uiPriority w:val="99"/>
    <w:rPr>
      <w:color w:val="535353"/>
      <w:u w:val="none"/>
    </w:rPr>
  </w:style>
  <w:style w:type="character" w:styleId="55">
    <w:name w:val="HTML Code"/>
    <w:basedOn w:val="47"/>
    <w:qFormat/>
    <w:uiPriority w:val="0"/>
    <w:rPr>
      <w:rFonts w:hint="default" w:ascii="monospace" w:hAnsi="monospace" w:eastAsia="monospace" w:cs="monospace"/>
      <w:sz w:val="21"/>
      <w:szCs w:val="21"/>
    </w:rPr>
  </w:style>
  <w:style w:type="character" w:styleId="56">
    <w:name w:val="annotation reference"/>
    <w:qFormat/>
    <w:uiPriority w:val="0"/>
    <w:rPr>
      <w:sz w:val="21"/>
      <w:szCs w:val="21"/>
    </w:rPr>
  </w:style>
  <w:style w:type="character" w:styleId="57">
    <w:name w:val="HTML Cite"/>
    <w:basedOn w:val="47"/>
    <w:qFormat/>
    <w:uiPriority w:val="0"/>
  </w:style>
  <w:style w:type="character" w:styleId="58">
    <w:name w:val="HTML Keyboard"/>
    <w:basedOn w:val="47"/>
    <w:qFormat/>
    <w:uiPriority w:val="0"/>
    <w:rPr>
      <w:rFonts w:hint="default" w:ascii="monospace" w:hAnsi="monospace" w:eastAsia="monospace" w:cs="monospace"/>
      <w:sz w:val="21"/>
      <w:szCs w:val="21"/>
    </w:rPr>
  </w:style>
  <w:style w:type="character" w:styleId="59">
    <w:name w:val="HTML Sample"/>
    <w:basedOn w:val="47"/>
    <w:qFormat/>
    <w:uiPriority w:val="0"/>
    <w:rPr>
      <w:rFonts w:ascii="monospace" w:hAnsi="monospace" w:eastAsia="monospace" w:cs="monospace"/>
      <w:sz w:val="21"/>
      <w:szCs w:val="21"/>
    </w:rPr>
  </w:style>
  <w:style w:type="character" w:customStyle="1" w:styleId="60">
    <w:name w:val="标题 1 字符"/>
    <w:basedOn w:val="47"/>
    <w:link w:val="2"/>
    <w:qFormat/>
    <w:uiPriority w:val="0"/>
    <w:rPr>
      <w:rFonts w:ascii="Times New Roman" w:hAnsi="Times New Roman" w:eastAsia="宋体"/>
      <w:b/>
      <w:bCs/>
      <w:kern w:val="44"/>
      <w:sz w:val="28"/>
      <w:szCs w:val="44"/>
    </w:rPr>
  </w:style>
  <w:style w:type="character" w:customStyle="1" w:styleId="61">
    <w:name w:val="标题 2 字符"/>
    <w:basedOn w:val="47"/>
    <w:link w:val="3"/>
    <w:qFormat/>
    <w:uiPriority w:val="0"/>
    <w:rPr>
      <w:rFonts w:ascii="Times New Roman" w:hAnsi="Times New Roman" w:eastAsia="宋体" w:cstheme="majorBidi"/>
      <w:b/>
      <w:bCs/>
      <w:sz w:val="24"/>
      <w:szCs w:val="32"/>
    </w:rPr>
  </w:style>
  <w:style w:type="character" w:customStyle="1" w:styleId="62">
    <w:name w:val="标题 3 字符"/>
    <w:basedOn w:val="47"/>
    <w:link w:val="4"/>
    <w:qFormat/>
    <w:uiPriority w:val="0"/>
    <w:rPr>
      <w:rFonts w:ascii="Times New Roman" w:hAnsi="Times New Roman" w:eastAsia="宋体"/>
      <w:b/>
      <w:bCs/>
      <w:sz w:val="24"/>
      <w:szCs w:val="32"/>
    </w:rPr>
  </w:style>
  <w:style w:type="character" w:customStyle="1" w:styleId="63">
    <w:name w:val="标题 4 字符"/>
    <w:basedOn w:val="47"/>
    <w:link w:val="5"/>
    <w:qFormat/>
    <w:uiPriority w:val="0"/>
    <w:rPr>
      <w:rFonts w:ascii="Times New Roman" w:hAnsi="Times New Roman" w:eastAsia="宋体" w:cs="Times New Roman"/>
      <w:b/>
      <w:bCs/>
      <w:sz w:val="24"/>
      <w:szCs w:val="28"/>
    </w:rPr>
  </w:style>
  <w:style w:type="character" w:customStyle="1" w:styleId="64">
    <w:name w:val="标题 5 字符"/>
    <w:basedOn w:val="47"/>
    <w:link w:val="6"/>
    <w:qFormat/>
    <w:uiPriority w:val="9"/>
    <w:rPr>
      <w:rFonts w:ascii="Times New Roman" w:hAnsi="Times New Roman" w:eastAsia="宋体" w:cs="Times New Roman"/>
      <w:b/>
      <w:bCs/>
      <w:sz w:val="28"/>
      <w:szCs w:val="28"/>
    </w:rPr>
  </w:style>
  <w:style w:type="character" w:customStyle="1" w:styleId="65">
    <w:name w:val="标题 6 字符"/>
    <w:basedOn w:val="47"/>
    <w:link w:val="7"/>
    <w:qFormat/>
    <w:uiPriority w:val="9"/>
    <w:rPr>
      <w:rFonts w:ascii="Arial" w:hAnsi="Arial" w:eastAsia="黑体" w:cs="Times New Roman"/>
      <w:b/>
      <w:bCs/>
      <w:sz w:val="24"/>
      <w:szCs w:val="24"/>
    </w:rPr>
  </w:style>
  <w:style w:type="character" w:customStyle="1" w:styleId="66">
    <w:name w:val="标题 7 字符"/>
    <w:basedOn w:val="47"/>
    <w:link w:val="8"/>
    <w:qFormat/>
    <w:uiPriority w:val="9"/>
    <w:rPr>
      <w:rFonts w:ascii="Times New Roman" w:hAnsi="Times New Roman" w:eastAsia="宋体" w:cs="Times New Roman"/>
      <w:b/>
      <w:bCs/>
      <w:snapToGrid w:val="0"/>
      <w:kern w:val="0"/>
      <w:sz w:val="20"/>
      <w:szCs w:val="24"/>
    </w:rPr>
  </w:style>
  <w:style w:type="character" w:customStyle="1" w:styleId="67">
    <w:name w:val="标题 8 字符"/>
    <w:basedOn w:val="47"/>
    <w:link w:val="9"/>
    <w:qFormat/>
    <w:uiPriority w:val="9"/>
    <w:rPr>
      <w:rFonts w:ascii="Cambria" w:hAnsi="Cambria" w:eastAsia="宋体" w:cs="Times New Roman"/>
      <w:snapToGrid w:val="0"/>
      <w:kern w:val="0"/>
      <w:sz w:val="20"/>
      <w:szCs w:val="24"/>
    </w:rPr>
  </w:style>
  <w:style w:type="character" w:customStyle="1" w:styleId="68">
    <w:name w:val="标题 9 字符"/>
    <w:basedOn w:val="47"/>
    <w:link w:val="10"/>
    <w:qFormat/>
    <w:uiPriority w:val="9"/>
    <w:rPr>
      <w:rFonts w:ascii="Cambria" w:hAnsi="Cambria" w:eastAsia="宋体" w:cs="Times New Roman"/>
      <w:snapToGrid w:val="0"/>
      <w:kern w:val="0"/>
      <w:szCs w:val="21"/>
    </w:rPr>
  </w:style>
  <w:style w:type="paragraph" w:customStyle="1" w:styleId="69">
    <w:name w:val="环评正文文字"/>
    <w:basedOn w:val="1"/>
    <w:link w:val="70"/>
    <w:qFormat/>
    <w:uiPriority w:val="0"/>
    <w:pPr>
      <w:ind w:firstLine="480"/>
    </w:pPr>
    <w:rPr>
      <w:rFonts w:cs="Times New Roman"/>
      <w:kern w:val="0"/>
      <w:szCs w:val="20"/>
    </w:rPr>
  </w:style>
  <w:style w:type="character" w:customStyle="1" w:styleId="70">
    <w:name w:val="环评正文文字 Char"/>
    <w:basedOn w:val="47"/>
    <w:link w:val="69"/>
    <w:qFormat/>
    <w:uiPriority w:val="0"/>
    <w:rPr>
      <w:rFonts w:ascii="Times New Roman" w:hAnsi="Times New Roman" w:eastAsia="宋体" w:cs="Times New Roman"/>
      <w:kern w:val="0"/>
      <w:sz w:val="24"/>
      <w:szCs w:val="20"/>
    </w:rPr>
  </w:style>
  <w:style w:type="paragraph" w:customStyle="1" w:styleId="71">
    <w:name w:val="一级正文"/>
    <w:basedOn w:val="1"/>
    <w:link w:val="72"/>
    <w:qFormat/>
    <w:uiPriority w:val="0"/>
    <w:pPr>
      <w:widowControl/>
      <w:adjustRightInd w:val="0"/>
      <w:snapToGrid w:val="0"/>
      <w:jc w:val="left"/>
    </w:pPr>
    <w:rPr>
      <w:rFonts w:cs="Times New Roman"/>
      <w:snapToGrid w:val="0"/>
      <w:kern w:val="0"/>
      <w:szCs w:val="20"/>
    </w:rPr>
  </w:style>
  <w:style w:type="character" w:customStyle="1" w:styleId="72">
    <w:name w:val="一级正文 Char"/>
    <w:link w:val="71"/>
    <w:qFormat/>
    <w:uiPriority w:val="0"/>
    <w:rPr>
      <w:rFonts w:ascii="Times New Roman" w:hAnsi="Times New Roman" w:eastAsia="宋体" w:cs="Times New Roman"/>
      <w:snapToGrid w:val="0"/>
      <w:kern w:val="0"/>
      <w:sz w:val="24"/>
      <w:szCs w:val="20"/>
    </w:rPr>
  </w:style>
  <w:style w:type="character" w:customStyle="1" w:styleId="73">
    <w:name w:val="正文文本 字符"/>
    <w:basedOn w:val="47"/>
    <w:link w:val="19"/>
    <w:semiHidden/>
    <w:qFormat/>
    <w:uiPriority w:val="99"/>
    <w:rPr>
      <w:rFonts w:ascii="Times New Roman" w:hAnsi="Times New Roman" w:eastAsia="宋体"/>
      <w:sz w:val="24"/>
    </w:rPr>
  </w:style>
  <w:style w:type="character" w:customStyle="1" w:styleId="74">
    <w:name w:val="正文文本首行缩进 字符"/>
    <w:basedOn w:val="73"/>
    <w:link w:val="43"/>
    <w:qFormat/>
    <w:uiPriority w:val="0"/>
    <w:rPr>
      <w:rFonts w:ascii="Calibri" w:hAnsi="Calibri" w:eastAsia="宋体" w:cs="Times New Roman"/>
      <w:kern w:val="0"/>
      <w:sz w:val="20"/>
      <w:szCs w:val="24"/>
    </w:rPr>
  </w:style>
  <w:style w:type="character" w:customStyle="1" w:styleId="75">
    <w:name w:val="ENFI正文 Char Char"/>
    <w:link w:val="76"/>
    <w:qFormat/>
    <w:uiPriority w:val="0"/>
    <w:rPr>
      <w:rFonts w:ascii="Times New Roman" w:hAnsi="Times New Roman" w:eastAsia="仿宋_GB2312"/>
      <w:color w:val="000000"/>
      <w:sz w:val="24"/>
    </w:rPr>
  </w:style>
  <w:style w:type="paragraph" w:customStyle="1" w:styleId="76">
    <w:name w:val="ENFI正文"/>
    <w:basedOn w:val="1"/>
    <w:link w:val="75"/>
    <w:qFormat/>
    <w:uiPriority w:val="0"/>
    <w:pPr>
      <w:adjustRightInd w:val="0"/>
      <w:snapToGrid w:val="0"/>
      <w:spacing w:line="400" w:lineRule="exact"/>
      <w:ind w:firstLine="567" w:firstLineChars="0"/>
    </w:pPr>
    <w:rPr>
      <w:rFonts w:eastAsia="仿宋_GB2312"/>
      <w:color w:val="000000"/>
    </w:rPr>
  </w:style>
  <w:style w:type="paragraph" w:customStyle="1" w:styleId="77">
    <w:name w:val="ENFI图表标题"/>
    <w:basedOn w:val="1"/>
    <w:qFormat/>
    <w:uiPriority w:val="0"/>
    <w:pPr>
      <w:widowControl/>
      <w:adjustRightInd w:val="0"/>
      <w:snapToGrid w:val="0"/>
      <w:spacing w:before="120" w:line="240" w:lineRule="atLeast"/>
      <w:ind w:firstLine="0" w:firstLineChars="0"/>
      <w:jc w:val="center"/>
    </w:pPr>
    <w:rPr>
      <w:rFonts w:eastAsia="仿宋_GB2312" w:cs="Times New Roman"/>
      <w:b/>
      <w:kern w:val="0"/>
      <w:sz w:val="28"/>
      <w:szCs w:val="24"/>
    </w:rPr>
  </w:style>
  <w:style w:type="paragraph" w:customStyle="1" w:styleId="78">
    <w:name w:val="ENFI表体注"/>
    <w:basedOn w:val="1"/>
    <w:qFormat/>
    <w:uiPriority w:val="0"/>
    <w:pPr>
      <w:adjustRightInd w:val="0"/>
      <w:snapToGrid w:val="0"/>
      <w:ind w:firstLine="0" w:firstLineChars="0"/>
      <w:jc w:val="center"/>
      <w:textAlignment w:val="baseline"/>
    </w:pPr>
    <w:rPr>
      <w:rFonts w:eastAsia="仿宋_GB2312" w:cs="Times New Roman"/>
      <w:spacing w:val="-6"/>
      <w:kern w:val="0"/>
      <w:szCs w:val="24"/>
    </w:rPr>
  </w:style>
  <w:style w:type="character" w:customStyle="1" w:styleId="79">
    <w:name w:val="题注 字符"/>
    <w:link w:val="14"/>
    <w:qFormat/>
    <w:uiPriority w:val="0"/>
    <w:rPr>
      <w:rFonts w:ascii="Times New Roman" w:hAnsi="Times New Roman" w:eastAsia="宋体" w:cs="Times New Roman"/>
      <w:color w:val="000000"/>
      <w:kern w:val="0"/>
      <w:szCs w:val="21"/>
    </w:rPr>
  </w:style>
  <w:style w:type="character" w:customStyle="1" w:styleId="80">
    <w:name w:val="纯文本 字符"/>
    <w:basedOn w:val="47"/>
    <w:link w:val="24"/>
    <w:qFormat/>
    <w:uiPriority w:val="99"/>
    <w:rPr>
      <w:rFonts w:ascii="宋体" w:hAnsi="Courier New" w:eastAsia="宋体" w:cs="Times New Roman"/>
      <w:kern w:val="0"/>
      <w:sz w:val="20"/>
      <w:szCs w:val="21"/>
    </w:rPr>
  </w:style>
  <w:style w:type="character" w:customStyle="1" w:styleId="81">
    <w:name w:val="页眉 字符"/>
    <w:basedOn w:val="47"/>
    <w:link w:val="30"/>
    <w:qFormat/>
    <w:uiPriority w:val="99"/>
    <w:rPr>
      <w:rFonts w:ascii="Times New Roman" w:hAnsi="Times New Roman" w:eastAsia="宋体" w:cs="Times New Roman"/>
      <w:sz w:val="18"/>
      <w:szCs w:val="18"/>
    </w:rPr>
  </w:style>
  <w:style w:type="character" w:customStyle="1" w:styleId="82">
    <w:name w:val="表格文字 Char"/>
    <w:link w:val="83"/>
    <w:qFormat/>
    <w:uiPriority w:val="0"/>
    <w:rPr>
      <w:rFonts w:ascii="仿宋_GB2312" w:hAnsi="Arial Black" w:eastAsia="仿宋_GB2312"/>
      <w:kern w:val="44"/>
      <w:sz w:val="24"/>
      <w:szCs w:val="24"/>
    </w:rPr>
  </w:style>
  <w:style w:type="paragraph" w:customStyle="1" w:styleId="83">
    <w:name w:val="表格文字"/>
    <w:basedOn w:val="1"/>
    <w:link w:val="82"/>
    <w:qFormat/>
    <w:uiPriority w:val="0"/>
    <w:pPr>
      <w:spacing w:line="240" w:lineRule="auto"/>
      <w:ind w:firstLine="0" w:firstLineChars="0"/>
      <w:jc w:val="center"/>
    </w:pPr>
    <w:rPr>
      <w:rFonts w:ascii="仿宋_GB2312" w:hAnsi="Arial Black" w:eastAsia="仿宋_GB2312"/>
      <w:kern w:val="44"/>
      <w:szCs w:val="24"/>
    </w:rPr>
  </w:style>
  <w:style w:type="character" w:customStyle="1" w:styleId="84">
    <w:name w:val="报告正文小四 Char"/>
    <w:link w:val="85"/>
    <w:qFormat/>
    <w:uiPriority w:val="0"/>
    <w:rPr>
      <w:sz w:val="24"/>
    </w:rPr>
  </w:style>
  <w:style w:type="paragraph" w:customStyle="1" w:styleId="85">
    <w:name w:val="报告正文小四"/>
    <w:basedOn w:val="1"/>
    <w:link w:val="84"/>
    <w:qFormat/>
    <w:uiPriority w:val="0"/>
    <w:pPr>
      <w:adjustRightInd w:val="0"/>
      <w:snapToGrid w:val="0"/>
      <w:ind w:firstLine="420" w:firstLineChars="0"/>
      <w:jc w:val="left"/>
    </w:pPr>
    <w:rPr>
      <w:rFonts w:asciiTheme="minorHAnsi" w:hAnsiTheme="minorHAnsi" w:eastAsiaTheme="minorEastAsia"/>
    </w:rPr>
  </w:style>
  <w:style w:type="paragraph" w:customStyle="1" w:styleId="86">
    <w:name w:val="表格"/>
    <w:basedOn w:val="1"/>
    <w:link w:val="87"/>
    <w:qFormat/>
    <w:uiPriority w:val="1"/>
    <w:pPr>
      <w:ind w:firstLine="0" w:firstLineChars="0"/>
    </w:pPr>
    <w:rPr>
      <w:rFonts w:ascii="Calibri" w:hAnsi="Calibri" w:cs="Times New Roman"/>
      <w:bCs/>
      <w:kern w:val="0"/>
      <w:sz w:val="20"/>
      <w:szCs w:val="24"/>
    </w:rPr>
  </w:style>
  <w:style w:type="character" w:customStyle="1" w:styleId="87">
    <w:name w:val="表格 Char"/>
    <w:basedOn w:val="47"/>
    <w:link w:val="86"/>
    <w:qFormat/>
    <w:uiPriority w:val="1"/>
    <w:rPr>
      <w:rFonts w:ascii="Calibri" w:hAnsi="Calibri" w:eastAsia="宋体" w:cs="Times New Roman"/>
      <w:bCs/>
      <w:kern w:val="0"/>
      <w:sz w:val="20"/>
      <w:szCs w:val="24"/>
    </w:rPr>
  </w:style>
  <w:style w:type="character" w:customStyle="1" w:styleId="88">
    <w:name w:val="文章正文样式 Char Char Char"/>
    <w:link w:val="89"/>
    <w:qFormat/>
    <w:uiPriority w:val="0"/>
    <w:rPr>
      <w:rFonts w:ascii="宋体" w:hAnsi="宋体"/>
      <w:sz w:val="34"/>
    </w:rPr>
  </w:style>
  <w:style w:type="paragraph" w:customStyle="1" w:styleId="89">
    <w:name w:val="文章正文样式"/>
    <w:basedOn w:val="1"/>
    <w:link w:val="88"/>
    <w:qFormat/>
    <w:uiPriority w:val="0"/>
    <w:pPr>
      <w:spacing w:line="520" w:lineRule="exact"/>
      <w:ind w:firstLine="480" w:firstLineChars="0"/>
      <w:jc w:val="left"/>
    </w:pPr>
    <w:rPr>
      <w:rFonts w:ascii="宋体" w:hAnsi="宋体" w:eastAsiaTheme="minorEastAsia"/>
      <w:sz w:val="34"/>
    </w:rPr>
  </w:style>
  <w:style w:type="paragraph" w:customStyle="1" w:styleId="90">
    <w:name w:val="Default"/>
    <w:qFormat/>
    <w:uiPriority w:val="0"/>
    <w:pPr>
      <w:widowControl w:val="0"/>
      <w:autoSpaceDE w:val="0"/>
      <w:autoSpaceDN w:val="0"/>
      <w:adjustRightInd w:val="0"/>
    </w:pPr>
    <w:rPr>
      <w:rFonts w:ascii="仿宋_GB2312" w:hAnsi="Times New Roman" w:eastAsia="仿宋_GB2312" w:cs="仿宋_GB2312"/>
      <w:color w:val="000000"/>
      <w:kern w:val="0"/>
      <w:sz w:val="24"/>
      <w:szCs w:val="24"/>
      <w:lang w:val="en-US" w:eastAsia="zh-CN" w:bidi="ar-SA"/>
    </w:rPr>
  </w:style>
  <w:style w:type="paragraph" w:customStyle="1" w:styleId="91">
    <w:name w:val="表内格式"/>
    <w:basedOn w:val="1"/>
    <w:link w:val="92"/>
    <w:qFormat/>
    <w:uiPriority w:val="0"/>
    <w:pPr>
      <w:ind w:firstLine="0" w:firstLineChars="0"/>
      <w:jc w:val="center"/>
    </w:pPr>
    <w:rPr>
      <w:rFonts w:cs="Times New Roman"/>
      <w:kern w:val="0"/>
      <w:sz w:val="18"/>
      <w:szCs w:val="20"/>
      <w:lang w:val="zh-CN"/>
    </w:rPr>
  </w:style>
  <w:style w:type="character" w:customStyle="1" w:styleId="92">
    <w:name w:val="表内格式 Char1"/>
    <w:link w:val="91"/>
    <w:qFormat/>
    <w:uiPriority w:val="0"/>
    <w:rPr>
      <w:rFonts w:ascii="Times New Roman" w:hAnsi="Times New Roman" w:eastAsia="宋体" w:cs="Times New Roman"/>
      <w:kern w:val="0"/>
      <w:sz w:val="18"/>
      <w:szCs w:val="20"/>
      <w:lang w:val="zh-CN"/>
    </w:rPr>
  </w:style>
  <w:style w:type="character" w:customStyle="1" w:styleId="93">
    <w:name w:val="批注文字 字符"/>
    <w:basedOn w:val="47"/>
    <w:link w:val="18"/>
    <w:qFormat/>
    <w:uiPriority w:val="0"/>
    <w:rPr>
      <w:rFonts w:ascii="Times New Roman" w:hAnsi="Times New Roman" w:eastAsia="宋体"/>
      <w:sz w:val="24"/>
    </w:rPr>
  </w:style>
  <w:style w:type="character" w:customStyle="1" w:styleId="94">
    <w:name w:val="批注主题 字符"/>
    <w:basedOn w:val="93"/>
    <w:link w:val="42"/>
    <w:qFormat/>
    <w:uiPriority w:val="0"/>
    <w:rPr>
      <w:rFonts w:ascii="Times New Roman" w:hAnsi="Times New Roman" w:eastAsia="宋体" w:cs="Times New Roman"/>
      <w:b/>
      <w:bCs/>
      <w:sz w:val="24"/>
      <w:szCs w:val="24"/>
    </w:rPr>
  </w:style>
  <w:style w:type="character" w:customStyle="1" w:styleId="95">
    <w:name w:val="正文缩进 字符"/>
    <w:link w:val="13"/>
    <w:qFormat/>
    <w:uiPriority w:val="0"/>
    <w:rPr>
      <w:rFonts w:ascii="Calibri" w:hAnsi="Calibri" w:eastAsia="宋体" w:cs="Times New Roman"/>
      <w:kern w:val="0"/>
      <w:sz w:val="24"/>
      <w:szCs w:val="20"/>
    </w:rPr>
  </w:style>
  <w:style w:type="character" w:customStyle="1" w:styleId="96">
    <w:name w:val="文档结构图 字符"/>
    <w:basedOn w:val="47"/>
    <w:link w:val="17"/>
    <w:qFormat/>
    <w:uiPriority w:val="99"/>
    <w:rPr>
      <w:rFonts w:ascii="宋体" w:hAnsi="Calibri" w:eastAsia="宋体" w:cs="Times New Roman"/>
      <w:kern w:val="0"/>
      <w:sz w:val="18"/>
      <w:szCs w:val="18"/>
    </w:rPr>
  </w:style>
  <w:style w:type="character" w:customStyle="1" w:styleId="97">
    <w:name w:val="正文文本缩进 字符"/>
    <w:basedOn w:val="47"/>
    <w:link w:val="20"/>
    <w:qFormat/>
    <w:uiPriority w:val="0"/>
    <w:rPr>
      <w:rFonts w:ascii="Calibri" w:hAnsi="Calibri" w:eastAsia="宋体" w:cs="Times New Roman"/>
      <w:szCs w:val="24"/>
    </w:rPr>
  </w:style>
  <w:style w:type="character" w:customStyle="1" w:styleId="98">
    <w:name w:val="日期 字符"/>
    <w:basedOn w:val="47"/>
    <w:link w:val="26"/>
    <w:qFormat/>
    <w:uiPriority w:val="0"/>
    <w:rPr>
      <w:rFonts w:ascii="Times New Roman" w:hAnsi="Times New Roman" w:eastAsia="宋体" w:cs="Times New Roman"/>
      <w:szCs w:val="24"/>
    </w:rPr>
  </w:style>
  <w:style w:type="character" w:customStyle="1" w:styleId="99">
    <w:name w:val="正文文本缩进 2 字符"/>
    <w:basedOn w:val="47"/>
    <w:link w:val="27"/>
    <w:qFormat/>
    <w:uiPriority w:val="0"/>
    <w:rPr>
      <w:rFonts w:ascii="宋体" w:hAnsi="Times New Roman" w:eastAsia="宋体" w:cs="Times New Roman"/>
      <w:sz w:val="28"/>
      <w:szCs w:val="24"/>
    </w:rPr>
  </w:style>
  <w:style w:type="character" w:customStyle="1" w:styleId="100">
    <w:name w:val="批注框文本 字符"/>
    <w:basedOn w:val="47"/>
    <w:link w:val="28"/>
    <w:qFormat/>
    <w:uiPriority w:val="99"/>
    <w:rPr>
      <w:rFonts w:ascii="Calibri" w:hAnsi="Calibri" w:eastAsia="宋体" w:cs="Times New Roman"/>
      <w:kern w:val="0"/>
      <w:sz w:val="18"/>
      <w:szCs w:val="18"/>
    </w:rPr>
  </w:style>
  <w:style w:type="character" w:customStyle="1" w:styleId="101">
    <w:name w:val="页脚 字符"/>
    <w:basedOn w:val="47"/>
    <w:link w:val="29"/>
    <w:qFormat/>
    <w:uiPriority w:val="99"/>
    <w:rPr>
      <w:rFonts w:ascii="Times New Roman" w:hAnsi="Times New Roman" w:eastAsia="宋体" w:cs="Times New Roman"/>
      <w:sz w:val="18"/>
      <w:szCs w:val="18"/>
    </w:rPr>
  </w:style>
  <w:style w:type="character" w:customStyle="1" w:styleId="102">
    <w:name w:val="正文文本缩进 3 字符"/>
    <w:basedOn w:val="47"/>
    <w:link w:val="35"/>
    <w:qFormat/>
    <w:uiPriority w:val="0"/>
    <w:rPr>
      <w:rFonts w:ascii="Calibri" w:hAnsi="Calibri" w:eastAsia="宋体" w:cs="Times New Roman"/>
      <w:sz w:val="16"/>
      <w:szCs w:val="16"/>
    </w:rPr>
  </w:style>
  <w:style w:type="character" w:customStyle="1" w:styleId="103">
    <w:name w:val="正文文本 2 字符"/>
    <w:basedOn w:val="47"/>
    <w:link w:val="38"/>
    <w:qFormat/>
    <w:uiPriority w:val="0"/>
    <w:rPr>
      <w:rFonts w:ascii="宋体" w:hAnsi="宋体" w:eastAsia="宋体" w:cs="Times New Roman"/>
      <w:bCs/>
      <w:color w:val="FF6600"/>
      <w:sz w:val="24"/>
      <w:szCs w:val="24"/>
    </w:rPr>
  </w:style>
  <w:style w:type="character" w:customStyle="1" w:styleId="104">
    <w:name w:val="标题 字符"/>
    <w:basedOn w:val="47"/>
    <w:link w:val="41"/>
    <w:qFormat/>
    <w:uiPriority w:val="0"/>
    <w:rPr>
      <w:rFonts w:ascii="Calibri" w:hAnsi="Calibri" w:eastAsia="黑体" w:cs="Times New Roman"/>
      <w:kern w:val="0"/>
      <w:sz w:val="32"/>
      <w:szCs w:val="20"/>
    </w:rPr>
  </w:style>
  <w:style w:type="character" w:customStyle="1" w:styleId="105">
    <w:name w:val="zw1 Char"/>
    <w:link w:val="106"/>
    <w:qFormat/>
    <w:uiPriority w:val="0"/>
    <w:rPr>
      <w:rFonts w:hAnsi="宋体"/>
      <w:bCs/>
      <w:kern w:val="8"/>
      <w:sz w:val="24"/>
      <w:szCs w:val="24"/>
    </w:rPr>
  </w:style>
  <w:style w:type="paragraph" w:customStyle="1" w:styleId="106">
    <w:name w:val="zw1"/>
    <w:basedOn w:val="1"/>
    <w:link w:val="105"/>
    <w:qFormat/>
    <w:uiPriority w:val="0"/>
    <w:pPr>
      <w:ind w:right="-107" w:rightChars="-51" w:firstLine="480"/>
    </w:pPr>
    <w:rPr>
      <w:rFonts w:hAnsi="宋体" w:asciiTheme="minorHAnsi" w:eastAsiaTheme="minorEastAsia"/>
      <w:bCs/>
      <w:kern w:val="8"/>
      <w:szCs w:val="24"/>
    </w:rPr>
  </w:style>
  <w:style w:type="character" w:customStyle="1" w:styleId="107">
    <w:name w:val="H3 Char"/>
    <w:qFormat/>
    <w:uiPriority w:val="0"/>
    <w:rPr>
      <w:rFonts w:ascii="Arial" w:hAnsi="Arial" w:eastAsia="黑体"/>
      <w:kern w:val="20"/>
      <w:sz w:val="24"/>
      <w:lang w:val="en-US" w:eastAsia="zh-CN" w:bidi="ar-SA"/>
    </w:rPr>
  </w:style>
  <w:style w:type="character" w:customStyle="1" w:styleId="108">
    <w:name w:val="font11"/>
    <w:basedOn w:val="47"/>
    <w:qFormat/>
    <w:uiPriority w:val="0"/>
    <w:rPr>
      <w:rFonts w:hint="eastAsia" w:ascii="宋体" w:hAnsi="宋体" w:eastAsia="宋体" w:cs="宋体"/>
      <w:color w:val="000000"/>
      <w:sz w:val="24"/>
      <w:szCs w:val="24"/>
      <w:u w:val="none"/>
      <w:vertAlign w:val="superscript"/>
    </w:rPr>
  </w:style>
  <w:style w:type="character" w:customStyle="1" w:styleId="109">
    <w:name w:val="表文 Char"/>
    <w:link w:val="110"/>
    <w:qFormat/>
    <w:locked/>
    <w:uiPriority w:val="0"/>
    <w:rPr>
      <w:snapToGrid w:val="0"/>
      <w:kern w:val="28"/>
      <w:position w:val="-24"/>
      <w:szCs w:val="21"/>
    </w:rPr>
  </w:style>
  <w:style w:type="paragraph" w:customStyle="1" w:styleId="110">
    <w:name w:val="表文"/>
    <w:basedOn w:val="1"/>
    <w:link w:val="109"/>
    <w:qFormat/>
    <w:uiPriority w:val="0"/>
    <w:pPr>
      <w:tabs>
        <w:tab w:val="left" w:pos="1021"/>
      </w:tabs>
      <w:adjustRightInd w:val="0"/>
      <w:snapToGrid w:val="0"/>
      <w:spacing w:beforeLines="30" w:afterLines="30" w:line="240" w:lineRule="auto"/>
      <w:ind w:firstLine="0" w:firstLineChars="0"/>
      <w:jc w:val="center"/>
    </w:pPr>
    <w:rPr>
      <w:rFonts w:asciiTheme="minorHAnsi" w:hAnsiTheme="minorHAnsi" w:eastAsiaTheme="minorEastAsia"/>
      <w:snapToGrid w:val="0"/>
      <w:kern w:val="28"/>
      <w:position w:val="-24"/>
      <w:sz w:val="21"/>
      <w:szCs w:val="21"/>
    </w:rPr>
  </w:style>
  <w:style w:type="character" w:customStyle="1" w:styleId="111">
    <w:name w:val="标题1"/>
    <w:basedOn w:val="47"/>
    <w:qFormat/>
    <w:uiPriority w:val="0"/>
  </w:style>
  <w:style w:type="character" w:customStyle="1" w:styleId="112">
    <w:name w:val="表头 Char"/>
    <w:qFormat/>
    <w:uiPriority w:val="0"/>
    <w:rPr>
      <w:rFonts w:eastAsia="黑体"/>
      <w:shadow/>
      <w:kern w:val="2"/>
      <w:sz w:val="24"/>
      <w:szCs w:val="24"/>
      <w:lang w:val="en-US" w:eastAsia="zh-CN" w:bidi="ar-SA"/>
    </w:rPr>
  </w:style>
  <w:style w:type="character" w:customStyle="1" w:styleId="113">
    <w:name w:val="copyright1"/>
    <w:qFormat/>
    <w:uiPriority w:val="0"/>
    <w:rPr>
      <w:rFonts w:hint="default"/>
      <w:color w:val="000000"/>
    </w:rPr>
  </w:style>
  <w:style w:type="character" w:customStyle="1" w:styleId="114">
    <w:name w:val="表文字 Char"/>
    <w:link w:val="115"/>
    <w:qFormat/>
    <w:uiPriority w:val="0"/>
    <w:rPr>
      <w:sz w:val="24"/>
    </w:rPr>
  </w:style>
  <w:style w:type="paragraph" w:customStyle="1" w:styleId="115">
    <w:name w:val="表文字"/>
    <w:basedOn w:val="1"/>
    <w:link w:val="114"/>
    <w:qFormat/>
    <w:uiPriority w:val="0"/>
    <w:pPr>
      <w:overflowPunct w:val="0"/>
      <w:autoSpaceDE w:val="0"/>
      <w:autoSpaceDN w:val="0"/>
      <w:adjustRightInd w:val="0"/>
      <w:spacing w:line="240" w:lineRule="atLeast"/>
      <w:ind w:firstLine="0" w:firstLineChars="0"/>
      <w:jc w:val="center"/>
      <w:textAlignment w:val="baseline"/>
    </w:pPr>
    <w:rPr>
      <w:rFonts w:asciiTheme="minorHAnsi" w:hAnsiTheme="minorHAnsi" w:eastAsiaTheme="minorEastAsia"/>
    </w:rPr>
  </w:style>
  <w:style w:type="character" w:customStyle="1" w:styleId="116">
    <w:name w:val="fontborder"/>
    <w:basedOn w:val="47"/>
    <w:qFormat/>
    <w:uiPriority w:val="0"/>
    <w:rPr>
      <w:bdr w:val="single" w:color="000000" w:sz="6" w:space="0"/>
    </w:rPr>
  </w:style>
  <w:style w:type="character" w:customStyle="1" w:styleId="117">
    <w:name w:val="s4 Char1"/>
    <w:uiPriority w:val="0"/>
    <w:rPr>
      <w:rFonts w:eastAsia="宋体"/>
      <w:kern w:val="2"/>
      <w:sz w:val="21"/>
      <w:szCs w:val="24"/>
      <w:lang w:val="en-US" w:eastAsia="zh-CN" w:bidi="ar-SA"/>
    </w:rPr>
  </w:style>
  <w:style w:type="character" w:customStyle="1" w:styleId="118">
    <w:name w:val="样式 宋体 小四 行距: 1.5 倍行距 首行缩进:  2 字符 Char"/>
    <w:link w:val="119"/>
    <w:qFormat/>
    <w:uiPriority w:val="0"/>
    <w:rPr>
      <w:rFonts w:ascii="宋体" w:hAnsi="宋体" w:eastAsia="宋体" w:cs="宋体"/>
      <w:sz w:val="24"/>
    </w:rPr>
  </w:style>
  <w:style w:type="paragraph" w:customStyle="1" w:styleId="119">
    <w:name w:val="样式 宋体 小四 行距: 1.5 倍行距 首行缩进:  2 字符"/>
    <w:basedOn w:val="1"/>
    <w:link w:val="118"/>
    <w:qFormat/>
    <w:uiPriority w:val="0"/>
    <w:pPr>
      <w:ind w:firstLine="480"/>
    </w:pPr>
    <w:rPr>
      <w:rFonts w:ascii="宋体" w:hAnsi="宋体" w:cs="宋体"/>
    </w:rPr>
  </w:style>
  <w:style w:type="character" w:customStyle="1" w:styleId="120">
    <w:name w:val="keyword"/>
    <w:basedOn w:val="47"/>
    <w:uiPriority w:val="0"/>
  </w:style>
  <w:style w:type="character" w:customStyle="1" w:styleId="121">
    <w:name w:val="正文首行缩进 Char1"/>
    <w:basedOn w:val="47"/>
    <w:link w:val="122"/>
    <w:semiHidden/>
    <w:qFormat/>
    <w:locked/>
    <w:uiPriority w:val="0"/>
    <w:rPr>
      <w:sz w:val="28"/>
    </w:rPr>
  </w:style>
  <w:style w:type="paragraph" w:customStyle="1" w:styleId="122">
    <w:name w:val="正文首行缩进1"/>
    <w:basedOn w:val="1"/>
    <w:link w:val="121"/>
    <w:semiHidden/>
    <w:qFormat/>
    <w:uiPriority w:val="0"/>
    <w:pPr>
      <w:overflowPunct w:val="0"/>
      <w:autoSpaceDE w:val="0"/>
      <w:autoSpaceDN w:val="0"/>
      <w:adjustRightInd w:val="0"/>
      <w:ind w:firstLine="539" w:firstLineChars="0"/>
    </w:pPr>
    <w:rPr>
      <w:rFonts w:asciiTheme="minorHAnsi" w:hAnsiTheme="minorHAnsi" w:eastAsiaTheme="minorEastAsia"/>
      <w:sz w:val="28"/>
    </w:rPr>
  </w:style>
  <w:style w:type="character" w:customStyle="1" w:styleId="123">
    <w:name w:val="time"/>
    <w:basedOn w:val="47"/>
    <w:uiPriority w:val="0"/>
  </w:style>
  <w:style w:type="character" w:customStyle="1" w:styleId="124">
    <w:name w:val="st"/>
    <w:basedOn w:val="47"/>
    <w:uiPriority w:val="0"/>
    <w:rPr>
      <w:color w:val="999999"/>
    </w:rPr>
  </w:style>
  <w:style w:type="character" w:customStyle="1" w:styleId="125">
    <w:name w:val="Char Char"/>
    <w:link w:val="126"/>
    <w:qFormat/>
    <w:uiPriority w:val="0"/>
    <w:rPr>
      <w:rFonts w:ascii="宋体" w:hAnsi="宋体" w:eastAsia="楷体_GB2312"/>
      <w:snapToGrid w:val="0"/>
      <w:sz w:val="32"/>
      <w:szCs w:val="24"/>
    </w:rPr>
  </w:style>
  <w:style w:type="paragraph" w:customStyle="1" w:styleId="126">
    <w:name w:val="Char"/>
    <w:basedOn w:val="1"/>
    <w:next w:val="1"/>
    <w:link w:val="125"/>
    <w:uiPriority w:val="0"/>
    <w:pPr>
      <w:spacing w:line="620" w:lineRule="exact"/>
    </w:pPr>
    <w:rPr>
      <w:rFonts w:ascii="宋体" w:hAnsi="宋体" w:eastAsia="楷体_GB2312"/>
      <w:snapToGrid w:val="0"/>
      <w:sz w:val="32"/>
      <w:szCs w:val="24"/>
    </w:rPr>
  </w:style>
  <w:style w:type="character" w:customStyle="1" w:styleId="127">
    <w:name w:val="zl_txt"/>
    <w:basedOn w:val="47"/>
    <w:uiPriority w:val="0"/>
    <w:rPr>
      <w:color w:val="FFFFFF"/>
    </w:rPr>
  </w:style>
  <w:style w:type="character" w:customStyle="1" w:styleId="128">
    <w:name w:val="page_prev"/>
    <w:basedOn w:val="47"/>
    <w:uiPriority w:val="0"/>
    <w:rPr>
      <w:sz w:val="18"/>
      <w:szCs w:val="18"/>
    </w:rPr>
  </w:style>
  <w:style w:type="character" w:customStyle="1" w:styleId="129">
    <w:name w:val="正文文本 Char"/>
    <w:basedOn w:val="47"/>
    <w:qFormat/>
    <w:uiPriority w:val="1"/>
    <w:rPr>
      <w:kern w:val="2"/>
      <w:sz w:val="28"/>
      <w:szCs w:val="24"/>
    </w:rPr>
  </w:style>
  <w:style w:type="character" w:customStyle="1" w:styleId="130">
    <w:name w:val="active"/>
    <w:basedOn w:val="47"/>
    <w:qFormat/>
    <w:uiPriority w:val="0"/>
    <w:rPr>
      <w:color w:val="FFFFFF"/>
      <w:sz w:val="18"/>
      <w:szCs w:val="18"/>
      <w:shd w:val="clear" w:color="auto" w:fill="01AEF0"/>
    </w:rPr>
  </w:style>
  <w:style w:type="character" w:customStyle="1" w:styleId="131">
    <w:name w:val="apple-style-span"/>
    <w:basedOn w:val="47"/>
    <w:qFormat/>
    <w:uiPriority w:val="0"/>
    <w:rPr>
      <w:sz w:val="24"/>
    </w:rPr>
  </w:style>
  <w:style w:type="character" w:customStyle="1" w:styleId="132">
    <w:name w:val="表头 Char1"/>
    <w:link w:val="133"/>
    <w:qFormat/>
    <w:uiPriority w:val="0"/>
    <w:rPr>
      <w:rFonts w:hAnsi="宋体" w:eastAsia="仿宋_GB2312"/>
      <w:b/>
      <w:sz w:val="28"/>
      <w:szCs w:val="28"/>
    </w:rPr>
  </w:style>
  <w:style w:type="paragraph" w:customStyle="1" w:styleId="133">
    <w:name w:val="表头"/>
    <w:basedOn w:val="1"/>
    <w:link w:val="132"/>
    <w:qFormat/>
    <w:uiPriority w:val="0"/>
    <w:pPr>
      <w:adjustRightInd w:val="0"/>
      <w:snapToGrid w:val="0"/>
      <w:spacing w:beforeLines="25" w:line="240" w:lineRule="auto"/>
      <w:ind w:firstLine="0" w:firstLineChars="0"/>
      <w:jc w:val="center"/>
      <w:textAlignment w:val="baseline"/>
    </w:pPr>
    <w:rPr>
      <w:rFonts w:hAnsi="宋体" w:eastAsia="仿宋_GB2312" w:asciiTheme="minorHAnsi"/>
      <w:b/>
      <w:sz w:val="28"/>
      <w:szCs w:val="28"/>
    </w:rPr>
  </w:style>
  <w:style w:type="character" w:customStyle="1" w:styleId="134">
    <w:name w:val="apple-converted-space"/>
    <w:uiPriority w:val="0"/>
  </w:style>
  <w:style w:type="character" w:customStyle="1" w:styleId="135">
    <w:name w:val="hover13"/>
    <w:basedOn w:val="47"/>
    <w:uiPriority w:val="0"/>
    <w:rPr>
      <w:color w:val="FFFFFF"/>
      <w:shd w:val="clear" w:color="auto" w:fill="01AEF0"/>
    </w:rPr>
  </w:style>
  <w:style w:type="character" w:customStyle="1" w:styleId="136">
    <w:name w:val="hit"/>
    <w:basedOn w:val="47"/>
    <w:uiPriority w:val="0"/>
  </w:style>
  <w:style w:type="character" w:customStyle="1" w:styleId="137">
    <w:name w:val="total"/>
    <w:basedOn w:val="47"/>
    <w:uiPriority w:val="0"/>
    <w:rPr>
      <w:color w:val="FFFFFF"/>
      <w:shd w:val="clear" w:color="auto" w:fill="24BDF5"/>
    </w:rPr>
  </w:style>
  <w:style w:type="character" w:customStyle="1" w:styleId="138">
    <w:name w:val="题注 Char"/>
    <w:qFormat/>
    <w:uiPriority w:val="0"/>
    <w:rPr>
      <w:rFonts w:eastAsia="黑体"/>
      <w:kern w:val="2"/>
      <w:sz w:val="24"/>
    </w:rPr>
  </w:style>
  <w:style w:type="character" w:customStyle="1" w:styleId="139">
    <w:name w:val="表格文字 Char Char"/>
    <w:basedOn w:val="47"/>
    <w:qFormat/>
    <w:locked/>
    <w:uiPriority w:val="0"/>
    <w:rPr>
      <w:rFonts w:ascii="Times New Roman" w:hAnsi="Times New Roman" w:eastAsia="宋体" w:cs="Times New Roman"/>
      <w:kern w:val="0"/>
      <w:sz w:val="20"/>
      <w:szCs w:val="20"/>
    </w:rPr>
  </w:style>
  <w:style w:type="character" w:customStyle="1" w:styleId="140">
    <w:name w:val="fontstrikethrough"/>
    <w:basedOn w:val="47"/>
    <w:uiPriority w:val="0"/>
    <w:rPr>
      <w:strike/>
    </w:rPr>
  </w:style>
  <w:style w:type="character" w:customStyle="1" w:styleId="141">
    <w:name w:val="表字居中O Char"/>
    <w:link w:val="142"/>
    <w:qFormat/>
    <w:uiPriority w:val="0"/>
    <w:rPr>
      <w:spacing w:val="-4"/>
      <w:szCs w:val="21"/>
    </w:rPr>
  </w:style>
  <w:style w:type="paragraph" w:customStyle="1" w:styleId="142">
    <w:name w:val="表字居中O"/>
    <w:basedOn w:val="1"/>
    <w:link w:val="141"/>
    <w:qFormat/>
    <w:uiPriority w:val="0"/>
    <w:pPr>
      <w:spacing w:line="240" w:lineRule="atLeast"/>
      <w:ind w:firstLine="0" w:firstLineChars="0"/>
      <w:jc w:val="center"/>
    </w:pPr>
    <w:rPr>
      <w:rFonts w:asciiTheme="minorHAnsi" w:hAnsiTheme="minorHAnsi" w:eastAsiaTheme="minorEastAsia"/>
      <w:spacing w:val="-4"/>
      <w:sz w:val="21"/>
      <w:szCs w:val="21"/>
    </w:rPr>
  </w:style>
  <w:style w:type="character" w:customStyle="1" w:styleId="143">
    <w:name w:val="font21"/>
    <w:basedOn w:val="47"/>
    <w:qFormat/>
    <w:uiPriority w:val="0"/>
    <w:rPr>
      <w:rFonts w:hint="default" w:ascii="Times New Roman" w:hAnsi="Times New Roman" w:cs="Times New Roman"/>
      <w:color w:val="000000"/>
      <w:sz w:val="24"/>
      <w:szCs w:val="24"/>
      <w:u w:val="none"/>
    </w:rPr>
  </w:style>
  <w:style w:type="character" w:customStyle="1" w:styleId="144">
    <w:name w:val="标题 3 Char Char Char1"/>
    <w:uiPriority w:val="0"/>
    <w:rPr>
      <w:rFonts w:ascii="Arial" w:hAnsi="Arial" w:eastAsia="宋体" w:cs="Arial"/>
      <w:b/>
      <w:bCs/>
      <w:sz w:val="26"/>
      <w:szCs w:val="26"/>
      <w:lang w:val="en-US" w:eastAsia="zh-CN" w:bidi="ar-SA"/>
    </w:rPr>
  </w:style>
  <w:style w:type="character" w:customStyle="1" w:styleId="145">
    <w:name w:val="tit"/>
    <w:basedOn w:val="47"/>
    <w:uiPriority w:val="0"/>
  </w:style>
  <w:style w:type="character" w:customStyle="1" w:styleId="146">
    <w:name w:val="more"/>
    <w:basedOn w:val="47"/>
    <w:uiPriority w:val="0"/>
  </w:style>
  <w:style w:type="character" w:customStyle="1" w:styleId="147">
    <w:name w:val="page_index"/>
    <w:basedOn w:val="47"/>
    <w:uiPriority w:val="0"/>
    <w:rPr>
      <w:sz w:val="18"/>
      <w:szCs w:val="18"/>
    </w:rPr>
  </w:style>
  <w:style w:type="character" w:customStyle="1" w:styleId="148">
    <w:name w:val="s1"/>
    <w:qFormat/>
    <w:uiPriority w:val="0"/>
    <w:rPr>
      <w:sz w:val="18"/>
      <w:szCs w:val="18"/>
    </w:rPr>
  </w:style>
  <w:style w:type="character" w:customStyle="1" w:styleId="149">
    <w:name w:val="font01"/>
    <w:basedOn w:val="47"/>
    <w:qFormat/>
    <w:uiPriority w:val="0"/>
    <w:rPr>
      <w:rFonts w:hint="eastAsia" w:ascii="宋体" w:hAnsi="宋体" w:eastAsia="宋体" w:cs="宋体"/>
      <w:color w:val="000000"/>
      <w:sz w:val="24"/>
      <w:szCs w:val="24"/>
      <w:u w:val="none"/>
    </w:rPr>
  </w:style>
  <w:style w:type="character" w:customStyle="1" w:styleId="150">
    <w:name w:val="page_next"/>
    <w:basedOn w:val="47"/>
    <w:uiPriority w:val="0"/>
    <w:rPr>
      <w:sz w:val="18"/>
      <w:szCs w:val="18"/>
    </w:rPr>
  </w:style>
  <w:style w:type="character" w:customStyle="1" w:styleId="151">
    <w:name w:val="page_end"/>
    <w:basedOn w:val="47"/>
    <w:qFormat/>
    <w:uiPriority w:val="0"/>
    <w:rPr>
      <w:sz w:val="18"/>
      <w:szCs w:val="18"/>
    </w:rPr>
  </w:style>
  <w:style w:type="character" w:customStyle="1" w:styleId="152">
    <w:name w:val="标题 Char1"/>
    <w:basedOn w:val="47"/>
    <w:qFormat/>
    <w:uiPriority w:val="10"/>
    <w:rPr>
      <w:rFonts w:ascii="Cambria" w:hAnsi="Cambria" w:eastAsia="宋体" w:cs="Times New Roman"/>
      <w:b/>
      <w:bCs/>
      <w:sz w:val="32"/>
      <w:szCs w:val="32"/>
    </w:rPr>
  </w:style>
  <w:style w:type="paragraph" w:customStyle="1" w:styleId="153">
    <w:name w:val="环龙公司文本正文"/>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54">
    <w:name w:val="_Style 2"/>
    <w:qFormat/>
    <w:uiPriority w:val="34"/>
    <w:pPr>
      <w:widowControl w:val="0"/>
      <w:jc w:val="both"/>
    </w:pPr>
    <w:rPr>
      <w:rFonts w:ascii="Times New Roman" w:hAnsi="Times New Roman" w:eastAsia="宋体" w:cs="Times New Roman"/>
      <w:kern w:val="2"/>
      <w:sz w:val="28"/>
      <w:szCs w:val="24"/>
      <w:lang w:val="en-US" w:eastAsia="zh-CN" w:bidi="ar-SA"/>
    </w:rPr>
  </w:style>
  <w:style w:type="paragraph" w:customStyle="1" w:styleId="155">
    <w:name w:val="表格标题"/>
    <w:basedOn w:val="1"/>
    <w:qFormat/>
    <w:uiPriority w:val="0"/>
    <w:pPr>
      <w:spacing w:before="120" w:line="240" w:lineRule="auto"/>
      <w:ind w:firstLine="0" w:firstLineChars="0"/>
      <w:jc w:val="center"/>
    </w:pPr>
    <w:rPr>
      <w:rFonts w:cs="Times New Roman"/>
      <w:szCs w:val="20"/>
    </w:rPr>
  </w:style>
  <w:style w:type="paragraph" w:customStyle="1" w:styleId="156">
    <w:name w:val="reader-word-layer reader-word-s1-25"/>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57">
    <w:name w:val="表1表2"/>
    <w:basedOn w:val="1"/>
    <w:qFormat/>
    <w:uiPriority w:val="0"/>
    <w:pPr>
      <w:autoSpaceDE w:val="0"/>
      <w:autoSpaceDN w:val="0"/>
      <w:adjustRightInd w:val="0"/>
      <w:spacing w:line="240" w:lineRule="auto"/>
      <w:ind w:firstLine="0" w:firstLineChars="0"/>
      <w:jc w:val="center"/>
      <w:textAlignment w:val="center"/>
    </w:pPr>
    <w:rPr>
      <w:rFonts w:eastAsia="仿宋_GB2312" w:cs="Times New Roman"/>
      <w:kern w:val="0"/>
      <w:sz w:val="21"/>
      <w:szCs w:val="21"/>
    </w:rPr>
  </w:style>
  <w:style w:type="paragraph" w:customStyle="1" w:styleId="158">
    <w:name w:val="报告书正文"/>
    <w:basedOn w:val="1"/>
    <w:qFormat/>
    <w:uiPriority w:val="0"/>
    <w:pPr>
      <w:spacing w:line="300" w:lineRule="auto"/>
    </w:pPr>
    <w:rPr>
      <w:rFonts w:cs="Times New Roman"/>
      <w:szCs w:val="20"/>
    </w:rPr>
  </w:style>
  <w:style w:type="paragraph" w:customStyle="1" w:styleId="159">
    <w:name w:val="reader-word-layer reader-word-s2-10"/>
    <w:basedOn w:val="1"/>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60">
    <w:name w:val="表格内容"/>
    <w:basedOn w:val="1"/>
    <w:link w:val="161"/>
    <w:qFormat/>
    <w:uiPriority w:val="0"/>
    <w:pPr>
      <w:spacing w:line="240" w:lineRule="auto"/>
      <w:ind w:firstLine="0" w:firstLineChars="0"/>
      <w:jc w:val="center"/>
    </w:pPr>
    <w:rPr>
      <w:rFonts w:cs="Times New Roman"/>
      <w:kern w:val="0"/>
      <w:sz w:val="20"/>
      <w:szCs w:val="21"/>
    </w:rPr>
  </w:style>
  <w:style w:type="character" w:customStyle="1" w:styleId="161">
    <w:name w:val="表格内容 Char"/>
    <w:link w:val="160"/>
    <w:qFormat/>
    <w:uiPriority w:val="0"/>
    <w:rPr>
      <w:rFonts w:ascii="Times New Roman" w:hAnsi="Times New Roman" w:eastAsia="宋体" w:cs="Times New Roman"/>
      <w:kern w:val="0"/>
      <w:sz w:val="20"/>
      <w:szCs w:val="21"/>
    </w:rPr>
  </w:style>
  <w:style w:type="paragraph" w:customStyle="1" w:styleId="162">
    <w:name w:val="五级条标题"/>
    <w:basedOn w:val="1"/>
    <w:next w:val="1"/>
    <w:qFormat/>
    <w:uiPriority w:val="0"/>
    <w:pPr>
      <w:widowControl/>
      <w:tabs>
        <w:tab w:val="left" w:pos="1296"/>
      </w:tabs>
      <w:spacing w:line="240" w:lineRule="auto"/>
      <w:ind w:left="1296" w:hanging="1296" w:firstLineChars="0"/>
      <w:outlineLvl w:val="6"/>
    </w:pPr>
    <w:rPr>
      <w:rFonts w:ascii="黑体" w:eastAsia="黑体" w:cs="Times New Roman"/>
      <w:kern w:val="0"/>
      <w:sz w:val="21"/>
      <w:szCs w:val="20"/>
    </w:rPr>
  </w:style>
  <w:style w:type="paragraph" w:customStyle="1" w:styleId="163">
    <w:name w:val="样式 小四 行距: 1.5 倍行距"/>
    <w:basedOn w:val="1"/>
    <w:qFormat/>
    <w:uiPriority w:val="0"/>
    <w:pPr>
      <w:ind w:firstLine="480"/>
    </w:pPr>
    <w:rPr>
      <w:rFonts w:cs="宋体"/>
      <w:szCs w:val="20"/>
    </w:rPr>
  </w:style>
  <w:style w:type="paragraph" w:customStyle="1" w:styleId="164">
    <w:name w:val="TOC 标题1"/>
    <w:basedOn w:val="2"/>
    <w:next w:val="1"/>
    <w:qFormat/>
    <w:uiPriority w:val="39"/>
    <w:pPr>
      <w:widowControl/>
      <w:tabs>
        <w:tab w:val="left" w:pos="432"/>
      </w:tabs>
      <w:spacing w:line="276" w:lineRule="auto"/>
      <w:jc w:val="left"/>
      <w:outlineLvl w:val="9"/>
    </w:pPr>
    <w:rPr>
      <w:rFonts w:ascii="Cambria" w:hAnsi="Cambria" w:cs="Times New Roman"/>
      <w:color w:val="365F91"/>
      <w:kern w:val="0"/>
      <w:szCs w:val="28"/>
    </w:rPr>
  </w:style>
  <w:style w:type="paragraph" w:customStyle="1" w:styleId="165">
    <w:name w:val="列出段落1"/>
    <w:basedOn w:val="1"/>
    <w:qFormat/>
    <w:uiPriority w:val="0"/>
    <w:pPr>
      <w:spacing w:line="240" w:lineRule="auto"/>
      <w:ind w:firstLine="420"/>
    </w:pPr>
    <w:rPr>
      <w:rFonts w:ascii="Calibri" w:hAnsi="Calibri" w:cs="Times New Roman"/>
      <w:sz w:val="21"/>
      <w:szCs w:val="21"/>
    </w:rPr>
  </w:style>
  <w:style w:type="paragraph" w:customStyle="1" w:styleId="166">
    <w:name w:val="Char Char Char Char Char Char1 Char Char Char Char Char Char Char Char Char Char Char Char Char Char Char Char"/>
    <w:basedOn w:val="1"/>
    <w:uiPriority w:val="0"/>
    <w:pPr>
      <w:spacing w:line="240" w:lineRule="auto"/>
      <w:ind w:firstLine="0" w:firstLineChars="0"/>
    </w:pPr>
    <w:rPr>
      <w:rFonts w:cs="Times New Roman"/>
      <w:sz w:val="21"/>
      <w:szCs w:val="24"/>
    </w:rPr>
  </w:style>
  <w:style w:type="paragraph" w:customStyle="1" w:styleId="167">
    <w:name w:val="段落"/>
    <w:basedOn w:val="1"/>
    <w:qFormat/>
    <w:uiPriority w:val="0"/>
    <w:pPr>
      <w:tabs>
        <w:tab w:val="left" w:pos="1021"/>
      </w:tabs>
      <w:ind w:firstLine="480"/>
    </w:pPr>
    <w:rPr>
      <w:rFonts w:ascii="宋体" w:hAnsi="宋体" w:cs="Times New Roman"/>
      <w:sz w:val="21"/>
      <w:szCs w:val="24"/>
    </w:rPr>
  </w:style>
  <w:style w:type="paragraph" w:customStyle="1" w:styleId="168">
    <w:name w:val="reader-word-layer reader-word-s1-21"/>
    <w:basedOn w:val="1"/>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69">
    <w:name w:val="正本"/>
    <w:basedOn w:val="1"/>
    <w:qFormat/>
    <w:uiPriority w:val="0"/>
    <w:pPr>
      <w:adjustRightInd w:val="0"/>
      <w:snapToGrid w:val="0"/>
    </w:pPr>
    <w:rPr>
      <w:rFonts w:ascii="宋体" w:hAnsi="宋体" w:cs="Times New Roman"/>
      <w:szCs w:val="24"/>
    </w:rPr>
  </w:style>
  <w:style w:type="paragraph" w:customStyle="1" w:styleId="170">
    <w:name w:val="样式 首行缩进:  2 字符"/>
    <w:basedOn w:val="1"/>
    <w:qFormat/>
    <w:uiPriority w:val="0"/>
    <w:pPr>
      <w:autoSpaceDE w:val="0"/>
      <w:autoSpaceDN w:val="0"/>
      <w:adjustRightInd w:val="0"/>
      <w:snapToGrid w:val="0"/>
      <w:spacing w:line="440" w:lineRule="exact"/>
      <w:ind w:firstLine="480"/>
    </w:pPr>
    <w:rPr>
      <w:rFonts w:cs="Times New Roman"/>
      <w:kern w:val="0"/>
      <w:szCs w:val="24"/>
    </w:rPr>
  </w:style>
  <w:style w:type="paragraph" w:customStyle="1" w:styleId="171">
    <w:name w:val="流程图"/>
    <w:basedOn w:val="1"/>
    <w:qFormat/>
    <w:uiPriority w:val="0"/>
    <w:pPr>
      <w:tabs>
        <w:tab w:val="left" w:pos="0"/>
      </w:tabs>
      <w:autoSpaceDE w:val="0"/>
      <w:autoSpaceDN w:val="0"/>
      <w:adjustRightInd w:val="0"/>
      <w:spacing w:line="240" w:lineRule="atLeast"/>
      <w:ind w:firstLine="0" w:firstLineChars="0"/>
      <w:jc w:val="center"/>
      <w:textAlignment w:val="bottom"/>
    </w:pPr>
    <w:rPr>
      <w:rFonts w:ascii="宋体" w:cs="Times New Roman"/>
      <w:sz w:val="21"/>
      <w:szCs w:val="20"/>
    </w:rPr>
  </w:style>
  <w:style w:type="paragraph" w:customStyle="1" w:styleId="172">
    <w:name w:val="reader-word-layer reader-word-s1-14"/>
    <w:basedOn w:val="1"/>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73">
    <w:name w:val="reader-word-layer reader-word-s1-11"/>
    <w:basedOn w:val="1"/>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74">
    <w:name w:val="正文（用）"/>
    <w:basedOn w:val="1"/>
    <w:link w:val="175"/>
    <w:qFormat/>
    <w:uiPriority w:val="0"/>
    <w:pPr>
      <w:ind w:firstLine="480"/>
      <w:jc w:val="left"/>
    </w:pPr>
    <w:rPr>
      <w:rFonts w:ascii="宋体" w:hAnsi="宋体" w:cs="Times New Roman"/>
      <w:szCs w:val="20"/>
    </w:rPr>
  </w:style>
  <w:style w:type="character" w:customStyle="1" w:styleId="175">
    <w:name w:val="正文（用） Char"/>
    <w:link w:val="174"/>
    <w:qFormat/>
    <w:locked/>
    <w:uiPriority w:val="0"/>
    <w:rPr>
      <w:rFonts w:ascii="宋体" w:hAnsi="宋体" w:eastAsia="宋体" w:cs="Times New Roman"/>
      <w:sz w:val="24"/>
      <w:szCs w:val="20"/>
    </w:rPr>
  </w:style>
  <w:style w:type="paragraph" w:customStyle="1" w:styleId="176">
    <w:name w:val="标题 21"/>
    <w:basedOn w:val="1"/>
    <w:qFormat/>
    <w:uiPriority w:val="1"/>
    <w:pPr>
      <w:autoSpaceDE w:val="0"/>
      <w:autoSpaceDN w:val="0"/>
      <w:adjustRightInd w:val="0"/>
      <w:spacing w:line="240" w:lineRule="auto"/>
      <w:ind w:left="120" w:firstLine="0" w:firstLineChars="0"/>
      <w:jc w:val="left"/>
      <w:outlineLvl w:val="1"/>
    </w:pPr>
    <w:rPr>
      <w:rFonts w:ascii="宋体" w:cs="宋体"/>
      <w:kern w:val="0"/>
      <w:sz w:val="42"/>
      <w:szCs w:val="42"/>
    </w:rPr>
  </w:style>
  <w:style w:type="paragraph" w:customStyle="1" w:styleId="177">
    <w:name w:val="reader-word-layer reader-word-s2-6"/>
    <w:basedOn w:val="1"/>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78">
    <w:name w:val="Char Char Char Char Char Char Char"/>
    <w:basedOn w:val="1"/>
    <w:qFormat/>
    <w:uiPriority w:val="0"/>
    <w:pPr>
      <w:spacing w:line="240" w:lineRule="auto"/>
      <w:ind w:firstLine="0" w:firstLineChars="0"/>
    </w:pPr>
    <w:rPr>
      <w:rFonts w:cs="Times New Roman"/>
      <w:sz w:val="21"/>
      <w:szCs w:val="24"/>
    </w:rPr>
  </w:style>
  <w:style w:type="paragraph" w:customStyle="1" w:styleId="179">
    <w:name w:val="xl35"/>
    <w:basedOn w:val="1"/>
    <w:qFormat/>
    <w:uiPriority w:val="0"/>
    <w:pPr>
      <w:widowControl/>
      <w:spacing w:before="100" w:beforeAutospacing="1" w:after="100" w:afterAutospacing="1" w:line="240" w:lineRule="auto"/>
      <w:ind w:firstLine="0" w:firstLineChars="0"/>
      <w:jc w:val="center"/>
    </w:pPr>
    <w:rPr>
      <w:rFonts w:hAnsi="宋体" w:eastAsia="仿宋_GB2312" w:cs="Times New Roman"/>
      <w:kern w:val="0"/>
      <w:sz w:val="28"/>
      <w:szCs w:val="28"/>
    </w:rPr>
  </w:style>
  <w:style w:type="paragraph" w:customStyle="1" w:styleId="180">
    <w:name w:val="reader-word-layer reader-word-s1-8"/>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81">
    <w:name w:val="reader-word-layer reader-word-s1-16"/>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82">
    <w:name w:val="biaoge"/>
    <w:basedOn w:val="1"/>
    <w:qFormat/>
    <w:uiPriority w:val="0"/>
    <w:pPr>
      <w:autoSpaceDE w:val="0"/>
      <w:autoSpaceDN w:val="0"/>
      <w:adjustRightInd w:val="0"/>
      <w:spacing w:line="240" w:lineRule="auto"/>
      <w:ind w:firstLine="0" w:firstLineChars="0"/>
      <w:jc w:val="center"/>
    </w:pPr>
    <w:rPr>
      <w:rFonts w:cs="宋体"/>
      <w:sz w:val="21"/>
      <w:szCs w:val="21"/>
    </w:rPr>
  </w:style>
  <w:style w:type="paragraph" w:customStyle="1" w:styleId="183">
    <w:name w:val="1"/>
    <w:basedOn w:val="1"/>
    <w:next w:val="1"/>
    <w:qFormat/>
    <w:uiPriority w:val="0"/>
    <w:rPr>
      <w:rFonts w:cs="Times New Roman"/>
      <w:szCs w:val="20"/>
    </w:rPr>
  </w:style>
  <w:style w:type="paragraph" w:customStyle="1" w:styleId="184">
    <w:name w:val="报告书正文 Char Char Char"/>
    <w:basedOn w:val="1"/>
    <w:qFormat/>
    <w:uiPriority w:val="0"/>
    <w:pPr>
      <w:spacing w:line="300" w:lineRule="auto"/>
      <w:ind w:firstLine="480"/>
    </w:pPr>
    <w:rPr>
      <w:rFonts w:ascii="宋体" w:hAnsi="宋体" w:cs="Times New Roman"/>
      <w:szCs w:val="20"/>
    </w:rPr>
  </w:style>
  <w:style w:type="paragraph" w:customStyle="1" w:styleId="185">
    <w:name w:val="pa-13"/>
    <w:basedOn w:val="1"/>
    <w:qFormat/>
    <w:uiPriority w:val="0"/>
    <w:pPr>
      <w:widowControl/>
      <w:spacing w:before="150" w:after="150" w:line="240" w:lineRule="auto"/>
      <w:ind w:firstLine="0" w:firstLineChars="0"/>
      <w:jc w:val="left"/>
    </w:pPr>
    <w:rPr>
      <w:rFonts w:ascii="宋体" w:hAnsi="宋体" w:cs="宋体"/>
      <w:kern w:val="0"/>
      <w:szCs w:val="24"/>
    </w:rPr>
  </w:style>
  <w:style w:type="paragraph" w:customStyle="1" w:styleId="186">
    <w:name w:val="_Style 131"/>
    <w:basedOn w:val="1"/>
    <w:next w:val="1"/>
    <w:qFormat/>
    <w:uiPriority w:val="0"/>
    <w:pPr>
      <w:widowControl/>
      <w:spacing w:line="240" w:lineRule="auto"/>
      <w:ind w:firstLine="0" w:firstLineChars="0"/>
      <w:outlineLvl w:val="6"/>
    </w:pPr>
    <w:rPr>
      <w:rFonts w:ascii="黑体" w:eastAsia="黑体" w:cs="Times New Roman"/>
      <w:kern w:val="0"/>
      <w:sz w:val="21"/>
      <w:szCs w:val="20"/>
    </w:rPr>
  </w:style>
  <w:style w:type="paragraph" w:customStyle="1" w:styleId="187">
    <w:name w:val="默认段落字体 Para Char Char Char Char"/>
    <w:basedOn w:val="1"/>
    <w:next w:val="1"/>
    <w:qFormat/>
    <w:uiPriority w:val="0"/>
    <w:rPr>
      <w:rFonts w:ascii="宋体" w:hAnsi="宋体" w:cs="宋体"/>
      <w:bCs/>
      <w:snapToGrid w:val="0"/>
      <w:szCs w:val="24"/>
      <w:lang w:val="eu-ES"/>
    </w:rPr>
  </w:style>
  <w:style w:type="paragraph" w:customStyle="1" w:styleId="188">
    <w:name w:val="正文缩进2"/>
    <w:basedOn w:val="1"/>
    <w:qFormat/>
    <w:uiPriority w:val="0"/>
    <w:pPr>
      <w:spacing w:line="240" w:lineRule="auto"/>
      <w:ind w:firstLine="420" w:firstLineChars="0"/>
    </w:pPr>
    <w:rPr>
      <w:rFonts w:cs="Times New Roman"/>
      <w:kern w:val="0"/>
      <w:sz w:val="20"/>
      <w:szCs w:val="20"/>
    </w:rPr>
  </w:style>
  <w:style w:type="paragraph" w:customStyle="1" w:styleId="189">
    <w:name w:val="reader-word-layer reader-word-s1-20"/>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90">
    <w:name w:val="Char Char Char Char Char Char3 Char Char Char Char Char Char Char"/>
    <w:basedOn w:val="1"/>
    <w:next w:val="1"/>
    <w:qFormat/>
    <w:uiPriority w:val="0"/>
    <w:pPr>
      <w:spacing w:line="240" w:lineRule="auto"/>
      <w:ind w:firstLine="0" w:firstLineChars="0"/>
    </w:pPr>
    <w:rPr>
      <w:rFonts w:cs="Times New Roman"/>
      <w:sz w:val="21"/>
      <w:szCs w:val="24"/>
    </w:rPr>
  </w:style>
  <w:style w:type="paragraph" w:customStyle="1" w:styleId="191">
    <w:name w:val="reader-word-layer reader-word-s1-18"/>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92">
    <w:name w:val="reader-word-layer reader-word-s2-2"/>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93">
    <w:name w:val="reader-word-layer reader-word-s1-19"/>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94">
    <w:name w:val="reader-word-layer reader-word-s1-17"/>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95">
    <w:name w:val="表格内格式"/>
    <w:basedOn w:val="160"/>
    <w:next w:val="1"/>
    <w:qFormat/>
    <w:uiPriority w:val="0"/>
    <w:pPr>
      <w:widowControl/>
      <w:tabs>
        <w:tab w:val="left" w:pos="1535"/>
        <w:tab w:val="left" w:pos="3105"/>
        <w:tab w:val="left" w:pos="4676"/>
        <w:tab w:val="left" w:pos="6247"/>
        <w:tab w:val="left" w:pos="7740"/>
        <w:tab w:val="left" w:pos="8311"/>
      </w:tabs>
      <w:spacing w:before="40" w:after="60" w:line="360" w:lineRule="exact"/>
    </w:pPr>
    <w:rPr>
      <w:rFonts w:ascii="Arial" w:hAnsi="Arial" w:eastAsia="仿宋_GB2312" w:cs="Arial"/>
    </w:rPr>
  </w:style>
  <w:style w:type="paragraph" w:customStyle="1" w:styleId="196">
    <w:name w:val="样式 标题 2节项目标题4H21标题 1.1节标题 1.11.1标题2标题 2 Charb2h2l22..."/>
    <w:basedOn w:val="3"/>
    <w:next w:val="13"/>
    <w:qFormat/>
    <w:uiPriority w:val="0"/>
    <w:pPr>
      <w:tabs>
        <w:tab w:val="left" w:pos="432"/>
        <w:tab w:val="left" w:pos="576"/>
        <w:tab w:val="left" w:pos="1002"/>
      </w:tabs>
      <w:spacing w:before="120" w:after="240" w:line="460" w:lineRule="exact"/>
    </w:pPr>
    <w:rPr>
      <w:rFonts w:ascii="宋体" w:hAnsi="宋体" w:cs="宋体"/>
      <w:kern w:val="0"/>
      <w:sz w:val="28"/>
      <w:szCs w:val="20"/>
    </w:rPr>
  </w:style>
  <w:style w:type="paragraph" w:customStyle="1" w:styleId="197">
    <w:name w:val="表内式样"/>
    <w:qFormat/>
    <w:uiPriority w:val="0"/>
    <w:pPr>
      <w:widowControl w:val="0"/>
      <w:spacing w:line="360" w:lineRule="exact"/>
      <w:jc w:val="center"/>
    </w:pPr>
    <w:rPr>
      <w:rFonts w:ascii="宋体" w:hAnsi="宋体" w:eastAsia="宋体" w:cs="Times New Roman"/>
      <w:color w:val="000000"/>
      <w:kern w:val="2"/>
      <w:sz w:val="21"/>
      <w:szCs w:val="24"/>
      <w:lang w:val="en-US" w:eastAsia="zh-CN" w:bidi="ar-SA"/>
    </w:rPr>
  </w:style>
  <w:style w:type="paragraph" w:customStyle="1" w:styleId="198">
    <w:name w:val="罗英样式"/>
    <w:basedOn w:val="1"/>
    <w:qFormat/>
    <w:uiPriority w:val="0"/>
    <w:pPr>
      <w:spacing w:line="500" w:lineRule="exact"/>
    </w:pPr>
    <w:rPr>
      <w:rFonts w:ascii="宋体" w:hAnsi="宋体" w:cs="Times New Roman"/>
      <w:szCs w:val="24"/>
    </w:rPr>
  </w:style>
  <w:style w:type="paragraph" w:customStyle="1" w:styleId="199">
    <w:name w:val="Char1"/>
    <w:basedOn w:val="1"/>
    <w:qFormat/>
    <w:uiPriority w:val="0"/>
    <w:pPr>
      <w:snapToGrid w:val="0"/>
    </w:pPr>
    <w:rPr>
      <w:rFonts w:eastAsia="仿宋_GB2312" w:cs="Times New Roman"/>
      <w:szCs w:val="24"/>
    </w:rPr>
  </w:style>
  <w:style w:type="paragraph" w:customStyle="1" w:styleId="200">
    <w:name w:val="Char Char1 Char Char Char Char Char Char Char Char Char Char Char Char Char Char Char Char Char Char Char Char1 Char"/>
    <w:basedOn w:val="1"/>
    <w:qFormat/>
    <w:uiPriority w:val="0"/>
    <w:rPr>
      <w:rFonts w:cs="Times New Roman"/>
      <w:sz w:val="21"/>
      <w:szCs w:val="24"/>
    </w:rPr>
  </w:style>
  <w:style w:type="paragraph" w:customStyle="1" w:styleId="201">
    <w:name w:val="reader-word-layer reader-word-s1-13"/>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202">
    <w:name w:val="表名"/>
    <w:basedOn w:val="1"/>
    <w:qFormat/>
    <w:uiPriority w:val="0"/>
    <w:pPr>
      <w:adjustRightInd w:val="0"/>
      <w:spacing w:line="240" w:lineRule="auto"/>
      <w:ind w:firstLine="100" w:firstLineChars="100"/>
      <w:jc w:val="left"/>
    </w:pPr>
    <w:rPr>
      <w:rFonts w:ascii="Arial" w:hAnsi="Arial" w:eastAsia="黑体" w:cs="Times New Roman"/>
      <w:snapToGrid w:val="0"/>
      <w:kern w:val="0"/>
      <w:sz w:val="21"/>
      <w:szCs w:val="21"/>
    </w:rPr>
  </w:style>
  <w:style w:type="paragraph" w:customStyle="1" w:styleId="203">
    <w:name w:val="Char Char Char Char Char Char1 Char Char Char Char Char Char Char Char Char Char Char Char Char"/>
    <w:basedOn w:val="1"/>
    <w:qFormat/>
    <w:uiPriority w:val="0"/>
    <w:pPr>
      <w:spacing w:line="240" w:lineRule="auto"/>
      <w:ind w:firstLine="0" w:firstLineChars="0"/>
    </w:pPr>
    <w:rPr>
      <w:rFonts w:cs="Times New Roman"/>
      <w:sz w:val="21"/>
      <w:szCs w:val="24"/>
    </w:rPr>
  </w:style>
  <w:style w:type="paragraph" w:customStyle="1" w:styleId="204">
    <w:name w:val="样式 样式 样式 首行缩进 + 首行缩进:  2.5 字符 + 首行缩进:  2.5 字符 + 首行缩进:  2.5 字符"/>
    <w:basedOn w:val="1"/>
    <w:qFormat/>
    <w:uiPriority w:val="0"/>
    <w:rPr>
      <w:rFonts w:cs="宋体"/>
      <w:szCs w:val="20"/>
    </w:rPr>
  </w:style>
  <w:style w:type="paragraph" w:customStyle="1" w:styleId="205">
    <w:name w:val="报告正文"/>
    <w:basedOn w:val="1"/>
    <w:qFormat/>
    <w:uiPriority w:val="0"/>
    <w:pPr>
      <w:adjustRightInd w:val="0"/>
      <w:snapToGrid w:val="0"/>
    </w:pPr>
    <w:rPr>
      <w:rFonts w:ascii="宋体" w:cs="Times New Roman"/>
      <w:szCs w:val="20"/>
    </w:rPr>
  </w:style>
  <w:style w:type="paragraph" w:customStyle="1" w:styleId="206">
    <w:name w:val="reader-word-layer reader-word-s1-8 reader-word-s1-15"/>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207">
    <w:name w:val="reader-word-layer reader-word-s1-9"/>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208">
    <w:name w:val="reader-word-layer reader-word-s1-10"/>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209">
    <w:name w:val="表格2"/>
    <w:basedOn w:val="1"/>
    <w:next w:val="1"/>
    <w:qFormat/>
    <w:uiPriority w:val="0"/>
    <w:pPr>
      <w:keepNext/>
      <w:autoSpaceDE w:val="0"/>
      <w:autoSpaceDN w:val="0"/>
      <w:adjustRightInd w:val="0"/>
      <w:spacing w:line="240" w:lineRule="auto"/>
      <w:ind w:firstLine="0" w:firstLineChars="0"/>
      <w:jc w:val="center"/>
      <w:textAlignment w:val="baseline"/>
    </w:pPr>
    <w:rPr>
      <w:rFonts w:ascii="宋体" w:cs="宋体"/>
      <w:kern w:val="0"/>
      <w:position w:val="-28"/>
      <w:sz w:val="21"/>
      <w:szCs w:val="21"/>
    </w:rPr>
  </w:style>
  <w:style w:type="paragraph" w:customStyle="1" w:styleId="210">
    <w:name w:val="Char2"/>
    <w:basedOn w:val="1"/>
    <w:uiPriority w:val="0"/>
    <w:pPr>
      <w:spacing w:line="240" w:lineRule="auto"/>
      <w:ind w:firstLine="0" w:firstLineChars="0"/>
    </w:pPr>
    <w:rPr>
      <w:rFonts w:cs="Times New Roman"/>
      <w:sz w:val="21"/>
      <w:szCs w:val="20"/>
    </w:rPr>
  </w:style>
  <w:style w:type="paragraph" w:customStyle="1" w:styleId="211">
    <w:name w:val="环表头"/>
    <w:basedOn w:val="212"/>
    <w:qFormat/>
    <w:uiPriority w:val="0"/>
    <w:pPr>
      <w:spacing w:line="360" w:lineRule="exact"/>
      <w:ind w:right="0" w:rightChars="0" w:firstLine="0" w:firstLineChars="0"/>
      <w:jc w:val="center"/>
    </w:pPr>
    <w:rPr>
      <w:rFonts w:ascii="Times New Roman" w:hAnsi="Times New Roman" w:eastAsia="黑体"/>
      <w:sz w:val="24"/>
      <w:szCs w:val="24"/>
    </w:rPr>
  </w:style>
  <w:style w:type="paragraph" w:customStyle="1" w:styleId="212">
    <w:name w:val="环正文"/>
    <w:basedOn w:val="1"/>
    <w:qFormat/>
    <w:uiPriority w:val="0"/>
    <w:pPr>
      <w:widowControl/>
      <w:suppressAutoHyphens/>
      <w:adjustRightInd w:val="0"/>
      <w:spacing w:line="312" w:lineRule="atLeast"/>
      <w:ind w:right="210" w:rightChars="100" w:firstLine="560"/>
      <w:textAlignment w:val="baseline"/>
    </w:pPr>
    <w:rPr>
      <w:rFonts w:ascii="宋体" w:hAnsi="宋体" w:cs="Times New Roman"/>
      <w:kern w:val="0"/>
      <w:sz w:val="28"/>
      <w:szCs w:val="20"/>
    </w:rPr>
  </w:style>
  <w:style w:type="paragraph" w:customStyle="1" w:styleId="213">
    <w:name w:val="表头编号"/>
    <w:basedOn w:val="1"/>
    <w:qFormat/>
    <w:uiPriority w:val="0"/>
    <w:pPr>
      <w:tabs>
        <w:tab w:val="left" w:pos="1021"/>
      </w:tabs>
      <w:spacing w:before="60" w:line="240" w:lineRule="auto"/>
      <w:ind w:firstLine="0" w:firstLineChars="0"/>
      <w:jc w:val="left"/>
    </w:pPr>
    <w:rPr>
      <w:rFonts w:eastAsia="黑体" w:cs="Times New Roman"/>
      <w:kern w:val="24"/>
      <w:szCs w:val="24"/>
    </w:rPr>
  </w:style>
  <w:style w:type="paragraph" w:customStyle="1" w:styleId="214">
    <w:name w:val="正文01"/>
    <w:qFormat/>
    <w:uiPriority w:val="0"/>
    <w:pPr>
      <w:spacing w:before="60" w:line="460" w:lineRule="exact"/>
      <w:ind w:firstLine="200" w:firstLineChars="200"/>
    </w:pPr>
    <w:rPr>
      <w:rFonts w:ascii="Times New Roman" w:hAnsi="Times New Roman" w:eastAsia="宋体" w:cs="Times New Roman"/>
      <w:kern w:val="0"/>
      <w:sz w:val="24"/>
      <w:szCs w:val="22"/>
      <w:lang w:val="en-US" w:eastAsia="zh-CN" w:bidi="ar-SA"/>
    </w:rPr>
  </w:style>
  <w:style w:type="paragraph" w:customStyle="1" w:styleId="215">
    <w:name w:val="永环表内格式"/>
    <w:basedOn w:val="1"/>
    <w:qFormat/>
    <w:uiPriority w:val="0"/>
    <w:pPr>
      <w:spacing w:line="340" w:lineRule="exact"/>
      <w:ind w:firstLine="0" w:firstLineChars="0"/>
      <w:jc w:val="center"/>
    </w:pPr>
    <w:rPr>
      <w:rFonts w:cs="Times New Roman"/>
      <w:szCs w:val="21"/>
    </w:rPr>
  </w:style>
  <w:style w:type="paragraph" w:customStyle="1" w:styleId="216">
    <w:name w:val="特殊标题３"/>
    <w:basedOn w:val="1"/>
    <w:qFormat/>
    <w:uiPriority w:val="0"/>
    <w:pPr>
      <w:overflowPunct w:val="0"/>
      <w:autoSpaceDE w:val="0"/>
      <w:autoSpaceDN w:val="0"/>
      <w:ind w:firstLine="0" w:firstLineChars="0"/>
    </w:pPr>
    <w:rPr>
      <w:rFonts w:eastAsia="仿宋_GB2312" w:cs="Times New Roman"/>
      <w:sz w:val="28"/>
      <w:szCs w:val="24"/>
    </w:rPr>
  </w:style>
  <w:style w:type="paragraph" w:customStyle="1" w:styleId="217">
    <w:name w:val="烟厂正文"/>
    <w:basedOn w:val="1"/>
    <w:qFormat/>
    <w:uiPriority w:val="0"/>
    <w:pPr>
      <w:spacing w:beforeLines="20" w:afterLines="20" w:line="540" w:lineRule="exact"/>
      <w:ind w:firstLine="480"/>
      <w:jc w:val="left"/>
    </w:pPr>
    <w:rPr>
      <w:rFonts w:cs="Times New Roman"/>
      <w:color w:val="FF0000"/>
      <w:kern w:val="0"/>
      <w:szCs w:val="24"/>
      <w:shd w:val="clear" w:color="auto" w:fill="FFFFFF"/>
    </w:rPr>
  </w:style>
  <w:style w:type="character" w:customStyle="1" w:styleId="218">
    <w:name w:val="表头2 Char"/>
    <w:link w:val="219"/>
    <w:qFormat/>
    <w:uiPriority w:val="0"/>
    <w:rPr>
      <w:rFonts w:ascii="Times New Roman" w:hAnsi="Times New Roman"/>
      <w:b/>
      <w:bCs/>
      <w:szCs w:val="21"/>
    </w:rPr>
  </w:style>
  <w:style w:type="paragraph" w:customStyle="1" w:styleId="219">
    <w:name w:val="表头2"/>
    <w:basedOn w:val="1"/>
    <w:link w:val="218"/>
    <w:qFormat/>
    <w:uiPriority w:val="0"/>
    <w:pPr>
      <w:spacing w:beforeLines="50" w:afterLines="50" w:line="240" w:lineRule="auto"/>
      <w:ind w:firstLine="0" w:firstLineChars="0"/>
      <w:jc w:val="center"/>
    </w:pPr>
    <w:rPr>
      <w:rFonts w:eastAsiaTheme="minorEastAsia"/>
      <w:b/>
      <w:bCs/>
      <w:sz w:val="21"/>
      <w:szCs w:val="21"/>
    </w:rPr>
  </w:style>
  <w:style w:type="paragraph" w:customStyle="1" w:styleId="220">
    <w:name w:val="表 头"/>
    <w:basedOn w:val="1"/>
    <w:link w:val="221"/>
    <w:qFormat/>
    <w:uiPriority w:val="0"/>
    <w:pPr>
      <w:spacing w:line="240" w:lineRule="auto"/>
      <w:ind w:firstLine="0" w:firstLineChars="0"/>
      <w:jc w:val="center"/>
    </w:pPr>
    <w:rPr>
      <w:rFonts w:ascii="Calibri" w:hAnsi="Calibri" w:eastAsia="Times New Roman" w:cs="Times New Roman"/>
      <w:b/>
      <w:sz w:val="21"/>
    </w:rPr>
  </w:style>
  <w:style w:type="character" w:customStyle="1" w:styleId="221">
    <w:name w:val="表 头 Char"/>
    <w:basedOn w:val="47"/>
    <w:link w:val="220"/>
    <w:qFormat/>
    <w:uiPriority w:val="0"/>
    <w:rPr>
      <w:rFonts w:ascii="Calibri" w:hAnsi="Calibri" w:eastAsia="Times New Roman" w:cs="Times New Roman"/>
      <w:b/>
    </w:rPr>
  </w:style>
  <w:style w:type="paragraph" w:customStyle="1" w:styleId="222">
    <w:name w:val="p0"/>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character" w:customStyle="1" w:styleId="223">
    <w:name w:val="aa正文 Char"/>
    <w:link w:val="224"/>
    <w:qFormat/>
    <w:uiPriority w:val="0"/>
    <w:rPr>
      <w:rFonts w:eastAsia="宋体"/>
      <w:sz w:val="24"/>
      <w:szCs w:val="24"/>
    </w:rPr>
  </w:style>
  <w:style w:type="paragraph" w:customStyle="1" w:styleId="224">
    <w:name w:val="aa正文"/>
    <w:basedOn w:val="1"/>
    <w:link w:val="223"/>
    <w:uiPriority w:val="0"/>
    <w:rPr>
      <w:rFonts w:asciiTheme="minorHAnsi" w:hAnsiTheme="minorHAnsi"/>
      <w:szCs w:val="24"/>
    </w:rPr>
  </w:style>
  <w:style w:type="paragraph" w:customStyle="1" w:styleId="225">
    <w:name w:val="A-正文"/>
    <w:basedOn w:val="43"/>
    <w:link w:val="226"/>
    <w:uiPriority w:val="0"/>
    <w:pPr>
      <w:spacing w:after="0" w:line="360" w:lineRule="auto"/>
      <w:ind w:firstLine="480" w:firstLineChars="200"/>
    </w:pPr>
    <w:rPr>
      <w:rFonts w:ascii="Times New Roman" w:hAnsi="Times New Roman"/>
      <w:sz w:val="24"/>
      <w:szCs w:val="20"/>
    </w:rPr>
  </w:style>
  <w:style w:type="character" w:customStyle="1" w:styleId="226">
    <w:name w:val="A-正文 Char Char"/>
    <w:link w:val="225"/>
    <w:qFormat/>
    <w:uiPriority w:val="0"/>
    <w:rPr>
      <w:rFonts w:ascii="Times New Roman" w:hAnsi="Times New Roman" w:eastAsia="宋体" w:cs="Times New Roman"/>
      <w:kern w:val="0"/>
      <w:sz w:val="24"/>
      <w:szCs w:val="20"/>
    </w:rPr>
  </w:style>
  <w:style w:type="paragraph" w:customStyle="1" w:styleId="227">
    <w:name w:val="0正文"/>
    <w:qFormat/>
    <w:uiPriority w:val="0"/>
    <w:pPr>
      <w:widowControl w:val="0"/>
      <w:spacing w:line="360" w:lineRule="auto"/>
      <w:ind w:firstLine="720" w:firstLineChars="200"/>
    </w:pPr>
    <w:rPr>
      <w:rFonts w:ascii="Calibri" w:hAnsi="Calibri" w:eastAsia="宋体" w:cs="Times New Roman"/>
      <w:kern w:val="0"/>
      <w:sz w:val="24"/>
      <w:szCs w:val="22"/>
      <w:lang w:val="en-US" w:eastAsia="zh-CN" w:bidi="ar-SA"/>
    </w:rPr>
  </w:style>
  <w:style w:type="character" w:customStyle="1" w:styleId="228">
    <w:name w:val="标准正文 Char"/>
    <w:link w:val="229"/>
    <w:qFormat/>
    <w:uiPriority w:val="0"/>
    <w:rPr>
      <w:rFonts w:ascii="宋体" w:hAnsi="Tahoma"/>
      <w:sz w:val="24"/>
      <w:szCs w:val="24"/>
    </w:rPr>
  </w:style>
  <w:style w:type="paragraph" w:customStyle="1" w:styleId="229">
    <w:name w:val="标准正文"/>
    <w:basedOn w:val="1"/>
    <w:link w:val="228"/>
    <w:qFormat/>
    <w:uiPriority w:val="0"/>
    <w:pPr>
      <w:ind w:firstLine="480"/>
    </w:pPr>
    <w:rPr>
      <w:rFonts w:ascii="宋体" w:hAnsi="Tahoma" w:eastAsiaTheme="minorEastAsia"/>
      <w:szCs w:val="24"/>
    </w:rPr>
  </w:style>
  <w:style w:type="character" w:customStyle="1" w:styleId="230">
    <w:name w:val="fontstyle11"/>
    <w:basedOn w:val="47"/>
    <w:uiPriority w:val="0"/>
    <w:rPr>
      <w:rFonts w:hint="default" w:ascii="TimesNewRomanPSMT" w:hAnsi="TimesNewRomanPSMT"/>
      <w:color w:val="000000"/>
      <w:sz w:val="28"/>
      <w:szCs w:val="28"/>
    </w:rPr>
  </w:style>
  <w:style w:type="character" w:customStyle="1" w:styleId="231">
    <w:name w:val="标题3古 Char"/>
    <w:link w:val="232"/>
    <w:qFormat/>
    <w:locked/>
    <w:uiPriority w:val="0"/>
    <w:rPr>
      <w:b/>
      <w:snapToGrid w:val="0"/>
      <w:color w:val="000000"/>
      <w:sz w:val="28"/>
      <w:szCs w:val="28"/>
    </w:rPr>
  </w:style>
  <w:style w:type="paragraph" w:customStyle="1" w:styleId="232">
    <w:name w:val="标题3古"/>
    <w:basedOn w:val="1"/>
    <w:link w:val="231"/>
    <w:qFormat/>
    <w:uiPriority w:val="0"/>
    <w:pPr>
      <w:adjustRightInd w:val="0"/>
      <w:snapToGrid w:val="0"/>
      <w:spacing w:beforeLines="50"/>
      <w:ind w:firstLine="0" w:firstLineChars="0"/>
      <w:outlineLvl w:val="2"/>
    </w:pPr>
    <w:rPr>
      <w:rFonts w:asciiTheme="minorHAnsi" w:hAnsiTheme="minorHAnsi" w:eastAsiaTheme="minorEastAsia"/>
      <w:b/>
      <w:snapToGrid w:val="0"/>
      <w:color w:val="000000"/>
      <w:sz w:val="28"/>
      <w:szCs w:val="28"/>
    </w:rPr>
  </w:style>
  <w:style w:type="paragraph" w:customStyle="1" w:styleId="233">
    <w:name w:val="段落(G)"/>
    <w:basedOn w:val="1"/>
    <w:qFormat/>
    <w:uiPriority w:val="0"/>
    <w:pPr>
      <w:tabs>
        <w:tab w:val="left" w:pos="1021"/>
        <w:tab w:val="left" w:pos="1320"/>
      </w:tabs>
      <w:ind w:firstLine="480"/>
    </w:pPr>
    <w:rPr>
      <w:rFonts w:ascii="Calibri" w:hAnsi="Calibri" w:cs="Times New Roman"/>
      <w:color w:val="000000"/>
      <w:kern w:val="24"/>
      <w:szCs w:val="24"/>
      <w:lang w:val="zh-CN"/>
    </w:rPr>
  </w:style>
  <w:style w:type="paragraph" w:customStyle="1" w:styleId="234">
    <w:name w:val="表头(G)"/>
    <w:basedOn w:val="1"/>
    <w:qFormat/>
    <w:uiPriority w:val="0"/>
    <w:pPr>
      <w:tabs>
        <w:tab w:val="left" w:pos="1021"/>
      </w:tabs>
      <w:spacing w:line="288" w:lineRule="auto"/>
      <w:ind w:firstLine="0" w:firstLineChars="0"/>
      <w:jc w:val="center"/>
    </w:pPr>
    <w:rPr>
      <w:rFonts w:ascii="Calibri" w:hAnsi="Calibri" w:eastAsia="黑体" w:cs="Times New Roman"/>
      <w:b/>
      <w:color w:val="000000"/>
      <w:kern w:val="24"/>
      <w:szCs w:val="24"/>
    </w:rPr>
  </w:style>
  <w:style w:type="character" w:customStyle="1" w:styleId="235">
    <w:name w:val="font41"/>
    <w:basedOn w:val="47"/>
    <w:qFormat/>
    <w:uiPriority w:val="0"/>
    <w:rPr>
      <w:rFonts w:hint="eastAsia" w:ascii="宋体" w:hAnsi="宋体" w:eastAsia="宋体" w:cs="宋体"/>
      <w:color w:val="000000"/>
      <w:sz w:val="18"/>
      <w:szCs w:val="18"/>
      <w:u w:val="none"/>
    </w:rPr>
  </w:style>
  <w:style w:type="character" w:customStyle="1" w:styleId="236">
    <w:name w:val="font31"/>
    <w:basedOn w:val="47"/>
    <w:qFormat/>
    <w:uiPriority w:val="0"/>
    <w:rPr>
      <w:rFonts w:hint="default" w:ascii="Times New Roman" w:hAnsi="Times New Roman" w:cs="Times New Roman"/>
      <w:color w:val="000000"/>
      <w:sz w:val="18"/>
      <w:szCs w:val="18"/>
      <w:u w:val="none"/>
    </w:rPr>
  </w:style>
  <w:style w:type="character" w:customStyle="1" w:styleId="237">
    <w:name w:val="ENFI表体 Char Char"/>
    <w:uiPriority w:val="0"/>
    <w:rPr>
      <w:rFonts w:eastAsia="仿宋_GB2312"/>
      <w:sz w:val="21"/>
    </w:rPr>
  </w:style>
  <w:style w:type="paragraph" w:customStyle="1" w:styleId="238">
    <w:name w:val="正文(首行缩进)宋旭峰"/>
    <w:basedOn w:val="13"/>
    <w:qFormat/>
    <w:uiPriority w:val="0"/>
    <w:pPr>
      <w:spacing w:line="440" w:lineRule="exact"/>
      <w:ind w:left="0" w:leftChars="0" w:firstLine="480"/>
      <w:contextualSpacing/>
      <w:jc w:val="both"/>
    </w:pPr>
    <w:rPr>
      <w:snapToGrid w:val="0"/>
      <w:szCs w:val="24"/>
    </w:rPr>
  </w:style>
  <w:style w:type="character" w:customStyle="1" w:styleId="239">
    <w:name w:val="HTML 预设格式 字符"/>
    <w:basedOn w:val="47"/>
    <w:link w:val="39"/>
    <w:qFormat/>
    <w:uiPriority w:val="0"/>
    <w:rPr>
      <w:rFonts w:ascii="宋体" w:hAnsi="宋体" w:eastAsia="宋体" w:cs="Times New Roman"/>
      <w:kern w:val="0"/>
      <w:sz w:val="24"/>
      <w:szCs w:val="24"/>
    </w:rPr>
  </w:style>
  <w:style w:type="paragraph" w:customStyle="1" w:styleId="240">
    <w:name w:val="acee正文"/>
    <w:basedOn w:val="1"/>
    <w:qFormat/>
    <w:uiPriority w:val="0"/>
    <w:pPr>
      <w:spacing w:line="480" w:lineRule="exact"/>
      <w:ind w:firstLine="640"/>
    </w:pPr>
    <w:rPr>
      <w:rFonts w:ascii="仿宋_GB2312" w:hAnsi="宋体" w:eastAsia="仿宋_GB2312" w:cs="Times New Roman"/>
      <w:sz w:val="32"/>
      <w:szCs w:val="24"/>
    </w:rPr>
  </w:style>
  <w:style w:type="paragraph" w:customStyle="1" w:styleId="241">
    <w:name w:val="样式1"/>
    <w:basedOn w:val="5"/>
    <w:next w:val="5"/>
    <w:qFormat/>
    <w:uiPriority w:val="0"/>
    <w:pPr>
      <w:tabs>
        <w:tab w:val="clear" w:pos="1574"/>
      </w:tabs>
      <w:spacing w:line="360" w:lineRule="auto"/>
    </w:pPr>
    <w:rPr>
      <w:bCs w:val="0"/>
      <w:szCs w:val="24"/>
    </w:rPr>
  </w:style>
  <w:style w:type="paragraph" w:customStyle="1" w:styleId="242">
    <w:name w:val="ENFI表体"/>
    <w:basedOn w:val="1"/>
    <w:uiPriority w:val="0"/>
    <w:pPr>
      <w:adjustRightInd w:val="0"/>
      <w:snapToGrid w:val="0"/>
      <w:ind w:firstLine="0" w:firstLineChars="0"/>
      <w:jc w:val="center"/>
      <w:textAlignment w:val="baseline"/>
    </w:pPr>
    <w:rPr>
      <w:rFonts w:eastAsia="仿宋_GB2312" w:cs="Times New Roman"/>
      <w:kern w:val="0"/>
      <w:szCs w:val="24"/>
    </w:rPr>
  </w:style>
  <w:style w:type="paragraph" w:customStyle="1" w:styleId="243">
    <w:name w:val="标题-1"/>
    <w:basedOn w:val="1"/>
    <w:qFormat/>
    <w:uiPriority w:val="0"/>
    <w:pPr>
      <w:keepNext/>
      <w:keepLines/>
      <w:spacing w:afterLines="150"/>
      <w:ind w:firstLine="0" w:firstLineChars="0"/>
      <w:jc w:val="center"/>
      <w:outlineLvl w:val="1"/>
    </w:pPr>
    <w:rPr>
      <w:rFonts w:ascii="Arial" w:hAnsi="Arial" w:eastAsia="仿宋_GB2312" w:cs="宋体"/>
      <w:b/>
      <w:bCs/>
      <w:color w:val="000000"/>
      <w:sz w:val="44"/>
      <w:szCs w:val="24"/>
    </w:rPr>
  </w:style>
  <w:style w:type="paragraph" w:customStyle="1" w:styleId="244">
    <w:name w:val="ENFI 标注"/>
    <w:basedOn w:val="1"/>
    <w:qFormat/>
    <w:uiPriority w:val="0"/>
    <w:pPr>
      <w:ind w:firstLine="0" w:firstLineChars="0"/>
    </w:pPr>
    <w:rPr>
      <w:rFonts w:eastAsia="仿宋_GB2312" w:cs="Times New Roman"/>
      <w:szCs w:val="24"/>
    </w:rPr>
  </w:style>
  <w:style w:type="paragraph" w:customStyle="1" w:styleId="245">
    <w:name w:val="_Style 3"/>
    <w:basedOn w:val="1"/>
    <w:qFormat/>
    <w:uiPriority w:val="34"/>
    <w:pPr>
      <w:ind w:firstLine="0" w:firstLineChars="0"/>
    </w:pPr>
    <w:rPr>
      <w:rFonts w:ascii="Calibri" w:hAnsi="Calibri" w:cs="Times New Roman"/>
      <w:szCs w:val="24"/>
    </w:rPr>
  </w:style>
  <w:style w:type="character" w:customStyle="1" w:styleId="246">
    <w:name w:val="fontstyle01"/>
    <w:basedOn w:val="47"/>
    <w:qFormat/>
    <w:uiPriority w:val="0"/>
    <w:rPr>
      <w:rFonts w:hint="eastAsia" w:ascii="宋体" w:hAnsi="宋体" w:eastAsia="宋体"/>
      <w:color w:val="000000"/>
      <w:sz w:val="24"/>
      <w:szCs w:val="24"/>
    </w:rPr>
  </w:style>
  <w:style w:type="paragraph" w:styleId="247">
    <w:name w:val="List Paragraph"/>
    <w:basedOn w:val="1"/>
    <w:unhideWhenUsed/>
    <w:qFormat/>
    <w:uiPriority w:val="34"/>
    <w:pPr>
      <w:spacing w:line="240" w:lineRule="auto"/>
      <w:ind w:firstLine="420"/>
    </w:pPr>
    <w:rPr>
      <w:rFonts w:cs="Times New Roman"/>
      <w:sz w:val="21"/>
      <w:szCs w:val="24"/>
    </w:rPr>
  </w:style>
  <w:style w:type="character" w:customStyle="1" w:styleId="248">
    <w:name w:val="正文文本首行缩进 2 字符"/>
    <w:basedOn w:val="97"/>
    <w:link w:val="44"/>
    <w:semiHidden/>
    <w:qFormat/>
    <w:uiPriority w:val="99"/>
    <w:rPr>
      <w:rFonts w:ascii="Times New Roman" w:hAnsi="Times New Roman" w:eastAsia="宋体" w:cs="Times New Roman"/>
      <w:szCs w:val="24"/>
    </w:rPr>
  </w:style>
  <w:style w:type="paragraph" w:customStyle="1" w:styleId="249">
    <w:name w:val="FF正文"/>
    <w:basedOn w:val="1"/>
    <w:qFormat/>
    <w:uiPriority w:val="0"/>
    <w:pPr>
      <w:spacing w:line="480" w:lineRule="exact"/>
      <w:ind w:firstLine="480"/>
    </w:pPr>
    <w:rPr>
      <w:rFonts w:cs="Times New Roman"/>
      <w:color w:val="000000"/>
      <w:szCs w:val="24"/>
    </w:rPr>
  </w:style>
  <w:style w:type="paragraph" w:styleId="250">
    <w:name w:val="No Spacing"/>
    <w:link w:val="251"/>
    <w:qFormat/>
    <w:uiPriority w:val="1"/>
    <w:rPr>
      <w:rFonts w:ascii="Calibri" w:hAnsi="Calibri" w:eastAsia="宋体" w:cs="Times New Roman"/>
      <w:kern w:val="0"/>
      <w:sz w:val="22"/>
      <w:szCs w:val="22"/>
      <w:lang w:val="en-US" w:eastAsia="zh-CN" w:bidi="ar-SA"/>
    </w:rPr>
  </w:style>
  <w:style w:type="character" w:customStyle="1" w:styleId="251">
    <w:name w:val="无间隔 字符"/>
    <w:basedOn w:val="47"/>
    <w:link w:val="250"/>
    <w:qFormat/>
    <w:uiPriority w:val="1"/>
    <w:rPr>
      <w:rFonts w:ascii="Calibri" w:hAnsi="Calibri" w:eastAsia="宋体" w:cs="Times New Roman"/>
      <w:kern w:val="0"/>
      <w:sz w:val="22"/>
    </w:rPr>
  </w:style>
  <w:style w:type="character" w:customStyle="1" w:styleId="252">
    <w:name w:val="正文缩进 Char1"/>
    <w:qFormat/>
    <w:uiPriority w:val="0"/>
    <w:rPr>
      <w:rFonts w:eastAsia="宋体"/>
      <w:sz w:val="24"/>
      <w:lang w:val="en-US" w:eastAsia="zh-CN" w:bidi="ar-SA"/>
    </w:rPr>
  </w:style>
  <w:style w:type="paragraph" w:customStyle="1" w:styleId="253">
    <w:name w:val="Date1"/>
    <w:basedOn w:val="1"/>
    <w:next w:val="1"/>
    <w:uiPriority w:val="0"/>
    <w:pPr>
      <w:adjustRightInd w:val="0"/>
      <w:spacing w:line="240" w:lineRule="auto"/>
      <w:ind w:firstLine="0" w:firstLineChars="0"/>
      <w:textAlignment w:val="baseline"/>
    </w:pPr>
    <w:rPr>
      <w:rFonts w:cs="Times New Roman"/>
      <w:sz w:val="21"/>
      <w:szCs w:val="20"/>
    </w:rPr>
  </w:style>
  <w:style w:type="paragraph" w:customStyle="1" w:styleId="254">
    <w:name w:val="环评正文"/>
    <w:basedOn w:val="1"/>
    <w:qFormat/>
    <w:uiPriority w:val="0"/>
    <w:pPr>
      <w:spacing w:beforeLines="30"/>
      <w:ind w:firstLine="480"/>
    </w:pPr>
    <w:rPr>
      <w:rFonts w:cs="Times New Roman"/>
      <w:kern w:val="0"/>
      <w:szCs w:val="20"/>
    </w:rPr>
  </w:style>
  <w:style w:type="paragraph" w:customStyle="1" w:styleId="255">
    <w:name w:val="!正文"/>
    <w:basedOn w:val="1"/>
    <w:qFormat/>
    <w:uiPriority w:val="0"/>
    <w:rPr>
      <w:rFonts w:cs="Times New Roman"/>
    </w:rPr>
  </w:style>
  <w:style w:type="table" w:customStyle="1" w:styleId="256">
    <w:name w:val="TableGrid"/>
    <w:qFormat/>
    <w:uiPriority w:val="0"/>
    <w:tblPr>
      <w:tblCellMar>
        <w:top w:w="0" w:type="dxa"/>
        <w:left w:w="0" w:type="dxa"/>
        <w:bottom w:w="0" w:type="dxa"/>
        <w:right w:w="0" w:type="dxa"/>
      </w:tblCellMar>
    </w:tblPr>
  </w:style>
  <w:style w:type="paragraph" w:customStyle="1" w:styleId="257">
    <w:name w:val="A+2"/>
    <w:basedOn w:val="1"/>
    <w:uiPriority w:val="0"/>
    <w:pPr>
      <w:tabs>
        <w:tab w:val="left" w:pos="1021"/>
      </w:tabs>
      <w:spacing w:line="240" w:lineRule="auto"/>
      <w:ind w:firstLine="0" w:firstLineChars="0"/>
      <w:jc w:val="center"/>
    </w:pPr>
    <w:rPr>
      <w:rFonts w:cs="Times New Roman"/>
      <w:sz w:val="20"/>
      <w:szCs w:val="24"/>
    </w:rPr>
  </w:style>
  <w:style w:type="paragraph" w:customStyle="1" w:styleId="258">
    <w:name w:val="A+1"/>
    <w:basedOn w:val="1"/>
    <w:uiPriority w:val="0"/>
    <w:pPr>
      <w:ind w:firstLine="480"/>
    </w:pPr>
    <w:rPr>
      <w:rFonts w:cs="Times New Roman"/>
      <w:szCs w:val="24"/>
    </w:rPr>
  </w:style>
  <w:style w:type="paragraph" w:customStyle="1" w:styleId="259">
    <w:name w:val="A+表头"/>
    <w:basedOn w:val="1"/>
    <w:qFormat/>
    <w:uiPriority w:val="0"/>
    <w:pPr>
      <w:spacing w:before="50" w:beforeLines="50" w:after="50" w:afterLines="50" w:line="240" w:lineRule="auto"/>
      <w:ind w:firstLine="0" w:firstLineChars="0"/>
      <w:jc w:val="center"/>
    </w:pPr>
    <w:rPr>
      <w:rFonts w:eastAsia="黑体" w:cs="Times New Roman"/>
      <w:szCs w:val="24"/>
    </w:rPr>
  </w:style>
  <w:style w:type="paragraph" w:customStyle="1" w:styleId="260">
    <w:name w:val="TOC Heading"/>
    <w:basedOn w:val="2"/>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styleId="261">
    <w:name w:val="Placeholder Text"/>
    <w:basedOn w:val="47"/>
    <w:semiHidden/>
    <w:qFormat/>
    <w:uiPriority w:val="99"/>
    <w:rPr>
      <w:color w:val="808080"/>
    </w:rPr>
  </w:style>
  <w:style w:type="character" w:customStyle="1" w:styleId="262">
    <w:name w:val="表格五号 Char"/>
    <w:qFormat/>
    <w:uiPriority w:val="0"/>
    <w:rPr>
      <w:kern w:val="2"/>
      <w:sz w:val="21"/>
      <w:szCs w:val="24"/>
    </w:rPr>
  </w:style>
  <w:style w:type="character" w:customStyle="1" w:styleId="263">
    <w:name w:val="Unresolved Mention"/>
    <w:basedOn w:val="47"/>
    <w:semiHidden/>
    <w:unhideWhenUsed/>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8.bin"/><Relationship Id="rId98" Type="http://schemas.openxmlformats.org/officeDocument/2006/relationships/image" Target="media/image68.png"/><Relationship Id="rId97" Type="http://schemas.openxmlformats.org/officeDocument/2006/relationships/image" Target="media/image67.png"/><Relationship Id="rId96" Type="http://schemas.openxmlformats.org/officeDocument/2006/relationships/image" Target="media/image66.png"/><Relationship Id="rId95" Type="http://schemas.openxmlformats.org/officeDocument/2006/relationships/image" Target="media/image65.png"/><Relationship Id="rId94" Type="http://schemas.openxmlformats.org/officeDocument/2006/relationships/image" Target="media/image64.png"/><Relationship Id="rId93" Type="http://schemas.openxmlformats.org/officeDocument/2006/relationships/image" Target="media/image63.png"/><Relationship Id="rId92" Type="http://schemas.openxmlformats.org/officeDocument/2006/relationships/image" Target="media/image62.png"/><Relationship Id="rId91" Type="http://schemas.openxmlformats.org/officeDocument/2006/relationships/image" Target="media/image61.png"/><Relationship Id="rId90" Type="http://schemas.openxmlformats.org/officeDocument/2006/relationships/image" Target="media/image60.png"/><Relationship Id="rId9" Type="http://schemas.openxmlformats.org/officeDocument/2006/relationships/footer" Target="footer2.xml"/><Relationship Id="rId89" Type="http://schemas.openxmlformats.org/officeDocument/2006/relationships/image" Target="media/image59.png"/><Relationship Id="rId88" Type="http://schemas.openxmlformats.org/officeDocument/2006/relationships/image" Target="media/image58.png"/><Relationship Id="rId87" Type="http://schemas.openxmlformats.org/officeDocument/2006/relationships/image" Target="media/image57.png"/><Relationship Id="rId86" Type="http://schemas.openxmlformats.org/officeDocument/2006/relationships/image" Target="media/image56.png"/><Relationship Id="rId85" Type="http://schemas.openxmlformats.org/officeDocument/2006/relationships/image" Target="media/image55.png"/><Relationship Id="rId84" Type="http://schemas.openxmlformats.org/officeDocument/2006/relationships/image" Target="media/image54.png"/><Relationship Id="rId83" Type="http://schemas.openxmlformats.org/officeDocument/2006/relationships/image" Target="media/image53.png"/><Relationship Id="rId82" Type="http://schemas.openxmlformats.org/officeDocument/2006/relationships/image" Target="media/image52.png"/><Relationship Id="rId81" Type="http://schemas.openxmlformats.org/officeDocument/2006/relationships/image" Target="media/image51.png"/><Relationship Id="rId80" Type="http://schemas.openxmlformats.org/officeDocument/2006/relationships/image" Target="media/image50.png"/><Relationship Id="rId8" Type="http://schemas.openxmlformats.org/officeDocument/2006/relationships/footer" Target="footer1.xml"/><Relationship Id="rId79" Type="http://schemas.openxmlformats.org/officeDocument/2006/relationships/image" Target="media/image49.png"/><Relationship Id="rId78" Type="http://schemas.openxmlformats.org/officeDocument/2006/relationships/image" Target="media/image48.png"/><Relationship Id="rId77" Type="http://schemas.openxmlformats.org/officeDocument/2006/relationships/image" Target="media/image47.png"/><Relationship Id="rId76" Type="http://schemas.openxmlformats.org/officeDocument/2006/relationships/image" Target="media/image46.png"/><Relationship Id="rId75" Type="http://schemas.openxmlformats.org/officeDocument/2006/relationships/image" Target="media/image45.png"/><Relationship Id="rId74" Type="http://schemas.openxmlformats.org/officeDocument/2006/relationships/image" Target="media/image44.png"/><Relationship Id="rId73" Type="http://schemas.openxmlformats.org/officeDocument/2006/relationships/image" Target="media/image43.wmf"/><Relationship Id="rId72" Type="http://schemas.openxmlformats.org/officeDocument/2006/relationships/oleObject" Target="embeddings/oleObject7.bin"/><Relationship Id="rId71" Type="http://schemas.openxmlformats.org/officeDocument/2006/relationships/image" Target="media/image42.png"/><Relationship Id="rId70" Type="http://schemas.openxmlformats.org/officeDocument/2006/relationships/image" Target="media/image41.png"/><Relationship Id="rId7" Type="http://schemas.openxmlformats.org/officeDocument/2006/relationships/header" Target="header3.xml"/><Relationship Id="rId69" Type="http://schemas.openxmlformats.org/officeDocument/2006/relationships/image" Target="media/image40.png"/><Relationship Id="rId68" Type="http://schemas.openxmlformats.org/officeDocument/2006/relationships/image" Target="media/image39.png"/><Relationship Id="rId67" Type="http://schemas.openxmlformats.org/officeDocument/2006/relationships/image" Target="media/image38.png"/><Relationship Id="rId66" Type="http://schemas.openxmlformats.org/officeDocument/2006/relationships/image" Target="media/image37.png"/><Relationship Id="rId65" Type="http://schemas.openxmlformats.org/officeDocument/2006/relationships/image" Target="media/image36.png"/><Relationship Id="rId64" Type="http://schemas.openxmlformats.org/officeDocument/2006/relationships/image" Target="media/image35.png"/><Relationship Id="rId63" Type="http://schemas.openxmlformats.org/officeDocument/2006/relationships/image" Target="media/image34.png"/><Relationship Id="rId62" Type="http://schemas.openxmlformats.org/officeDocument/2006/relationships/image" Target="media/image33.png"/><Relationship Id="rId61" Type="http://schemas.openxmlformats.org/officeDocument/2006/relationships/image" Target="media/image32.png"/><Relationship Id="rId60" Type="http://schemas.openxmlformats.org/officeDocument/2006/relationships/image" Target="media/image31.png"/><Relationship Id="rId6" Type="http://schemas.openxmlformats.org/officeDocument/2006/relationships/header" Target="header2.xml"/><Relationship Id="rId59" Type="http://schemas.openxmlformats.org/officeDocument/2006/relationships/image" Target="media/image30.png"/><Relationship Id="rId58" Type="http://schemas.openxmlformats.org/officeDocument/2006/relationships/chart" Target="charts/chart2.xml"/><Relationship Id="rId57" Type="http://schemas.openxmlformats.org/officeDocument/2006/relationships/chart" Target="charts/chart1.xml"/><Relationship Id="rId56" Type="http://schemas.openxmlformats.org/officeDocument/2006/relationships/image" Target="media/image29.png"/><Relationship Id="rId55" Type="http://schemas.openxmlformats.org/officeDocument/2006/relationships/image" Target="media/image28.wmf"/><Relationship Id="rId54" Type="http://schemas.openxmlformats.org/officeDocument/2006/relationships/oleObject" Target="embeddings/oleObject6.bin"/><Relationship Id="rId53" Type="http://schemas.openxmlformats.org/officeDocument/2006/relationships/image" Target="media/image27.wmf"/><Relationship Id="rId52" Type="http://schemas.openxmlformats.org/officeDocument/2006/relationships/oleObject" Target="embeddings/oleObject5.bin"/><Relationship Id="rId51" Type="http://schemas.openxmlformats.org/officeDocument/2006/relationships/image" Target="media/image26.png"/><Relationship Id="rId50" Type="http://schemas.openxmlformats.org/officeDocument/2006/relationships/image" Target="media/image25.png"/><Relationship Id="rId5" Type="http://schemas.openxmlformats.org/officeDocument/2006/relationships/header" Target="header1.xml"/><Relationship Id="rId49" Type="http://schemas.openxmlformats.org/officeDocument/2006/relationships/image" Target="media/image24.wmf"/><Relationship Id="rId48" Type="http://schemas.openxmlformats.org/officeDocument/2006/relationships/oleObject" Target="embeddings/Microsoft_Visio_2003-2010___8.vsd"/><Relationship Id="rId47" Type="http://schemas.openxmlformats.org/officeDocument/2006/relationships/image" Target="media/image23.wmf"/><Relationship Id="rId46" Type="http://schemas.openxmlformats.org/officeDocument/2006/relationships/oleObject" Target="embeddings/oleObject4.bin"/><Relationship Id="rId45" Type="http://schemas.openxmlformats.org/officeDocument/2006/relationships/image" Target="media/image22.wmf"/><Relationship Id="rId44" Type="http://schemas.openxmlformats.org/officeDocument/2006/relationships/oleObject" Target="embeddings/oleObject3.bin"/><Relationship Id="rId43" Type="http://schemas.openxmlformats.org/officeDocument/2006/relationships/image" Target="media/image21.wmf"/><Relationship Id="rId42" Type="http://schemas.openxmlformats.org/officeDocument/2006/relationships/oleObject" Target="embeddings/oleObject2.bin"/><Relationship Id="rId41" Type="http://schemas.openxmlformats.org/officeDocument/2006/relationships/image" Target="media/image20.png"/><Relationship Id="rId40" Type="http://schemas.openxmlformats.org/officeDocument/2006/relationships/image" Target="media/image19.wmf"/><Relationship Id="rId4" Type="http://schemas.openxmlformats.org/officeDocument/2006/relationships/endnotes" Target="endnotes.xml"/><Relationship Id="rId39" Type="http://schemas.openxmlformats.org/officeDocument/2006/relationships/oleObject" Target="embeddings/oleObject1.bin"/><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emf"/><Relationship Id="rId35" Type="http://schemas.openxmlformats.org/officeDocument/2006/relationships/package" Target="embeddings/Microsoft_Visio___7.vsdx"/><Relationship Id="rId34" Type="http://schemas.openxmlformats.org/officeDocument/2006/relationships/image" Target="media/image15.emf"/><Relationship Id="rId33" Type="http://schemas.openxmlformats.org/officeDocument/2006/relationships/package" Target="embeddings/Microsoft_Visio___6.vsdx"/><Relationship Id="rId32" Type="http://schemas.openxmlformats.org/officeDocument/2006/relationships/image" Target="media/image14.emf"/><Relationship Id="rId31" Type="http://schemas.openxmlformats.org/officeDocument/2006/relationships/package" Target="embeddings/Microsoft_Visio___5.vsdx"/><Relationship Id="rId30" Type="http://schemas.openxmlformats.org/officeDocument/2006/relationships/image" Target="media/image13.emf"/><Relationship Id="rId3" Type="http://schemas.openxmlformats.org/officeDocument/2006/relationships/footnotes" Target="footnotes.xml"/><Relationship Id="rId29" Type="http://schemas.openxmlformats.org/officeDocument/2006/relationships/package" Target="embeddings/Microsoft_Visio___4.vsdx"/><Relationship Id="rId28" Type="http://schemas.openxmlformats.org/officeDocument/2006/relationships/image" Target="media/image12.emf"/><Relationship Id="rId27" Type="http://schemas.openxmlformats.org/officeDocument/2006/relationships/package" Target="embeddings/Microsoft_Visio___3.vsdx"/><Relationship Id="rId26" Type="http://schemas.openxmlformats.org/officeDocument/2006/relationships/image" Target="media/image11.emf"/><Relationship Id="rId25" Type="http://schemas.openxmlformats.org/officeDocument/2006/relationships/package" Target="embeddings/Microsoft_Visio___2.vsdx"/><Relationship Id="rId24" Type="http://schemas.openxmlformats.org/officeDocument/2006/relationships/image" Target="media/image10.emf"/><Relationship Id="rId23" Type="http://schemas.openxmlformats.org/officeDocument/2006/relationships/package" Target="embeddings/Microsoft_Visio___1.vsdx"/><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5.xml"/><Relationship Id="rId119" Type="http://schemas.openxmlformats.org/officeDocument/2006/relationships/fontTable" Target="fontTable.xml"/><Relationship Id="rId118" Type="http://schemas.openxmlformats.org/officeDocument/2006/relationships/customXml" Target="../customXml/item2.xml"/><Relationship Id="rId117" Type="http://schemas.openxmlformats.org/officeDocument/2006/relationships/numbering" Target="numbering.xml"/><Relationship Id="rId116" Type="http://schemas.openxmlformats.org/officeDocument/2006/relationships/customXml" Target="../customXml/item1.xml"/><Relationship Id="rId115" Type="http://schemas.openxmlformats.org/officeDocument/2006/relationships/image" Target="media/image81.jpeg"/><Relationship Id="rId114" Type="http://schemas.openxmlformats.org/officeDocument/2006/relationships/image" Target="media/image80.jpeg"/><Relationship Id="rId113" Type="http://schemas.openxmlformats.org/officeDocument/2006/relationships/image" Target="media/image79.jpeg"/><Relationship Id="rId112" Type="http://schemas.openxmlformats.org/officeDocument/2006/relationships/image" Target="media/image78.jpeg"/><Relationship Id="rId111" Type="http://schemas.openxmlformats.org/officeDocument/2006/relationships/image" Target="media/image77.png"/><Relationship Id="rId110" Type="http://schemas.openxmlformats.org/officeDocument/2006/relationships/image" Target="media/image76.png"/><Relationship Id="rId11" Type="http://schemas.openxmlformats.org/officeDocument/2006/relationships/footer" Target="footer4.xml"/><Relationship Id="rId109" Type="http://schemas.openxmlformats.org/officeDocument/2006/relationships/image" Target="media/image75.png"/><Relationship Id="rId108" Type="http://schemas.openxmlformats.org/officeDocument/2006/relationships/image" Target="media/image74.png"/><Relationship Id="rId107" Type="http://schemas.openxmlformats.org/officeDocument/2006/relationships/image" Target="media/image73.png"/><Relationship Id="rId106" Type="http://schemas.openxmlformats.org/officeDocument/2006/relationships/image" Target="media/image72.wmf"/><Relationship Id="rId105" Type="http://schemas.openxmlformats.org/officeDocument/2006/relationships/oleObject" Target="embeddings/oleObject11.bin"/><Relationship Id="rId104" Type="http://schemas.openxmlformats.org/officeDocument/2006/relationships/image" Target="media/image71.wmf"/><Relationship Id="rId103" Type="http://schemas.openxmlformats.org/officeDocument/2006/relationships/oleObject" Target="embeddings/oleObject10.bin"/><Relationship Id="rId102" Type="http://schemas.openxmlformats.org/officeDocument/2006/relationships/image" Target="media/image70.wmf"/><Relationship Id="rId101" Type="http://schemas.openxmlformats.org/officeDocument/2006/relationships/oleObject" Target="embeddings/oleObject9.bin"/><Relationship Id="rId100" Type="http://schemas.openxmlformats.org/officeDocument/2006/relationships/image" Target="media/image69.wmf"/><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D:\&#20854;&#20182;\&#39068;&#24635;-&#34913;&#38451;\57871_2020%20&#34913;&#38451;&#21439;\0_&#21407;&#22987;&#25968;&#25454;&#65288;&#20113;&#37327;&#12289;&#27668;&#21387;&#12289;&#39118;&#21521;&#12289;&#39118;&#36895;&#12289;&#28201;&#24230;&#12289;&#30456;&#23545;&#28287;&#24230;&#12289;&#38477;&#27700;&#31561;&#65289;\57871&#21407;&#22987;&#25968;&#25454;.csv"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D:\&#20854;&#20182;\&#39068;&#24635;-&#34913;&#38451;\57871_2020%20&#34913;&#38451;&#21439;\0_&#21407;&#22987;&#25968;&#25454;&#65288;&#20113;&#37327;&#12289;&#27668;&#21387;&#12289;&#39118;&#21521;&#12289;&#39118;&#36895;&#12289;&#28201;&#24230;&#12289;&#30456;&#23545;&#28287;&#24230;&#12289;&#38477;&#27700;&#31561;&#65289;\57871&#21407;&#22987;&#25968;&#25454;.csv"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月平均温度变化图</a:t>
            </a:r>
            <a:endParaRPr lang="zh-CN" altLang="en-US"/>
          </a:p>
        </c:rich>
      </c:tx>
      <c:layout/>
      <c:overlay val="0"/>
      <c:spPr>
        <a:noFill/>
        <a:ln>
          <a:noFill/>
        </a:ln>
        <a:effectLst/>
      </c:spPr>
    </c:title>
    <c:autoTitleDeleted val="0"/>
    <c:plotArea>
      <c:layout/>
      <c:lineChart>
        <c:grouping val="stacked"/>
        <c:varyColors val="0"/>
        <c:ser>
          <c:idx val="0"/>
          <c:order val="0"/>
          <c:spPr>
            <a:ln w="28575" cap="rnd">
              <a:solidFill>
                <a:schemeClr val="accent1"/>
              </a:solidFill>
              <a:round/>
            </a:ln>
            <a:effectLst/>
          </c:spPr>
          <c:marker>
            <c:symbol val="none"/>
          </c:marker>
          <c:dLbls>
            <c:delete val="1"/>
          </c:dLbls>
          <c:val>
            <c:numRef>
              <c:f>Sheet1!$B$2:$M$2</c:f>
              <c:numCache>
                <c:formatCode>General</c:formatCode>
                <c:ptCount val="12"/>
                <c:pt idx="0">
                  <c:v>6.7</c:v>
                </c:pt>
                <c:pt idx="1">
                  <c:v>11.3</c:v>
                </c:pt>
                <c:pt idx="2">
                  <c:v>14.3</c:v>
                </c:pt>
                <c:pt idx="3">
                  <c:v>17.7</c:v>
                </c:pt>
                <c:pt idx="4">
                  <c:v>25</c:v>
                </c:pt>
                <c:pt idx="5">
                  <c:v>28.5</c:v>
                </c:pt>
                <c:pt idx="6">
                  <c:v>29.8</c:v>
                </c:pt>
                <c:pt idx="7">
                  <c:v>30.7</c:v>
                </c:pt>
                <c:pt idx="8">
                  <c:v>23.2</c:v>
                </c:pt>
                <c:pt idx="9">
                  <c:v>18.3</c:v>
                </c:pt>
                <c:pt idx="10">
                  <c:v>14.9</c:v>
                </c:pt>
                <c:pt idx="11">
                  <c:v>7.2</c:v>
                </c:pt>
              </c:numCache>
            </c:numRef>
          </c:val>
          <c:smooth val="0"/>
        </c:ser>
        <c:dLbls>
          <c:showLegendKey val="0"/>
          <c:showVal val="0"/>
          <c:showCatName val="0"/>
          <c:showSerName val="0"/>
          <c:showPercent val="0"/>
          <c:showBubbleSize val="0"/>
        </c:dLbls>
        <c:marker val="0"/>
        <c:smooth val="0"/>
        <c:axId val="597424504"/>
        <c:axId val="597426104"/>
      </c:lineChart>
      <c:catAx>
        <c:axId val="59742450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97426104"/>
        <c:crosses val="autoZero"/>
        <c:auto val="1"/>
        <c:lblAlgn val="ctr"/>
        <c:lblOffset val="100"/>
        <c:noMultiLvlLbl val="0"/>
      </c:catAx>
      <c:valAx>
        <c:axId val="597426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97424504"/>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月均风速变化图</a:t>
            </a:r>
            <a:endParaRPr lang="zh-CN" altLang="en-US"/>
          </a:p>
        </c:rich>
      </c:tx>
      <c:layout/>
      <c:overlay val="0"/>
      <c:spPr>
        <a:noFill/>
        <a:ln>
          <a:noFill/>
        </a:ln>
        <a:effectLst/>
      </c:spPr>
    </c:title>
    <c:autoTitleDeleted val="0"/>
    <c:plotArea>
      <c:layout/>
      <c:lineChart>
        <c:grouping val="stacked"/>
        <c:varyColors val="0"/>
        <c:ser>
          <c:idx val="0"/>
          <c:order val="0"/>
          <c:spPr>
            <a:ln w="28575" cap="rnd">
              <a:solidFill>
                <a:schemeClr val="accent1"/>
              </a:solidFill>
              <a:round/>
            </a:ln>
            <a:effectLst/>
          </c:spPr>
          <c:marker>
            <c:symbol val="none"/>
          </c:marker>
          <c:dLbls>
            <c:delete val="1"/>
          </c:dLbls>
          <c:val>
            <c:numRef>
              <c:f>Sheet1!$B$5:$M$5</c:f>
              <c:numCache>
                <c:formatCode>General</c:formatCode>
                <c:ptCount val="12"/>
                <c:pt idx="0">
                  <c:v>2.4</c:v>
                </c:pt>
                <c:pt idx="1">
                  <c:v>2.2</c:v>
                </c:pt>
                <c:pt idx="2">
                  <c:v>2.3</c:v>
                </c:pt>
                <c:pt idx="3">
                  <c:v>2</c:v>
                </c:pt>
                <c:pt idx="4">
                  <c:v>2.2</c:v>
                </c:pt>
                <c:pt idx="5">
                  <c:v>2.1</c:v>
                </c:pt>
                <c:pt idx="6">
                  <c:v>2.1</c:v>
                </c:pt>
                <c:pt idx="7">
                  <c:v>2.2</c:v>
                </c:pt>
                <c:pt idx="8">
                  <c:v>2.2</c:v>
                </c:pt>
                <c:pt idx="9">
                  <c:v>2.9</c:v>
                </c:pt>
                <c:pt idx="10">
                  <c:v>2.7</c:v>
                </c:pt>
                <c:pt idx="11">
                  <c:v>2.6</c:v>
                </c:pt>
              </c:numCache>
            </c:numRef>
          </c:val>
          <c:smooth val="0"/>
        </c:ser>
        <c:dLbls>
          <c:showLegendKey val="0"/>
          <c:showVal val="0"/>
          <c:showCatName val="0"/>
          <c:showSerName val="0"/>
          <c:showPercent val="0"/>
          <c:showBubbleSize val="0"/>
        </c:dLbls>
        <c:marker val="0"/>
        <c:smooth val="0"/>
        <c:axId val="617222840"/>
        <c:axId val="617225400"/>
      </c:lineChart>
      <c:catAx>
        <c:axId val="61722284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17225400"/>
        <c:crosses val="autoZero"/>
        <c:auto val="1"/>
        <c:lblAlgn val="ctr"/>
        <c:lblOffset val="100"/>
        <c:noMultiLvlLbl val="0"/>
      </c:catAx>
      <c:valAx>
        <c:axId val="617225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17222840"/>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6881234-3769-4319-8F63-FAB9D60F6827}">
  <ds:schemaRefs/>
</ds:datastoreItem>
</file>

<file path=docProps/app.xml><?xml version="1.0" encoding="utf-8"?>
<Properties xmlns="http://schemas.openxmlformats.org/officeDocument/2006/extended-properties" xmlns:vt="http://schemas.openxmlformats.org/officeDocument/2006/docPropsVTypes">
  <Template>Normal.dotm</Template>
  <Pages>301</Pages>
  <Words>148107</Words>
  <Characters>192006</Characters>
  <Lines>1628</Lines>
  <Paragraphs>458</Paragraphs>
  <TotalTime>6171</TotalTime>
  <ScaleCrop>false</ScaleCrop>
  <LinksUpToDate>false</LinksUpToDate>
  <CharactersWithSpaces>193695</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2021-06-25T07:31:00Z</dcterms:created>
  <dc:creator>24108</dc:creator>
  <cp:lastModifiedBy>✎aye</cp:lastModifiedBy>
  <cp:lastPrinted>2021-10-31T14:23:00Z</cp:lastPrinted>
  <dcterms:modified xsi:type="dcterms:W3CDTF">2022-05-23T06:04:21Z</dcterms:modified>
  <cp:revision>50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3548B2C052B841AAAD7DA39B987A8CA9</vt:lpwstr>
  </property>
</Properties>
</file>